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480" w:lineRule="auto"/>
        <w:jc w:val="center"/>
        <w:rPr>
          <w:rFonts w:hint="default" w:ascii="Times New Roman" w:hAnsi="Times New Roman" w:cs="Times New Roman"/>
          <w:b/>
          <w:color w:val="auto"/>
          <w:sz w:val="72"/>
          <w:szCs w:val="72"/>
          <w:u w:val="none" w:color="auto"/>
        </w:rPr>
      </w:pPr>
    </w:p>
    <w:p>
      <w:pPr>
        <w:spacing w:before="156" w:beforeLines="50" w:line="480" w:lineRule="auto"/>
        <w:jc w:val="center"/>
        <w:rPr>
          <w:rFonts w:hint="default" w:ascii="Times New Roman" w:hAnsi="Times New Roman" w:cs="Times New Roman"/>
          <w:b/>
          <w:color w:val="auto"/>
          <w:sz w:val="72"/>
          <w:szCs w:val="72"/>
          <w:u w:val="none" w:color="auto"/>
        </w:rPr>
      </w:pPr>
      <w:r>
        <w:rPr>
          <w:rFonts w:hint="default" w:ascii="Times New Roman" w:hAnsi="Times New Roman" w:cs="Times New Roman"/>
          <w:b/>
          <w:color w:val="auto"/>
          <w:sz w:val="72"/>
          <w:szCs w:val="72"/>
          <w:u w:val="none" w:color="auto"/>
        </w:rPr>
        <w:t>建设项目环境影响报告表</w:t>
      </w:r>
    </w:p>
    <w:p>
      <w:pPr>
        <w:rPr>
          <w:rFonts w:hint="default" w:ascii="Times New Roman" w:hAnsi="Times New Roman" w:cs="Times New Roman"/>
          <w:color w:val="auto"/>
          <w:sz w:val="44"/>
          <w:szCs w:val="44"/>
          <w:u w:val="none" w:color="auto"/>
        </w:rPr>
      </w:pPr>
    </w:p>
    <w:p>
      <w:pPr>
        <w:jc w:val="center"/>
        <w:rPr>
          <w:rFonts w:hint="default" w:ascii="Times New Roman" w:hAnsi="Times New Roman" w:eastAsia="宋体" w:cs="Times New Roman"/>
          <w:color w:val="auto"/>
          <w:sz w:val="32"/>
          <w:szCs w:val="32"/>
          <w:u w:val="none" w:color="auto"/>
          <w:lang w:eastAsia="zh-CN"/>
        </w:rPr>
      </w:pPr>
      <w:r>
        <w:rPr>
          <w:rFonts w:hint="default" w:ascii="Times New Roman" w:hAnsi="Times New Roman" w:cs="Times New Roman"/>
          <w:color w:val="auto"/>
          <w:sz w:val="32"/>
          <w:szCs w:val="32"/>
          <w:u w:val="none" w:color="auto"/>
          <w:lang w:eastAsia="zh-CN"/>
        </w:rPr>
        <w:t>（</w:t>
      </w:r>
      <w:r>
        <w:rPr>
          <w:rFonts w:hint="eastAsia" w:cs="Times New Roman"/>
          <w:color w:val="auto"/>
          <w:sz w:val="32"/>
          <w:szCs w:val="32"/>
          <w:u w:val="none" w:color="auto"/>
          <w:lang w:val="en-US" w:eastAsia="zh-CN"/>
        </w:rPr>
        <w:t>报批</w:t>
      </w:r>
      <w:r>
        <w:rPr>
          <w:rFonts w:hint="default" w:ascii="Times New Roman" w:hAnsi="Times New Roman" w:cs="Times New Roman"/>
          <w:color w:val="auto"/>
          <w:sz w:val="32"/>
          <w:szCs w:val="32"/>
          <w:u w:val="none" w:color="auto"/>
          <w:lang w:eastAsia="zh-CN"/>
        </w:rPr>
        <w:t>稿）</w:t>
      </w: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adjustRightInd w:val="0"/>
        <w:spacing w:line="720" w:lineRule="auto"/>
        <w:ind w:firstLine="1272" w:firstLineChars="396"/>
        <w:rPr>
          <w:rFonts w:hint="default" w:ascii="Times New Roman" w:hAnsi="Times New Roman" w:cs="Times New Roman"/>
          <w:color w:val="auto"/>
          <w:sz w:val="32"/>
          <w:szCs w:val="32"/>
          <w:u w:val="single" w:color="auto"/>
        </w:rPr>
      </w:pPr>
      <w:r>
        <w:rPr>
          <w:rFonts w:hint="default" w:ascii="Times New Roman" w:hAnsi="Times New Roman" w:cs="Times New Roman"/>
          <w:b/>
          <w:color w:val="auto"/>
          <w:sz w:val="32"/>
          <w:u w:val="single" w:color="auto"/>
        </w:rPr>
        <w:t xml:space="preserve">项目名称：  </w:t>
      </w:r>
      <w:r>
        <w:rPr>
          <w:rFonts w:hint="eastAsia" w:cs="Times New Roman"/>
          <w:b/>
          <w:bCs/>
          <w:color w:val="auto"/>
          <w:spacing w:val="-8"/>
          <w:sz w:val="32"/>
          <w:u w:val="single" w:color="auto"/>
          <w:lang w:eastAsia="zh-CN"/>
        </w:rPr>
        <w:t>年产5000套办公家具建设项目</w:t>
      </w:r>
      <w:r>
        <w:rPr>
          <w:rFonts w:hint="default" w:ascii="Times New Roman" w:hAnsi="Times New Roman" w:cs="Times New Roman"/>
          <w:color w:val="auto"/>
          <w:sz w:val="32"/>
          <w:szCs w:val="32"/>
          <w:u w:val="single" w:color="auto"/>
        </w:rPr>
        <w:t xml:space="preserve">  </w:t>
      </w:r>
    </w:p>
    <w:p>
      <w:pPr>
        <w:adjustRightInd w:val="0"/>
        <w:spacing w:line="360" w:lineRule="auto"/>
        <w:ind w:firstLine="630" w:firstLineChars="196"/>
        <w:rPr>
          <w:rFonts w:hint="default" w:ascii="Times New Roman" w:hAnsi="Times New Roman" w:cs="Times New Roman"/>
          <w:b/>
          <w:color w:val="auto"/>
          <w:sz w:val="32"/>
          <w:u w:val="single" w:color="auto"/>
        </w:rPr>
      </w:pPr>
    </w:p>
    <w:p>
      <w:pPr>
        <w:adjustRightInd w:val="0"/>
        <w:spacing w:line="360" w:lineRule="auto"/>
        <w:ind w:firstLine="1272" w:firstLineChars="396"/>
        <w:rPr>
          <w:rFonts w:hint="default" w:ascii="Times New Roman" w:hAnsi="Times New Roman" w:cs="Times New Roman"/>
          <w:color w:val="auto"/>
          <w:sz w:val="32"/>
          <w:u w:val="single" w:color="auto"/>
        </w:rPr>
      </w:pPr>
      <w:r>
        <w:rPr>
          <w:rFonts w:hint="default" w:ascii="Times New Roman" w:hAnsi="Times New Roman" w:cs="Times New Roman"/>
          <w:b/>
          <w:color w:val="auto"/>
          <w:sz w:val="32"/>
          <w:u w:val="single" w:color="auto"/>
        </w:rPr>
        <w:t>建设单位</w:t>
      </w:r>
      <w:r>
        <w:rPr>
          <w:rFonts w:hint="eastAsia" w:cs="Times New Roman"/>
          <w:b/>
          <w:color w:val="auto"/>
          <w:sz w:val="32"/>
          <w:u w:val="single" w:color="auto"/>
          <w:lang w:eastAsia="zh-CN"/>
        </w:rPr>
        <w:t>：</w:t>
      </w:r>
      <w:r>
        <w:rPr>
          <w:rFonts w:hint="eastAsia" w:cs="Times New Roman"/>
          <w:b/>
          <w:color w:val="auto"/>
          <w:sz w:val="32"/>
          <w:szCs w:val="22"/>
          <w:u w:val="single" w:color="auto"/>
          <w:lang w:eastAsia="zh-CN"/>
        </w:rPr>
        <w:t>湖南顺星办公家具有限公司</w:t>
      </w:r>
      <w:r>
        <w:rPr>
          <w:rFonts w:hint="eastAsia" w:ascii="Times New Roman" w:hAnsi="Times New Roman" w:cs="Times New Roman"/>
          <w:b/>
          <w:color w:val="auto"/>
          <w:sz w:val="32"/>
          <w:szCs w:val="22"/>
          <w:u w:val="single" w:color="auto"/>
          <w:lang w:val="en-US" w:eastAsia="zh-CN"/>
        </w:rPr>
        <w:t xml:space="preserve">  </w:t>
      </w:r>
      <w:r>
        <w:rPr>
          <w:rFonts w:hint="default" w:ascii="Times New Roman" w:hAnsi="Times New Roman" w:cs="Times New Roman"/>
          <w:color w:val="auto"/>
          <w:spacing w:val="-8"/>
          <w:sz w:val="32"/>
          <w:u w:val="single" w:color="auto"/>
        </w:rPr>
        <w:t>（盖章）</w:t>
      </w: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bidi w:val="0"/>
        <w:jc w:val="center"/>
        <w:rPr>
          <w:rFonts w:hint="eastAsia" w:eastAsia="宋体"/>
          <w:b/>
          <w:bCs/>
          <w:sz w:val="32"/>
          <w:szCs w:val="28"/>
          <w:u w:val="none" w:color="auto"/>
          <w:lang w:val="en-US" w:eastAsia="zh-CN"/>
        </w:rPr>
      </w:pPr>
      <w:r>
        <w:rPr>
          <w:rFonts w:hint="eastAsia"/>
          <w:b/>
          <w:bCs/>
          <w:sz w:val="32"/>
          <w:szCs w:val="28"/>
          <w:u w:val="none" w:color="auto"/>
          <w:lang w:val="en-US" w:eastAsia="zh-CN"/>
        </w:rPr>
        <w:t>湖南智盛瀚海环保科技有限公司</w:t>
      </w:r>
    </w:p>
    <w:p>
      <w:pPr>
        <w:spacing w:before="240" w:beforeLines="100" w:after="240" w:afterLines="100"/>
        <w:jc w:val="center"/>
        <w:rPr>
          <w:b/>
          <w:bCs/>
          <w:sz w:val="36"/>
          <w:szCs w:val="24"/>
          <w:u w:val="none" w:color="auto"/>
        </w:rPr>
      </w:pPr>
      <w:r>
        <w:rPr>
          <w:rFonts w:hint="eastAsia" w:ascii="Times New Roman" w:hAnsi="Times New Roman" w:cs="Times New Roman"/>
          <w:b/>
          <w:bCs/>
          <w:color w:val="auto"/>
          <w:sz w:val="30"/>
          <w:szCs w:val="30"/>
          <w:u w:val="none" w:color="auto"/>
          <w:lang w:val="en-US" w:eastAsia="zh-CN"/>
        </w:rPr>
        <w:t xml:space="preserve">  </w:t>
      </w:r>
      <w:r>
        <w:rPr>
          <w:rFonts w:hint="default" w:ascii="Times New Roman" w:hAnsi="Times New Roman" w:cs="Times New Roman"/>
          <w:b/>
          <w:bCs/>
          <w:color w:val="auto"/>
          <w:sz w:val="30"/>
          <w:szCs w:val="30"/>
          <w:u w:val="none" w:color="auto"/>
        </w:rPr>
        <w:t>日期：20</w:t>
      </w:r>
      <w:r>
        <w:rPr>
          <w:rFonts w:hint="eastAsia" w:cs="Times New Roman"/>
          <w:b/>
          <w:bCs/>
          <w:color w:val="auto"/>
          <w:sz w:val="30"/>
          <w:szCs w:val="30"/>
          <w:u w:val="none" w:color="auto"/>
          <w:lang w:val="en-US" w:eastAsia="zh-CN"/>
        </w:rPr>
        <w:t>20</w:t>
      </w:r>
      <w:r>
        <w:rPr>
          <w:rFonts w:hint="default" w:ascii="Times New Roman" w:hAnsi="Times New Roman" w:cs="Times New Roman"/>
          <w:b/>
          <w:bCs/>
          <w:color w:val="auto"/>
          <w:sz w:val="30"/>
          <w:szCs w:val="30"/>
          <w:u w:val="none" w:color="auto"/>
        </w:rPr>
        <w:t>年</w:t>
      </w:r>
      <w:r>
        <w:rPr>
          <w:rFonts w:hint="eastAsia" w:cs="Times New Roman"/>
          <w:b/>
          <w:bCs/>
          <w:color w:val="auto"/>
          <w:sz w:val="30"/>
          <w:szCs w:val="30"/>
          <w:u w:val="none" w:color="auto"/>
          <w:lang w:val="en-US" w:eastAsia="zh-CN"/>
        </w:rPr>
        <w:t>12</w:t>
      </w:r>
      <w:r>
        <w:rPr>
          <w:rFonts w:hint="default" w:ascii="Times New Roman" w:hAnsi="Times New Roman" w:cs="Times New Roman"/>
          <w:b/>
          <w:bCs/>
          <w:color w:val="auto"/>
          <w:sz w:val="30"/>
          <w:szCs w:val="30"/>
          <w:u w:val="none" w:color="auto"/>
        </w:rPr>
        <w:t>月</w:t>
      </w:r>
    </w:p>
    <w:p>
      <w:pPr>
        <w:spacing w:before="240" w:beforeLines="100" w:after="240" w:afterLines="100" w:line="360" w:lineRule="auto"/>
        <w:jc w:val="center"/>
        <w:rPr>
          <w:b/>
          <w:bCs/>
          <w:sz w:val="36"/>
          <w:szCs w:val="24"/>
          <w:u w:val="none" w:color="auto"/>
        </w:rPr>
      </w:pPr>
    </w:p>
    <w:p>
      <w:pPr>
        <w:spacing w:before="240" w:beforeLines="100" w:after="240" w:afterLines="100" w:line="360" w:lineRule="auto"/>
        <w:jc w:val="center"/>
        <w:rPr>
          <w:rFonts w:hint="eastAsia"/>
          <w:b/>
          <w:bCs/>
          <w:sz w:val="36"/>
          <w:szCs w:val="24"/>
          <w:u w:val="none" w:color="auto"/>
          <w:lang w:val="en-US" w:eastAsia="zh-CN"/>
        </w:rPr>
      </w:pPr>
      <w:r>
        <w:rPr>
          <w:rFonts w:hint="eastAsia"/>
          <w:b/>
          <w:bCs/>
          <w:sz w:val="36"/>
          <w:szCs w:val="24"/>
          <w:u w:val="none" w:color="auto"/>
          <w:lang w:val="en-US" w:eastAsia="zh-CN"/>
        </w:rPr>
        <w:t>专家意见修改清单</w:t>
      </w:r>
    </w:p>
    <w:tbl>
      <w:tblPr>
        <w:tblStyle w:val="40"/>
        <w:tblW w:w="9465" w:type="dxa"/>
        <w:tblInd w:w="-32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6165"/>
        <w:gridCol w:w="24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5" w:type="dxa"/>
            <w:tcBorders>
              <w:tl2br w:val="nil"/>
              <w:tr2bl w:val="nil"/>
            </w:tcBorders>
            <w:vAlign w:val="center"/>
          </w:tcPr>
          <w:p>
            <w:pPr>
              <w:bidi w:val="0"/>
              <w:spacing w:line="360" w:lineRule="auto"/>
              <w:jc w:val="center"/>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8"/>
                <w:szCs w:val="28"/>
                <w:vertAlign w:val="baseline"/>
                <w:lang w:val="en-US" w:eastAsia="zh-CN"/>
              </w:rPr>
              <w:t>序号</w:t>
            </w:r>
          </w:p>
        </w:tc>
        <w:tc>
          <w:tcPr>
            <w:tcW w:w="6165" w:type="dxa"/>
            <w:tcBorders>
              <w:tl2br w:val="nil"/>
              <w:tr2bl w:val="nil"/>
            </w:tcBorders>
            <w:vAlign w:val="center"/>
          </w:tcPr>
          <w:p>
            <w:pPr>
              <w:bidi w:val="0"/>
              <w:spacing w:line="360" w:lineRule="auto"/>
              <w:jc w:val="center"/>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8"/>
                <w:szCs w:val="28"/>
                <w:vertAlign w:val="baseline"/>
                <w:lang w:val="en-US" w:eastAsia="zh-CN"/>
              </w:rPr>
              <w:t>专家意见</w:t>
            </w:r>
          </w:p>
        </w:tc>
        <w:tc>
          <w:tcPr>
            <w:tcW w:w="2415" w:type="dxa"/>
            <w:tcBorders>
              <w:tl2br w:val="nil"/>
              <w:tr2bl w:val="nil"/>
            </w:tcBorders>
            <w:vAlign w:val="center"/>
          </w:tcPr>
          <w:p>
            <w:pPr>
              <w:bidi w:val="0"/>
              <w:spacing w:line="360" w:lineRule="auto"/>
              <w:jc w:val="center"/>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8"/>
                <w:szCs w:val="28"/>
                <w:vertAlign w:val="baseline"/>
                <w:lang w:val="en-US" w:eastAsia="zh-CN"/>
              </w:rPr>
              <w:t>修改情况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5" w:type="dxa"/>
            <w:tcBorders>
              <w:tl2br w:val="nil"/>
              <w:tr2bl w:val="nil"/>
            </w:tcBorders>
            <w:vAlign w:val="center"/>
          </w:tcPr>
          <w:p>
            <w:pPr>
              <w:bidi w:val="0"/>
              <w:spacing w:line="360" w:lineRule="auto"/>
              <w:jc w:val="center"/>
              <w:rPr>
                <w:rFonts w:hint="default" w:ascii="Times New Roman" w:hAnsi="Times New Roman" w:eastAsia="宋体" w:cs="Times New Roman"/>
                <w:b w:val="0"/>
                <w:bCs w:val="0"/>
                <w:color w:val="auto"/>
                <w:sz w:val="28"/>
                <w:szCs w:val="28"/>
                <w:vertAlign w:val="baseline"/>
                <w:lang w:val="en-US" w:eastAsia="zh-CN"/>
              </w:rPr>
            </w:pPr>
            <w:r>
              <w:rPr>
                <w:rFonts w:hint="eastAsia" w:ascii="Times New Roman" w:hAnsi="Times New Roman" w:eastAsia="宋体" w:cs="Times New Roman"/>
                <w:b w:val="0"/>
                <w:bCs w:val="0"/>
                <w:color w:val="auto"/>
                <w:sz w:val="28"/>
                <w:szCs w:val="28"/>
                <w:vertAlign w:val="baseline"/>
                <w:lang w:val="en-US" w:eastAsia="zh-CN"/>
              </w:rPr>
              <w:t>1</w:t>
            </w:r>
          </w:p>
        </w:tc>
        <w:tc>
          <w:tcPr>
            <w:tcW w:w="6165" w:type="dxa"/>
            <w:tcBorders>
              <w:tl2br w:val="nil"/>
              <w:tr2bl w:val="nil"/>
            </w:tcBorders>
            <w:vAlign w:val="center"/>
          </w:tcPr>
          <w:p>
            <w:pPr>
              <w:spacing w:line="360" w:lineRule="auto"/>
              <w:jc w:val="both"/>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8"/>
                <w:szCs w:val="28"/>
                <w:lang w:eastAsia="zh-CN"/>
              </w:rPr>
              <w:t>明确项目用地现状类型和用地规划性质，分析项目</w:t>
            </w:r>
            <w:r>
              <w:rPr>
                <w:rFonts w:hint="default" w:ascii="Times New Roman" w:hAnsi="Times New Roman" w:eastAsia="宋体" w:cs="Times New Roman"/>
                <w:b w:val="0"/>
                <w:bCs w:val="0"/>
                <w:color w:val="auto"/>
                <w:sz w:val="28"/>
                <w:szCs w:val="28"/>
                <w:lang w:val="en-US" w:eastAsia="zh-CN"/>
              </w:rPr>
              <w:t>选址</w:t>
            </w:r>
            <w:r>
              <w:rPr>
                <w:rFonts w:hint="default" w:ascii="Times New Roman" w:hAnsi="Times New Roman" w:eastAsia="宋体" w:cs="Times New Roman"/>
                <w:b w:val="0"/>
                <w:bCs w:val="0"/>
                <w:color w:val="auto"/>
                <w:sz w:val="28"/>
                <w:szCs w:val="28"/>
                <w:lang w:eastAsia="zh-CN"/>
              </w:rPr>
              <w:t>与当地总</w:t>
            </w:r>
            <w:r>
              <w:rPr>
                <w:rFonts w:hint="default" w:ascii="Times New Roman" w:hAnsi="Times New Roman" w:eastAsia="宋体" w:cs="Times New Roman"/>
                <w:b w:val="0"/>
                <w:bCs w:val="0"/>
                <w:color w:val="auto"/>
                <w:sz w:val="28"/>
                <w:szCs w:val="28"/>
                <w:lang w:val="en-US" w:eastAsia="zh-CN"/>
              </w:rPr>
              <w:t>体</w:t>
            </w:r>
            <w:r>
              <w:rPr>
                <w:rFonts w:hint="default" w:ascii="Times New Roman" w:hAnsi="Times New Roman" w:eastAsia="宋体" w:cs="Times New Roman"/>
                <w:b w:val="0"/>
                <w:bCs w:val="0"/>
                <w:color w:val="auto"/>
                <w:sz w:val="28"/>
                <w:szCs w:val="28"/>
                <w:lang w:eastAsia="zh-CN"/>
              </w:rPr>
              <w:t>规划</w:t>
            </w:r>
            <w:r>
              <w:rPr>
                <w:rFonts w:hint="default" w:ascii="Times New Roman" w:hAnsi="Times New Roman" w:eastAsia="宋体" w:cs="Times New Roman"/>
                <w:b w:val="0"/>
                <w:bCs w:val="0"/>
                <w:color w:val="auto"/>
                <w:sz w:val="28"/>
                <w:szCs w:val="28"/>
                <w:lang w:val="en-US" w:eastAsia="zh-CN"/>
              </w:rPr>
              <w:t>及产业布局</w:t>
            </w:r>
            <w:r>
              <w:rPr>
                <w:rFonts w:hint="default" w:ascii="Times New Roman" w:hAnsi="Times New Roman" w:eastAsia="宋体" w:cs="Times New Roman"/>
                <w:b w:val="0"/>
                <w:bCs w:val="0"/>
                <w:color w:val="auto"/>
                <w:sz w:val="28"/>
                <w:szCs w:val="28"/>
                <w:lang w:eastAsia="zh-CN"/>
              </w:rPr>
              <w:t>的相符性，给出评价结论</w:t>
            </w:r>
            <w:r>
              <w:rPr>
                <w:rFonts w:hint="default" w:ascii="Times New Roman" w:hAnsi="Times New Roman" w:eastAsia="宋体" w:cs="Times New Roman"/>
                <w:b w:val="0"/>
                <w:bCs w:val="0"/>
                <w:color w:val="auto"/>
                <w:sz w:val="28"/>
                <w:szCs w:val="28"/>
                <w:lang w:val="en-US" w:eastAsia="zh-CN"/>
              </w:rPr>
              <w:t>，补充乡镇及国土部门等相关支撑材料；根据湖南省政府办公厅【2018】15号文件精神，本项目应入园，限制现有规模和产品，建议合同期满搬迁至园区</w:t>
            </w:r>
            <w:r>
              <w:rPr>
                <w:rFonts w:hint="default" w:ascii="Times New Roman" w:hAnsi="Times New Roman" w:eastAsia="宋体" w:cs="Times New Roman"/>
                <w:b w:val="0"/>
                <w:bCs w:val="0"/>
                <w:color w:val="auto"/>
                <w:sz w:val="28"/>
                <w:szCs w:val="28"/>
                <w:lang w:eastAsia="zh-CN"/>
              </w:rPr>
              <w:t>。</w:t>
            </w:r>
          </w:p>
        </w:tc>
        <w:tc>
          <w:tcPr>
            <w:tcW w:w="2415" w:type="dxa"/>
            <w:tcBorders>
              <w:tl2br w:val="nil"/>
              <w:tr2bl w:val="nil"/>
            </w:tcBorders>
            <w:vAlign w:val="center"/>
          </w:tcPr>
          <w:p>
            <w:pPr>
              <w:bidi w:val="0"/>
              <w:spacing w:line="360" w:lineRule="auto"/>
              <w:jc w:val="center"/>
              <w:rPr>
                <w:rFonts w:hint="default" w:ascii="Times New Roman" w:hAnsi="Times New Roman" w:eastAsia="宋体" w:cs="Times New Roman"/>
                <w:b w:val="0"/>
                <w:bCs w:val="0"/>
                <w:color w:val="auto"/>
                <w:sz w:val="28"/>
                <w:szCs w:val="28"/>
                <w:vertAlign w:val="baseline"/>
                <w:lang w:val="en-US" w:eastAsia="zh-CN"/>
              </w:rPr>
            </w:pPr>
            <w:r>
              <w:rPr>
                <w:rFonts w:hint="eastAsia" w:cs="Times New Roman"/>
                <w:b w:val="0"/>
                <w:bCs w:val="0"/>
                <w:color w:val="auto"/>
                <w:sz w:val="28"/>
                <w:szCs w:val="28"/>
                <w:vertAlign w:val="baseline"/>
                <w:lang w:val="en-US" w:eastAsia="zh-CN"/>
              </w:rPr>
              <w:t>已补充且完善，具体详见P41-43，附件6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5" w:type="dxa"/>
            <w:tcBorders>
              <w:tl2br w:val="nil"/>
              <w:tr2bl w:val="nil"/>
            </w:tcBorders>
            <w:vAlign w:val="center"/>
          </w:tcPr>
          <w:p>
            <w:pPr>
              <w:bidi w:val="0"/>
              <w:spacing w:line="360" w:lineRule="auto"/>
              <w:jc w:val="center"/>
              <w:rPr>
                <w:rFonts w:hint="default" w:ascii="Times New Roman" w:hAnsi="Times New Roman" w:eastAsia="宋体" w:cs="Times New Roman"/>
                <w:b w:val="0"/>
                <w:bCs w:val="0"/>
                <w:color w:val="auto"/>
                <w:sz w:val="28"/>
                <w:szCs w:val="28"/>
                <w:vertAlign w:val="baseline"/>
                <w:lang w:val="en-US" w:eastAsia="zh-CN"/>
              </w:rPr>
            </w:pPr>
            <w:r>
              <w:rPr>
                <w:rFonts w:hint="eastAsia" w:ascii="Times New Roman" w:hAnsi="Times New Roman" w:eastAsia="宋体" w:cs="Times New Roman"/>
                <w:b w:val="0"/>
                <w:bCs w:val="0"/>
                <w:color w:val="auto"/>
                <w:sz w:val="28"/>
                <w:szCs w:val="28"/>
                <w:vertAlign w:val="baseline"/>
                <w:lang w:val="en-US" w:eastAsia="zh-CN"/>
              </w:rPr>
              <w:t>2</w:t>
            </w:r>
          </w:p>
        </w:tc>
        <w:tc>
          <w:tcPr>
            <w:tcW w:w="6165" w:type="dxa"/>
            <w:tcBorders>
              <w:tl2br w:val="nil"/>
              <w:tr2bl w:val="nil"/>
            </w:tcBorders>
            <w:vAlign w:val="center"/>
          </w:tcPr>
          <w:p>
            <w:pPr>
              <w:spacing w:line="360" w:lineRule="auto"/>
              <w:jc w:val="both"/>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8"/>
                <w:szCs w:val="28"/>
              </w:rPr>
              <w:t>细化项目建设内容</w:t>
            </w:r>
            <w:r>
              <w:rPr>
                <w:rFonts w:hint="default" w:ascii="Times New Roman" w:hAnsi="Times New Roman" w:eastAsia="宋体" w:cs="Times New Roman"/>
                <w:b w:val="0"/>
                <w:bCs w:val="0"/>
                <w:color w:val="auto"/>
                <w:sz w:val="28"/>
                <w:szCs w:val="28"/>
                <w:lang w:eastAsia="zh-CN"/>
              </w:rPr>
              <w:t>和建设由来</w:t>
            </w:r>
            <w:r>
              <w:rPr>
                <w:rFonts w:hint="default" w:ascii="Times New Roman" w:hAnsi="Times New Roman" w:eastAsia="宋体" w:cs="Times New Roman"/>
                <w:b w:val="0"/>
                <w:bCs w:val="0"/>
                <w:color w:val="auto"/>
                <w:sz w:val="28"/>
                <w:szCs w:val="28"/>
              </w:rPr>
              <w:t>，核实</w:t>
            </w:r>
            <w:r>
              <w:rPr>
                <w:rFonts w:hint="default" w:ascii="Times New Roman" w:hAnsi="Times New Roman" w:eastAsia="宋体" w:cs="Times New Roman"/>
                <w:b w:val="0"/>
                <w:bCs w:val="0"/>
                <w:color w:val="auto"/>
                <w:sz w:val="28"/>
                <w:szCs w:val="28"/>
                <w:lang w:eastAsia="zh-CN"/>
              </w:rPr>
              <w:t>设备一览表，补充设备型号、规格，分析</w:t>
            </w:r>
            <w:r>
              <w:rPr>
                <w:rFonts w:hint="default" w:ascii="Times New Roman" w:hAnsi="Times New Roman" w:eastAsia="宋体" w:cs="Times New Roman"/>
                <w:b w:val="0"/>
                <w:bCs w:val="0"/>
                <w:color w:val="auto"/>
                <w:sz w:val="28"/>
                <w:szCs w:val="28"/>
                <w:lang w:val="en-US" w:eastAsia="zh-CN"/>
              </w:rPr>
              <w:t>其</w:t>
            </w:r>
            <w:r>
              <w:rPr>
                <w:rFonts w:hint="default" w:ascii="Times New Roman" w:hAnsi="Times New Roman" w:eastAsia="宋体" w:cs="Times New Roman"/>
                <w:b w:val="0"/>
                <w:bCs w:val="0"/>
                <w:color w:val="auto"/>
                <w:sz w:val="28"/>
                <w:szCs w:val="28"/>
                <w:lang w:eastAsia="zh-CN"/>
              </w:rPr>
              <w:t>与产业政策的相符性；核实</w:t>
            </w:r>
            <w:r>
              <w:rPr>
                <w:rFonts w:hint="default" w:ascii="Times New Roman" w:hAnsi="Times New Roman" w:eastAsia="宋体" w:cs="Times New Roman"/>
                <w:b w:val="0"/>
                <w:bCs w:val="0"/>
                <w:color w:val="auto"/>
                <w:sz w:val="28"/>
                <w:szCs w:val="28"/>
              </w:rPr>
              <w:t>项目原辅材料的种类、</w:t>
            </w:r>
            <w:r>
              <w:rPr>
                <w:rFonts w:hint="default" w:ascii="Times New Roman" w:hAnsi="Times New Roman" w:eastAsia="宋体" w:cs="Times New Roman"/>
                <w:b w:val="0"/>
                <w:bCs w:val="0"/>
                <w:color w:val="auto"/>
                <w:sz w:val="28"/>
                <w:szCs w:val="28"/>
                <w:lang w:eastAsia="zh-CN"/>
              </w:rPr>
              <w:t>成分、</w:t>
            </w:r>
            <w:r>
              <w:rPr>
                <w:rFonts w:hint="default" w:ascii="Times New Roman" w:hAnsi="Times New Roman" w:eastAsia="宋体" w:cs="Times New Roman"/>
                <w:b w:val="0"/>
                <w:bCs w:val="0"/>
                <w:color w:val="auto"/>
                <w:sz w:val="28"/>
                <w:szCs w:val="28"/>
              </w:rPr>
              <w:t>数量和来源，完善其理化性质。</w:t>
            </w:r>
          </w:p>
        </w:tc>
        <w:tc>
          <w:tcPr>
            <w:tcW w:w="2415" w:type="dxa"/>
            <w:tcBorders>
              <w:tl2br w:val="nil"/>
              <w:tr2bl w:val="nil"/>
            </w:tcBorders>
            <w:vAlign w:val="center"/>
          </w:tcPr>
          <w:p>
            <w:pPr>
              <w:bidi w:val="0"/>
              <w:spacing w:line="360" w:lineRule="auto"/>
              <w:jc w:val="center"/>
              <w:rPr>
                <w:rFonts w:hint="default" w:ascii="Times New Roman" w:hAnsi="Times New Roman" w:eastAsia="宋体" w:cs="Times New Roman"/>
                <w:b w:val="0"/>
                <w:bCs w:val="0"/>
                <w:color w:val="auto"/>
                <w:sz w:val="28"/>
                <w:szCs w:val="28"/>
                <w:vertAlign w:val="baseline"/>
                <w:lang w:val="en-US" w:eastAsia="zh-CN"/>
              </w:rPr>
            </w:pPr>
            <w:r>
              <w:rPr>
                <w:rFonts w:hint="eastAsia" w:cs="Times New Roman"/>
                <w:b w:val="0"/>
                <w:bCs w:val="0"/>
                <w:color w:val="auto"/>
                <w:sz w:val="28"/>
                <w:szCs w:val="28"/>
                <w:vertAlign w:val="baseline"/>
                <w:lang w:val="en-US" w:eastAsia="zh-CN"/>
              </w:rPr>
              <w:t>已核实且补充，具体详见P1-5、P40-41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5" w:type="dxa"/>
            <w:tcBorders>
              <w:tl2br w:val="nil"/>
              <w:tr2bl w:val="nil"/>
            </w:tcBorders>
            <w:vAlign w:val="center"/>
          </w:tcPr>
          <w:p>
            <w:pPr>
              <w:bidi w:val="0"/>
              <w:spacing w:line="360" w:lineRule="auto"/>
              <w:jc w:val="center"/>
              <w:rPr>
                <w:rFonts w:hint="default" w:ascii="Times New Roman" w:hAnsi="Times New Roman" w:eastAsia="宋体" w:cs="Times New Roman"/>
                <w:b w:val="0"/>
                <w:bCs w:val="0"/>
                <w:color w:val="auto"/>
                <w:sz w:val="28"/>
                <w:szCs w:val="28"/>
                <w:vertAlign w:val="baseline"/>
                <w:lang w:val="en-US" w:eastAsia="zh-CN"/>
              </w:rPr>
            </w:pPr>
            <w:r>
              <w:rPr>
                <w:rFonts w:hint="eastAsia" w:ascii="Times New Roman" w:hAnsi="Times New Roman" w:eastAsia="宋体" w:cs="Times New Roman"/>
                <w:b w:val="0"/>
                <w:bCs w:val="0"/>
                <w:color w:val="auto"/>
                <w:sz w:val="28"/>
                <w:szCs w:val="28"/>
                <w:vertAlign w:val="baseline"/>
                <w:lang w:val="en-US" w:eastAsia="zh-CN"/>
              </w:rPr>
              <w:t>3</w:t>
            </w:r>
          </w:p>
        </w:tc>
        <w:tc>
          <w:tcPr>
            <w:tcW w:w="6165" w:type="dxa"/>
            <w:tcBorders>
              <w:tl2br w:val="nil"/>
              <w:tr2bl w:val="nil"/>
            </w:tcBorders>
            <w:vAlign w:val="center"/>
          </w:tcPr>
          <w:p>
            <w:pPr>
              <w:spacing w:line="360" w:lineRule="auto"/>
              <w:jc w:val="both"/>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8"/>
                <w:szCs w:val="28"/>
              </w:rPr>
              <w:t>加强周边环境现状调查，</w:t>
            </w:r>
            <w:r>
              <w:rPr>
                <w:rFonts w:hint="default" w:ascii="Times New Roman" w:hAnsi="Times New Roman" w:eastAsia="宋体" w:cs="Times New Roman"/>
                <w:b w:val="0"/>
                <w:bCs w:val="0"/>
                <w:color w:val="auto"/>
                <w:sz w:val="28"/>
                <w:szCs w:val="28"/>
                <w:lang w:eastAsia="zh-CN"/>
              </w:rPr>
              <w:t>核实环境质量现状数据；核实</w:t>
            </w:r>
            <w:r>
              <w:rPr>
                <w:rFonts w:hint="default" w:ascii="Times New Roman" w:hAnsi="Times New Roman" w:eastAsia="宋体" w:cs="Times New Roman"/>
                <w:b w:val="0"/>
                <w:bCs w:val="0"/>
                <w:color w:val="auto"/>
                <w:sz w:val="28"/>
                <w:szCs w:val="28"/>
              </w:rPr>
              <w:t>现有项目存在的环境问题</w:t>
            </w:r>
            <w:r>
              <w:rPr>
                <w:rFonts w:hint="default" w:ascii="Times New Roman" w:hAnsi="Times New Roman" w:eastAsia="宋体" w:cs="Times New Roman"/>
                <w:b w:val="0"/>
                <w:bCs w:val="0"/>
                <w:color w:val="auto"/>
                <w:sz w:val="28"/>
                <w:szCs w:val="28"/>
                <w:lang w:eastAsia="zh-CN"/>
              </w:rPr>
              <w:t>并列表提出</w:t>
            </w:r>
            <w:r>
              <w:rPr>
                <w:rFonts w:hint="default" w:ascii="Times New Roman" w:hAnsi="Times New Roman" w:eastAsia="宋体" w:cs="Times New Roman"/>
                <w:b w:val="0"/>
                <w:bCs w:val="0"/>
                <w:color w:val="auto"/>
                <w:sz w:val="28"/>
                <w:szCs w:val="28"/>
              </w:rPr>
              <w:t>整治措施</w:t>
            </w:r>
            <w:r>
              <w:rPr>
                <w:rFonts w:hint="default" w:ascii="Times New Roman" w:hAnsi="Times New Roman" w:eastAsia="宋体" w:cs="Times New Roman"/>
                <w:b w:val="0"/>
                <w:bCs w:val="0"/>
                <w:color w:val="auto"/>
                <w:sz w:val="28"/>
                <w:szCs w:val="28"/>
                <w:lang w:eastAsia="zh-CN"/>
              </w:rPr>
              <w:t>和方案</w:t>
            </w:r>
            <w:r>
              <w:rPr>
                <w:rFonts w:hint="default" w:ascii="Times New Roman" w:hAnsi="Times New Roman" w:eastAsia="宋体" w:cs="Times New Roman"/>
                <w:b w:val="0"/>
                <w:bCs w:val="0"/>
                <w:color w:val="auto"/>
                <w:sz w:val="28"/>
                <w:szCs w:val="28"/>
              </w:rPr>
              <w:t>；</w:t>
            </w:r>
          </w:p>
        </w:tc>
        <w:tc>
          <w:tcPr>
            <w:tcW w:w="2415" w:type="dxa"/>
            <w:tcBorders>
              <w:tl2br w:val="nil"/>
              <w:tr2bl w:val="nil"/>
            </w:tcBorders>
            <w:vAlign w:val="center"/>
          </w:tcPr>
          <w:p>
            <w:pPr>
              <w:bidi w:val="0"/>
              <w:spacing w:line="360" w:lineRule="auto"/>
              <w:jc w:val="center"/>
              <w:rPr>
                <w:rFonts w:hint="default" w:ascii="Times New Roman" w:hAnsi="Times New Roman" w:eastAsia="宋体" w:cs="Times New Roman"/>
                <w:b w:val="0"/>
                <w:bCs w:val="0"/>
                <w:color w:val="auto"/>
                <w:sz w:val="28"/>
                <w:szCs w:val="28"/>
                <w:vertAlign w:val="baseline"/>
                <w:lang w:val="en-US" w:eastAsia="zh-CN"/>
              </w:rPr>
            </w:pPr>
            <w:r>
              <w:rPr>
                <w:rFonts w:hint="eastAsia" w:cs="Times New Roman"/>
                <w:b w:val="0"/>
                <w:bCs w:val="0"/>
                <w:color w:val="auto"/>
                <w:sz w:val="28"/>
                <w:szCs w:val="28"/>
                <w:vertAlign w:val="baseline"/>
                <w:lang w:val="en-US" w:eastAsia="zh-CN"/>
              </w:rPr>
              <w:t>已核实，具体详见P8-9、P16-17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5" w:type="dxa"/>
            <w:tcBorders>
              <w:tl2br w:val="nil"/>
              <w:tr2bl w:val="nil"/>
            </w:tcBorders>
            <w:vAlign w:val="center"/>
          </w:tcPr>
          <w:p>
            <w:pPr>
              <w:bidi w:val="0"/>
              <w:spacing w:line="360" w:lineRule="auto"/>
              <w:jc w:val="center"/>
              <w:rPr>
                <w:rFonts w:hint="default" w:ascii="Times New Roman" w:hAnsi="Times New Roman" w:eastAsia="宋体" w:cs="Times New Roman"/>
                <w:b w:val="0"/>
                <w:bCs w:val="0"/>
                <w:color w:val="auto"/>
                <w:sz w:val="28"/>
                <w:szCs w:val="28"/>
                <w:vertAlign w:val="baseline"/>
                <w:lang w:val="en-US" w:eastAsia="zh-CN"/>
              </w:rPr>
            </w:pPr>
            <w:r>
              <w:rPr>
                <w:rFonts w:hint="eastAsia" w:ascii="Times New Roman" w:hAnsi="Times New Roman" w:eastAsia="宋体" w:cs="Times New Roman"/>
                <w:b w:val="0"/>
                <w:bCs w:val="0"/>
                <w:color w:val="auto"/>
                <w:sz w:val="28"/>
                <w:szCs w:val="28"/>
                <w:vertAlign w:val="baseline"/>
                <w:lang w:val="en-US" w:eastAsia="zh-CN"/>
              </w:rPr>
              <w:t>4</w:t>
            </w:r>
          </w:p>
        </w:tc>
        <w:tc>
          <w:tcPr>
            <w:tcW w:w="6165" w:type="dxa"/>
            <w:tcBorders>
              <w:tl2br w:val="nil"/>
              <w:tr2bl w:val="nil"/>
            </w:tcBorders>
            <w:vAlign w:val="center"/>
          </w:tcPr>
          <w:p>
            <w:pPr>
              <w:spacing w:line="360" w:lineRule="auto"/>
              <w:jc w:val="both"/>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8"/>
                <w:szCs w:val="28"/>
              </w:rPr>
              <w:t>核实评价范围内环境保护目标的规模、方位</w:t>
            </w:r>
            <w:r>
              <w:rPr>
                <w:rFonts w:hint="default" w:ascii="Times New Roman" w:hAnsi="Times New Roman" w:eastAsia="宋体" w:cs="Times New Roman"/>
                <w:b w:val="0"/>
                <w:bCs w:val="0"/>
                <w:color w:val="auto"/>
                <w:sz w:val="28"/>
                <w:szCs w:val="28"/>
                <w:lang w:eastAsia="zh-CN"/>
              </w:rPr>
              <w:t>、坐标</w:t>
            </w:r>
            <w:r>
              <w:rPr>
                <w:rFonts w:hint="default" w:ascii="Times New Roman" w:hAnsi="Times New Roman" w:eastAsia="宋体" w:cs="Times New Roman"/>
                <w:b w:val="0"/>
                <w:bCs w:val="0"/>
                <w:color w:val="auto"/>
                <w:sz w:val="28"/>
                <w:szCs w:val="28"/>
              </w:rPr>
              <w:t>及距离，提出其保护类别和要求，并给出平面布局优化方案。</w:t>
            </w:r>
          </w:p>
        </w:tc>
        <w:tc>
          <w:tcPr>
            <w:tcW w:w="2415" w:type="dxa"/>
            <w:tcBorders>
              <w:tl2br w:val="nil"/>
              <w:tr2bl w:val="nil"/>
            </w:tcBorders>
            <w:vAlign w:val="center"/>
          </w:tcPr>
          <w:p>
            <w:pPr>
              <w:bidi w:val="0"/>
              <w:spacing w:line="360" w:lineRule="auto"/>
              <w:jc w:val="center"/>
              <w:rPr>
                <w:rFonts w:hint="default" w:ascii="Times New Roman" w:hAnsi="Times New Roman" w:eastAsia="宋体" w:cs="Times New Roman"/>
                <w:b w:val="0"/>
                <w:bCs w:val="0"/>
                <w:color w:val="auto"/>
                <w:sz w:val="28"/>
                <w:szCs w:val="28"/>
                <w:vertAlign w:val="baseline"/>
                <w:lang w:val="en-US" w:eastAsia="zh-CN"/>
              </w:rPr>
            </w:pPr>
            <w:r>
              <w:rPr>
                <w:rFonts w:hint="eastAsia" w:cs="Times New Roman"/>
                <w:b w:val="0"/>
                <w:bCs w:val="0"/>
                <w:color w:val="auto"/>
                <w:sz w:val="28"/>
                <w:szCs w:val="28"/>
                <w:vertAlign w:val="baseline"/>
                <w:lang w:val="en-US" w:eastAsia="zh-CN"/>
              </w:rPr>
              <w:t>已核实，具体详见P18-20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5" w:type="dxa"/>
            <w:tcBorders>
              <w:tl2br w:val="nil"/>
              <w:tr2bl w:val="nil"/>
            </w:tcBorders>
            <w:vAlign w:val="center"/>
          </w:tcPr>
          <w:p>
            <w:pPr>
              <w:bidi w:val="0"/>
              <w:spacing w:line="360" w:lineRule="auto"/>
              <w:jc w:val="center"/>
              <w:rPr>
                <w:rFonts w:hint="default" w:ascii="Times New Roman" w:hAnsi="Times New Roman" w:eastAsia="宋体" w:cs="Times New Roman"/>
                <w:b w:val="0"/>
                <w:bCs w:val="0"/>
                <w:color w:val="auto"/>
                <w:sz w:val="28"/>
                <w:szCs w:val="28"/>
                <w:vertAlign w:val="baseline"/>
                <w:lang w:val="en-US" w:eastAsia="zh-CN"/>
              </w:rPr>
            </w:pPr>
            <w:r>
              <w:rPr>
                <w:rFonts w:hint="eastAsia" w:ascii="Times New Roman" w:hAnsi="Times New Roman" w:eastAsia="宋体" w:cs="Times New Roman"/>
                <w:b w:val="0"/>
                <w:bCs w:val="0"/>
                <w:color w:val="auto"/>
                <w:sz w:val="28"/>
                <w:szCs w:val="28"/>
                <w:vertAlign w:val="baseline"/>
                <w:lang w:val="en-US" w:eastAsia="zh-CN"/>
              </w:rPr>
              <w:t>5</w:t>
            </w:r>
          </w:p>
        </w:tc>
        <w:tc>
          <w:tcPr>
            <w:tcW w:w="6165" w:type="dxa"/>
            <w:tcBorders>
              <w:tl2br w:val="nil"/>
              <w:tr2bl w:val="nil"/>
            </w:tcBorders>
            <w:vAlign w:val="center"/>
          </w:tcPr>
          <w:p>
            <w:pPr>
              <w:pStyle w:val="35"/>
              <w:spacing w:before="0" w:beforeAutospacing="0" w:after="0" w:afterAutospacing="0" w:line="360" w:lineRule="auto"/>
              <w:jc w:val="both"/>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8"/>
                <w:szCs w:val="28"/>
              </w:rPr>
              <w:t>强化工程分析，细化工艺流程说明和产排污节点与源强分析</w:t>
            </w:r>
            <w:r>
              <w:rPr>
                <w:rFonts w:hint="default" w:ascii="Times New Roman" w:hAnsi="Times New Roman" w:eastAsia="宋体" w:cs="Times New Roman"/>
                <w:b w:val="0"/>
                <w:bCs w:val="0"/>
                <w:color w:val="auto"/>
                <w:sz w:val="28"/>
                <w:szCs w:val="28"/>
                <w:lang w:eastAsia="zh-CN"/>
              </w:rPr>
              <w:t>，结合现有污染源监测数据强化环境影响预测分析，明确无喷漆工序；强化粉尘收集方式及收集效率分析，明确地面粉尘收集措施。</w:t>
            </w:r>
          </w:p>
        </w:tc>
        <w:tc>
          <w:tcPr>
            <w:tcW w:w="2415" w:type="dxa"/>
            <w:tcBorders>
              <w:tl2br w:val="nil"/>
              <w:tr2bl w:val="nil"/>
            </w:tcBorders>
            <w:vAlign w:val="center"/>
          </w:tcPr>
          <w:p>
            <w:pPr>
              <w:bidi w:val="0"/>
              <w:spacing w:line="360" w:lineRule="auto"/>
              <w:jc w:val="center"/>
              <w:rPr>
                <w:rFonts w:hint="default" w:ascii="Times New Roman" w:hAnsi="Times New Roman" w:eastAsia="宋体" w:cs="Times New Roman"/>
                <w:b w:val="0"/>
                <w:bCs w:val="0"/>
                <w:color w:val="auto"/>
                <w:sz w:val="28"/>
                <w:szCs w:val="28"/>
                <w:vertAlign w:val="baseline"/>
                <w:lang w:val="en-US" w:eastAsia="zh-CN"/>
              </w:rPr>
            </w:pPr>
            <w:r>
              <w:rPr>
                <w:rFonts w:hint="eastAsia" w:cs="Times New Roman"/>
                <w:b w:val="0"/>
                <w:bCs w:val="0"/>
                <w:color w:val="auto"/>
                <w:sz w:val="28"/>
                <w:szCs w:val="28"/>
                <w:vertAlign w:val="baseline"/>
                <w:lang w:val="en-US" w:eastAsia="zh-CN"/>
              </w:rPr>
              <w:t>已细化且明确，具体详见P24、P26、P30-32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5" w:type="dxa"/>
            <w:tcBorders>
              <w:tl2br w:val="nil"/>
              <w:tr2bl w:val="nil"/>
            </w:tcBorders>
            <w:vAlign w:val="center"/>
          </w:tcPr>
          <w:p>
            <w:pPr>
              <w:bidi w:val="0"/>
              <w:spacing w:line="360" w:lineRule="auto"/>
              <w:jc w:val="center"/>
              <w:rPr>
                <w:rFonts w:hint="default" w:ascii="Times New Roman" w:hAnsi="Times New Roman" w:eastAsia="宋体" w:cs="Times New Roman"/>
                <w:b w:val="0"/>
                <w:bCs w:val="0"/>
                <w:color w:val="auto"/>
                <w:sz w:val="28"/>
                <w:szCs w:val="28"/>
                <w:vertAlign w:val="baseline"/>
                <w:lang w:val="en-US" w:eastAsia="zh-CN"/>
              </w:rPr>
            </w:pPr>
            <w:r>
              <w:rPr>
                <w:rFonts w:hint="eastAsia" w:ascii="Times New Roman" w:hAnsi="Times New Roman" w:eastAsia="宋体" w:cs="Times New Roman"/>
                <w:b w:val="0"/>
                <w:bCs w:val="0"/>
                <w:color w:val="auto"/>
                <w:sz w:val="28"/>
                <w:szCs w:val="28"/>
                <w:vertAlign w:val="baseline"/>
                <w:lang w:val="en-US" w:eastAsia="zh-CN"/>
              </w:rPr>
              <w:t>6</w:t>
            </w:r>
          </w:p>
        </w:tc>
        <w:tc>
          <w:tcPr>
            <w:tcW w:w="6165" w:type="dxa"/>
            <w:tcBorders>
              <w:tl2br w:val="nil"/>
              <w:tr2bl w:val="nil"/>
            </w:tcBorders>
            <w:vAlign w:val="center"/>
          </w:tcPr>
          <w:p>
            <w:pPr>
              <w:pStyle w:val="35"/>
              <w:spacing w:before="0" w:beforeAutospacing="0" w:after="0" w:afterAutospacing="0" w:line="360" w:lineRule="auto"/>
              <w:jc w:val="both"/>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8"/>
                <w:szCs w:val="28"/>
              </w:rPr>
              <w:t>核实项目固废产生种类</w:t>
            </w:r>
            <w:r>
              <w:rPr>
                <w:rFonts w:hint="default" w:ascii="Times New Roman" w:hAnsi="Times New Roman" w:eastAsia="宋体" w:cs="Times New Roman"/>
                <w:b w:val="0"/>
                <w:bCs w:val="0"/>
                <w:color w:val="auto"/>
                <w:sz w:val="28"/>
                <w:szCs w:val="28"/>
                <w:lang w:eastAsia="zh-CN"/>
              </w:rPr>
              <w:t>、数量</w:t>
            </w:r>
            <w:r>
              <w:rPr>
                <w:rFonts w:hint="default" w:ascii="Times New Roman" w:hAnsi="Times New Roman" w:eastAsia="宋体" w:cs="Times New Roman"/>
                <w:b w:val="0"/>
                <w:bCs w:val="0"/>
                <w:color w:val="auto"/>
                <w:sz w:val="28"/>
                <w:szCs w:val="28"/>
              </w:rPr>
              <w:t>与属性，据此提出收集、暂存和处置措施。</w:t>
            </w:r>
          </w:p>
        </w:tc>
        <w:tc>
          <w:tcPr>
            <w:tcW w:w="2415" w:type="dxa"/>
            <w:tcBorders>
              <w:tl2br w:val="nil"/>
              <w:tr2bl w:val="nil"/>
            </w:tcBorders>
            <w:vAlign w:val="center"/>
          </w:tcPr>
          <w:p>
            <w:pPr>
              <w:bidi w:val="0"/>
              <w:spacing w:line="360" w:lineRule="auto"/>
              <w:jc w:val="center"/>
              <w:rPr>
                <w:rFonts w:hint="default" w:ascii="Times New Roman" w:hAnsi="Times New Roman" w:eastAsia="宋体" w:cs="Times New Roman"/>
                <w:b w:val="0"/>
                <w:bCs w:val="0"/>
                <w:color w:val="auto"/>
                <w:sz w:val="28"/>
                <w:szCs w:val="28"/>
                <w:vertAlign w:val="baseline"/>
                <w:lang w:val="en-US" w:eastAsia="zh-CN"/>
              </w:rPr>
            </w:pPr>
            <w:r>
              <w:rPr>
                <w:rFonts w:hint="eastAsia" w:cs="Times New Roman"/>
                <w:b w:val="0"/>
                <w:bCs w:val="0"/>
                <w:color w:val="auto"/>
                <w:sz w:val="28"/>
                <w:szCs w:val="28"/>
                <w:vertAlign w:val="baseline"/>
                <w:lang w:val="en-US" w:eastAsia="zh-CN"/>
              </w:rPr>
              <w:t>已核实，具体详见P27、P35-36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5" w:type="dxa"/>
            <w:tcBorders>
              <w:tl2br w:val="nil"/>
              <w:tr2bl w:val="nil"/>
            </w:tcBorders>
            <w:vAlign w:val="center"/>
          </w:tcPr>
          <w:p>
            <w:pPr>
              <w:bidi w:val="0"/>
              <w:spacing w:line="360" w:lineRule="auto"/>
              <w:jc w:val="center"/>
              <w:rPr>
                <w:rFonts w:hint="default" w:ascii="Times New Roman" w:hAnsi="Times New Roman" w:eastAsia="宋体" w:cs="Times New Roman"/>
                <w:b w:val="0"/>
                <w:bCs w:val="0"/>
                <w:color w:val="auto"/>
                <w:sz w:val="28"/>
                <w:szCs w:val="28"/>
                <w:vertAlign w:val="baseline"/>
                <w:lang w:val="en-US" w:eastAsia="zh-CN"/>
              </w:rPr>
            </w:pPr>
            <w:r>
              <w:rPr>
                <w:rFonts w:hint="eastAsia" w:ascii="Times New Roman" w:hAnsi="Times New Roman" w:eastAsia="宋体" w:cs="Times New Roman"/>
                <w:b w:val="0"/>
                <w:bCs w:val="0"/>
                <w:color w:val="auto"/>
                <w:sz w:val="28"/>
                <w:szCs w:val="28"/>
                <w:vertAlign w:val="baseline"/>
                <w:lang w:val="en-US" w:eastAsia="zh-CN"/>
              </w:rPr>
              <w:t>7</w:t>
            </w:r>
          </w:p>
        </w:tc>
        <w:tc>
          <w:tcPr>
            <w:tcW w:w="6165" w:type="dxa"/>
            <w:tcBorders>
              <w:tl2br w:val="nil"/>
              <w:tr2bl w:val="nil"/>
            </w:tcBorders>
            <w:vAlign w:val="center"/>
          </w:tcPr>
          <w:p>
            <w:pPr>
              <w:spacing w:line="360" w:lineRule="auto"/>
              <w:jc w:val="both"/>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8"/>
                <w:szCs w:val="28"/>
                <w:lang w:val="en-US" w:eastAsia="zh-CN"/>
              </w:rPr>
              <w:t>核实</w:t>
            </w:r>
            <w:r>
              <w:rPr>
                <w:rFonts w:hint="default" w:ascii="Times New Roman" w:hAnsi="Times New Roman" w:eastAsia="宋体" w:cs="Times New Roman"/>
                <w:b w:val="0"/>
                <w:bCs w:val="0"/>
                <w:color w:val="auto"/>
                <w:sz w:val="28"/>
                <w:szCs w:val="28"/>
              </w:rPr>
              <w:t>环境风险评价内容，细化风险防范及应对措施。</w:t>
            </w:r>
          </w:p>
        </w:tc>
        <w:tc>
          <w:tcPr>
            <w:tcW w:w="2415" w:type="dxa"/>
            <w:tcBorders>
              <w:tl2br w:val="nil"/>
              <w:tr2bl w:val="nil"/>
            </w:tcBorders>
            <w:vAlign w:val="center"/>
          </w:tcPr>
          <w:p>
            <w:pPr>
              <w:bidi w:val="0"/>
              <w:spacing w:line="360" w:lineRule="auto"/>
              <w:jc w:val="center"/>
              <w:rPr>
                <w:rFonts w:hint="default" w:ascii="Times New Roman" w:hAnsi="Times New Roman" w:eastAsia="宋体" w:cs="Times New Roman"/>
                <w:b w:val="0"/>
                <w:bCs w:val="0"/>
                <w:color w:val="auto"/>
                <w:sz w:val="28"/>
                <w:szCs w:val="28"/>
                <w:vertAlign w:val="baseline"/>
                <w:lang w:val="en-US" w:eastAsia="zh-CN"/>
              </w:rPr>
            </w:pPr>
            <w:r>
              <w:rPr>
                <w:rFonts w:hint="eastAsia" w:cs="Times New Roman"/>
                <w:b w:val="0"/>
                <w:bCs w:val="0"/>
                <w:color w:val="auto"/>
                <w:sz w:val="28"/>
                <w:szCs w:val="28"/>
                <w:vertAlign w:val="baseline"/>
                <w:lang w:val="en-US" w:eastAsia="zh-CN"/>
              </w:rPr>
              <w:t>已核实且细化，具体详见P37-39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5" w:type="dxa"/>
            <w:tcBorders>
              <w:tl2br w:val="nil"/>
              <w:tr2bl w:val="nil"/>
            </w:tcBorders>
            <w:vAlign w:val="center"/>
          </w:tcPr>
          <w:p>
            <w:pPr>
              <w:bidi w:val="0"/>
              <w:spacing w:line="360" w:lineRule="auto"/>
              <w:jc w:val="center"/>
              <w:rPr>
                <w:rFonts w:hint="default" w:ascii="Times New Roman" w:hAnsi="Times New Roman" w:eastAsia="宋体" w:cs="Times New Roman"/>
                <w:b w:val="0"/>
                <w:bCs w:val="0"/>
                <w:color w:val="auto"/>
                <w:sz w:val="28"/>
                <w:szCs w:val="28"/>
                <w:vertAlign w:val="baseline"/>
                <w:lang w:val="en-US" w:eastAsia="zh-CN"/>
              </w:rPr>
            </w:pPr>
            <w:r>
              <w:rPr>
                <w:rFonts w:hint="eastAsia" w:ascii="Times New Roman" w:hAnsi="Times New Roman" w:eastAsia="宋体" w:cs="Times New Roman"/>
                <w:b w:val="0"/>
                <w:bCs w:val="0"/>
                <w:color w:val="auto"/>
                <w:sz w:val="28"/>
                <w:szCs w:val="28"/>
                <w:vertAlign w:val="baseline"/>
                <w:lang w:val="en-US" w:eastAsia="zh-CN"/>
              </w:rPr>
              <w:t>8</w:t>
            </w:r>
          </w:p>
        </w:tc>
        <w:tc>
          <w:tcPr>
            <w:tcW w:w="6165" w:type="dxa"/>
            <w:tcBorders>
              <w:tl2br w:val="nil"/>
              <w:tr2bl w:val="nil"/>
            </w:tcBorders>
            <w:vAlign w:val="center"/>
          </w:tcPr>
          <w:p>
            <w:pPr>
              <w:bidi w:val="0"/>
              <w:spacing w:line="360" w:lineRule="auto"/>
              <w:jc w:val="both"/>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8"/>
                <w:szCs w:val="28"/>
                <w:lang w:eastAsia="zh-CN"/>
              </w:rPr>
              <w:t>核实</w:t>
            </w:r>
            <w:r>
              <w:rPr>
                <w:rFonts w:hint="default" w:ascii="Times New Roman" w:hAnsi="Times New Roman" w:eastAsia="宋体" w:cs="Times New Roman"/>
                <w:b w:val="0"/>
                <w:bCs w:val="0"/>
                <w:color w:val="auto"/>
                <w:sz w:val="28"/>
                <w:szCs w:val="28"/>
              </w:rPr>
              <w:t>项目环保设施验收一览表内容</w:t>
            </w:r>
            <w:r>
              <w:rPr>
                <w:rFonts w:hint="default" w:ascii="Times New Roman" w:hAnsi="Times New Roman" w:eastAsia="宋体" w:cs="Times New Roman"/>
                <w:b w:val="0"/>
                <w:bCs w:val="0"/>
                <w:color w:val="auto"/>
                <w:sz w:val="28"/>
                <w:szCs w:val="28"/>
                <w:lang w:eastAsia="zh-CN"/>
              </w:rPr>
              <w:t>、监测计划和</w:t>
            </w:r>
            <w:r>
              <w:rPr>
                <w:rFonts w:hint="default" w:ascii="Times New Roman" w:hAnsi="Times New Roman" w:eastAsia="宋体" w:cs="Times New Roman"/>
                <w:b w:val="0"/>
                <w:bCs w:val="0"/>
                <w:color w:val="auto"/>
                <w:sz w:val="28"/>
                <w:szCs w:val="28"/>
              </w:rPr>
              <w:t>环保投资</w:t>
            </w:r>
          </w:p>
        </w:tc>
        <w:tc>
          <w:tcPr>
            <w:tcW w:w="2415" w:type="dxa"/>
            <w:tcBorders>
              <w:tl2br w:val="nil"/>
              <w:tr2bl w:val="nil"/>
            </w:tcBorders>
            <w:vAlign w:val="center"/>
          </w:tcPr>
          <w:p>
            <w:pPr>
              <w:bidi w:val="0"/>
              <w:spacing w:line="360" w:lineRule="auto"/>
              <w:jc w:val="center"/>
              <w:rPr>
                <w:rFonts w:hint="default" w:ascii="Times New Roman" w:hAnsi="Times New Roman" w:eastAsia="宋体" w:cs="Times New Roman"/>
                <w:b w:val="0"/>
                <w:bCs w:val="0"/>
                <w:color w:val="auto"/>
                <w:sz w:val="28"/>
                <w:szCs w:val="28"/>
                <w:vertAlign w:val="baseline"/>
                <w:lang w:val="en-US" w:eastAsia="zh-CN"/>
              </w:rPr>
            </w:pPr>
            <w:r>
              <w:rPr>
                <w:rFonts w:hint="eastAsia" w:cs="Times New Roman"/>
                <w:b w:val="0"/>
                <w:bCs w:val="0"/>
                <w:color w:val="auto"/>
                <w:sz w:val="28"/>
                <w:szCs w:val="28"/>
                <w:vertAlign w:val="baseline"/>
                <w:lang w:val="en-US" w:eastAsia="zh-CN"/>
              </w:rPr>
              <w:t>已核实，具体详见P40、P43-45</w:t>
            </w:r>
          </w:p>
        </w:tc>
      </w:tr>
    </w:tbl>
    <w:p>
      <w:pPr>
        <w:bidi w:val="0"/>
        <w:rPr>
          <w:rFonts w:hint="default"/>
          <w:lang w:val="en-US" w:eastAsia="zh-CN"/>
        </w:rPr>
      </w:pPr>
    </w:p>
    <w:p>
      <w:pPr>
        <w:spacing w:before="240" w:beforeLines="100" w:after="240" w:afterLines="100" w:line="360" w:lineRule="auto"/>
        <w:jc w:val="center"/>
        <w:rPr>
          <w:b/>
          <w:bCs/>
          <w:sz w:val="36"/>
          <w:szCs w:val="24"/>
          <w:u w:val="none" w:color="auto"/>
        </w:rPr>
      </w:pPr>
    </w:p>
    <w:p>
      <w:pPr>
        <w:spacing w:before="240" w:beforeLines="100" w:after="240" w:afterLines="100" w:line="360" w:lineRule="auto"/>
        <w:jc w:val="center"/>
        <w:rPr>
          <w:b/>
          <w:bCs/>
          <w:sz w:val="36"/>
          <w:szCs w:val="24"/>
          <w:u w:val="none" w:color="auto"/>
        </w:rPr>
      </w:pPr>
    </w:p>
    <w:p>
      <w:pPr>
        <w:spacing w:before="240" w:beforeLines="100" w:after="240" w:afterLines="100" w:line="360" w:lineRule="auto"/>
        <w:jc w:val="center"/>
        <w:rPr>
          <w:b/>
          <w:bCs/>
          <w:sz w:val="36"/>
          <w:szCs w:val="24"/>
          <w:u w:val="none" w:color="auto"/>
        </w:rPr>
      </w:pPr>
    </w:p>
    <w:p>
      <w:pPr>
        <w:spacing w:before="240" w:beforeLines="100" w:after="240" w:afterLines="100" w:line="360" w:lineRule="auto"/>
        <w:jc w:val="center"/>
        <w:rPr>
          <w:b/>
          <w:bCs/>
          <w:sz w:val="36"/>
          <w:szCs w:val="24"/>
          <w:u w:val="none" w:color="auto"/>
        </w:rPr>
      </w:pPr>
    </w:p>
    <w:p>
      <w:pPr>
        <w:spacing w:before="240" w:beforeLines="100" w:after="240" w:afterLines="100" w:line="360" w:lineRule="auto"/>
        <w:jc w:val="center"/>
        <w:rPr>
          <w:b/>
          <w:bCs/>
          <w:sz w:val="36"/>
          <w:szCs w:val="24"/>
          <w:u w:val="none" w:color="auto"/>
        </w:rPr>
      </w:pPr>
    </w:p>
    <w:p>
      <w:pPr>
        <w:spacing w:before="240" w:beforeLines="100" w:after="240" w:afterLines="100" w:line="360" w:lineRule="auto"/>
        <w:jc w:val="center"/>
        <w:rPr>
          <w:b/>
          <w:bCs/>
          <w:sz w:val="36"/>
          <w:szCs w:val="24"/>
          <w:u w:val="none" w:color="auto"/>
        </w:rPr>
      </w:pPr>
    </w:p>
    <w:p>
      <w:pPr>
        <w:spacing w:before="240" w:beforeLines="100" w:after="240" w:afterLines="100" w:line="360" w:lineRule="auto"/>
        <w:jc w:val="center"/>
        <w:rPr>
          <w:b/>
          <w:bCs/>
          <w:sz w:val="36"/>
          <w:szCs w:val="24"/>
          <w:u w:val="none" w:color="auto"/>
        </w:rPr>
      </w:pPr>
    </w:p>
    <w:p>
      <w:pPr>
        <w:spacing w:before="240" w:beforeLines="100" w:after="240" w:afterLines="100" w:line="360" w:lineRule="auto"/>
        <w:jc w:val="center"/>
        <w:rPr>
          <w:b/>
          <w:bCs/>
          <w:sz w:val="36"/>
          <w:szCs w:val="24"/>
          <w:u w:val="none" w:color="auto"/>
        </w:rPr>
      </w:pPr>
    </w:p>
    <w:p>
      <w:pPr>
        <w:spacing w:before="240" w:beforeLines="100" w:after="240" w:afterLines="100" w:line="360" w:lineRule="auto"/>
        <w:jc w:val="center"/>
        <w:rPr>
          <w:b/>
          <w:bCs/>
          <w:sz w:val="36"/>
          <w:szCs w:val="24"/>
          <w:u w:val="none" w:color="auto"/>
        </w:rPr>
      </w:pPr>
    </w:p>
    <w:p>
      <w:pPr>
        <w:spacing w:before="240" w:beforeLines="100" w:after="240" w:afterLines="100" w:line="360" w:lineRule="auto"/>
        <w:jc w:val="center"/>
        <w:rPr>
          <w:b/>
          <w:bCs/>
          <w:sz w:val="36"/>
          <w:szCs w:val="24"/>
          <w:u w:val="none" w:color="auto"/>
        </w:rPr>
      </w:pPr>
    </w:p>
    <w:p>
      <w:pPr>
        <w:spacing w:before="240" w:beforeLines="100" w:after="240" w:afterLines="100" w:line="360" w:lineRule="auto"/>
        <w:jc w:val="center"/>
        <w:rPr>
          <w:b/>
          <w:bCs/>
          <w:sz w:val="36"/>
          <w:szCs w:val="24"/>
          <w:u w:val="none" w:color="auto"/>
        </w:rPr>
      </w:pPr>
    </w:p>
    <w:p>
      <w:pPr>
        <w:spacing w:before="240" w:beforeLines="100" w:after="240" w:afterLines="100" w:line="360" w:lineRule="auto"/>
        <w:jc w:val="center"/>
        <w:rPr>
          <w:b/>
          <w:bCs/>
          <w:sz w:val="36"/>
          <w:szCs w:val="24"/>
          <w:u w:val="none" w:color="auto"/>
        </w:rPr>
      </w:pPr>
    </w:p>
    <w:p>
      <w:pPr>
        <w:spacing w:before="240" w:beforeLines="100" w:after="240" w:afterLines="100" w:line="360" w:lineRule="auto"/>
        <w:jc w:val="center"/>
        <w:rPr>
          <w:b/>
          <w:bCs/>
          <w:sz w:val="36"/>
          <w:szCs w:val="24"/>
          <w:u w:val="none" w:color="auto"/>
        </w:rPr>
      </w:pPr>
      <w:r>
        <w:rPr>
          <w:b/>
          <w:bCs/>
          <w:sz w:val="36"/>
          <w:szCs w:val="24"/>
          <w:u w:val="none" w:color="auto"/>
        </w:rPr>
        <w:t>《建设项目环境影响报告表》编制说明</w:t>
      </w:r>
    </w:p>
    <w:p>
      <w:pPr>
        <w:spacing w:line="360" w:lineRule="auto"/>
        <w:ind w:right="-29" w:rightChars="-14" w:firstLine="560" w:firstLineChars="200"/>
        <w:rPr>
          <w:sz w:val="28"/>
          <w:szCs w:val="28"/>
          <w:u w:val="none" w:color="auto"/>
        </w:rPr>
      </w:pPr>
      <w:r>
        <w:rPr>
          <w:sz w:val="28"/>
          <w:szCs w:val="28"/>
          <w:u w:val="none" w:color="auto"/>
        </w:rPr>
        <w:t>《建设项目环境影响报告表》由具有从事环境影响评价工作资质的单位编制。</w:t>
      </w:r>
    </w:p>
    <w:p>
      <w:pPr>
        <w:spacing w:line="360" w:lineRule="auto"/>
        <w:ind w:right="-29" w:rightChars="-14" w:firstLine="560" w:firstLineChars="200"/>
        <w:rPr>
          <w:sz w:val="28"/>
          <w:szCs w:val="28"/>
          <w:u w:val="none" w:color="auto"/>
        </w:rPr>
      </w:pPr>
      <w:r>
        <w:rPr>
          <w:sz w:val="28"/>
          <w:szCs w:val="28"/>
          <w:u w:val="none" w:color="auto"/>
        </w:rPr>
        <w:t>1.项目名称——指项目立项批复时的名称，应不超过30个字（两个英文字段作一个汉字）。</w:t>
      </w:r>
    </w:p>
    <w:p>
      <w:pPr>
        <w:spacing w:line="360" w:lineRule="auto"/>
        <w:ind w:right="-29" w:rightChars="-14" w:firstLine="560" w:firstLineChars="200"/>
        <w:rPr>
          <w:sz w:val="28"/>
          <w:szCs w:val="28"/>
          <w:u w:val="none" w:color="auto"/>
        </w:rPr>
      </w:pPr>
      <w:r>
        <w:rPr>
          <w:sz w:val="28"/>
          <w:szCs w:val="28"/>
          <w:u w:val="none" w:color="auto"/>
        </w:rPr>
        <w:t>2.建设地点——指项目所在地详细地址，公路、铁路应填写起止地点。</w:t>
      </w:r>
    </w:p>
    <w:p>
      <w:pPr>
        <w:tabs>
          <w:tab w:val="center" w:pos="4167"/>
        </w:tabs>
        <w:spacing w:line="360" w:lineRule="auto"/>
        <w:ind w:right="-29" w:rightChars="-14" w:firstLine="560" w:firstLineChars="200"/>
        <w:rPr>
          <w:sz w:val="28"/>
          <w:szCs w:val="28"/>
          <w:u w:val="none" w:color="auto"/>
        </w:rPr>
      </w:pPr>
      <w:r>
        <w:rPr>
          <w:sz w:val="28"/>
          <w:szCs w:val="28"/>
          <w:u w:val="none" w:color="auto"/>
        </w:rPr>
        <w:t>3.行业类别——按国标填写。</w:t>
      </w:r>
      <w:r>
        <w:rPr>
          <w:rFonts w:hint="eastAsia"/>
          <w:sz w:val="28"/>
          <w:szCs w:val="28"/>
          <w:u w:val="none" w:color="auto"/>
        </w:rPr>
        <w:tab/>
      </w:r>
    </w:p>
    <w:p>
      <w:pPr>
        <w:spacing w:line="360" w:lineRule="auto"/>
        <w:ind w:right="-29" w:rightChars="-14" w:firstLine="560" w:firstLineChars="200"/>
        <w:rPr>
          <w:sz w:val="28"/>
          <w:szCs w:val="28"/>
          <w:u w:val="none" w:color="auto"/>
        </w:rPr>
      </w:pPr>
      <w:r>
        <w:rPr>
          <w:sz w:val="28"/>
          <w:szCs w:val="28"/>
          <w:u w:val="none" w:color="auto"/>
        </w:rPr>
        <w:t>4.总投资——指项目投资总额。</w:t>
      </w:r>
    </w:p>
    <w:p>
      <w:pPr>
        <w:spacing w:line="360" w:lineRule="auto"/>
        <w:ind w:right="-29" w:rightChars="-14" w:firstLine="560" w:firstLineChars="200"/>
        <w:rPr>
          <w:sz w:val="28"/>
          <w:szCs w:val="28"/>
          <w:u w:val="none" w:color="auto"/>
        </w:rPr>
      </w:pPr>
      <w:r>
        <w:rPr>
          <w:sz w:val="28"/>
          <w:szCs w:val="28"/>
          <w:u w:val="none" w:color="auto"/>
        </w:rPr>
        <w:t>5.主要环境保护目标——指项目区周围一定范围内集中居民住宅区、学校、医院、保护文物、风景名胜区、水源地和生态敏感点等，应尽可能给出保护目标、性质、规模和距厂界距离等。</w:t>
      </w:r>
    </w:p>
    <w:p>
      <w:pPr>
        <w:spacing w:line="360" w:lineRule="auto"/>
        <w:ind w:right="-29" w:rightChars="-14" w:firstLine="560" w:firstLineChars="200"/>
        <w:rPr>
          <w:sz w:val="28"/>
          <w:szCs w:val="28"/>
          <w:u w:val="none" w:color="auto"/>
        </w:rPr>
      </w:pPr>
      <w:r>
        <w:rPr>
          <w:sz w:val="28"/>
          <w:szCs w:val="28"/>
          <w:u w:val="none" w:color="auto"/>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right="-29" w:rightChars="-14" w:firstLine="560" w:firstLineChars="200"/>
        <w:rPr>
          <w:sz w:val="28"/>
          <w:szCs w:val="28"/>
          <w:u w:val="none" w:color="auto"/>
        </w:rPr>
      </w:pPr>
      <w:r>
        <w:rPr>
          <w:sz w:val="28"/>
          <w:szCs w:val="28"/>
          <w:u w:val="none" w:color="auto"/>
        </w:rPr>
        <w:t>7.预审意见——由行业主管部门填写答复意见，无主管部门项目，可不填。</w:t>
      </w:r>
    </w:p>
    <w:p>
      <w:pPr>
        <w:spacing w:line="360" w:lineRule="auto"/>
        <w:ind w:right="-29" w:rightChars="-14" w:firstLine="560" w:firstLineChars="200"/>
        <w:rPr>
          <w:sz w:val="28"/>
          <w:szCs w:val="28"/>
          <w:u w:val="none" w:color="auto"/>
        </w:rPr>
      </w:pPr>
      <w:r>
        <w:rPr>
          <w:sz w:val="28"/>
          <w:szCs w:val="28"/>
          <w:u w:val="none" w:color="auto"/>
        </w:rPr>
        <w:t>8.审批意见——由负责审批该项目的环境保护行政主管部门批复。</w:t>
      </w:r>
    </w:p>
    <w:p>
      <w:pPr>
        <w:spacing w:line="360" w:lineRule="auto"/>
        <w:ind w:right="-29" w:rightChars="-14" w:firstLine="560" w:firstLineChars="200"/>
        <w:rPr>
          <w:sz w:val="28"/>
          <w:szCs w:val="28"/>
          <w:u w:val="none" w:color="auto"/>
        </w:rPr>
      </w:pPr>
    </w:p>
    <w:p>
      <w:pPr>
        <w:spacing w:line="400" w:lineRule="exact"/>
        <w:rPr>
          <w:rFonts w:ascii="宋体" w:hAnsi="宋体"/>
          <w:b/>
          <w:sz w:val="36"/>
          <w:szCs w:val="36"/>
          <w:u w:val="none" w:color="auto"/>
        </w:rPr>
        <w:sectPr>
          <w:footerReference r:id="rId3" w:type="default"/>
          <w:pgSz w:w="11907" w:h="16840"/>
          <w:pgMar w:top="1984" w:right="1984" w:bottom="1984" w:left="1588" w:header="454" w:footer="964" w:gutter="0"/>
          <w:pgBorders>
            <w:top w:val="none" w:sz="0" w:space="0"/>
            <w:left w:val="none" w:sz="0" w:space="0"/>
            <w:bottom w:val="none" w:sz="0" w:space="0"/>
            <w:right w:val="none" w:sz="0" w:space="0"/>
          </w:pgBorders>
          <w:pgNumType w:start="1"/>
          <w:cols w:space="720" w:num="1"/>
          <w:titlePg/>
          <w:docGrid w:linePitch="380" w:charSpace="0"/>
        </w:sectPr>
      </w:pPr>
    </w:p>
    <w:p>
      <w:pPr>
        <w:pStyle w:val="32"/>
        <w:rPr>
          <w:u w:val="none" w:color="auto"/>
        </w:rPr>
      </w:pPr>
    </w:p>
    <w:p>
      <w:pPr>
        <w:spacing w:line="360" w:lineRule="auto"/>
        <w:jc w:val="center"/>
        <w:rPr>
          <w:rFonts w:hint="default" w:ascii="Times New Roman" w:hAnsi="Times New Roman" w:eastAsia="宋体" w:cs="Times New Roman"/>
          <w:b/>
          <w:sz w:val="44"/>
          <w:szCs w:val="44"/>
          <w:u w:val="none" w:color="auto"/>
        </w:rPr>
      </w:pPr>
      <w:r>
        <w:rPr>
          <w:rFonts w:hint="default" w:ascii="Times New Roman" w:hAnsi="Times New Roman" w:eastAsia="宋体" w:cs="Times New Roman"/>
          <w:b/>
          <w:sz w:val="44"/>
          <w:szCs w:val="44"/>
          <w:u w:val="none" w:color="auto"/>
        </w:rPr>
        <w:t>目   录</w:t>
      </w:r>
    </w:p>
    <w:p>
      <w:pPr>
        <w:spacing w:line="360" w:lineRule="auto"/>
        <w:jc w:val="center"/>
        <w:rPr>
          <w:rFonts w:hint="default" w:ascii="Times New Roman" w:hAnsi="Times New Roman" w:eastAsia="宋体" w:cs="Times New Roman"/>
          <w:b/>
          <w:sz w:val="36"/>
          <w:szCs w:val="36"/>
          <w:u w:val="none" w:color="auto"/>
        </w:rPr>
      </w:pPr>
    </w:p>
    <w:p>
      <w:pPr>
        <w:pStyle w:val="26"/>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 w:val="24"/>
          <w:szCs w:val="24"/>
          <w:u w:val="none" w:color="auto"/>
        </w:rPr>
        <w:fldChar w:fldCharType="begin"/>
      </w:r>
      <w:r>
        <w:rPr>
          <w:rFonts w:hint="default" w:ascii="Times New Roman" w:hAnsi="Times New Roman" w:eastAsia="宋体" w:cs="Times New Roman"/>
          <w:sz w:val="24"/>
          <w:szCs w:val="24"/>
          <w:u w:val="none" w:color="auto"/>
        </w:rPr>
        <w:instrText xml:space="preserve">TOC \o "1-1" \h \u </w:instrText>
      </w:r>
      <w:r>
        <w:rPr>
          <w:rFonts w:hint="default" w:ascii="Times New Roman" w:hAnsi="Times New Roman" w:eastAsia="宋体" w:cs="Times New Roman"/>
          <w:sz w:val="24"/>
          <w:szCs w:val="24"/>
          <w:u w:val="none" w:color="auto"/>
        </w:rPr>
        <w:fldChar w:fldCharType="separate"/>
      </w: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_Toc23494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u w:val="none" w:color="auto"/>
        </w:rPr>
        <w:t>一、建设项目基本情况</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_Toc23494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1</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pStyle w:val="26"/>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_Toc10693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u w:val="none" w:color="auto"/>
        </w:rPr>
        <w:t>二、建设项目所在地自然环境社会环境简况</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_Toc10693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10</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pStyle w:val="26"/>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_Toc24291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u w:val="none" w:color="auto"/>
        </w:rPr>
        <w:t>三、环境质量状况</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_Toc24291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14</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pStyle w:val="26"/>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_Toc15014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szCs w:val="32"/>
          <w:u w:val="none" w:color="auto"/>
        </w:rPr>
        <w:t>四、</w:t>
      </w:r>
      <w:r>
        <w:rPr>
          <w:rFonts w:hint="default" w:ascii="Times New Roman" w:hAnsi="Times New Roman" w:eastAsia="宋体" w:cs="Times New Roman"/>
          <w:u w:val="none" w:color="auto"/>
        </w:rPr>
        <w:t>评价适用标准</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_Toc15014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21</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pStyle w:val="26"/>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_Toc27829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u w:val="none" w:color="auto"/>
        </w:rPr>
        <w:t>五、建设项目工程分析</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_Toc27829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24</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pStyle w:val="26"/>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_Toc8822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szCs w:val="32"/>
          <w:u w:val="none" w:color="auto"/>
        </w:rPr>
        <w:t>六、项目主要污染物产生及预计排放情况</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_Toc8822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28</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pStyle w:val="26"/>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_Toc2458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szCs w:val="32"/>
          <w:u w:val="none" w:color="auto"/>
        </w:rPr>
        <w:t>七、环境影响分析</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_Toc2458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29</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pStyle w:val="26"/>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_Toc22283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szCs w:val="32"/>
          <w:u w:val="none" w:color="auto"/>
        </w:rPr>
        <w:t>八、建设项目拟采取的防治措施及</w:t>
      </w:r>
      <w:r>
        <w:rPr>
          <w:rFonts w:hint="default" w:ascii="Times New Roman" w:hAnsi="Times New Roman" w:eastAsia="宋体" w:cs="Times New Roman"/>
          <w:u w:val="none" w:color="auto"/>
        </w:rPr>
        <w:t>预期治理效果</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_Toc22283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46</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pStyle w:val="26"/>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_Toc22256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u w:val="none" w:color="auto"/>
        </w:rPr>
        <w:t>九、结论与建议</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_Toc22256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47</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color w:val="auto"/>
          <w:sz w:val="24"/>
          <w:szCs w:val="24"/>
          <w:u w:val="none" w:color="auto"/>
        </w:rPr>
        <w:sectPr>
          <w:footerReference r:id="rId5" w:type="first"/>
          <w:footerReference r:id="rId4" w:type="default"/>
          <w:pgSz w:w="11907" w:h="16840"/>
          <w:pgMar w:top="1418" w:right="1418" w:bottom="1418" w:left="1588" w:header="454" w:footer="964" w:gutter="0"/>
          <w:pgBorders>
            <w:top w:val="none" w:sz="0" w:space="0"/>
            <w:left w:val="none" w:sz="0" w:space="0"/>
            <w:bottom w:val="none" w:sz="0" w:space="0"/>
            <w:right w:val="none" w:sz="0" w:space="0"/>
          </w:pgBorders>
          <w:pgNumType w:start="1"/>
          <w:cols w:space="720" w:num="1"/>
          <w:docGrid w:linePitch="380" w:charSpace="0"/>
        </w:sectPr>
      </w:pPr>
      <w:r>
        <w:rPr>
          <w:rFonts w:hint="default" w:ascii="Times New Roman" w:hAnsi="Times New Roman" w:eastAsia="宋体" w:cs="Times New Roman"/>
          <w:szCs w:val="24"/>
          <w:u w:val="none" w:color="auto"/>
        </w:rPr>
        <w:fldChar w:fldCharType="end"/>
      </w:r>
    </w:p>
    <w:p>
      <w:pPr>
        <w:pStyle w:val="4"/>
        <w:spacing w:before="120" w:line="240" w:lineRule="auto"/>
        <w:rPr>
          <w:u w:val="none" w:color="auto"/>
        </w:rPr>
      </w:pPr>
      <w:bookmarkStart w:id="0" w:name="_Toc23494"/>
      <w:r>
        <w:rPr>
          <w:rFonts w:hint="eastAsia"/>
          <w:u w:val="none" w:color="auto"/>
        </w:rPr>
        <w:t>一、</w:t>
      </w:r>
      <w:r>
        <w:rPr>
          <w:u w:val="none" w:color="auto"/>
        </w:rPr>
        <w:t>建设项目基本情况</w:t>
      </w:r>
      <w:bookmarkEnd w:id="0"/>
    </w:p>
    <w:tbl>
      <w:tblPr>
        <w:tblStyle w:val="39"/>
        <w:tblW w:w="92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85" w:type="dxa"/>
          <w:bottom w:w="0" w:type="dxa"/>
          <w:right w:w="85" w:type="dxa"/>
        </w:tblCellMar>
      </w:tblPr>
      <w:tblGrid>
        <w:gridCol w:w="1922"/>
        <w:gridCol w:w="1687"/>
        <w:gridCol w:w="1355"/>
        <w:gridCol w:w="1822"/>
        <w:gridCol w:w="1244"/>
        <w:gridCol w:w="148"/>
        <w:gridCol w:w="109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38" w:hRule="atLeast"/>
          <w:jc w:val="center"/>
        </w:trPr>
        <w:tc>
          <w:tcPr>
            <w:tcW w:w="1922"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项目名称</w:t>
            </w:r>
          </w:p>
        </w:tc>
        <w:tc>
          <w:tcPr>
            <w:tcW w:w="7346" w:type="dxa"/>
            <w:gridSpan w:val="6"/>
            <w:vAlign w:val="center"/>
          </w:tcPr>
          <w:p>
            <w:pPr>
              <w:adjustRightInd w:val="0"/>
              <w:snapToGrid w:val="0"/>
              <w:spacing w:line="360" w:lineRule="auto"/>
              <w:jc w:val="center"/>
              <w:rPr>
                <w:rFonts w:hint="default" w:ascii="Times New Roman" w:hAnsi="Times New Roman" w:eastAsia="宋体" w:cs="Times New Roman"/>
                <w:sz w:val="24"/>
                <w:szCs w:val="24"/>
                <w:highlight w:val="yellow"/>
                <w:u w:val="none" w:color="auto"/>
                <w:lang w:eastAsia="zh-CN"/>
              </w:rPr>
            </w:pPr>
            <w:r>
              <w:rPr>
                <w:rFonts w:hint="eastAsia" w:cs="Times New Roman"/>
                <w:sz w:val="24"/>
                <w:szCs w:val="24"/>
                <w:u w:val="none" w:color="auto"/>
                <w:lang w:eastAsia="zh-CN"/>
              </w:rPr>
              <w:t>年产5000套办公家具建设项目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52" w:hRule="atLeast"/>
          <w:jc w:val="center"/>
        </w:trPr>
        <w:tc>
          <w:tcPr>
            <w:tcW w:w="1922"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建设单位</w:t>
            </w:r>
          </w:p>
        </w:tc>
        <w:tc>
          <w:tcPr>
            <w:tcW w:w="7346" w:type="dxa"/>
            <w:gridSpan w:val="6"/>
            <w:vAlign w:val="center"/>
          </w:tcPr>
          <w:p>
            <w:pPr>
              <w:adjustRightInd w:val="0"/>
              <w:snapToGrid w:val="0"/>
              <w:spacing w:line="360" w:lineRule="auto"/>
              <w:jc w:val="center"/>
              <w:rPr>
                <w:rFonts w:hint="default" w:ascii="Times New Roman" w:hAnsi="Times New Roman" w:eastAsia="宋体" w:cs="Times New Roman"/>
                <w:sz w:val="24"/>
                <w:highlight w:val="yellow"/>
                <w:u w:val="none" w:color="auto"/>
                <w:lang w:eastAsia="zh-CN"/>
              </w:rPr>
            </w:pPr>
            <w:r>
              <w:rPr>
                <w:rFonts w:hint="eastAsia" w:cs="Times New Roman"/>
                <w:sz w:val="24"/>
                <w:u w:val="none" w:color="auto"/>
                <w:lang w:eastAsia="zh-CN"/>
              </w:rPr>
              <w:t>湖南顺星办公家具有限公司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724" w:hRule="atLeast"/>
          <w:jc w:val="center"/>
        </w:trPr>
        <w:tc>
          <w:tcPr>
            <w:tcW w:w="1922"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法人代表</w:t>
            </w:r>
          </w:p>
        </w:tc>
        <w:tc>
          <w:tcPr>
            <w:tcW w:w="3042" w:type="dxa"/>
            <w:gridSpan w:val="2"/>
            <w:vAlign w:val="center"/>
          </w:tcPr>
          <w:p>
            <w:pPr>
              <w:snapToGrid w:val="0"/>
              <w:spacing w:line="360" w:lineRule="auto"/>
              <w:jc w:val="center"/>
              <w:rPr>
                <w:rFonts w:hint="default" w:ascii="Times New Roman" w:hAnsi="Times New Roman" w:eastAsia="宋体" w:cs="Times New Roman"/>
                <w:kern w:val="24"/>
                <w:sz w:val="24"/>
                <w:u w:val="none" w:color="auto"/>
                <w:lang w:eastAsia="zh-CN"/>
              </w:rPr>
            </w:pPr>
            <w:r>
              <w:rPr>
                <w:rFonts w:hint="eastAsia" w:cs="Times New Roman"/>
                <w:kern w:val="24"/>
                <w:sz w:val="24"/>
                <w:u w:val="none" w:color="auto"/>
                <w:lang w:eastAsia="zh-CN"/>
              </w:rPr>
              <w:t>梁亦星</w:t>
            </w:r>
          </w:p>
        </w:tc>
        <w:tc>
          <w:tcPr>
            <w:tcW w:w="1822"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联 系 人</w:t>
            </w:r>
          </w:p>
        </w:tc>
        <w:tc>
          <w:tcPr>
            <w:tcW w:w="2482" w:type="dxa"/>
            <w:gridSpan w:val="3"/>
            <w:vAlign w:val="center"/>
          </w:tcPr>
          <w:p>
            <w:pPr>
              <w:snapToGrid w:val="0"/>
              <w:spacing w:line="360" w:lineRule="auto"/>
              <w:jc w:val="center"/>
              <w:rPr>
                <w:rFonts w:hint="default" w:ascii="Times New Roman" w:hAnsi="Times New Roman" w:eastAsia="宋体" w:cs="Times New Roman"/>
                <w:kern w:val="24"/>
                <w:sz w:val="24"/>
                <w:highlight w:val="yellow"/>
                <w:u w:val="none" w:color="auto"/>
                <w:lang w:eastAsia="zh-CN"/>
              </w:rPr>
            </w:pPr>
            <w:r>
              <w:rPr>
                <w:rFonts w:hint="eastAsia" w:cs="Times New Roman"/>
                <w:kern w:val="24"/>
                <w:sz w:val="24"/>
                <w:u w:val="none" w:color="auto"/>
                <w:lang w:eastAsia="zh-CN"/>
              </w:rPr>
              <w:t>梁亦星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701" w:hRule="atLeast"/>
          <w:jc w:val="center"/>
        </w:trPr>
        <w:tc>
          <w:tcPr>
            <w:tcW w:w="1922"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通讯地址</w:t>
            </w:r>
          </w:p>
        </w:tc>
        <w:tc>
          <w:tcPr>
            <w:tcW w:w="7346" w:type="dxa"/>
            <w:gridSpan w:val="6"/>
            <w:vAlign w:val="center"/>
          </w:tcPr>
          <w:p>
            <w:pPr>
              <w:snapToGrid w:val="0"/>
              <w:spacing w:line="360" w:lineRule="auto"/>
              <w:jc w:val="center"/>
              <w:rPr>
                <w:rFonts w:hint="default" w:ascii="Times New Roman" w:hAnsi="Times New Roman" w:eastAsia="宋体" w:cs="Times New Roman"/>
                <w:kern w:val="24"/>
                <w:sz w:val="24"/>
                <w:szCs w:val="24"/>
                <w:u w:val="none" w:color="auto"/>
                <w:lang w:eastAsia="zh-CN"/>
              </w:rPr>
            </w:pPr>
            <w:r>
              <w:rPr>
                <w:rFonts w:hint="eastAsia" w:cs="Times New Roman"/>
                <w:sz w:val="24"/>
                <w:u w:val="none" w:color="auto"/>
                <w:lang w:eastAsia="zh-CN"/>
              </w:rPr>
              <w:t>湖南省岳阳市湘阴县东茅路鼎盛府邸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597" w:hRule="atLeast"/>
          <w:jc w:val="center"/>
        </w:trPr>
        <w:tc>
          <w:tcPr>
            <w:tcW w:w="1922"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联系电话</w:t>
            </w:r>
          </w:p>
        </w:tc>
        <w:tc>
          <w:tcPr>
            <w:tcW w:w="1687" w:type="dxa"/>
            <w:vAlign w:val="center"/>
          </w:tcPr>
          <w:p>
            <w:pPr>
              <w:snapToGrid w:val="0"/>
              <w:spacing w:line="360" w:lineRule="auto"/>
              <w:jc w:val="center"/>
              <w:rPr>
                <w:rFonts w:hint="default" w:ascii="Times New Roman" w:hAnsi="Times New Roman" w:eastAsia="宋体" w:cs="Times New Roman"/>
                <w:kern w:val="0"/>
                <w:sz w:val="24"/>
                <w:u w:val="none" w:color="auto"/>
                <w:lang w:val="en-US" w:eastAsia="zh-CN"/>
              </w:rPr>
            </w:pPr>
            <w:r>
              <w:rPr>
                <w:rFonts w:hint="eastAsia"/>
                <w:sz w:val="24"/>
                <w:u w:val="none" w:color="auto"/>
                <w:lang w:val="en-US" w:eastAsia="zh-CN"/>
              </w:rPr>
              <w:t>13687350949</w:t>
            </w:r>
          </w:p>
        </w:tc>
        <w:tc>
          <w:tcPr>
            <w:tcW w:w="1355"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传真</w:t>
            </w:r>
          </w:p>
        </w:tc>
        <w:tc>
          <w:tcPr>
            <w:tcW w:w="1822"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kern w:val="24"/>
                <w:sz w:val="24"/>
                <w:u w:val="none" w:color="auto"/>
              </w:rPr>
              <w:t>/</w:t>
            </w:r>
          </w:p>
        </w:tc>
        <w:tc>
          <w:tcPr>
            <w:tcW w:w="1244"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邮政编码</w:t>
            </w:r>
          </w:p>
        </w:tc>
        <w:tc>
          <w:tcPr>
            <w:tcW w:w="1238" w:type="dxa"/>
            <w:gridSpan w:val="2"/>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414600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86" w:hRule="atLeast"/>
          <w:jc w:val="center"/>
        </w:trPr>
        <w:tc>
          <w:tcPr>
            <w:tcW w:w="1922"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建设地点</w:t>
            </w:r>
          </w:p>
        </w:tc>
        <w:tc>
          <w:tcPr>
            <w:tcW w:w="7346" w:type="dxa"/>
            <w:gridSpan w:val="6"/>
            <w:vAlign w:val="center"/>
          </w:tcPr>
          <w:p>
            <w:pPr>
              <w:snapToGrid w:val="0"/>
              <w:spacing w:line="360" w:lineRule="auto"/>
              <w:ind w:left="-105" w:leftChars="-50" w:right="-105" w:rightChars="-50"/>
              <w:jc w:val="center"/>
              <w:rPr>
                <w:rFonts w:hint="default" w:ascii="Times New Roman" w:hAnsi="Times New Roman" w:eastAsia="宋体" w:cs="Times New Roman"/>
                <w:sz w:val="24"/>
                <w:szCs w:val="24"/>
                <w:highlight w:val="yellow"/>
                <w:u w:val="none" w:color="auto"/>
                <w:lang w:eastAsia="zh-CN"/>
              </w:rPr>
            </w:pPr>
            <w:r>
              <w:rPr>
                <w:rFonts w:hint="eastAsia" w:cs="Times New Roman"/>
                <w:sz w:val="24"/>
                <w:u w:val="none" w:color="auto"/>
                <w:lang w:eastAsia="zh-CN"/>
              </w:rPr>
              <w:t>湘阴县石塘乡高山村红星组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56" w:hRule="atLeast"/>
          <w:jc w:val="center"/>
        </w:trPr>
        <w:tc>
          <w:tcPr>
            <w:tcW w:w="1922" w:type="dxa"/>
            <w:vAlign w:val="center"/>
          </w:tcPr>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立项审批部门</w:t>
            </w:r>
          </w:p>
        </w:tc>
        <w:tc>
          <w:tcPr>
            <w:tcW w:w="3042" w:type="dxa"/>
            <w:gridSpan w:val="2"/>
            <w:vAlign w:val="center"/>
          </w:tcPr>
          <w:p>
            <w:pPr>
              <w:snapToGrid w:val="0"/>
              <w:spacing w:line="360" w:lineRule="auto"/>
              <w:jc w:val="center"/>
              <w:rPr>
                <w:rFonts w:hint="default" w:ascii="Times New Roman" w:hAnsi="Times New Roman" w:cs="Times New Roman"/>
                <w:spacing w:val="-6"/>
                <w:sz w:val="24"/>
                <w:u w:val="none" w:color="auto"/>
              </w:rPr>
            </w:pPr>
            <w:r>
              <w:rPr>
                <w:rFonts w:hint="default" w:ascii="Times New Roman" w:hAnsi="Times New Roman" w:cs="Times New Roman"/>
                <w:spacing w:val="-6"/>
                <w:sz w:val="24"/>
                <w:u w:val="none" w:color="auto"/>
              </w:rPr>
              <w:t>/</w:t>
            </w:r>
          </w:p>
        </w:tc>
        <w:tc>
          <w:tcPr>
            <w:tcW w:w="1822" w:type="dxa"/>
            <w:vAlign w:val="center"/>
          </w:tcPr>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批准文号</w:t>
            </w:r>
          </w:p>
        </w:tc>
        <w:tc>
          <w:tcPr>
            <w:tcW w:w="2482" w:type="dxa"/>
            <w:gridSpan w:val="3"/>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kern w:val="24"/>
                <w:sz w:val="24"/>
                <w:u w:val="none" w:color="auto"/>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922" w:type="dxa"/>
            <w:vAlign w:val="center"/>
          </w:tcPr>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建设性质</w:t>
            </w:r>
          </w:p>
        </w:tc>
        <w:tc>
          <w:tcPr>
            <w:tcW w:w="3042" w:type="dxa"/>
            <w:gridSpan w:val="2"/>
            <w:vAlign w:val="center"/>
          </w:tcPr>
          <w:p>
            <w:pPr>
              <w:snapToGrid w:val="0"/>
              <w:spacing w:line="360" w:lineRule="auto"/>
              <w:jc w:val="center"/>
              <w:rPr>
                <w:rFonts w:hint="eastAsia" w:ascii="Times New Roman" w:hAnsi="Times New Roman" w:eastAsia="宋体" w:cs="Times New Roman"/>
                <w:spacing w:val="-6"/>
                <w:kern w:val="24"/>
                <w:sz w:val="24"/>
                <w:u w:val="none" w:color="auto"/>
                <w:lang w:eastAsia="zh-CN"/>
              </w:rPr>
            </w:pPr>
            <w:r>
              <w:rPr>
                <w:rFonts w:hint="default" w:ascii="Times New Roman" w:hAnsi="Times New Roman" w:cs="Times New Roman"/>
                <w:sz w:val="24"/>
                <w:u w:val="none" w:color="auto"/>
              </w:rPr>
              <w:t>新建</w:t>
            </w:r>
            <w:r>
              <w:rPr>
                <w:rFonts w:hint="eastAsia" w:cs="Times New Roman"/>
                <w:sz w:val="24"/>
                <w:u w:val="none" w:color="auto"/>
                <w:lang w:eastAsia="zh-CN"/>
              </w:rPr>
              <w:t>（补办）</w:t>
            </w:r>
          </w:p>
        </w:tc>
        <w:tc>
          <w:tcPr>
            <w:tcW w:w="1822" w:type="dxa"/>
            <w:vAlign w:val="center"/>
          </w:tcPr>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行业类别</w:t>
            </w:r>
          </w:p>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及代号</w:t>
            </w:r>
          </w:p>
        </w:tc>
        <w:tc>
          <w:tcPr>
            <w:tcW w:w="2482" w:type="dxa"/>
            <w:gridSpan w:val="3"/>
            <w:vAlign w:val="center"/>
          </w:tcPr>
          <w:p>
            <w:pPr>
              <w:spacing w:line="360" w:lineRule="auto"/>
              <w:jc w:val="center"/>
              <w:rPr>
                <w:rFonts w:hint="default" w:ascii="Times New Roman" w:hAnsi="Times New Roman" w:cs="Times New Roman"/>
                <w:spacing w:val="6"/>
                <w:sz w:val="24"/>
                <w:szCs w:val="24"/>
                <w:u w:val="none" w:color="auto"/>
              </w:rPr>
            </w:pPr>
            <w:r>
              <w:rPr>
                <w:rFonts w:hint="eastAsia" w:cs="Times New Roman"/>
                <w:spacing w:val="6"/>
                <w:sz w:val="24"/>
                <w:szCs w:val="24"/>
                <w:u w:val="none" w:color="auto"/>
                <w:lang w:eastAsia="zh-CN"/>
              </w:rPr>
              <w:t>木质家具制造</w:t>
            </w:r>
            <w:r>
              <w:rPr>
                <w:rFonts w:hint="default" w:ascii="Times New Roman" w:hAnsi="Times New Roman" w:cs="Times New Roman"/>
                <w:spacing w:val="6"/>
                <w:sz w:val="24"/>
                <w:szCs w:val="24"/>
                <w:u w:val="none" w:color="auto"/>
              </w:rPr>
              <w:t>业（C2110）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922" w:type="dxa"/>
            <w:vAlign w:val="center"/>
          </w:tcPr>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占地面积</w:t>
            </w:r>
          </w:p>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(平方米)</w:t>
            </w:r>
          </w:p>
        </w:tc>
        <w:tc>
          <w:tcPr>
            <w:tcW w:w="3042" w:type="dxa"/>
            <w:gridSpan w:val="2"/>
            <w:vAlign w:val="center"/>
          </w:tcPr>
          <w:p>
            <w:pPr>
              <w:snapToGrid w:val="0"/>
              <w:spacing w:line="360" w:lineRule="auto"/>
              <w:jc w:val="center"/>
              <w:rPr>
                <w:rFonts w:hint="default" w:ascii="Times New Roman" w:hAnsi="Times New Roman" w:eastAsia="宋体" w:cs="Times New Roman"/>
                <w:spacing w:val="-6"/>
                <w:sz w:val="24"/>
                <w:u w:val="none" w:color="auto"/>
                <w:lang w:val="en-US" w:eastAsia="zh-CN"/>
              </w:rPr>
            </w:pPr>
            <w:r>
              <w:rPr>
                <w:rFonts w:hint="eastAsia" w:cs="Times New Roman"/>
                <w:spacing w:val="-6"/>
                <w:sz w:val="24"/>
                <w:u w:val="none" w:color="auto"/>
                <w:lang w:val="en-US" w:eastAsia="zh-CN"/>
              </w:rPr>
              <w:t>1500</w:t>
            </w:r>
          </w:p>
        </w:tc>
        <w:tc>
          <w:tcPr>
            <w:tcW w:w="1822" w:type="dxa"/>
            <w:vAlign w:val="center"/>
          </w:tcPr>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绿化面积</w:t>
            </w:r>
          </w:p>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（平方米）</w:t>
            </w:r>
          </w:p>
        </w:tc>
        <w:tc>
          <w:tcPr>
            <w:tcW w:w="2482" w:type="dxa"/>
            <w:gridSpan w:val="3"/>
            <w:vAlign w:val="center"/>
          </w:tcPr>
          <w:p>
            <w:pPr>
              <w:snapToGrid w:val="0"/>
              <w:spacing w:line="360" w:lineRule="auto"/>
              <w:ind w:left="-105" w:leftChars="-50" w:right="-105" w:rightChars="-50"/>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922" w:type="dxa"/>
            <w:vAlign w:val="center"/>
          </w:tcPr>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总投资</w:t>
            </w:r>
          </w:p>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(万元)</w:t>
            </w:r>
          </w:p>
        </w:tc>
        <w:tc>
          <w:tcPr>
            <w:tcW w:w="1687" w:type="dxa"/>
            <w:vAlign w:val="center"/>
          </w:tcPr>
          <w:p>
            <w:pPr>
              <w:snapToGrid w:val="0"/>
              <w:spacing w:line="360" w:lineRule="auto"/>
              <w:jc w:val="center"/>
              <w:rPr>
                <w:rFonts w:hint="default" w:ascii="Times New Roman" w:hAnsi="Times New Roman" w:eastAsia="宋体" w:cs="Times New Roman"/>
                <w:kern w:val="24"/>
                <w:sz w:val="24"/>
                <w:highlight w:val="yellow"/>
                <w:u w:val="none" w:color="auto"/>
                <w:lang w:val="en-US" w:eastAsia="zh-CN"/>
              </w:rPr>
            </w:pPr>
            <w:r>
              <w:rPr>
                <w:rFonts w:hint="eastAsia" w:cs="Times New Roman"/>
                <w:kern w:val="24"/>
                <w:sz w:val="24"/>
                <w:u w:val="none" w:color="auto"/>
                <w:lang w:val="en-US" w:eastAsia="zh-CN"/>
              </w:rPr>
              <w:t>40</w:t>
            </w:r>
          </w:p>
        </w:tc>
        <w:tc>
          <w:tcPr>
            <w:tcW w:w="1355"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其中:环保投资(万元)</w:t>
            </w:r>
          </w:p>
        </w:tc>
        <w:tc>
          <w:tcPr>
            <w:tcW w:w="1822" w:type="dxa"/>
            <w:vAlign w:val="center"/>
          </w:tcPr>
          <w:p>
            <w:pPr>
              <w:snapToGrid w:val="0"/>
              <w:spacing w:line="360" w:lineRule="auto"/>
              <w:jc w:val="center"/>
              <w:rPr>
                <w:rFonts w:hint="default" w:ascii="Times New Roman" w:hAnsi="Times New Roman" w:eastAsia="宋体" w:cs="Times New Roman"/>
                <w:color w:val="auto"/>
                <w:kern w:val="24"/>
                <w:sz w:val="24"/>
                <w:u w:val="none" w:color="auto"/>
                <w:lang w:val="en-US" w:eastAsia="zh-CN"/>
              </w:rPr>
            </w:pPr>
            <w:r>
              <w:rPr>
                <w:rFonts w:hint="eastAsia" w:cs="Times New Roman"/>
                <w:color w:val="auto"/>
                <w:kern w:val="24"/>
                <w:sz w:val="24"/>
                <w:u w:val="none" w:color="auto"/>
                <w:lang w:val="en-US" w:eastAsia="zh-CN"/>
              </w:rPr>
              <w:t>7.0</w:t>
            </w:r>
          </w:p>
        </w:tc>
        <w:tc>
          <w:tcPr>
            <w:tcW w:w="1392" w:type="dxa"/>
            <w:gridSpan w:val="2"/>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环保投资占总投资比例</w:t>
            </w:r>
          </w:p>
        </w:tc>
        <w:tc>
          <w:tcPr>
            <w:tcW w:w="1090"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eastAsia" w:cs="Times New Roman"/>
                <w:color w:val="auto"/>
                <w:kern w:val="24"/>
                <w:sz w:val="24"/>
                <w:u w:val="none" w:color="auto"/>
                <w:lang w:val="en-US" w:eastAsia="zh-CN"/>
              </w:rPr>
              <w:t>17.5</w:t>
            </w:r>
            <w:r>
              <w:rPr>
                <w:rFonts w:hint="default" w:ascii="Times New Roman" w:hAnsi="Times New Roman" w:cs="Times New Roman"/>
                <w:color w:val="auto"/>
                <w:kern w:val="24"/>
                <w:sz w:val="24"/>
                <w:u w:val="none" w:color="auto"/>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922" w:type="dxa"/>
            <w:vAlign w:val="center"/>
          </w:tcPr>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评价经费</w:t>
            </w:r>
          </w:p>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(万元)</w:t>
            </w:r>
          </w:p>
        </w:tc>
        <w:tc>
          <w:tcPr>
            <w:tcW w:w="1687"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kern w:val="24"/>
                <w:sz w:val="24"/>
                <w:u w:val="none" w:color="auto"/>
              </w:rPr>
              <w:t>/</w:t>
            </w:r>
          </w:p>
        </w:tc>
        <w:tc>
          <w:tcPr>
            <w:tcW w:w="1355"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投产日期</w:t>
            </w:r>
          </w:p>
        </w:tc>
        <w:tc>
          <w:tcPr>
            <w:tcW w:w="4304" w:type="dxa"/>
            <w:gridSpan w:val="4"/>
            <w:vAlign w:val="center"/>
          </w:tcPr>
          <w:p>
            <w:pPr>
              <w:snapToGrid w:val="0"/>
              <w:spacing w:line="360" w:lineRule="auto"/>
              <w:jc w:val="center"/>
              <w:rPr>
                <w:rFonts w:hint="default" w:ascii="Times New Roman" w:hAnsi="Times New Roman" w:eastAsia="宋体" w:cs="Times New Roman"/>
                <w:kern w:val="24"/>
                <w:sz w:val="24"/>
                <w:u w:val="none" w:color="auto"/>
                <w:lang w:val="en-US" w:eastAsia="zh-CN"/>
              </w:rPr>
            </w:pPr>
            <w:r>
              <w:rPr>
                <w:rFonts w:hint="default" w:ascii="Times New Roman" w:hAnsi="Times New Roman" w:cs="Times New Roman"/>
                <w:kern w:val="24"/>
                <w:sz w:val="24"/>
                <w:u w:val="none" w:color="auto"/>
                <w:lang w:val="en-US" w:eastAsia="zh-CN"/>
              </w:rPr>
              <w:t>已投产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9268" w:type="dxa"/>
            <w:gridSpan w:val="7"/>
            <w:vAlign w:val="center"/>
          </w:tcPr>
          <w:p>
            <w:pPr>
              <w:snapToGrid w:val="0"/>
              <w:spacing w:line="360" w:lineRule="auto"/>
              <w:rPr>
                <w:rFonts w:hint="default" w:ascii="Times New Roman" w:hAnsi="Times New Roman" w:cs="Times New Roman"/>
                <w:b/>
                <w:sz w:val="30"/>
                <w:szCs w:val="30"/>
                <w:u w:val="none" w:color="auto"/>
              </w:rPr>
            </w:pPr>
            <w:r>
              <w:rPr>
                <w:rFonts w:hint="default" w:ascii="Times New Roman" w:hAnsi="Times New Roman" w:cs="Times New Roman"/>
                <w:b/>
                <w:sz w:val="30"/>
                <w:szCs w:val="30"/>
                <w:u w:val="none" w:color="auto"/>
              </w:rPr>
              <w:t>工程内容及规模：</w:t>
            </w:r>
          </w:p>
          <w:p>
            <w:pPr>
              <w:pStyle w:val="37"/>
              <w:spacing w:before="0" w:beforeLines="0"/>
              <w:ind w:firstLine="482"/>
              <w:rPr>
                <w:rFonts w:hint="default" w:ascii="Times New Roman" w:hAnsi="Times New Roman" w:cs="Times New Roman"/>
                <w:b/>
                <w:color w:val="auto"/>
                <w:u w:val="single" w:color="auto"/>
              </w:rPr>
            </w:pPr>
            <w:r>
              <w:rPr>
                <w:rFonts w:hint="default" w:ascii="Times New Roman" w:hAnsi="Times New Roman" w:cs="Times New Roman"/>
                <w:b/>
                <w:color w:val="auto"/>
                <w:u w:val="single" w:color="auto"/>
              </w:rPr>
              <w:t>1、项目由来</w:t>
            </w:r>
          </w:p>
          <w:p>
            <w:pPr>
              <w:pStyle w:val="165"/>
              <w:rPr>
                <w:rFonts w:hint="default" w:ascii="Times New Roman" w:hAnsi="Times New Roman" w:cs="Times New Roman"/>
                <w:color w:val="auto"/>
                <w:szCs w:val="24"/>
                <w:u w:val="single" w:color="auto"/>
              </w:rPr>
            </w:pPr>
            <w:r>
              <w:rPr>
                <w:rFonts w:hint="default" w:ascii="Times New Roman" w:hAnsi="Times New Roman" w:cs="Times New Roman"/>
                <w:color w:val="auto"/>
                <w:sz w:val="24"/>
                <w:u w:val="single" w:color="auto"/>
              </w:rPr>
              <w:t>改革开放以来，随着中国经济建设快速稳定发展，居民生活品质要求提升，</w:t>
            </w:r>
            <w:r>
              <w:rPr>
                <w:rFonts w:hint="eastAsia" w:cs="Times New Roman"/>
                <w:color w:val="auto"/>
                <w:sz w:val="24"/>
                <w:u w:val="single" w:color="auto"/>
                <w:lang w:eastAsia="zh-CN"/>
              </w:rPr>
              <w:t>人们对木质办公家具需求量持续加大</w:t>
            </w:r>
            <w:r>
              <w:rPr>
                <w:rFonts w:hint="default" w:ascii="Times New Roman" w:hAnsi="Times New Roman" w:cs="Times New Roman"/>
                <w:color w:val="auto"/>
                <w:szCs w:val="24"/>
                <w:u w:val="single" w:color="auto"/>
              </w:rPr>
              <w:t>。为了适应市场的需求，</w:t>
            </w:r>
            <w:r>
              <w:rPr>
                <w:rFonts w:hint="eastAsia" w:cs="Times New Roman"/>
                <w:color w:val="auto"/>
                <w:u w:val="single" w:color="auto"/>
                <w:lang w:eastAsia="zh-CN"/>
              </w:rPr>
              <w:t>湖南顺星办公家具有限公司</w:t>
            </w:r>
            <w:r>
              <w:rPr>
                <w:rFonts w:hint="default" w:ascii="Times New Roman" w:hAnsi="Times New Roman" w:cs="Times New Roman"/>
                <w:color w:val="auto"/>
                <w:u w:val="single" w:color="auto"/>
              </w:rPr>
              <w:t>在</w:t>
            </w:r>
            <w:r>
              <w:rPr>
                <w:rFonts w:hint="eastAsia" w:cs="Times New Roman"/>
                <w:color w:val="auto"/>
                <w:u w:val="single" w:color="auto"/>
                <w:lang w:eastAsia="zh-CN"/>
              </w:rPr>
              <w:t>湘阴县石塘乡高山村红星组租赁厂房进行生产，</w:t>
            </w:r>
            <w:r>
              <w:rPr>
                <w:rFonts w:hint="default" w:ascii="Times New Roman" w:hAnsi="Times New Roman" w:cs="Times New Roman"/>
                <w:color w:val="auto"/>
                <w:u w:val="single" w:color="auto"/>
              </w:rPr>
              <w:t>投资</w:t>
            </w:r>
            <w:r>
              <w:rPr>
                <w:rFonts w:hint="eastAsia" w:cs="Times New Roman"/>
                <w:color w:val="auto"/>
                <w:u w:val="single" w:color="auto"/>
                <w:lang w:val="en-US" w:eastAsia="zh-CN"/>
              </w:rPr>
              <w:t>40万元</w:t>
            </w:r>
            <w:r>
              <w:rPr>
                <w:rFonts w:hint="default" w:ascii="Times New Roman" w:hAnsi="Times New Roman" w:cs="Times New Roman"/>
                <w:color w:val="auto"/>
                <w:u w:val="single" w:color="auto"/>
              </w:rPr>
              <w:t>建设“</w:t>
            </w:r>
            <w:r>
              <w:rPr>
                <w:rFonts w:hint="eastAsia" w:cs="Times New Roman"/>
                <w:color w:val="auto"/>
                <w:szCs w:val="24"/>
                <w:u w:val="single" w:color="auto"/>
                <w:lang w:eastAsia="zh-CN"/>
              </w:rPr>
              <w:t>年产5000套办公家具建设项目</w:t>
            </w:r>
            <w:r>
              <w:rPr>
                <w:rFonts w:hint="default" w:ascii="Times New Roman" w:hAnsi="Times New Roman" w:cs="Times New Roman"/>
                <w:color w:val="auto"/>
                <w:u w:val="single" w:color="auto"/>
              </w:rPr>
              <w:t>”</w:t>
            </w:r>
            <w:r>
              <w:rPr>
                <w:rFonts w:hint="eastAsia" w:cs="Times New Roman"/>
                <w:color w:val="auto"/>
                <w:u w:val="single" w:color="auto"/>
                <w:lang w:eastAsia="zh-CN"/>
              </w:rPr>
              <w:t>，项目占地面积为</w:t>
            </w:r>
            <w:r>
              <w:rPr>
                <w:rFonts w:hint="eastAsia" w:cs="Times New Roman"/>
                <w:color w:val="auto"/>
                <w:u w:val="single" w:color="auto"/>
                <w:lang w:val="en-US" w:eastAsia="zh-CN"/>
              </w:rPr>
              <w:t>1500平方米</w:t>
            </w:r>
            <w:r>
              <w:rPr>
                <w:rFonts w:hint="default" w:ascii="Times New Roman" w:hAnsi="Times New Roman" w:cs="Times New Roman"/>
                <w:color w:val="auto"/>
                <w:u w:val="single" w:color="auto"/>
              </w:rPr>
              <w:t>。</w:t>
            </w:r>
          </w:p>
          <w:p>
            <w:pPr>
              <w:pStyle w:val="165"/>
              <w:rPr>
                <w:rFonts w:hint="default" w:ascii="Times New Roman" w:hAnsi="Times New Roman" w:eastAsia="宋体" w:cs="Times New Roman"/>
                <w:color w:val="auto"/>
                <w:kern w:val="0"/>
                <w:u w:val="single" w:color="auto"/>
                <w:lang w:val="en-US" w:eastAsia="zh-CN"/>
              </w:rPr>
            </w:pPr>
            <w:r>
              <w:rPr>
                <w:rFonts w:hint="eastAsia" w:cs="Times New Roman"/>
                <w:color w:val="auto"/>
                <w:kern w:val="0"/>
                <w:u w:val="single" w:color="auto"/>
                <w:lang w:eastAsia="zh-CN"/>
              </w:rPr>
              <w:t>本项目现已</w:t>
            </w:r>
            <w:r>
              <w:rPr>
                <w:rFonts w:hint="eastAsia" w:cs="Times New Roman"/>
                <w:color w:val="auto"/>
                <w:kern w:val="0"/>
                <w:u w:val="single" w:color="auto"/>
                <w:lang w:val="en-US" w:eastAsia="zh-CN"/>
              </w:rPr>
              <w:t>开工运营</w:t>
            </w:r>
            <w:r>
              <w:rPr>
                <w:rFonts w:hint="default" w:ascii="Times New Roman" w:hAnsi="Times New Roman" w:cs="Times New Roman"/>
                <w:color w:val="auto"/>
                <w:kern w:val="0"/>
                <w:u w:val="single" w:color="auto"/>
              </w:rPr>
              <w:t>，</w:t>
            </w:r>
            <w:r>
              <w:rPr>
                <w:rFonts w:hint="eastAsia" w:cs="Times New Roman"/>
                <w:color w:val="auto"/>
                <w:kern w:val="0"/>
                <w:u w:val="single" w:color="auto"/>
                <w:lang w:eastAsia="zh-CN"/>
              </w:rPr>
              <w:t>由于在生产前，未按照国家相关法律、规范完成环评报告的编制，因此湘阴县环保局于</w:t>
            </w:r>
            <w:r>
              <w:rPr>
                <w:rFonts w:hint="eastAsia" w:cs="Times New Roman"/>
                <w:color w:val="auto"/>
                <w:kern w:val="0"/>
                <w:u w:val="single" w:color="auto"/>
                <w:lang w:val="en-US" w:eastAsia="zh-CN"/>
              </w:rPr>
              <w:t>2019年3月11日对其下达了《行政处罚决定书》，文号为湘阴环罚字【2019】4号，公司接到处罚书后立即缴纳了罚款（具体详见附件4），</w:t>
            </w:r>
            <w:r>
              <w:rPr>
                <w:rFonts w:hint="eastAsia" w:cs="Times New Roman"/>
                <w:color w:val="auto"/>
                <w:u w:val="single" w:color="auto"/>
                <w:lang w:eastAsia="zh-CN"/>
              </w:rPr>
              <w:t>公司在罚款后</w:t>
            </w:r>
            <w:r>
              <w:rPr>
                <w:rFonts w:hint="eastAsia" w:cs="Times New Roman"/>
                <w:color w:val="auto"/>
                <w:kern w:val="0"/>
                <w:u w:val="single" w:color="auto"/>
                <w:lang w:val="en-US" w:eastAsia="zh-CN"/>
              </w:rPr>
              <w:t>主动进行补办环保手续。</w:t>
            </w:r>
          </w:p>
          <w:p>
            <w:pPr>
              <w:pStyle w:val="165"/>
              <w:rPr>
                <w:rFonts w:hint="default" w:ascii="Times New Roman" w:hAnsi="Times New Roman" w:cs="Times New Roman"/>
                <w:szCs w:val="24"/>
                <w:u w:val="none" w:color="auto"/>
              </w:rPr>
            </w:pPr>
            <w:r>
              <w:rPr>
                <w:rFonts w:hint="default" w:ascii="Times New Roman" w:hAnsi="Times New Roman" w:cs="Times New Roman"/>
                <w:color w:val="auto"/>
                <w:kern w:val="0"/>
                <w:u w:val="none" w:color="auto"/>
              </w:rPr>
              <w:t>根据《中华人民共和国环境保护法》、《中华人民共和国环境影响评价法》及《建设项目环境保护管理条例》的有关规定，本工程需</w:t>
            </w:r>
            <w:r>
              <w:rPr>
                <w:rFonts w:hint="eastAsia" w:cs="Times New Roman"/>
                <w:color w:val="auto"/>
                <w:kern w:val="0"/>
                <w:u w:val="none" w:color="auto"/>
                <w:lang w:eastAsia="zh-CN"/>
              </w:rPr>
              <w:t>补办</w:t>
            </w:r>
            <w:r>
              <w:rPr>
                <w:rFonts w:hint="default" w:ascii="Times New Roman" w:hAnsi="Times New Roman" w:cs="Times New Roman"/>
                <w:color w:val="auto"/>
                <w:kern w:val="0"/>
                <w:u w:val="none" w:color="auto"/>
              </w:rPr>
              <w:t>环境影响评</w:t>
            </w:r>
            <w:r>
              <w:rPr>
                <w:rFonts w:hint="default" w:ascii="Times New Roman" w:hAnsi="Times New Roman" w:cs="Times New Roman"/>
                <w:kern w:val="0"/>
                <w:u w:val="none" w:color="auto"/>
              </w:rPr>
              <w:t>价。经查询《建设项目环境影响评价分类管理名录》（2018版、生态环境部部令第1号），</w:t>
            </w:r>
            <w:r>
              <w:rPr>
                <w:rFonts w:hint="default" w:ascii="Times New Roman" w:hAnsi="Times New Roman" w:cs="Times New Roman"/>
                <w:szCs w:val="24"/>
                <w:u w:val="none" w:color="auto"/>
              </w:rPr>
              <w:t>项目属于</w:t>
            </w:r>
            <w:r>
              <w:rPr>
                <w:rFonts w:hint="eastAsia" w:cs="Times New Roman"/>
                <w:szCs w:val="24"/>
                <w:u w:val="none" w:color="auto"/>
                <w:lang w:eastAsia="zh-CN"/>
              </w:rPr>
              <w:t>第十</w:t>
            </w:r>
            <w:r>
              <w:rPr>
                <w:rFonts w:hint="default" w:ascii="Times New Roman" w:hAnsi="Times New Roman" w:cs="Times New Roman"/>
                <w:szCs w:val="24"/>
                <w:u w:val="none" w:color="auto"/>
              </w:rPr>
              <w:t>大类</w:t>
            </w:r>
            <w:r>
              <w:rPr>
                <w:rFonts w:hint="eastAsia" w:cs="Times New Roman"/>
                <w:szCs w:val="24"/>
                <w:u w:val="none" w:color="auto"/>
                <w:lang w:eastAsia="zh-CN"/>
              </w:rPr>
              <w:t>家具制品业</w:t>
            </w:r>
            <w:r>
              <w:rPr>
                <w:rFonts w:hint="default" w:ascii="Times New Roman" w:hAnsi="Times New Roman" w:cs="Times New Roman"/>
                <w:szCs w:val="24"/>
                <w:u w:val="none" w:color="auto"/>
              </w:rPr>
              <w:t>的 2</w:t>
            </w:r>
            <w:r>
              <w:rPr>
                <w:rFonts w:hint="eastAsia" w:cs="Times New Roman"/>
                <w:szCs w:val="24"/>
                <w:u w:val="none" w:color="auto"/>
                <w:lang w:val="en-US" w:eastAsia="zh-CN"/>
              </w:rPr>
              <w:t>7</w:t>
            </w:r>
            <w:r>
              <w:rPr>
                <w:rFonts w:hint="default" w:ascii="Times New Roman" w:hAnsi="Times New Roman" w:cs="Times New Roman"/>
                <w:szCs w:val="24"/>
                <w:u w:val="none" w:color="auto"/>
              </w:rPr>
              <w:t>小类</w:t>
            </w:r>
            <w:r>
              <w:rPr>
                <w:rFonts w:hint="eastAsia" w:cs="Times New Roman"/>
                <w:szCs w:val="24"/>
                <w:u w:val="none" w:color="auto"/>
                <w:lang w:eastAsia="zh-CN"/>
              </w:rPr>
              <w:t>家具制造</w:t>
            </w:r>
            <w:r>
              <w:rPr>
                <w:rFonts w:hint="default" w:ascii="Times New Roman" w:hAnsi="Times New Roman" w:cs="Times New Roman"/>
                <w:szCs w:val="24"/>
                <w:u w:val="none" w:color="auto"/>
              </w:rPr>
              <w:t>，有电镀或喷漆工艺且年用油性漆量（含稀释剂）10 吨及以上的应编制报告书，其他应编制环境影响评价</w:t>
            </w:r>
            <w:r>
              <w:rPr>
                <w:rFonts w:hint="default" w:ascii="Times New Roman" w:hAnsi="Times New Roman" w:cs="Times New Roman"/>
                <w:color w:val="auto"/>
                <w:szCs w:val="24"/>
                <w:u w:val="none" w:color="auto"/>
              </w:rPr>
              <w:t>报告表。本项目</w:t>
            </w:r>
            <w:r>
              <w:rPr>
                <w:rFonts w:hint="eastAsia" w:cs="Times New Roman"/>
                <w:color w:val="auto"/>
                <w:szCs w:val="24"/>
                <w:u w:val="none" w:color="auto"/>
                <w:lang w:eastAsia="zh-CN"/>
              </w:rPr>
              <w:t>不</w:t>
            </w:r>
            <w:r>
              <w:rPr>
                <w:rFonts w:hint="default" w:ascii="Times New Roman" w:hAnsi="Times New Roman" w:cs="Times New Roman"/>
                <w:color w:val="auto"/>
                <w:szCs w:val="24"/>
                <w:u w:val="none" w:color="auto"/>
              </w:rPr>
              <w:t>含喷漆工艺，需编制环境影响评价报告表；为此，</w:t>
            </w:r>
            <w:r>
              <w:rPr>
                <w:rFonts w:hint="eastAsia" w:cs="Times New Roman"/>
                <w:color w:val="auto"/>
                <w:u w:val="none" w:color="auto"/>
                <w:lang w:eastAsia="zh-CN"/>
              </w:rPr>
              <w:t>湖南顺星办公家具有限公司</w:t>
            </w:r>
            <w:r>
              <w:rPr>
                <w:rFonts w:hint="default" w:ascii="Times New Roman" w:hAnsi="Times New Roman" w:cs="Times New Roman"/>
                <w:color w:val="auto"/>
                <w:szCs w:val="24"/>
                <w:u w:val="none" w:color="auto"/>
              </w:rPr>
              <w:t>委托</w:t>
            </w:r>
            <w:r>
              <w:rPr>
                <w:rFonts w:hint="eastAsia" w:cs="Times New Roman"/>
                <w:color w:val="auto"/>
                <w:szCs w:val="24"/>
                <w:u w:val="none" w:color="auto"/>
                <w:lang w:eastAsia="zh-CN"/>
              </w:rPr>
              <w:t>湖南智盛瀚海环保科技有限公司</w:t>
            </w:r>
            <w:r>
              <w:rPr>
                <w:rFonts w:hint="default" w:ascii="Times New Roman" w:hAnsi="Times New Roman" w:cs="Times New Roman"/>
                <w:color w:val="auto"/>
                <w:szCs w:val="24"/>
                <w:u w:val="none" w:color="auto"/>
              </w:rPr>
              <w:t>承</w:t>
            </w:r>
            <w:r>
              <w:rPr>
                <w:rFonts w:hint="default" w:ascii="Times New Roman" w:hAnsi="Times New Roman" w:cs="Times New Roman"/>
                <w:szCs w:val="24"/>
                <w:u w:val="none" w:color="auto"/>
              </w:rPr>
              <w:t>担了《</w:t>
            </w:r>
            <w:r>
              <w:rPr>
                <w:rFonts w:hint="eastAsia" w:cs="Times New Roman"/>
                <w:szCs w:val="24"/>
                <w:u w:val="none" w:color="auto"/>
                <w:lang w:eastAsia="zh-CN"/>
              </w:rPr>
              <w:t>湖南顺星办公家具有限公司年产5000套办公家具建设项目</w:t>
            </w:r>
            <w:r>
              <w:rPr>
                <w:rFonts w:hint="default" w:ascii="Times New Roman" w:hAnsi="Times New Roman" w:cs="Times New Roman"/>
                <w:szCs w:val="24"/>
                <w:u w:val="none" w:color="auto"/>
              </w:rPr>
              <w:t>》的环境影响评价工作</w:t>
            </w:r>
            <w:r>
              <w:rPr>
                <w:rFonts w:hint="default" w:ascii="Times New Roman" w:hAnsi="Times New Roman" w:cs="Times New Roman"/>
                <w:u w:val="none" w:color="auto"/>
              </w:rPr>
              <w:t>（委托书见附件1所示）</w:t>
            </w:r>
            <w:r>
              <w:rPr>
                <w:rFonts w:hint="default" w:ascii="Times New Roman" w:hAnsi="Times New Roman" w:cs="Times New Roman"/>
                <w:szCs w:val="24"/>
                <w:u w:val="none" w:color="auto"/>
              </w:rPr>
              <w:t>。接受委托后， 环评技术人员按照技术导则所规定原则、方法、内容和要求，通过现场踏勘，收集资料，走访调查，分析评价，在建设方提供的有关文件资料的基础上，编制了本环境影响报告表。</w:t>
            </w:r>
          </w:p>
          <w:p>
            <w:pPr>
              <w:snapToGrid w:val="0"/>
              <w:spacing w:line="360" w:lineRule="auto"/>
              <w:ind w:right="113" w:firstLine="482" w:firstLineChars="200"/>
              <w:rPr>
                <w:rFonts w:hint="default" w:ascii="Times New Roman" w:hAnsi="Times New Roman" w:cs="Times New Roman"/>
                <w:b/>
                <w:bCs/>
                <w:sz w:val="24"/>
                <w:szCs w:val="24"/>
                <w:u w:val="none" w:color="auto"/>
              </w:rPr>
            </w:pPr>
            <w:r>
              <w:rPr>
                <w:rFonts w:hint="eastAsia" w:cs="Times New Roman"/>
                <w:b/>
                <w:bCs/>
                <w:sz w:val="24"/>
                <w:szCs w:val="24"/>
                <w:u w:val="none" w:color="auto"/>
                <w:lang w:val="en-US" w:eastAsia="zh-CN"/>
              </w:rPr>
              <w:t>2</w:t>
            </w:r>
            <w:r>
              <w:rPr>
                <w:rFonts w:hint="default" w:ascii="Times New Roman" w:hAnsi="Times New Roman" w:cs="Times New Roman"/>
                <w:b/>
                <w:bCs/>
                <w:sz w:val="24"/>
                <w:szCs w:val="24"/>
                <w:u w:val="none" w:color="auto"/>
              </w:rPr>
              <w:t>. 项目概况</w:t>
            </w:r>
          </w:p>
          <w:p>
            <w:pPr>
              <w:pStyle w:val="174"/>
              <w:spacing w:line="384" w:lineRule="auto"/>
              <w:jc w:val="left"/>
              <w:rPr>
                <w:rFonts w:hint="default" w:ascii="Times New Roman" w:hAnsi="Times New Roman" w:cs="Times New Roman"/>
                <w:u w:val="none" w:color="auto"/>
              </w:rPr>
            </w:pPr>
            <w:r>
              <w:rPr>
                <w:rFonts w:hint="default" w:ascii="Times New Roman" w:hAnsi="Times New Roman" w:cs="Times New Roman"/>
                <w:u w:val="none" w:color="auto"/>
              </w:rPr>
              <w:t>（1）项目名称：</w:t>
            </w:r>
            <w:r>
              <w:rPr>
                <w:rFonts w:hint="eastAsia" w:cs="Times New Roman"/>
                <w:szCs w:val="24"/>
                <w:u w:val="none" w:color="auto"/>
                <w:lang w:eastAsia="zh-CN"/>
              </w:rPr>
              <w:t>年产5000套办公家具建设项目</w:t>
            </w:r>
            <w:r>
              <w:rPr>
                <w:rFonts w:hint="default" w:ascii="Times New Roman" w:hAnsi="Times New Roman" w:cs="Times New Roman"/>
                <w:u w:val="none" w:color="auto"/>
              </w:rPr>
              <w:t>；</w:t>
            </w:r>
          </w:p>
          <w:p>
            <w:pPr>
              <w:pStyle w:val="174"/>
              <w:spacing w:line="384" w:lineRule="auto"/>
              <w:jc w:val="left"/>
              <w:rPr>
                <w:rFonts w:hint="default" w:ascii="Times New Roman" w:hAnsi="Times New Roman" w:cs="Times New Roman"/>
                <w:u w:val="none" w:color="auto"/>
              </w:rPr>
            </w:pPr>
            <w:r>
              <w:rPr>
                <w:rFonts w:hint="default" w:ascii="Times New Roman" w:hAnsi="Times New Roman" w:cs="Times New Roman"/>
                <w:u w:val="none" w:color="auto"/>
              </w:rPr>
              <w:t>（2）建设单位：</w:t>
            </w:r>
            <w:r>
              <w:rPr>
                <w:rFonts w:hint="eastAsia" w:cs="Times New Roman"/>
                <w:u w:val="none" w:color="auto"/>
                <w:lang w:eastAsia="zh-CN"/>
              </w:rPr>
              <w:t>湖南顺星办公家具有限公司</w:t>
            </w:r>
            <w:r>
              <w:rPr>
                <w:rFonts w:hint="default" w:ascii="Times New Roman" w:hAnsi="Times New Roman" w:cs="Times New Roman"/>
                <w:u w:val="none" w:color="auto"/>
              </w:rPr>
              <w:t>；</w:t>
            </w:r>
          </w:p>
          <w:p>
            <w:pPr>
              <w:pStyle w:val="174"/>
              <w:spacing w:line="384" w:lineRule="auto"/>
              <w:jc w:val="left"/>
              <w:rPr>
                <w:rFonts w:hint="default" w:ascii="Times New Roman" w:hAnsi="Times New Roman" w:cs="Times New Roman"/>
                <w:u w:val="none" w:color="auto"/>
              </w:rPr>
            </w:pPr>
            <w:r>
              <w:rPr>
                <w:rFonts w:hint="default" w:ascii="Times New Roman" w:hAnsi="Times New Roman" w:cs="Times New Roman"/>
                <w:u w:val="none" w:color="auto"/>
              </w:rPr>
              <w:t>（3）建设地点：</w:t>
            </w:r>
            <w:r>
              <w:rPr>
                <w:rFonts w:hint="eastAsia" w:cs="Times New Roman"/>
                <w:u w:val="none" w:color="auto"/>
                <w:lang w:eastAsia="zh-CN"/>
              </w:rPr>
              <w:t>湘阴县石塘乡高山村红星组</w:t>
            </w:r>
            <w:r>
              <w:rPr>
                <w:rFonts w:hint="default" w:ascii="Times New Roman" w:hAnsi="Times New Roman" w:cs="Times New Roman"/>
                <w:u w:val="none" w:color="auto"/>
              </w:rPr>
              <w:t>；</w:t>
            </w:r>
          </w:p>
          <w:p>
            <w:pPr>
              <w:pStyle w:val="174"/>
              <w:spacing w:line="384" w:lineRule="auto"/>
              <w:jc w:val="left"/>
              <w:rPr>
                <w:rFonts w:hint="default" w:ascii="Times New Roman" w:hAnsi="Times New Roman" w:cs="Times New Roman"/>
                <w:u w:val="none" w:color="auto"/>
              </w:rPr>
            </w:pPr>
            <w:r>
              <w:rPr>
                <w:rFonts w:hint="default" w:ascii="Times New Roman" w:hAnsi="Times New Roman" w:cs="Times New Roman"/>
                <w:u w:val="none" w:color="auto"/>
              </w:rPr>
              <w:t>（4）项目性质：新建</w:t>
            </w:r>
            <w:r>
              <w:rPr>
                <w:rFonts w:hint="eastAsia" w:cs="Times New Roman"/>
                <w:u w:val="none" w:color="auto"/>
                <w:lang w:eastAsia="zh-CN"/>
              </w:rPr>
              <w:t>（补办）</w:t>
            </w:r>
            <w:r>
              <w:rPr>
                <w:rFonts w:hint="default" w:ascii="Times New Roman" w:hAnsi="Times New Roman" w:cs="Times New Roman"/>
                <w:u w:val="none" w:color="auto"/>
              </w:rPr>
              <w:t>；</w:t>
            </w:r>
          </w:p>
          <w:p>
            <w:pPr>
              <w:pStyle w:val="174"/>
              <w:spacing w:line="384" w:lineRule="auto"/>
              <w:jc w:val="left"/>
              <w:rPr>
                <w:rFonts w:hint="default" w:ascii="Times New Roman" w:hAnsi="Times New Roman" w:cs="Times New Roman"/>
                <w:color w:val="auto"/>
                <w:u w:val="none" w:color="auto"/>
              </w:rPr>
            </w:pPr>
            <w:r>
              <w:rPr>
                <w:rFonts w:hint="default" w:ascii="Times New Roman" w:hAnsi="Times New Roman" w:cs="Times New Roman"/>
                <w:u w:val="none" w:color="auto"/>
              </w:rPr>
              <w:t>（5）建设规模：项目总占地面积约</w:t>
            </w:r>
            <w:r>
              <w:rPr>
                <w:rFonts w:hint="eastAsia" w:cs="Times New Roman"/>
                <w:u w:val="none" w:color="auto"/>
                <w:lang w:val="en-US" w:eastAsia="zh-CN"/>
              </w:rPr>
              <w:t>1500</w:t>
            </w:r>
            <w:r>
              <w:rPr>
                <w:rFonts w:hint="default" w:ascii="Times New Roman" w:hAnsi="Times New Roman" w:cs="Times New Roman"/>
                <w:u w:val="none" w:color="auto"/>
              </w:rPr>
              <w:t>m</w:t>
            </w:r>
            <w:r>
              <w:rPr>
                <w:rFonts w:hint="default" w:ascii="Times New Roman" w:hAnsi="Times New Roman" w:cs="Times New Roman"/>
                <w:u w:val="none" w:color="auto"/>
                <w:vertAlign w:val="superscript"/>
              </w:rPr>
              <w:t>2</w:t>
            </w:r>
            <w:r>
              <w:rPr>
                <w:rFonts w:hint="default" w:ascii="Times New Roman" w:hAnsi="Times New Roman" w:cs="Times New Roman"/>
                <w:u w:val="none" w:color="auto"/>
              </w:rPr>
              <w:t>。</w:t>
            </w:r>
          </w:p>
          <w:p>
            <w:pPr>
              <w:pStyle w:val="174"/>
              <w:spacing w:line="384" w:lineRule="auto"/>
              <w:jc w:val="left"/>
              <w:rPr>
                <w:rFonts w:hint="default" w:ascii="Times New Roman" w:hAnsi="Times New Roman" w:cs="Times New Roman"/>
                <w:color w:val="0000FF"/>
                <w:u w:val="none" w:color="auto"/>
              </w:rPr>
            </w:pPr>
            <w:r>
              <w:rPr>
                <w:rFonts w:hint="default" w:ascii="Times New Roman" w:hAnsi="Times New Roman" w:cs="Times New Roman"/>
                <w:color w:val="auto"/>
                <w:u w:val="none" w:color="auto"/>
              </w:rPr>
              <w:t>（6）总投资：</w:t>
            </w:r>
            <w:r>
              <w:rPr>
                <w:rFonts w:hint="eastAsia" w:cs="Times New Roman"/>
                <w:color w:val="auto"/>
                <w:u w:val="none" w:color="auto"/>
                <w:lang w:val="en-US" w:eastAsia="zh-CN"/>
              </w:rPr>
              <w:t>40万元</w:t>
            </w:r>
            <w:r>
              <w:rPr>
                <w:rFonts w:hint="default" w:ascii="Times New Roman" w:hAnsi="Times New Roman" w:cs="Times New Roman"/>
                <w:color w:val="auto"/>
                <w:u w:val="none" w:color="auto"/>
              </w:rPr>
              <w:t>，其中环保投资</w:t>
            </w:r>
            <w:r>
              <w:rPr>
                <w:rFonts w:hint="eastAsia" w:cs="Times New Roman"/>
                <w:color w:val="auto"/>
                <w:u w:val="none" w:color="auto"/>
                <w:lang w:val="en-US" w:eastAsia="zh-CN"/>
              </w:rPr>
              <w:t>7.0</w:t>
            </w:r>
            <w:r>
              <w:rPr>
                <w:rFonts w:hint="default" w:ascii="Times New Roman" w:hAnsi="Times New Roman" w:cs="Times New Roman"/>
                <w:color w:val="auto"/>
                <w:u w:val="none" w:color="auto"/>
              </w:rPr>
              <w:t>万。</w:t>
            </w:r>
          </w:p>
          <w:p>
            <w:pPr>
              <w:pStyle w:val="174"/>
              <w:spacing w:line="384" w:lineRule="auto"/>
              <w:jc w:val="left"/>
              <w:rPr>
                <w:rFonts w:hint="default" w:ascii="Times New Roman" w:hAnsi="Times New Roman" w:cs="Times New Roman"/>
                <w:b/>
                <w:u w:val="none" w:color="auto"/>
              </w:rPr>
            </w:pPr>
            <w:r>
              <w:rPr>
                <w:rFonts w:hint="default" w:ascii="Times New Roman" w:hAnsi="Times New Roman" w:cs="Times New Roman"/>
                <w:u w:val="none" w:color="auto"/>
              </w:rPr>
              <w:t>（7）劳动定员：厂区员工人数</w:t>
            </w:r>
            <w:r>
              <w:rPr>
                <w:rFonts w:hint="eastAsia" w:cs="Times New Roman"/>
                <w:u w:val="none" w:color="auto"/>
                <w:lang w:val="en-US" w:eastAsia="zh-CN"/>
              </w:rPr>
              <w:t>8</w:t>
            </w:r>
            <w:r>
              <w:rPr>
                <w:rFonts w:hint="default" w:ascii="Times New Roman" w:hAnsi="Times New Roman" w:cs="Times New Roman"/>
                <w:u w:val="none" w:color="auto"/>
              </w:rPr>
              <w:t>人</w:t>
            </w:r>
            <w:r>
              <w:rPr>
                <w:rFonts w:hint="default" w:ascii="Times New Roman" w:hAnsi="Times New Roman" w:cs="Times New Roman"/>
                <w:u w:val="none" w:color="auto"/>
                <w:lang w:eastAsia="zh-CN"/>
              </w:rPr>
              <w:t>，均不在厂内食宿</w:t>
            </w:r>
            <w:r>
              <w:rPr>
                <w:rFonts w:hint="default" w:ascii="Times New Roman" w:hAnsi="Times New Roman" w:cs="Times New Roman"/>
                <w:u w:val="none" w:color="auto"/>
              </w:rPr>
              <w:t>，年工作时间为300天，每天工作8小时。</w:t>
            </w:r>
          </w:p>
          <w:p>
            <w:pPr>
              <w:pStyle w:val="37"/>
              <w:spacing w:before="0" w:beforeLines="0"/>
              <w:ind w:firstLine="482"/>
              <w:rPr>
                <w:rFonts w:hint="default" w:ascii="Times New Roman" w:hAnsi="Times New Roman" w:cs="Times New Roman"/>
                <w:b/>
                <w:u w:val="single" w:color="auto"/>
              </w:rPr>
            </w:pPr>
            <w:r>
              <w:rPr>
                <w:rFonts w:hint="eastAsia" w:cs="Times New Roman"/>
                <w:b/>
                <w:u w:val="single" w:color="auto"/>
                <w:lang w:val="en-US" w:eastAsia="zh-CN"/>
              </w:rPr>
              <w:t>3</w:t>
            </w:r>
            <w:r>
              <w:rPr>
                <w:rFonts w:hint="default" w:ascii="Times New Roman" w:hAnsi="Times New Roman" w:cs="Times New Roman"/>
                <w:b/>
                <w:u w:val="single" w:color="auto"/>
              </w:rPr>
              <w:t>、主要建设内容及规模</w:t>
            </w:r>
          </w:p>
          <w:p>
            <w:pPr>
              <w:snapToGrid w:val="0"/>
              <w:spacing w:line="360" w:lineRule="auto"/>
              <w:ind w:firstLine="470" w:firstLineChars="196"/>
              <w:rPr>
                <w:rFonts w:hint="default" w:ascii="Times New Roman" w:hAnsi="Times New Roman" w:cs="Times New Roman"/>
                <w:bCs/>
                <w:sz w:val="24"/>
                <w:u w:val="single" w:color="auto"/>
              </w:rPr>
            </w:pPr>
            <w:r>
              <w:rPr>
                <w:rFonts w:hint="default" w:ascii="Times New Roman" w:hAnsi="Times New Roman" w:cs="Times New Roman"/>
                <w:bCs/>
                <w:sz w:val="24"/>
                <w:u w:val="single" w:color="auto"/>
              </w:rPr>
              <w:t>本项目选址于</w:t>
            </w:r>
            <w:r>
              <w:rPr>
                <w:rFonts w:hint="eastAsia" w:cs="Times New Roman"/>
                <w:sz w:val="24"/>
                <w:szCs w:val="24"/>
                <w:u w:val="single" w:color="auto"/>
                <w:lang w:eastAsia="zh-CN"/>
              </w:rPr>
              <w:t>湘阴县石塘乡高山村红星组</w:t>
            </w:r>
            <w:r>
              <w:rPr>
                <w:rFonts w:hint="default" w:ascii="Times New Roman" w:hAnsi="Times New Roman" w:cs="Times New Roman"/>
                <w:bCs/>
                <w:sz w:val="24"/>
                <w:u w:val="single" w:color="auto"/>
              </w:rPr>
              <w:t>，租赁</w:t>
            </w:r>
            <w:r>
              <w:rPr>
                <w:rFonts w:hint="eastAsia" w:cs="Times New Roman"/>
                <w:bCs/>
                <w:sz w:val="24"/>
                <w:u w:val="single" w:color="auto"/>
                <w:lang w:eastAsia="zh-CN"/>
              </w:rPr>
              <w:t>厂房</w:t>
            </w:r>
            <w:r>
              <w:rPr>
                <w:rFonts w:hint="default" w:ascii="Times New Roman" w:hAnsi="Times New Roman" w:cs="Times New Roman"/>
                <w:bCs/>
                <w:sz w:val="24"/>
                <w:u w:val="single" w:color="auto"/>
              </w:rPr>
              <w:t>进行</w:t>
            </w:r>
            <w:r>
              <w:rPr>
                <w:rFonts w:hint="eastAsia" w:cs="Times New Roman"/>
                <w:sz w:val="24"/>
                <w:u w:val="single" w:color="auto"/>
                <w:lang w:eastAsia="zh-CN"/>
              </w:rPr>
              <w:t>办公家具</w:t>
            </w:r>
            <w:r>
              <w:rPr>
                <w:rFonts w:hint="default" w:ascii="Times New Roman" w:hAnsi="Times New Roman" w:cs="Times New Roman"/>
                <w:sz w:val="24"/>
                <w:u w:val="single" w:color="auto"/>
              </w:rPr>
              <w:t>生产，</w:t>
            </w:r>
            <w:r>
              <w:rPr>
                <w:rFonts w:hint="default" w:ascii="Times New Roman" w:hAnsi="Times New Roman" w:cs="Times New Roman"/>
                <w:sz w:val="24"/>
                <w:u w:val="single" w:color="auto"/>
                <w:lang w:eastAsia="zh-CN"/>
              </w:rPr>
              <w:t>年产</w:t>
            </w:r>
            <w:r>
              <w:rPr>
                <w:rFonts w:hint="eastAsia" w:cs="Times New Roman"/>
                <w:sz w:val="24"/>
                <w:u w:val="single" w:color="auto"/>
                <w:lang w:eastAsia="zh-CN"/>
              </w:rPr>
              <w:t>办公家具</w:t>
            </w:r>
            <w:r>
              <w:rPr>
                <w:rFonts w:hint="eastAsia" w:cs="Times New Roman"/>
                <w:sz w:val="24"/>
                <w:u w:val="single" w:color="auto"/>
                <w:lang w:val="en-US" w:eastAsia="zh-CN"/>
              </w:rPr>
              <w:t>50</w:t>
            </w:r>
            <w:r>
              <w:rPr>
                <w:rFonts w:hint="default" w:ascii="Times New Roman" w:hAnsi="Times New Roman" w:cs="Times New Roman"/>
                <w:sz w:val="24"/>
                <w:u w:val="single" w:color="auto"/>
                <w:lang w:eastAsia="zh-CN"/>
              </w:rPr>
              <w:t>00套</w:t>
            </w:r>
            <w:r>
              <w:rPr>
                <w:rFonts w:hint="default" w:ascii="Times New Roman" w:hAnsi="Times New Roman" w:cs="Times New Roman"/>
                <w:sz w:val="24"/>
                <w:u w:val="single" w:color="auto"/>
              </w:rPr>
              <w:t>。</w:t>
            </w:r>
            <w:r>
              <w:rPr>
                <w:rFonts w:hint="default" w:ascii="Times New Roman" w:hAnsi="Times New Roman" w:cs="Times New Roman"/>
                <w:bCs/>
                <w:sz w:val="24"/>
                <w:u w:val="single" w:color="auto"/>
              </w:rPr>
              <w:t>项目具体建设内容如表1-1所示：</w:t>
            </w:r>
          </w:p>
          <w:p>
            <w:pPr>
              <w:adjustRightInd w:val="0"/>
              <w:snapToGrid w:val="0"/>
              <w:jc w:val="center"/>
              <w:rPr>
                <w:rFonts w:hint="default" w:ascii="Times New Roman" w:hAnsi="Times New Roman" w:cs="Times New Roman"/>
                <w:b/>
                <w:sz w:val="24"/>
                <w:szCs w:val="24"/>
                <w:u w:val="single" w:color="auto"/>
              </w:rPr>
            </w:pPr>
            <w:r>
              <w:rPr>
                <w:rFonts w:hint="default" w:ascii="Times New Roman" w:hAnsi="Times New Roman" w:cs="Times New Roman"/>
                <w:b/>
                <w:sz w:val="24"/>
                <w:szCs w:val="24"/>
                <w:u w:val="single" w:color="auto"/>
              </w:rPr>
              <w:t>表1-1  项目组成一览表</w:t>
            </w:r>
          </w:p>
          <w:tbl>
            <w:tblPr>
              <w:tblStyle w:val="39"/>
              <w:tblW w:w="90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97"/>
              <w:gridCol w:w="1406"/>
              <w:gridCol w:w="4261"/>
              <w:gridCol w:w="29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1903" w:type="dxa"/>
                  <w:gridSpan w:val="2"/>
                  <w:vAlign w:val="center"/>
                </w:tcPr>
                <w:p>
                  <w:pPr>
                    <w:adjustRightInd w:val="0"/>
                    <w:snapToGrid w:val="0"/>
                    <w:spacing w:line="360" w:lineRule="auto"/>
                    <w:jc w:val="center"/>
                    <w:rPr>
                      <w:rFonts w:hint="default" w:ascii="Times New Roman" w:hAnsi="Times New Roman" w:eastAsia="宋体" w:cs="Times New Roman"/>
                      <w:b/>
                      <w:sz w:val="24"/>
                      <w:szCs w:val="24"/>
                      <w:u w:val="single" w:color="auto"/>
                    </w:rPr>
                  </w:pPr>
                  <w:r>
                    <w:rPr>
                      <w:rFonts w:hint="default" w:ascii="Times New Roman" w:hAnsi="Times New Roman" w:eastAsia="宋体" w:cs="Times New Roman"/>
                      <w:b/>
                      <w:sz w:val="24"/>
                      <w:szCs w:val="24"/>
                      <w:u w:val="single" w:color="auto"/>
                    </w:rPr>
                    <w:t>建设项目</w:t>
                  </w:r>
                </w:p>
              </w:tc>
              <w:tc>
                <w:tcPr>
                  <w:tcW w:w="4261" w:type="dxa"/>
                  <w:vAlign w:val="center"/>
                </w:tcPr>
                <w:p>
                  <w:pPr>
                    <w:adjustRightInd w:val="0"/>
                    <w:snapToGrid w:val="0"/>
                    <w:spacing w:line="360" w:lineRule="auto"/>
                    <w:jc w:val="center"/>
                    <w:rPr>
                      <w:rFonts w:hint="default" w:ascii="Times New Roman" w:hAnsi="Times New Roman" w:eastAsia="宋体" w:cs="Times New Roman"/>
                      <w:b/>
                      <w:sz w:val="24"/>
                      <w:szCs w:val="24"/>
                      <w:u w:val="single" w:color="auto"/>
                    </w:rPr>
                  </w:pPr>
                  <w:r>
                    <w:rPr>
                      <w:rFonts w:hint="default" w:ascii="Times New Roman" w:hAnsi="Times New Roman" w:eastAsia="宋体" w:cs="Times New Roman"/>
                      <w:b/>
                      <w:sz w:val="24"/>
                      <w:szCs w:val="24"/>
                      <w:u w:val="single" w:color="auto"/>
                    </w:rPr>
                    <w:t>建设内容</w:t>
                  </w:r>
                </w:p>
              </w:tc>
              <w:tc>
                <w:tcPr>
                  <w:tcW w:w="2904" w:type="dxa"/>
                  <w:vAlign w:val="center"/>
                </w:tcPr>
                <w:p>
                  <w:pPr>
                    <w:adjustRightInd w:val="0"/>
                    <w:snapToGrid w:val="0"/>
                    <w:spacing w:line="360" w:lineRule="auto"/>
                    <w:jc w:val="center"/>
                    <w:rPr>
                      <w:rFonts w:hint="eastAsia" w:ascii="Times New Roman" w:hAnsi="Times New Roman" w:eastAsia="宋体" w:cs="Times New Roman"/>
                      <w:b/>
                      <w:sz w:val="24"/>
                      <w:szCs w:val="24"/>
                      <w:u w:val="single" w:color="auto"/>
                      <w:lang w:eastAsia="zh-CN"/>
                    </w:rPr>
                  </w:pPr>
                  <w:r>
                    <w:rPr>
                      <w:rFonts w:hint="eastAsia" w:cs="Times New Roman"/>
                      <w:b/>
                      <w:sz w:val="24"/>
                      <w:szCs w:val="24"/>
                      <w:u w:val="single" w:color="auto"/>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25" w:hRule="atLeast"/>
                <w:jc w:val="center"/>
              </w:trPr>
              <w:tc>
                <w:tcPr>
                  <w:tcW w:w="1903" w:type="dxa"/>
                  <w:gridSpan w:val="2"/>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主体工程</w:t>
                  </w:r>
                </w:p>
              </w:tc>
              <w:tc>
                <w:tcPr>
                  <w:tcW w:w="4261" w:type="dxa"/>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总建筑面积</w:t>
                  </w:r>
                  <w:r>
                    <w:rPr>
                      <w:rFonts w:hint="eastAsia" w:cs="Times New Roman"/>
                      <w:bCs/>
                      <w:sz w:val="24"/>
                      <w:szCs w:val="24"/>
                      <w:u w:val="single" w:color="auto"/>
                      <w:lang w:val="en-US" w:eastAsia="zh-CN"/>
                    </w:rPr>
                    <w:t>15</w:t>
                  </w:r>
                  <w:r>
                    <w:rPr>
                      <w:rFonts w:hint="default" w:ascii="Times New Roman" w:hAnsi="Times New Roman" w:eastAsia="宋体" w:cs="Times New Roman"/>
                      <w:bCs/>
                      <w:sz w:val="24"/>
                      <w:szCs w:val="24"/>
                      <w:u w:val="single" w:color="auto"/>
                      <w:lang w:eastAsia="zh-CN"/>
                    </w:rPr>
                    <w:t>00</w:t>
                  </w:r>
                  <w:r>
                    <w:rPr>
                      <w:rFonts w:hint="default" w:ascii="Times New Roman" w:hAnsi="Times New Roman" w:eastAsia="宋体" w:cs="Times New Roman"/>
                      <w:bCs/>
                      <w:sz w:val="24"/>
                      <w:szCs w:val="24"/>
                      <w:u w:val="single" w:color="auto"/>
                    </w:rPr>
                    <w:t>m</w:t>
                  </w:r>
                  <w:r>
                    <w:rPr>
                      <w:rFonts w:hint="default" w:ascii="Times New Roman" w:hAnsi="Times New Roman" w:eastAsia="宋体" w:cs="Times New Roman"/>
                      <w:bCs/>
                      <w:sz w:val="24"/>
                      <w:szCs w:val="24"/>
                      <w:u w:val="single" w:color="auto"/>
                      <w:vertAlign w:val="superscript"/>
                    </w:rPr>
                    <w:t>2</w:t>
                  </w:r>
                  <w:r>
                    <w:rPr>
                      <w:rFonts w:hint="default" w:ascii="Times New Roman" w:hAnsi="Times New Roman" w:eastAsia="宋体" w:cs="Times New Roman"/>
                      <w:bCs/>
                      <w:sz w:val="24"/>
                      <w:szCs w:val="24"/>
                      <w:u w:val="single" w:color="auto"/>
                    </w:rPr>
                    <w:t>，一层，生产车间布置1条生产线。分为</w:t>
                  </w:r>
                  <w:r>
                    <w:rPr>
                      <w:rFonts w:hint="eastAsia" w:cs="Times New Roman"/>
                      <w:bCs/>
                      <w:sz w:val="24"/>
                      <w:szCs w:val="24"/>
                      <w:u w:val="single" w:color="auto"/>
                      <w:lang w:eastAsia="zh-CN"/>
                    </w:rPr>
                    <w:t>机压区、封边、打包</w:t>
                  </w:r>
                  <w:r>
                    <w:rPr>
                      <w:rFonts w:hint="default" w:ascii="Times New Roman" w:hAnsi="Times New Roman" w:eastAsia="宋体" w:cs="Times New Roman"/>
                      <w:bCs/>
                      <w:sz w:val="24"/>
                      <w:szCs w:val="24"/>
                      <w:u w:val="single" w:color="auto"/>
                    </w:rPr>
                    <w:t>、原料堆存区</w:t>
                  </w:r>
                  <w:r>
                    <w:rPr>
                      <w:rFonts w:hint="eastAsia" w:cs="Times New Roman"/>
                      <w:bCs/>
                      <w:sz w:val="24"/>
                      <w:szCs w:val="24"/>
                      <w:u w:val="single" w:color="auto"/>
                      <w:lang w:eastAsia="zh-CN"/>
                    </w:rPr>
                    <w:t>、成品区、办公区、下料、钻孔、切割区</w:t>
                  </w:r>
                  <w:r>
                    <w:rPr>
                      <w:rFonts w:hint="default" w:ascii="Times New Roman" w:hAnsi="Times New Roman" w:eastAsia="宋体" w:cs="Times New Roman"/>
                      <w:bCs/>
                      <w:sz w:val="24"/>
                      <w:szCs w:val="24"/>
                      <w:u w:val="single" w:color="auto"/>
                    </w:rPr>
                    <w:t>等</w:t>
                  </w:r>
                </w:p>
              </w:tc>
              <w:tc>
                <w:tcPr>
                  <w:tcW w:w="2904" w:type="dxa"/>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lang w:val="en-US" w:eastAsia="zh-CN"/>
                    </w:rPr>
                  </w:pPr>
                  <w:r>
                    <w:rPr>
                      <w:rFonts w:hint="eastAsia" w:cs="Times New Roman"/>
                      <w:bCs/>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497" w:type="dxa"/>
                  <w:vMerge w:val="restart"/>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公用工程</w:t>
                  </w:r>
                </w:p>
              </w:tc>
              <w:tc>
                <w:tcPr>
                  <w:tcW w:w="1406" w:type="dxa"/>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供电系统</w:t>
                  </w:r>
                </w:p>
              </w:tc>
              <w:tc>
                <w:tcPr>
                  <w:tcW w:w="4261" w:type="dxa"/>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使用</w:t>
                  </w:r>
                  <w:r>
                    <w:rPr>
                      <w:rFonts w:hint="eastAsia" w:cs="Times New Roman"/>
                      <w:bCs/>
                      <w:sz w:val="24"/>
                      <w:szCs w:val="24"/>
                      <w:u w:val="single" w:color="auto"/>
                      <w:lang w:eastAsia="zh-CN"/>
                    </w:rPr>
                    <w:t>国家</w:t>
                  </w:r>
                  <w:r>
                    <w:rPr>
                      <w:rFonts w:hint="default" w:ascii="Times New Roman" w:hAnsi="Times New Roman" w:eastAsia="宋体" w:cs="Times New Roman"/>
                      <w:bCs/>
                      <w:sz w:val="24"/>
                      <w:szCs w:val="24"/>
                      <w:u w:val="single" w:color="auto"/>
                    </w:rPr>
                    <w:t>供电系统</w:t>
                  </w:r>
                </w:p>
              </w:tc>
              <w:tc>
                <w:tcPr>
                  <w:tcW w:w="2904" w:type="dxa"/>
                  <w:vAlign w:val="center"/>
                </w:tcPr>
                <w:p>
                  <w:pPr>
                    <w:adjustRightInd w:val="0"/>
                    <w:snapToGrid w:val="0"/>
                    <w:spacing w:line="360" w:lineRule="auto"/>
                    <w:jc w:val="center"/>
                    <w:rPr>
                      <w:rFonts w:hint="eastAsia" w:ascii="Times New Roman" w:hAnsi="Times New Roman" w:eastAsia="宋体" w:cs="Times New Roman"/>
                      <w:bCs/>
                      <w:sz w:val="24"/>
                      <w:szCs w:val="24"/>
                      <w:u w:val="single" w:color="auto"/>
                      <w:lang w:val="en-US" w:eastAsia="zh-CN"/>
                    </w:rPr>
                  </w:pPr>
                  <w:r>
                    <w:rPr>
                      <w:rFonts w:hint="eastAsia" w:cs="Times New Roman"/>
                      <w:bCs/>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497" w:type="dxa"/>
                  <w:vMerge w:val="continue"/>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p>
              </w:tc>
              <w:tc>
                <w:tcPr>
                  <w:tcW w:w="1406" w:type="dxa"/>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给水系统</w:t>
                  </w:r>
                </w:p>
              </w:tc>
              <w:tc>
                <w:tcPr>
                  <w:tcW w:w="4261" w:type="dxa"/>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市政给水管网给水</w:t>
                  </w:r>
                </w:p>
              </w:tc>
              <w:tc>
                <w:tcPr>
                  <w:tcW w:w="2904" w:type="dxa"/>
                  <w:vAlign w:val="center"/>
                </w:tcPr>
                <w:p>
                  <w:pPr>
                    <w:adjustRightInd w:val="0"/>
                    <w:snapToGrid w:val="0"/>
                    <w:spacing w:line="360" w:lineRule="auto"/>
                    <w:jc w:val="center"/>
                    <w:rPr>
                      <w:rFonts w:hint="eastAsia" w:ascii="Times New Roman" w:hAnsi="Times New Roman" w:eastAsia="宋体" w:cs="Times New Roman"/>
                      <w:bCs/>
                      <w:sz w:val="24"/>
                      <w:szCs w:val="24"/>
                      <w:u w:val="single" w:color="auto"/>
                      <w:lang w:val="en-US" w:eastAsia="zh-CN"/>
                    </w:rPr>
                  </w:pPr>
                  <w:r>
                    <w:rPr>
                      <w:rFonts w:hint="eastAsia" w:cs="Times New Roman"/>
                      <w:bCs/>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497" w:type="dxa"/>
                  <w:vMerge w:val="continue"/>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p>
              </w:tc>
              <w:tc>
                <w:tcPr>
                  <w:tcW w:w="1406" w:type="dxa"/>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排水系统</w:t>
                  </w:r>
                </w:p>
              </w:tc>
              <w:tc>
                <w:tcPr>
                  <w:tcW w:w="4261" w:type="dxa"/>
                  <w:vAlign w:val="center"/>
                </w:tcPr>
                <w:p>
                  <w:pPr>
                    <w:adjustRightInd w:val="0"/>
                    <w:snapToGrid w:val="0"/>
                    <w:spacing w:line="360" w:lineRule="auto"/>
                    <w:jc w:val="center"/>
                    <w:rPr>
                      <w:rFonts w:hint="eastAsia" w:ascii="Times New Roman" w:hAnsi="Times New Roman" w:eastAsia="宋体" w:cs="Times New Roman"/>
                      <w:bCs/>
                      <w:sz w:val="24"/>
                      <w:szCs w:val="24"/>
                      <w:u w:val="single" w:color="auto"/>
                      <w:lang w:val="en-US" w:eastAsia="zh-CN"/>
                    </w:rPr>
                  </w:pPr>
                  <w:r>
                    <w:rPr>
                      <w:rFonts w:hint="default" w:ascii="Times New Roman" w:hAnsi="Times New Roman" w:eastAsia="宋体" w:cs="Times New Roman"/>
                      <w:sz w:val="24"/>
                      <w:szCs w:val="24"/>
                      <w:u w:val="single" w:color="auto"/>
                    </w:rPr>
                    <w:t>雨污分流</w:t>
                  </w:r>
                </w:p>
              </w:tc>
              <w:tc>
                <w:tcPr>
                  <w:tcW w:w="2904" w:type="dxa"/>
                  <w:vAlign w:val="center"/>
                </w:tcPr>
                <w:p>
                  <w:pPr>
                    <w:adjustRightInd w:val="0"/>
                    <w:snapToGrid w:val="0"/>
                    <w:spacing w:line="360" w:lineRule="auto"/>
                    <w:jc w:val="center"/>
                    <w:rPr>
                      <w:rFonts w:hint="default" w:ascii="Times New Roman" w:hAnsi="Times New Roman" w:eastAsia="宋体" w:cs="Times New Roman"/>
                      <w:sz w:val="24"/>
                      <w:szCs w:val="24"/>
                      <w:u w:val="single" w:color="auto"/>
                      <w:lang w:val="en-US" w:eastAsia="zh-CN"/>
                    </w:rPr>
                  </w:pPr>
                  <w:r>
                    <w:rPr>
                      <w:rFonts w:hint="eastAsia" w:cs="Times New Roman"/>
                      <w:bCs/>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497" w:type="dxa"/>
                  <w:vMerge w:val="restart"/>
                  <w:tcBorders>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环保工程</w:t>
                  </w:r>
                </w:p>
              </w:tc>
              <w:tc>
                <w:tcPr>
                  <w:tcW w:w="1406" w:type="dxa"/>
                  <w:tcBorders>
                    <w:left w:val="single" w:color="auto" w:sz="4" w:space="0"/>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废水</w:t>
                  </w:r>
                </w:p>
              </w:tc>
              <w:tc>
                <w:tcPr>
                  <w:tcW w:w="4261" w:type="dxa"/>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sz w:val="24"/>
                      <w:szCs w:val="24"/>
                      <w:u w:val="single" w:color="auto"/>
                    </w:rPr>
                    <w:t>生活废水经化粪池预处理后</w:t>
                  </w:r>
                  <w:r>
                    <w:rPr>
                      <w:rFonts w:hint="default" w:ascii="Times New Roman" w:hAnsi="Times New Roman" w:eastAsia="宋体" w:cs="Times New Roman"/>
                      <w:sz w:val="24"/>
                      <w:szCs w:val="24"/>
                      <w:u w:val="single" w:color="auto"/>
                      <w:lang w:eastAsia="zh-CN"/>
                    </w:rPr>
                    <w:t>回用于周边绿化施肥</w:t>
                  </w:r>
                </w:p>
              </w:tc>
              <w:tc>
                <w:tcPr>
                  <w:tcW w:w="2904" w:type="dxa"/>
                  <w:vAlign w:val="center"/>
                </w:tcPr>
                <w:p>
                  <w:pPr>
                    <w:adjustRightInd w:val="0"/>
                    <w:snapToGrid w:val="0"/>
                    <w:spacing w:line="360" w:lineRule="auto"/>
                    <w:jc w:val="center"/>
                    <w:rPr>
                      <w:rFonts w:hint="eastAsia" w:ascii="Times New Roman" w:hAnsi="Times New Roman" w:eastAsia="宋体" w:cs="Times New Roman"/>
                      <w:sz w:val="24"/>
                      <w:szCs w:val="24"/>
                      <w:u w:val="single" w:color="auto"/>
                      <w:lang w:val="en-US" w:eastAsia="zh-CN"/>
                    </w:rPr>
                  </w:pPr>
                  <w:r>
                    <w:rPr>
                      <w:rFonts w:hint="eastAsia" w:cs="Times New Roman"/>
                      <w:bCs/>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97" w:type="dxa"/>
                  <w:vMerge w:val="continue"/>
                  <w:tcBorders>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p>
              </w:tc>
              <w:tc>
                <w:tcPr>
                  <w:tcW w:w="1406" w:type="dxa"/>
                  <w:tcBorders>
                    <w:left w:val="single" w:color="auto" w:sz="4" w:space="0"/>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噪声</w:t>
                  </w:r>
                </w:p>
              </w:tc>
              <w:tc>
                <w:tcPr>
                  <w:tcW w:w="4261" w:type="dxa"/>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合理布局，</w:t>
                  </w:r>
                  <w:r>
                    <w:rPr>
                      <w:rFonts w:hint="default" w:ascii="Times New Roman" w:hAnsi="Times New Roman" w:eastAsia="宋体" w:cs="Times New Roman"/>
                      <w:sz w:val="24"/>
                      <w:szCs w:val="24"/>
                      <w:u w:val="single" w:color="auto"/>
                    </w:rPr>
                    <w:t>对高噪设备采取隔声、减振措施进行处理</w:t>
                  </w:r>
                </w:p>
              </w:tc>
              <w:tc>
                <w:tcPr>
                  <w:tcW w:w="2904" w:type="dxa"/>
                  <w:vAlign w:val="center"/>
                </w:tcPr>
                <w:p>
                  <w:pPr>
                    <w:adjustRightInd w:val="0"/>
                    <w:snapToGrid w:val="0"/>
                    <w:spacing w:line="360" w:lineRule="auto"/>
                    <w:jc w:val="center"/>
                    <w:rPr>
                      <w:rFonts w:hint="eastAsia" w:ascii="Times New Roman" w:hAnsi="Times New Roman" w:eastAsia="宋体" w:cs="Times New Roman"/>
                      <w:bCs/>
                      <w:sz w:val="24"/>
                      <w:szCs w:val="24"/>
                      <w:u w:val="single" w:color="auto"/>
                      <w:lang w:val="en-US" w:eastAsia="zh-CN"/>
                    </w:rPr>
                  </w:pPr>
                  <w:r>
                    <w:rPr>
                      <w:rFonts w:hint="eastAsia" w:cs="Times New Roman"/>
                      <w:bCs/>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497" w:type="dxa"/>
                  <w:vMerge w:val="continue"/>
                  <w:tcBorders>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p>
              </w:tc>
              <w:tc>
                <w:tcPr>
                  <w:tcW w:w="1406" w:type="dxa"/>
                  <w:vMerge w:val="restart"/>
                  <w:tcBorders>
                    <w:left w:val="single" w:color="auto" w:sz="4" w:space="0"/>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废气</w:t>
                  </w:r>
                </w:p>
              </w:tc>
              <w:tc>
                <w:tcPr>
                  <w:tcW w:w="4261" w:type="dxa"/>
                  <w:tcBorders>
                    <w:bottom w:val="single" w:color="auto" w:sz="4" w:space="0"/>
                  </w:tcBorders>
                  <w:vAlign w:val="center"/>
                </w:tcPr>
                <w:p>
                  <w:pPr>
                    <w:adjustRightInd w:val="0"/>
                    <w:snapToGrid w:val="0"/>
                    <w:spacing w:line="360" w:lineRule="auto"/>
                    <w:jc w:val="center"/>
                    <w:rPr>
                      <w:rFonts w:hint="eastAsia" w:ascii="Times New Roman" w:hAnsi="Times New Roman" w:eastAsia="宋体" w:cs="Times New Roman"/>
                      <w:bCs/>
                      <w:sz w:val="24"/>
                      <w:szCs w:val="24"/>
                      <w:u w:val="single" w:color="auto"/>
                      <w:lang w:eastAsia="zh-CN"/>
                    </w:rPr>
                  </w:pPr>
                  <w:r>
                    <w:rPr>
                      <w:rFonts w:hint="eastAsia" w:cs="Times New Roman"/>
                      <w:bCs/>
                      <w:sz w:val="24"/>
                      <w:szCs w:val="24"/>
                      <w:u w:val="single" w:color="auto"/>
                      <w:lang w:eastAsia="zh-CN"/>
                    </w:rPr>
                    <w:t>工艺</w:t>
                  </w:r>
                  <w:r>
                    <w:rPr>
                      <w:rFonts w:hint="default" w:ascii="Times New Roman" w:hAnsi="Times New Roman" w:eastAsia="宋体" w:cs="Times New Roman"/>
                      <w:bCs/>
                      <w:sz w:val="24"/>
                      <w:szCs w:val="24"/>
                      <w:u w:val="single" w:color="auto"/>
                    </w:rPr>
                    <w:t>粉尘</w:t>
                  </w:r>
                  <w:r>
                    <w:rPr>
                      <w:rFonts w:hint="eastAsia" w:cs="Times New Roman"/>
                      <w:bCs/>
                      <w:sz w:val="24"/>
                      <w:szCs w:val="24"/>
                      <w:u w:val="single" w:color="auto"/>
                      <w:lang w:eastAsia="zh-CN"/>
                    </w:rPr>
                    <w:t>经双桶布袋除尘器处理后无组织排风</w:t>
                  </w:r>
                </w:p>
              </w:tc>
              <w:tc>
                <w:tcPr>
                  <w:tcW w:w="2904" w:type="dxa"/>
                  <w:tcBorders>
                    <w:bottom w:val="single" w:color="auto" w:sz="4" w:space="0"/>
                  </w:tcBorders>
                  <w:vAlign w:val="center"/>
                </w:tcPr>
                <w:p>
                  <w:pPr>
                    <w:adjustRightInd w:val="0"/>
                    <w:snapToGrid w:val="0"/>
                    <w:spacing w:line="360" w:lineRule="auto"/>
                    <w:jc w:val="center"/>
                    <w:rPr>
                      <w:rFonts w:hint="eastAsia" w:cs="Times New Roman"/>
                      <w:bCs/>
                      <w:sz w:val="24"/>
                      <w:szCs w:val="24"/>
                      <w:u w:val="single" w:color="auto"/>
                      <w:lang w:eastAsia="zh-CN"/>
                    </w:rPr>
                  </w:pPr>
                  <w:r>
                    <w:rPr>
                      <w:rFonts w:hint="eastAsia" w:cs="Times New Roman"/>
                      <w:bCs/>
                      <w:sz w:val="24"/>
                      <w:szCs w:val="24"/>
                      <w:u w:val="single" w:color="auto"/>
                      <w:lang w:val="en-US" w:eastAsia="zh-CN"/>
                    </w:rPr>
                    <w:t>其中钻孔、下料无双桶式布袋除尘器，需新增双桶式布袋除尘器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497" w:type="dxa"/>
                  <w:vMerge w:val="continue"/>
                  <w:tcBorders>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p>
              </w:tc>
              <w:tc>
                <w:tcPr>
                  <w:tcW w:w="1406" w:type="dxa"/>
                  <w:vMerge w:val="continue"/>
                  <w:tcBorders>
                    <w:left w:val="single" w:color="auto" w:sz="4" w:space="0"/>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p>
              </w:tc>
              <w:tc>
                <w:tcPr>
                  <w:tcW w:w="4261" w:type="dxa"/>
                  <w:tcBorders>
                    <w:top w:val="single" w:color="auto" w:sz="4" w:space="0"/>
                  </w:tcBorders>
                  <w:vAlign w:val="center"/>
                </w:tcPr>
                <w:p>
                  <w:pPr>
                    <w:adjustRightInd w:val="0"/>
                    <w:snapToGrid w:val="0"/>
                    <w:spacing w:line="360" w:lineRule="auto"/>
                    <w:jc w:val="center"/>
                    <w:rPr>
                      <w:rFonts w:hint="eastAsia" w:cs="Times New Roman"/>
                      <w:bCs/>
                      <w:sz w:val="24"/>
                      <w:szCs w:val="24"/>
                      <w:u w:val="single" w:color="auto"/>
                      <w:lang w:eastAsia="zh-CN"/>
                    </w:rPr>
                  </w:pPr>
                  <w:r>
                    <w:rPr>
                      <w:rFonts w:hint="eastAsia" w:cs="Times New Roman"/>
                      <w:bCs/>
                      <w:sz w:val="24"/>
                      <w:szCs w:val="24"/>
                      <w:u w:val="single" w:color="auto"/>
                      <w:lang w:eastAsia="zh-CN"/>
                    </w:rPr>
                    <w:t>刷胶、冷压、封边工序废气经车间排风后排放</w:t>
                  </w:r>
                </w:p>
              </w:tc>
              <w:tc>
                <w:tcPr>
                  <w:tcW w:w="2904" w:type="dxa"/>
                  <w:tcBorders>
                    <w:top w:val="single" w:color="auto" w:sz="4" w:space="0"/>
                  </w:tcBorders>
                  <w:vAlign w:val="center"/>
                </w:tcPr>
                <w:p>
                  <w:pPr>
                    <w:adjustRightInd w:val="0"/>
                    <w:snapToGrid w:val="0"/>
                    <w:spacing w:line="360" w:lineRule="auto"/>
                    <w:jc w:val="center"/>
                    <w:rPr>
                      <w:rFonts w:hint="default" w:cs="Times New Roman"/>
                      <w:bCs/>
                      <w:sz w:val="24"/>
                      <w:szCs w:val="24"/>
                      <w:u w:val="single" w:color="auto"/>
                      <w:lang w:val="en-US" w:eastAsia="zh-CN"/>
                    </w:rPr>
                  </w:pPr>
                  <w:r>
                    <w:rPr>
                      <w:rFonts w:hint="eastAsia" w:cs="Times New Roman"/>
                      <w:bCs/>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97" w:type="dxa"/>
                  <w:vMerge w:val="continue"/>
                  <w:tcBorders>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p>
              </w:tc>
              <w:tc>
                <w:tcPr>
                  <w:tcW w:w="1406" w:type="dxa"/>
                  <w:tcBorders>
                    <w:left w:val="single" w:color="auto" w:sz="4" w:space="0"/>
                  </w:tcBorders>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固废</w:t>
                  </w:r>
                </w:p>
              </w:tc>
              <w:tc>
                <w:tcPr>
                  <w:tcW w:w="4261" w:type="dxa"/>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default" w:ascii="Times New Roman" w:hAnsi="Times New Roman" w:eastAsia="宋体" w:cs="Times New Roman"/>
                      <w:bCs/>
                      <w:sz w:val="24"/>
                      <w:szCs w:val="24"/>
                      <w:u w:val="single" w:color="auto"/>
                    </w:rPr>
                    <w:t>设置垃圾收集箱若干。生活垃圾交由环卫部门处理，</w:t>
                  </w:r>
                  <w:r>
                    <w:rPr>
                      <w:rFonts w:hint="eastAsia" w:cs="Times New Roman"/>
                      <w:bCs/>
                      <w:sz w:val="24"/>
                      <w:szCs w:val="24"/>
                      <w:u w:val="single" w:color="auto"/>
                      <w:lang w:eastAsia="zh-CN"/>
                    </w:rPr>
                    <w:t>一般固废收集后外售综合利用，危险废物交由有资质单位处理</w:t>
                  </w:r>
                </w:p>
              </w:tc>
              <w:tc>
                <w:tcPr>
                  <w:tcW w:w="2904" w:type="dxa"/>
                  <w:vAlign w:val="center"/>
                </w:tcPr>
                <w:p>
                  <w:pPr>
                    <w:adjustRightInd w:val="0"/>
                    <w:snapToGrid w:val="0"/>
                    <w:spacing w:line="360" w:lineRule="auto"/>
                    <w:jc w:val="center"/>
                    <w:rPr>
                      <w:rFonts w:hint="default" w:ascii="Times New Roman" w:hAnsi="Times New Roman" w:eastAsia="宋体" w:cs="Times New Roman"/>
                      <w:bCs/>
                      <w:sz w:val="24"/>
                      <w:szCs w:val="24"/>
                      <w:u w:val="single" w:color="auto"/>
                    </w:rPr>
                  </w:pPr>
                  <w:r>
                    <w:rPr>
                      <w:rFonts w:hint="eastAsia" w:cs="Times New Roman"/>
                      <w:bCs/>
                      <w:sz w:val="24"/>
                      <w:szCs w:val="24"/>
                      <w:u w:val="single" w:color="auto"/>
                      <w:lang w:eastAsia="zh-CN"/>
                    </w:rPr>
                    <w:t>新增</w:t>
                  </w:r>
                  <w:r>
                    <w:rPr>
                      <w:rFonts w:hint="default" w:ascii="Times New Roman" w:hAnsi="Times New Roman" w:eastAsia="宋体" w:cs="Times New Roman"/>
                      <w:bCs/>
                      <w:sz w:val="24"/>
                      <w:szCs w:val="24"/>
                      <w:u w:val="single" w:color="auto"/>
                    </w:rPr>
                    <w:t>1</w:t>
                  </w:r>
                  <w:r>
                    <w:rPr>
                      <w:rFonts w:hint="eastAsia" w:cs="Times New Roman"/>
                      <w:bCs/>
                      <w:sz w:val="24"/>
                      <w:szCs w:val="24"/>
                      <w:u w:val="single" w:color="auto"/>
                      <w:lang w:eastAsia="zh-CN"/>
                    </w:rPr>
                    <w:t>间危废</w:t>
                  </w:r>
                  <w:r>
                    <w:rPr>
                      <w:rFonts w:hint="default" w:ascii="Times New Roman" w:hAnsi="Times New Roman" w:eastAsia="宋体" w:cs="Times New Roman"/>
                      <w:bCs/>
                      <w:sz w:val="24"/>
                      <w:szCs w:val="24"/>
                      <w:u w:val="single" w:color="auto"/>
                    </w:rPr>
                    <w:t>暂存间</w:t>
                  </w:r>
                  <w:r>
                    <w:rPr>
                      <w:rFonts w:hint="eastAsia" w:cs="Times New Roman"/>
                      <w:bCs/>
                      <w:sz w:val="24"/>
                      <w:szCs w:val="24"/>
                      <w:u w:val="single" w:color="auto"/>
                      <w:lang w:eastAsia="zh-CN"/>
                    </w:rPr>
                    <w:t>，废白乳胶包装材料收集后交由厂家回收利用</w:t>
                  </w:r>
                  <w:r>
                    <w:rPr>
                      <w:rFonts w:hint="eastAsia" w:cs="Times New Roman"/>
                      <w:bCs/>
                      <w:sz w:val="24"/>
                      <w:szCs w:val="24"/>
                      <w:u w:val="single" w:color="auto"/>
                      <w:lang w:val="en-US" w:eastAsia="zh-CN"/>
                    </w:rPr>
                    <w:t>或有资质单位进行处理</w:t>
                  </w:r>
                  <w:r>
                    <w:rPr>
                      <w:rFonts w:hint="eastAsia" w:cs="Times New Roman"/>
                      <w:bCs/>
                      <w:sz w:val="24"/>
                      <w:szCs w:val="24"/>
                      <w:u w:val="single" w:color="auto"/>
                      <w:lang w:eastAsia="zh-CN"/>
                    </w:rPr>
                    <w:t>、一般固废设置规范的堆放间</w:t>
                  </w:r>
                </w:p>
              </w:tc>
            </w:tr>
          </w:tbl>
          <w:p>
            <w:pPr>
              <w:adjustRightInd w:val="0"/>
              <w:snapToGrid w:val="0"/>
              <w:spacing w:line="360" w:lineRule="auto"/>
              <w:ind w:firstLine="482" w:firstLineChars="200"/>
              <w:rPr>
                <w:rFonts w:hint="default" w:ascii="Times New Roman" w:hAnsi="Times New Roman" w:cs="Times New Roman"/>
                <w:b/>
                <w:sz w:val="24"/>
                <w:szCs w:val="24"/>
                <w:u w:val="single" w:color="auto"/>
              </w:rPr>
            </w:pPr>
            <w:r>
              <w:rPr>
                <w:rFonts w:hint="eastAsia" w:cs="Times New Roman"/>
                <w:b/>
                <w:sz w:val="24"/>
                <w:szCs w:val="24"/>
                <w:u w:val="single" w:color="auto"/>
                <w:lang w:val="en-US" w:eastAsia="zh-CN"/>
              </w:rPr>
              <w:t>4</w:t>
            </w:r>
            <w:r>
              <w:rPr>
                <w:rFonts w:hint="default" w:ascii="Times New Roman" w:hAnsi="Times New Roman" w:cs="Times New Roman"/>
                <w:b/>
                <w:sz w:val="24"/>
                <w:szCs w:val="24"/>
                <w:u w:val="single" w:color="auto"/>
              </w:rPr>
              <w:t>、主要生产设备</w:t>
            </w:r>
          </w:p>
          <w:p>
            <w:pPr>
              <w:pStyle w:val="167"/>
              <w:shd w:val="clear" w:color="auto" w:fill="FFFFFF"/>
              <w:spacing w:before="0" w:beforeLines="0" w:after="0" w:afterLines="0" w:line="360" w:lineRule="auto"/>
              <w:ind w:firstLine="480" w:firstLineChars="200"/>
              <w:jc w:val="left"/>
              <w:rPr>
                <w:rFonts w:hint="default" w:ascii="Times New Roman" w:hAnsi="Times New Roman" w:cs="Times New Roman"/>
                <w:u w:val="single" w:color="auto"/>
              </w:rPr>
            </w:pPr>
            <w:r>
              <w:rPr>
                <w:rFonts w:hint="default" w:ascii="Times New Roman" w:hAnsi="Times New Roman" w:eastAsia="宋体" w:cs="Times New Roman"/>
                <w:u w:val="single" w:color="auto"/>
              </w:rPr>
              <w:t>主要生产设备数量及型号见表</w:t>
            </w:r>
            <w:r>
              <w:rPr>
                <w:rFonts w:hint="default" w:ascii="Times New Roman" w:hAnsi="Times New Roman" w:cs="Times New Roman"/>
                <w:u w:val="single" w:color="auto"/>
              </w:rPr>
              <w:t>1-2。</w:t>
            </w:r>
          </w:p>
          <w:p>
            <w:pPr>
              <w:pStyle w:val="32"/>
              <w:jc w:val="center"/>
              <w:rPr>
                <w:rFonts w:hint="default" w:ascii="Times New Roman" w:hAnsi="Times New Roman" w:cs="Times New Roman"/>
                <w:b/>
                <w:color w:val="auto"/>
                <w:sz w:val="24"/>
                <w:u w:val="single" w:color="auto"/>
              </w:rPr>
            </w:pPr>
            <w:r>
              <w:rPr>
                <w:rFonts w:hint="default" w:ascii="Times New Roman" w:hAnsi="Times New Roman" w:cs="Times New Roman"/>
                <w:b/>
                <w:color w:val="auto"/>
                <w:sz w:val="24"/>
                <w:u w:val="single" w:color="auto"/>
              </w:rPr>
              <w:t>表1-2   主要生产设备一览表</w:t>
            </w:r>
          </w:p>
          <w:tbl>
            <w:tblPr>
              <w:tblStyle w:val="39"/>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91"/>
              <w:gridCol w:w="1560"/>
              <w:gridCol w:w="1091"/>
              <w:gridCol w:w="1805"/>
              <w:gridCol w:w="1807"/>
              <w:gridCol w:w="18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tblHeader/>
              </w:trPr>
              <w:tc>
                <w:tcPr>
                  <w:tcW w:w="547" w:type="pct"/>
                  <w:vAlign w:val="center"/>
                </w:tcPr>
                <w:p>
                  <w:pPr>
                    <w:pStyle w:val="167"/>
                    <w:spacing w:before="48" w:after="48" w:line="360" w:lineRule="auto"/>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序号</w:t>
                  </w:r>
                </w:p>
              </w:tc>
              <w:tc>
                <w:tcPr>
                  <w:tcW w:w="861" w:type="pct"/>
                  <w:tcBorders>
                    <w:right w:val="single" w:color="auto" w:sz="4" w:space="0"/>
                  </w:tcBorders>
                  <w:vAlign w:val="center"/>
                </w:tcPr>
                <w:p>
                  <w:pPr>
                    <w:pStyle w:val="167"/>
                    <w:spacing w:before="48" w:after="48" w:line="360" w:lineRule="auto"/>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设备名称</w:t>
                  </w:r>
                </w:p>
              </w:tc>
              <w:tc>
                <w:tcPr>
                  <w:tcW w:w="602" w:type="pct"/>
                  <w:vAlign w:val="center"/>
                </w:tcPr>
                <w:p>
                  <w:pPr>
                    <w:pStyle w:val="167"/>
                    <w:spacing w:before="48" w:after="48" w:line="360" w:lineRule="auto"/>
                    <w:rPr>
                      <w:rFonts w:hint="eastAsia" w:eastAsia="宋体" w:cs="Times New Roman"/>
                      <w:b/>
                      <w:color w:val="auto"/>
                      <w:sz w:val="22"/>
                      <w:szCs w:val="22"/>
                      <w:u w:val="single" w:color="auto"/>
                      <w:lang w:eastAsia="zh-CN"/>
                    </w:rPr>
                  </w:pPr>
                  <w:r>
                    <w:rPr>
                      <w:rFonts w:hint="default" w:ascii="Times New Roman" w:hAnsi="Times New Roman" w:eastAsia="宋体" w:cs="Times New Roman"/>
                      <w:b/>
                      <w:color w:val="auto"/>
                      <w:sz w:val="22"/>
                      <w:szCs w:val="22"/>
                      <w:u w:val="single" w:color="auto"/>
                    </w:rPr>
                    <w:t>单位</w:t>
                  </w:r>
                </w:p>
              </w:tc>
              <w:tc>
                <w:tcPr>
                  <w:tcW w:w="996" w:type="pct"/>
                  <w:vAlign w:val="center"/>
                </w:tcPr>
                <w:p>
                  <w:pPr>
                    <w:pStyle w:val="167"/>
                    <w:spacing w:before="48" w:after="48" w:line="360" w:lineRule="auto"/>
                    <w:rPr>
                      <w:rFonts w:hint="default" w:eastAsia="宋体" w:cs="Times New Roman"/>
                      <w:b/>
                      <w:color w:val="auto"/>
                      <w:sz w:val="22"/>
                      <w:szCs w:val="22"/>
                      <w:u w:val="single" w:color="auto"/>
                      <w:lang w:val="en-US" w:eastAsia="zh-CN"/>
                    </w:rPr>
                  </w:pPr>
                  <w:r>
                    <w:rPr>
                      <w:rFonts w:hint="eastAsia" w:eastAsia="宋体" w:cs="Times New Roman"/>
                      <w:b/>
                      <w:color w:val="auto"/>
                      <w:sz w:val="22"/>
                      <w:szCs w:val="22"/>
                      <w:u w:val="single" w:color="auto"/>
                      <w:lang w:val="en-US" w:eastAsia="zh-CN"/>
                    </w:rPr>
                    <w:t>设备型号</w:t>
                  </w:r>
                </w:p>
              </w:tc>
              <w:tc>
                <w:tcPr>
                  <w:tcW w:w="1806" w:type="dxa"/>
                  <w:vAlign w:val="center"/>
                </w:tcPr>
                <w:p>
                  <w:pPr>
                    <w:pStyle w:val="167"/>
                    <w:spacing w:before="48" w:after="48" w:line="360" w:lineRule="auto"/>
                    <w:rPr>
                      <w:rFonts w:hint="eastAsia" w:eastAsia="宋体" w:cs="Times New Roman"/>
                      <w:b/>
                      <w:color w:val="auto"/>
                      <w:sz w:val="22"/>
                      <w:szCs w:val="22"/>
                      <w:u w:val="single" w:color="auto"/>
                      <w:lang w:eastAsia="zh-CN"/>
                    </w:rPr>
                  </w:pPr>
                  <w:r>
                    <w:rPr>
                      <w:rFonts w:hint="default" w:ascii="Times New Roman" w:hAnsi="Times New Roman" w:eastAsia="宋体" w:cs="Times New Roman"/>
                      <w:b/>
                      <w:color w:val="auto"/>
                      <w:sz w:val="22"/>
                      <w:szCs w:val="22"/>
                      <w:u w:val="single" w:color="auto"/>
                    </w:rPr>
                    <w:t>数量</w:t>
                  </w:r>
                </w:p>
              </w:tc>
              <w:tc>
                <w:tcPr>
                  <w:tcW w:w="1806" w:type="dxa"/>
                  <w:vAlign w:val="center"/>
                </w:tcPr>
                <w:p>
                  <w:pPr>
                    <w:pStyle w:val="167"/>
                    <w:spacing w:before="48" w:after="48" w:line="360" w:lineRule="auto"/>
                    <w:rPr>
                      <w:rFonts w:hint="eastAsia" w:eastAsia="宋体" w:cs="Times New Roman"/>
                      <w:b/>
                      <w:color w:val="auto"/>
                      <w:sz w:val="22"/>
                      <w:szCs w:val="22"/>
                      <w:u w:val="single" w:color="auto"/>
                      <w:lang w:eastAsia="zh-CN"/>
                    </w:rPr>
                  </w:pPr>
                  <w:r>
                    <w:rPr>
                      <w:rFonts w:hint="eastAsia" w:eastAsia="宋体" w:cs="Times New Roman"/>
                      <w:b/>
                      <w:color w:val="auto"/>
                      <w:sz w:val="22"/>
                      <w:szCs w:val="22"/>
                      <w:u w:val="single" w:color="auto"/>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47" w:type="pct"/>
                  <w:vAlign w:val="center"/>
                </w:tcPr>
                <w:p>
                  <w:pPr>
                    <w:pStyle w:val="167"/>
                    <w:spacing w:before="48" w:after="48" w:line="360" w:lineRule="auto"/>
                    <w:rPr>
                      <w:rFonts w:hint="eastAsia" w:ascii="Times New Roman" w:hAnsi="Times New Roman" w:eastAsia="宋体" w:cs="Times New Roman"/>
                      <w:color w:val="auto"/>
                      <w:sz w:val="22"/>
                      <w:szCs w:val="22"/>
                      <w:u w:val="single" w:color="auto"/>
                      <w:lang w:val="en-US" w:eastAsia="zh-CN"/>
                    </w:rPr>
                  </w:pPr>
                  <w:r>
                    <w:rPr>
                      <w:rFonts w:hint="eastAsia" w:eastAsia="宋体" w:cs="Times New Roman"/>
                      <w:color w:val="auto"/>
                      <w:sz w:val="22"/>
                      <w:szCs w:val="22"/>
                      <w:u w:val="single" w:color="auto"/>
                      <w:lang w:val="en-US" w:eastAsia="zh-CN"/>
                    </w:rPr>
                    <w:t>1</w:t>
                  </w:r>
                </w:p>
              </w:tc>
              <w:tc>
                <w:tcPr>
                  <w:tcW w:w="861" w:type="pct"/>
                  <w:tcBorders>
                    <w:right w:val="single" w:color="auto" w:sz="4" w:space="0"/>
                  </w:tcBorders>
                  <w:vAlign w:val="center"/>
                </w:tcPr>
                <w:p>
                  <w:pPr>
                    <w:adjustRightInd w:val="0"/>
                    <w:snapToGrid w:val="0"/>
                    <w:jc w:val="center"/>
                    <w:rPr>
                      <w:rFonts w:hint="eastAsia" w:ascii="Times New Roman" w:hAnsi="Times New Roman" w:eastAsia="宋体" w:cs="Times New Roman"/>
                      <w:color w:val="auto"/>
                      <w:sz w:val="22"/>
                      <w:szCs w:val="22"/>
                      <w:u w:val="single" w:color="auto"/>
                      <w:lang w:eastAsia="zh-CN"/>
                    </w:rPr>
                  </w:pPr>
                  <w:r>
                    <w:rPr>
                      <w:rFonts w:hint="eastAsia"/>
                      <w:szCs w:val="21"/>
                      <w:u w:val="single" w:color="auto"/>
                      <w:lang w:eastAsia="zh-CN"/>
                    </w:rPr>
                    <w:t>下料机</w:t>
                  </w:r>
                </w:p>
              </w:tc>
              <w:tc>
                <w:tcPr>
                  <w:tcW w:w="602" w:type="pct"/>
                  <w:vAlign w:val="center"/>
                </w:tcPr>
                <w:p>
                  <w:pPr>
                    <w:pStyle w:val="167"/>
                    <w:spacing w:before="48" w:after="48" w:line="360" w:lineRule="auto"/>
                    <w:rPr>
                      <w:rFonts w:hint="eastAsia" w:eastAsia="宋体" w:cs="Times New Roman"/>
                      <w:color w:val="auto"/>
                      <w:sz w:val="22"/>
                      <w:szCs w:val="22"/>
                      <w:u w:val="single" w:color="auto"/>
                      <w:lang w:val="en-US" w:eastAsia="zh-CN"/>
                    </w:rPr>
                  </w:pPr>
                  <w:r>
                    <w:rPr>
                      <w:rFonts w:hint="default" w:ascii="Times New Roman" w:hAnsi="Times New Roman" w:eastAsia="宋体" w:cs="Times New Roman"/>
                      <w:color w:val="auto"/>
                      <w:sz w:val="22"/>
                      <w:szCs w:val="22"/>
                      <w:u w:val="single" w:color="auto"/>
                    </w:rPr>
                    <w:t>台</w:t>
                  </w:r>
                </w:p>
              </w:tc>
              <w:tc>
                <w:tcPr>
                  <w:tcW w:w="996" w:type="pct"/>
                  <w:vAlign w:val="center"/>
                </w:tcPr>
                <w:p>
                  <w:pPr>
                    <w:adjustRightInd w:val="0"/>
                    <w:snapToGrid w:val="0"/>
                    <w:jc w:val="center"/>
                    <w:rPr>
                      <w:rFonts w:hint="default"/>
                      <w:szCs w:val="21"/>
                      <w:u w:val="single" w:color="auto"/>
                      <w:lang w:val="en-US" w:eastAsia="zh-CN"/>
                    </w:rPr>
                  </w:pPr>
                  <w:r>
                    <w:rPr>
                      <w:rFonts w:hint="eastAsia"/>
                      <w:szCs w:val="21"/>
                      <w:u w:val="single" w:color="auto"/>
                      <w:lang w:val="en-US" w:eastAsia="zh-CN"/>
                    </w:rPr>
                    <w:t>F45S</w:t>
                  </w:r>
                </w:p>
              </w:tc>
              <w:tc>
                <w:tcPr>
                  <w:tcW w:w="1806" w:type="dxa"/>
                  <w:vAlign w:val="center"/>
                </w:tcPr>
                <w:p>
                  <w:pPr>
                    <w:adjustRightInd w:val="0"/>
                    <w:snapToGrid w:val="0"/>
                    <w:jc w:val="center"/>
                    <w:rPr>
                      <w:rFonts w:hint="eastAsia"/>
                      <w:szCs w:val="21"/>
                      <w:u w:val="single" w:color="auto"/>
                      <w:lang w:eastAsia="zh-CN"/>
                    </w:rPr>
                  </w:pPr>
                  <w:r>
                    <w:rPr>
                      <w:rFonts w:hint="eastAsia"/>
                      <w:szCs w:val="21"/>
                      <w:u w:val="single" w:color="auto"/>
                      <w:lang w:val="en-US" w:eastAsia="zh-CN"/>
                    </w:rPr>
                    <w:t>2</w:t>
                  </w:r>
                </w:p>
              </w:tc>
              <w:tc>
                <w:tcPr>
                  <w:tcW w:w="1806" w:type="dxa"/>
                  <w:vAlign w:val="center"/>
                </w:tcPr>
                <w:p>
                  <w:pPr>
                    <w:adjustRightInd w:val="0"/>
                    <w:snapToGrid w:val="0"/>
                    <w:jc w:val="center"/>
                    <w:rPr>
                      <w:rFonts w:hint="eastAsia"/>
                      <w:szCs w:val="21"/>
                      <w:u w:val="single" w:color="auto"/>
                      <w:lang w:eastAsia="zh-CN"/>
                    </w:rPr>
                  </w:pPr>
                  <w:r>
                    <w:rPr>
                      <w:rFonts w:hint="eastAsia"/>
                      <w:szCs w:val="21"/>
                      <w:u w:val="single" w:color="auto"/>
                      <w:lang w:eastAsia="zh-CN"/>
                    </w:rPr>
                    <w:t>下料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47" w:type="pct"/>
                  <w:vAlign w:val="center"/>
                </w:tcPr>
                <w:p>
                  <w:pPr>
                    <w:pStyle w:val="167"/>
                    <w:spacing w:before="48" w:after="48" w:line="360" w:lineRule="auto"/>
                    <w:rPr>
                      <w:rFonts w:hint="eastAsia" w:ascii="Times New Roman" w:hAnsi="Times New Roman" w:eastAsia="宋体" w:cs="Times New Roman"/>
                      <w:color w:val="auto"/>
                      <w:sz w:val="22"/>
                      <w:szCs w:val="22"/>
                      <w:u w:val="single" w:color="auto"/>
                      <w:lang w:val="en-US" w:eastAsia="zh-CN"/>
                    </w:rPr>
                  </w:pPr>
                  <w:r>
                    <w:rPr>
                      <w:rFonts w:hint="eastAsia" w:eastAsia="宋体" w:cs="Times New Roman"/>
                      <w:color w:val="auto"/>
                      <w:sz w:val="22"/>
                      <w:szCs w:val="22"/>
                      <w:u w:val="single" w:color="auto"/>
                      <w:lang w:val="en-US" w:eastAsia="zh-CN"/>
                    </w:rPr>
                    <w:t>2</w:t>
                  </w:r>
                </w:p>
              </w:tc>
              <w:tc>
                <w:tcPr>
                  <w:tcW w:w="861" w:type="pct"/>
                  <w:tcBorders>
                    <w:right w:val="single" w:color="auto" w:sz="4" w:space="0"/>
                  </w:tcBorders>
                  <w:vAlign w:val="center"/>
                </w:tcPr>
                <w:p>
                  <w:pPr>
                    <w:adjustRightInd w:val="0"/>
                    <w:snapToGrid w:val="0"/>
                    <w:jc w:val="center"/>
                    <w:rPr>
                      <w:rFonts w:hint="eastAsia" w:ascii="Times New Roman" w:hAnsi="Times New Roman" w:eastAsia="宋体" w:cs="Times New Roman"/>
                      <w:color w:val="auto"/>
                      <w:sz w:val="22"/>
                      <w:szCs w:val="22"/>
                      <w:u w:val="single" w:color="auto"/>
                      <w:lang w:eastAsia="zh-CN"/>
                    </w:rPr>
                  </w:pPr>
                  <w:r>
                    <w:rPr>
                      <w:rFonts w:hint="eastAsia"/>
                      <w:szCs w:val="21"/>
                      <w:u w:val="single" w:color="auto"/>
                      <w:lang w:eastAsia="zh-CN"/>
                    </w:rPr>
                    <w:t>自动封边机</w:t>
                  </w:r>
                </w:p>
              </w:tc>
              <w:tc>
                <w:tcPr>
                  <w:tcW w:w="602" w:type="pct"/>
                  <w:vAlign w:val="center"/>
                </w:tcPr>
                <w:p>
                  <w:pPr>
                    <w:pStyle w:val="167"/>
                    <w:spacing w:before="48" w:after="48" w:line="360" w:lineRule="auto"/>
                    <w:rPr>
                      <w:rFonts w:hint="eastAsia" w:ascii="宋体" w:hAnsi="宋体" w:eastAsia="宋体" w:cs="宋体"/>
                      <w:color w:val="auto"/>
                      <w:sz w:val="22"/>
                      <w:szCs w:val="22"/>
                      <w:u w:val="single" w:color="auto"/>
                      <w:lang w:val="en-US" w:eastAsia="zh-CN"/>
                    </w:rPr>
                  </w:pPr>
                  <w:r>
                    <w:rPr>
                      <w:rFonts w:hint="default" w:ascii="Times New Roman" w:hAnsi="Times New Roman" w:eastAsia="宋体" w:cs="Times New Roman"/>
                      <w:color w:val="auto"/>
                      <w:sz w:val="22"/>
                      <w:szCs w:val="22"/>
                      <w:u w:val="single" w:color="auto"/>
                    </w:rPr>
                    <w:t>台</w:t>
                  </w:r>
                </w:p>
              </w:tc>
              <w:tc>
                <w:tcPr>
                  <w:tcW w:w="996" w:type="pct"/>
                  <w:vAlign w:val="center"/>
                </w:tcPr>
                <w:p>
                  <w:pPr>
                    <w:adjustRightInd w:val="0"/>
                    <w:snapToGrid w:val="0"/>
                    <w:jc w:val="center"/>
                    <w:rPr>
                      <w:rFonts w:hint="default" w:ascii="Times New Roman" w:hAnsi="Times New Roman" w:cs="Times New Roman"/>
                      <w:szCs w:val="21"/>
                      <w:u w:val="single" w:color="auto"/>
                      <w:lang w:val="en-US" w:eastAsia="zh-CN"/>
                    </w:rPr>
                  </w:pPr>
                  <w:r>
                    <w:rPr>
                      <w:rFonts w:hint="eastAsia"/>
                      <w:szCs w:val="21"/>
                      <w:u w:val="single" w:color="auto"/>
                      <w:lang w:val="en-US" w:eastAsia="zh-CN"/>
                    </w:rPr>
                    <w:t>ZY</w:t>
                  </w:r>
                  <w:r>
                    <w:rPr>
                      <w:rFonts w:hint="default" w:ascii="Times New Roman" w:hAnsi="Times New Roman" w:cs="Times New Roman"/>
                      <w:b/>
                      <w:bCs/>
                      <w:sz w:val="28"/>
                      <w:szCs w:val="28"/>
                      <w:u w:val="single" w:color="auto"/>
                      <w:lang w:val="en-US" w:eastAsia="zh-CN"/>
                    </w:rPr>
                    <w:t>·</w:t>
                  </w:r>
                  <w:r>
                    <w:rPr>
                      <w:rFonts w:hint="eastAsia" w:ascii="Times New Roman" w:hAnsi="Times New Roman" w:cs="Times New Roman"/>
                      <w:b w:val="0"/>
                      <w:bCs w:val="0"/>
                      <w:sz w:val="22"/>
                      <w:szCs w:val="22"/>
                      <w:u w:val="single" w:color="auto"/>
                      <w:lang w:val="en-US" w:eastAsia="zh-CN"/>
                    </w:rPr>
                    <w:t>430Q</w:t>
                  </w:r>
                </w:p>
              </w:tc>
              <w:tc>
                <w:tcPr>
                  <w:tcW w:w="1806" w:type="dxa"/>
                  <w:vAlign w:val="center"/>
                </w:tcPr>
                <w:p>
                  <w:pPr>
                    <w:adjustRightInd w:val="0"/>
                    <w:snapToGrid w:val="0"/>
                    <w:jc w:val="center"/>
                    <w:rPr>
                      <w:rFonts w:hint="eastAsia"/>
                      <w:szCs w:val="21"/>
                      <w:u w:val="single" w:color="auto"/>
                      <w:lang w:eastAsia="zh-CN"/>
                    </w:rPr>
                  </w:pPr>
                  <w:r>
                    <w:rPr>
                      <w:rFonts w:hint="eastAsia"/>
                      <w:szCs w:val="21"/>
                      <w:u w:val="single" w:color="auto"/>
                      <w:lang w:val="en-US" w:eastAsia="zh-CN"/>
                    </w:rPr>
                    <w:t>2</w:t>
                  </w:r>
                </w:p>
              </w:tc>
              <w:tc>
                <w:tcPr>
                  <w:tcW w:w="1806" w:type="dxa"/>
                  <w:vAlign w:val="center"/>
                </w:tcPr>
                <w:p>
                  <w:pPr>
                    <w:adjustRightInd w:val="0"/>
                    <w:snapToGrid w:val="0"/>
                    <w:jc w:val="center"/>
                    <w:rPr>
                      <w:rFonts w:hint="eastAsia"/>
                      <w:szCs w:val="21"/>
                      <w:u w:val="single" w:color="auto"/>
                      <w:lang w:eastAsia="zh-CN"/>
                    </w:rPr>
                  </w:pPr>
                  <w:r>
                    <w:rPr>
                      <w:rFonts w:hint="eastAsia"/>
                      <w:szCs w:val="21"/>
                      <w:u w:val="single" w:color="auto"/>
                      <w:lang w:eastAsia="zh-CN"/>
                    </w:rPr>
                    <w:t>封边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547" w:type="pct"/>
                  <w:vAlign w:val="center"/>
                </w:tcPr>
                <w:p>
                  <w:pPr>
                    <w:pStyle w:val="167"/>
                    <w:spacing w:before="48" w:after="48" w:line="360" w:lineRule="auto"/>
                    <w:rPr>
                      <w:rFonts w:hint="default" w:ascii="Times New Roman" w:hAnsi="Times New Roman" w:eastAsia="宋体" w:cs="Times New Roman"/>
                      <w:color w:val="auto"/>
                      <w:sz w:val="22"/>
                      <w:szCs w:val="22"/>
                      <w:u w:val="single" w:color="auto"/>
                      <w:lang w:val="en-US" w:eastAsia="zh-CN"/>
                    </w:rPr>
                  </w:pPr>
                  <w:r>
                    <w:rPr>
                      <w:rFonts w:hint="eastAsia" w:eastAsia="宋体" w:cs="Times New Roman"/>
                      <w:color w:val="auto"/>
                      <w:sz w:val="22"/>
                      <w:szCs w:val="22"/>
                      <w:u w:val="single" w:color="auto"/>
                      <w:lang w:val="en-US" w:eastAsia="zh-CN"/>
                    </w:rPr>
                    <w:t>3</w:t>
                  </w:r>
                </w:p>
              </w:tc>
              <w:tc>
                <w:tcPr>
                  <w:tcW w:w="861" w:type="pct"/>
                  <w:tcBorders>
                    <w:right w:val="single" w:color="auto" w:sz="4" w:space="0"/>
                  </w:tcBorders>
                  <w:vAlign w:val="center"/>
                </w:tcPr>
                <w:p>
                  <w:pPr>
                    <w:adjustRightInd w:val="0"/>
                    <w:snapToGrid w:val="0"/>
                    <w:jc w:val="center"/>
                    <w:rPr>
                      <w:rFonts w:hint="eastAsia" w:eastAsia="宋体" w:cs="Times New Roman"/>
                      <w:color w:val="auto"/>
                      <w:sz w:val="22"/>
                      <w:szCs w:val="22"/>
                      <w:u w:val="single" w:color="auto"/>
                      <w:lang w:eastAsia="zh-CN"/>
                    </w:rPr>
                  </w:pPr>
                  <w:r>
                    <w:rPr>
                      <w:rFonts w:hint="eastAsia"/>
                      <w:szCs w:val="21"/>
                      <w:u w:val="single" w:color="auto"/>
                      <w:lang w:eastAsia="zh-CN"/>
                    </w:rPr>
                    <w:t>排钻机</w:t>
                  </w:r>
                </w:p>
              </w:tc>
              <w:tc>
                <w:tcPr>
                  <w:tcW w:w="602" w:type="pct"/>
                  <w:vAlign w:val="center"/>
                </w:tcPr>
                <w:p>
                  <w:pPr>
                    <w:spacing w:before="48" w:after="48" w:line="360" w:lineRule="auto"/>
                    <w:jc w:val="center"/>
                    <w:rPr>
                      <w:rFonts w:hint="eastAsia" w:cs="Times New Roman"/>
                      <w:color w:val="auto"/>
                      <w:sz w:val="22"/>
                      <w:szCs w:val="22"/>
                      <w:u w:val="single" w:color="auto"/>
                      <w:lang w:eastAsia="zh-CN"/>
                    </w:rPr>
                  </w:pPr>
                  <w:r>
                    <w:rPr>
                      <w:rFonts w:hint="default" w:ascii="Times New Roman" w:hAnsi="Times New Roman" w:eastAsia="宋体" w:cs="Times New Roman"/>
                      <w:color w:val="auto"/>
                      <w:sz w:val="22"/>
                      <w:szCs w:val="22"/>
                      <w:u w:val="single" w:color="auto"/>
                    </w:rPr>
                    <w:t>台</w:t>
                  </w:r>
                </w:p>
              </w:tc>
              <w:tc>
                <w:tcPr>
                  <w:tcW w:w="996" w:type="pct"/>
                  <w:vAlign w:val="center"/>
                </w:tcPr>
                <w:p>
                  <w:pPr>
                    <w:adjustRightInd w:val="0"/>
                    <w:snapToGrid w:val="0"/>
                    <w:jc w:val="center"/>
                    <w:rPr>
                      <w:rFonts w:hint="default"/>
                      <w:szCs w:val="21"/>
                      <w:u w:val="single" w:color="auto"/>
                      <w:lang w:val="en-US" w:eastAsia="zh-CN"/>
                    </w:rPr>
                  </w:pPr>
                  <w:r>
                    <w:rPr>
                      <w:rFonts w:hint="eastAsia"/>
                      <w:szCs w:val="21"/>
                      <w:u w:val="single" w:color="auto"/>
                      <w:lang w:val="en-US" w:eastAsia="zh-CN"/>
                    </w:rPr>
                    <w:t>MZB73214</w:t>
                  </w:r>
                </w:p>
              </w:tc>
              <w:tc>
                <w:tcPr>
                  <w:tcW w:w="1806" w:type="dxa"/>
                  <w:vAlign w:val="center"/>
                </w:tcPr>
                <w:p>
                  <w:pPr>
                    <w:adjustRightInd w:val="0"/>
                    <w:snapToGrid w:val="0"/>
                    <w:jc w:val="center"/>
                    <w:rPr>
                      <w:rFonts w:hint="eastAsia"/>
                      <w:szCs w:val="21"/>
                      <w:u w:val="single" w:color="auto"/>
                      <w:lang w:eastAsia="zh-CN"/>
                    </w:rPr>
                  </w:pPr>
                  <w:r>
                    <w:rPr>
                      <w:rFonts w:hint="eastAsia"/>
                      <w:szCs w:val="21"/>
                      <w:u w:val="single" w:color="auto"/>
                      <w:lang w:val="en-US" w:eastAsia="zh-CN"/>
                    </w:rPr>
                    <w:t>2</w:t>
                  </w:r>
                </w:p>
              </w:tc>
              <w:tc>
                <w:tcPr>
                  <w:tcW w:w="1806" w:type="dxa"/>
                  <w:vAlign w:val="center"/>
                </w:tcPr>
                <w:p>
                  <w:pPr>
                    <w:adjustRightInd w:val="0"/>
                    <w:snapToGrid w:val="0"/>
                    <w:jc w:val="center"/>
                    <w:rPr>
                      <w:rFonts w:hint="eastAsia"/>
                      <w:szCs w:val="21"/>
                      <w:u w:val="single" w:color="auto"/>
                      <w:lang w:eastAsia="zh-CN"/>
                    </w:rPr>
                  </w:pPr>
                  <w:r>
                    <w:rPr>
                      <w:rFonts w:hint="eastAsia"/>
                      <w:szCs w:val="21"/>
                      <w:u w:val="single" w:color="auto"/>
                      <w:lang w:eastAsia="zh-CN"/>
                    </w:rPr>
                    <w:t>钻孔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547" w:type="pct"/>
                  <w:vAlign w:val="center"/>
                </w:tcPr>
                <w:p>
                  <w:pPr>
                    <w:pStyle w:val="167"/>
                    <w:spacing w:before="48" w:after="48" w:line="360" w:lineRule="auto"/>
                    <w:rPr>
                      <w:rFonts w:hint="default" w:eastAsia="宋体" w:cs="Times New Roman"/>
                      <w:color w:val="auto"/>
                      <w:sz w:val="22"/>
                      <w:szCs w:val="22"/>
                      <w:u w:val="single" w:color="auto"/>
                      <w:lang w:val="en-US" w:eastAsia="zh-CN"/>
                    </w:rPr>
                  </w:pPr>
                  <w:r>
                    <w:rPr>
                      <w:rFonts w:hint="eastAsia" w:eastAsia="宋体" w:cs="Times New Roman"/>
                      <w:color w:val="auto"/>
                      <w:sz w:val="22"/>
                      <w:szCs w:val="22"/>
                      <w:u w:val="single" w:color="auto"/>
                      <w:lang w:val="en-US" w:eastAsia="zh-CN"/>
                    </w:rPr>
                    <w:t>4</w:t>
                  </w:r>
                </w:p>
              </w:tc>
              <w:tc>
                <w:tcPr>
                  <w:tcW w:w="861" w:type="pct"/>
                  <w:tcBorders>
                    <w:right w:val="single" w:color="auto" w:sz="4" w:space="0"/>
                  </w:tcBorders>
                  <w:vAlign w:val="center"/>
                </w:tcPr>
                <w:p>
                  <w:pPr>
                    <w:adjustRightInd w:val="0"/>
                    <w:snapToGrid w:val="0"/>
                    <w:jc w:val="center"/>
                    <w:rPr>
                      <w:rFonts w:hint="eastAsia" w:eastAsia="宋体" w:cs="Times New Roman"/>
                      <w:color w:val="auto"/>
                      <w:sz w:val="22"/>
                      <w:szCs w:val="22"/>
                      <w:u w:val="single" w:color="auto"/>
                      <w:lang w:eastAsia="zh-CN"/>
                    </w:rPr>
                  </w:pPr>
                  <w:r>
                    <w:rPr>
                      <w:rFonts w:hint="eastAsia"/>
                      <w:szCs w:val="21"/>
                      <w:u w:val="single" w:color="auto"/>
                      <w:lang w:eastAsia="zh-CN"/>
                    </w:rPr>
                    <w:t>立铣机</w:t>
                  </w:r>
                </w:p>
              </w:tc>
              <w:tc>
                <w:tcPr>
                  <w:tcW w:w="602" w:type="pct"/>
                  <w:vAlign w:val="center"/>
                </w:tcPr>
                <w:p>
                  <w:pPr>
                    <w:spacing w:before="48" w:after="48" w:line="360" w:lineRule="auto"/>
                    <w:jc w:val="center"/>
                    <w:rPr>
                      <w:rFonts w:hint="eastAsia" w:cs="Times New Roman"/>
                      <w:color w:val="auto"/>
                      <w:sz w:val="22"/>
                      <w:szCs w:val="22"/>
                      <w:u w:val="single" w:color="auto"/>
                      <w:lang w:eastAsia="zh-CN"/>
                    </w:rPr>
                  </w:pPr>
                  <w:r>
                    <w:rPr>
                      <w:rFonts w:hint="default" w:ascii="Times New Roman" w:hAnsi="Times New Roman" w:eastAsia="宋体" w:cs="Times New Roman"/>
                      <w:color w:val="auto"/>
                      <w:sz w:val="22"/>
                      <w:szCs w:val="22"/>
                      <w:u w:val="single" w:color="auto"/>
                    </w:rPr>
                    <w:t>台</w:t>
                  </w:r>
                </w:p>
              </w:tc>
              <w:tc>
                <w:tcPr>
                  <w:tcW w:w="996" w:type="pct"/>
                  <w:vAlign w:val="center"/>
                </w:tcPr>
                <w:p>
                  <w:pPr>
                    <w:adjustRightInd w:val="0"/>
                    <w:snapToGrid w:val="0"/>
                    <w:jc w:val="center"/>
                    <w:rPr>
                      <w:rFonts w:hint="default"/>
                      <w:szCs w:val="21"/>
                      <w:u w:val="single" w:color="auto"/>
                      <w:lang w:val="en-US" w:eastAsia="zh-CN"/>
                    </w:rPr>
                  </w:pPr>
                  <w:r>
                    <w:rPr>
                      <w:rFonts w:hint="eastAsia"/>
                      <w:szCs w:val="21"/>
                      <w:u w:val="single" w:color="auto"/>
                      <w:lang w:val="en-US" w:eastAsia="zh-CN"/>
                    </w:rPr>
                    <w:t>MX5058</w:t>
                  </w:r>
                </w:p>
              </w:tc>
              <w:tc>
                <w:tcPr>
                  <w:tcW w:w="1806" w:type="dxa"/>
                  <w:vAlign w:val="center"/>
                </w:tcPr>
                <w:p>
                  <w:pPr>
                    <w:adjustRightInd w:val="0"/>
                    <w:snapToGrid w:val="0"/>
                    <w:jc w:val="center"/>
                    <w:rPr>
                      <w:rFonts w:hint="eastAsia"/>
                      <w:szCs w:val="21"/>
                      <w:u w:val="single" w:color="auto"/>
                      <w:lang w:eastAsia="zh-CN"/>
                    </w:rPr>
                  </w:pPr>
                  <w:r>
                    <w:rPr>
                      <w:rFonts w:hint="eastAsia"/>
                      <w:szCs w:val="21"/>
                      <w:u w:val="single" w:color="auto"/>
                      <w:lang w:val="en-US" w:eastAsia="zh-CN"/>
                    </w:rPr>
                    <w:t>1</w:t>
                  </w:r>
                </w:p>
              </w:tc>
              <w:tc>
                <w:tcPr>
                  <w:tcW w:w="1806" w:type="dxa"/>
                  <w:vAlign w:val="center"/>
                </w:tcPr>
                <w:p>
                  <w:pPr>
                    <w:adjustRightInd w:val="0"/>
                    <w:snapToGrid w:val="0"/>
                    <w:jc w:val="center"/>
                    <w:rPr>
                      <w:rFonts w:hint="eastAsia"/>
                      <w:szCs w:val="21"/>
                      <w:u w:val="single" w:color="auto"/>
                      <w:lang w:eastAsia="zh-CN"/>
                    </w:rPr>
                  </w:pPr>
                  <w:r>
                    <w:rPr>
                      <w:rFonts w:hint="eastAsia"/>
                      <w:szCs w:val="21"/>
                      <w:u w:val="single" w:color="auto"/>
                      <w:lang w:eastAsia="zh-CN"/>
                    </w:rPr>
                    <w:t>造型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547" w:type="pct"/>
                  <w:vAlign w:val="center"/>
                </w:tcPr>
                <w:p>
                  <w:pPr>
                    <w:pStyle w:val="167"/>
                    <w:spacing w:before="48" w:after="48" w:line="360" w:lineRule="auto"/>
                    <w:rPr>
                      <w:rFonts w:hint="default" w:eastAsia="宋体" w:cs="Times New Roman"/>
                      <w:color w:val="auto"/>
                      <w:sz w:val="22"/>
                      <w:szCs w:val="22"/>
                      <w:u w:val="single" w:color="auto"/>
                      <w:lang w:val="en-US" w:eastAsia="zh-CN"/>
                    </w:rPr>
                  </w:pPr>
                  <w:r>
                    <w:rPr>
                      <w:rFonts w:hint="eastAsia" w:eastAsia="宋体" w:cs="Times New Roman"/>
                      <w:color w:val="auto"/>
                      <w:sz w:val="22"/>
                      <w:szCs w:val="22"/>
                      <w:u w:val="single" w:color="auto"/>
                      <w:lang w:val="en-US" w:eastAsia="zh-CN"/>
                    </w:rPr>
                    <w:t>5</w:t>
                  </w:r>
                </w:p>
              </w:tc>
              <w:tc>
                <w:tcPr>
                  <w:tcW w:w="861" w:type="pct"/>
                  <w:tcBorders>
                    <w:right w:val="single" w:color="auto" w:sz="4" w:space="0"/>
                  </w:tcBorders>
                  <w:vAlign w:val="center"/>
                </w:tcPr>
                <w:p>
                  <w:pPr>
                    <w:adjustRightInd w:val="0"/>
                    <w:snapToGrid w:val="0"/>
                    <w:jc w:val="center"/>
                    <w:rPr>
                      <w:rFonts w:hint="eastAsia" w:eastAsia="宋体" w:cs="Times New Roman"/>
                      <w:color w:val="auto"/>
                      <w:sz w:val="22"/>
                      <w:szCs w:val="22"/>
                      <w:u w:val="single" w:color="auto"/>
                      <w:lang w:eastAsia="zh-CN"/>
                    </w:rPr>
                  </w:pPr>
                  <w:r>
                    <w:rPr>
                      <w:rFonts w:hint="eastAsia"/>
                      <w:szCs w:val="21"/>
                      <w:u w:val="single" w:color="auto"/>
                      <w:lang w:eastAsia="zh-CN"/>
                    </w:rPr>
                    <w:t>冷压机</w:t>
                  </w:r>
                </w:p>
              </w:tc>
              <w:tc>
                <w:tcPr>
                  <w:tcW w:w="602" w:type="pct"/>
                  <w:vAlign w:val="center"/>
                </w:tcPr>
                <w:p>
                  <w:pPr>
                    <w:spacing w:before="48" w:after="48" w:line="360" w:lineRule="auto"/>
                    <w:jc w:val="center"/>
                    <w:rPr>
                      <w:rFonts w:hint="eastAsia" w:cs="Times New Roman"/>
                      <w:color w:val="auto"/>
                      <w:sz w:val="22"/>
                      <w:szCs w:val="22"/>
                      <w:u w:val="single" w:color="auto"/>
                      <w:lang w:val="en-US" w:eastAsia="zh-CN"/>
                    </w:rPr>
                  </w:pPr>
                  <w:r>
                    <w:rPr>
                      <w:rFonts w:hint="default" w:ascii="Times New Roman" w:hAnsi="Times New Roman" w:eastAsia="宋体" w:cs="Times New Roman"/>
                      <w:color w:val="auto"/>
                      <w:sz w:val="22"/>
                      <w:szCs w:val="22"/>
                      <w:u w:val="single" w:color="auto"/>
                    </w:rPr>
                    <w:t>台</w:t>
                  </w:r>
                </w:p>
              </w:tc>
              <w:tc>
                <w:tcPr>
                  <w:tcW w:w="996" w:type="pct"/>
                  <w:vAlign w:val="center"/>
                </w:tcPr>
                <w:p>
                  <w:pPr>
                    <w:adjustRightInd w:val="0"/>
                    <w:snapToGrid w:val="0"/>
                    <w:jc w:val="center"/>
                    <w:rPr>
                      <w:rFonts w:hint="default"/>
                      <w:szCs w:val="21"/>
                      <w:u w:val="single" w:color="auto"/>
                      <w:lang w:val="en-US" w:eastAsia="zh-CN"/>
                    </w:rPr>
                  </w:pPr>
                  <w:r>
                    <w:rPr>
                      <w:rFonts w:hint="eastAsia"/>
                      <w:szCs w:val="21"/>
                      <w:u w:val="single" w:color="auto"/>
                      <w:lang w:val="en-US" w:eastAsia="zh-CN"/>
                    </w:rPr>
                    <w:t>MH3248</w:t>
                  </w:r>
                </w:p>
              </w:tc>
              <w:tc>
                <w:tcPr>
                  <w:tcW w:w="1806" w:type="dxa"/>
                  <w:vAlign w:val="center"/>
                </w:tcPr>
                <w:p>
                  <w:pPr>
                    <w:adjustRightInd w:val="0"/>
                    <w:snapToGrid w:val="0"/>
                    <w:jc w:val="center"/>
                    <w:rPr>
                      <w:rFonts w:hint="eastAsia"/>
                      <w:szCs w:val="21"/>
                      <w:u w:val="single" w:color="auto"/>
                      <w:lang w:eastAsia="zh-CN"/>
                    </w:rPr>
                  </w:pPr>
                  <w:r>
                    <w:rPr>
                      <w:rFonts w:hint="eastAsia"/>
                      <w:szCs w:val="21"/>
                      <w:u w:val="single" w:color="auto"/>
                      <w:lang w:val="en-US" w:eastAsia="zh-CN"/>
                    </w:rPr>
                    <w:t>1</w:t>
                  </w:r>
                </w:p>
              </w:tc>
              <w:tc>
                <w:tcPr>
                  <w:tcW w:w="1806" w:type="dxa"/>
                  <w:vAlign w:val="center"/>
                </w:tcPr>
                <w:p>
                  <w:pPr>
                    <w:adjustRightInd w:val="0"/>
                    <w:snapToGrid w:val="0"/>
                    <w:jc w:val="center"/>
                    <w:rPr>
                      <w:rFonts w:hint="eastAsia"/>
                      <w:szCs w:val="21"/>
                      <w:u w:val="single" w:color="auto"/>
                      <w:lang w:eastAsia="zh-CN"/>
                    </w:rPr>
                  </w:pPr>
                  <w:r>
                    <w:rPr>
                      <w:rFonts w:hint="eastAsia"/>
                      <w:szCs w:val="21"/>
                      <w:u w:val="single" w:color="auto"/>
                      <w:lang w:eastAsia="zh-CN"/>
                    </w:rPr>
                    <w:t>压板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547" w:type="pct"/>
                  <w:vAlign w:val="center"/>
                </w:tcPr>
                <w:p>
                  <w:pPr>
                    <w:pStyle w:val="167"/>
                    <w:spacing w:before="48" w:after="48" w:line="360" w:lineRule="auto"/>
                    <w:rPr>
                      <w:rFonts w:hint="default" w:eastAsia="宋体" w:cs="Times New Roman"/>
                      <w:color w:val="auto"/>
                      <w:sz w:val="22"/>
                      <w:szCs w:val="22"/>
                      <w:u w:val="single" w:color="auto"/>
                      <w:lang w:val="en-US" w:eastAsia="zh-CN"/>
                    </w:rPr>
                  </w:pPr>
                  <w:r>
                    <w:rPr>
                      <w:rFonts w:hint="eastAsia" w:eastAsia="宋体" w:cs="Times New Roman"/>
                      <w:color w:val="auto"/>
                      <w:sz w:val="22"/>
                      <w:szCs w:val="22"/>
                      <w:u w:val="single" w:color="auto"/>
                      <w:lang w:val="en-US" w:eastAsia="zh-CN"/>
                    </w:rPr>
                    <w:t>6</w:t>
                  </w:r>
                </w:p>
              </w:tc>
              <w:tc>
                <w:tcPr>
                  <w:tcW w:w="861" w:type="pct"/>
                  <w:tcBorders>
                    <w:right w:val="single" w:color="auto" w:sz="4" w:space="0"/>
                  </w:tcBorders>
                  <w:vAlign w:val="center"/>
                </w:tcPr>
                <w:p>
                  <w:pPr>
                    <w:pStyle w:val="167"/>
                    <w:spacing w:before="48" w:after="48" w:line="360" w:lineRule="auto"/>
                    <w:rPr>
                      <w:rFonts w:hint="eastAsia" w:eastAsia="宋体" w:cs="Times New Roman"/>
                      <w:color w:val="auto"/>
                      <w:sz w:val="22"/>
                      <w:szCs w:val="22"/>
                      <w:u w:val="single" w:color="auto"/>
                      <w:lang w:eastAsia="zh-CN"/>
                    </w:rPr>
                  </w:pPr>
                  <w:r>
                    <w:rPr>
                      <w:rFonts w:hint="eastAsia" w:eastAsia="宋体" w:cs="Times New Roman"/>
                      <w:color w:val="auto"/>
                      <w:sz w:val="22"/>
                      <w:szCs w:val="22"/>
                      <w:u w:val="single" w:color="auto"/>
                      <w:lang w:eastAsia="zh-CN"/>
                    </w:rPr>
                    <w:t>切割机</w:t>
                  </w:r>
                </w:p>
              </w:tc>
              <w:tc>
                <w:tcPr>
                  <w:tcW w:w="602" w:type="pct"/>
                  <w:vAlign w:val="center"/>
                </w:tcPr>
                <w:p>
                  <w:pPr>
                    <w:spacing w:before="48" w:after="48" w:line="360" w:lineRule="auto"/>
                    <w:jc w:val="center"/>
                    <w:rPr>
                      <w:rFonts w:hint="eastAsia" w:cs="Times New Roman"/>
                      <w:color w:val="auto"/>
                      <w:sz w:val="22"/>
                      <w:szCs w:val="22"/>
                      <w:u w:val="single" w:color="auto"/>
                      <w:lang w:eastAsia="zh-CN"/>
                    </w:rPr>
                  </w:pPr>
                  <w:r>
                    <w:rPr>
                      <w:rFonts w:hint="default" w:ascii="Times New Roman" w:hAnsi="Times New Roman" w:eastAsia="宋体" w:cs="Times New Roman"/>
                      <w:color w:val="auto"/>
                      <w:sz w:val="22"/>
                      <w:szCs w:val="22"/>
                      <w:u w:val="single" w:color="auto"/>
                    </w:rPr>
                    <w:t>台</w:t>
                  </w:r>
                </w:p>
              </w:tc>
              <w:tc>
                <w:tcPr>
                  <w:tcW w:w="996" w:type="pct"/>
                  <w:vAlign w:val="center"/>
                </w:tcPr>
                <w:p>
                  <w:pPr>
                    <w:adjustRightInd w:val="0"/>
                    <w:snapToGrid w:val="0"/>
                    <w:jc w:val="center"/>
                    <w:rPr>
                      <w:rFonts w:hint="default"/>
                      <w:szCs w:val="21"/>
                      <w:u w:val="single" w:color="auto"/>
                      <w:lang w:val="en-US" w:eastAsia="zh-CN"/>
                    </w:rPr>
                  </w:pPr>
                  <w:r>
                    <w:rPr>
                      <w:rFonts w:hint="eastAsia"/>
                      <w:szCs w:val="21"/>
                      <w:u w:val="single" w:color="auto"/>
                      <w:lang w:val="en-US" w:eastAsia="zh-CN"/>
                    </w:rPr>
                    <w:t>/</w:t>
                  </w:r>
                </w:p>
              </w:tc>
              <w:tc>
                <w:tcPr>
                  <w:tcW w:w="1806" w:type="dxa"/>
                  <w:vAlign w:val="center"/>
                </w:tcPr>
                <w:p>
                  <w:pPr>
                    <w:adjustRightInd w:val="0"/>
                    <w:snapToGrid w:val="0"/>
                    <w:jc w:val="center"/>
                    <w:rPr>
                      <w:rFonts w:hint="eastAsia"/>
                      <w:szCs w:val="21"/>
                      <w:u w:val="single" w:color="auto"/>
                      <w:lang w:eastAsia="zh-CN"/>
                    </w:rPr>
                  </w:pPr>
                  <w:r>
                    <w:rPr>
                      <w:rFonts w:hint="eastAsia"/>
                      <w:szCs w:val="21"/>
                      <w:u w:val="single" w:color="auto"/>
                      <w:lang w:val="en-US" w:eastAsia="zh-CN"/>
                    </w:rPr>
                    <w:t>1</w:t>
                  </w:r>
                </w:p>
              </w:tc>
              <w:tc>
                <w:tcPr>
                  <w:tcW w:w="1806" w:type="dxa"/>
                  <w:vAlign w:val="center"/>
                </w:tcPr>
                <w:p>
                  <w:pPr>
                    <w:adjustRightInd w:val="0"/>
                    <w:snapToGrid w:val="0"/>
                    <w:jc w:val="center"/>
                    <w:rPr>
                      <w:rFonts w:hint="default"/>
                      <w:szCs w:val="21"/>
                      <w:u w:val="single" w:color="auto"/>
                      <w:lang w:val="en-US" w:eastAsia="zh-CN"/>
                    </w:rPr>
                  </w:pPr>
                  <w:r>
                    <w:rPr>
                      <w:rFonts w:hint="eastAsia"/>
                      <w:szCs w:val="21"/>
                      <w:u w:val="single" w:color="auto"/>
                      <w:lang w:val="en-US" w:eastAsia="zh-CN"/>
                    </w:rPr>
                    <w:t>切割</w:t>
                  </w:r>
                </w:p>
              </w:tc>
            </w:tr>
          </w:tbl>
          <w:p>
            <w:pPr>
              <w:spacing w:line="360" w:lineRule="auto"/>
              <w:ind w:firstLine="482" w:firstLineChars="200"/>
              <w:rPr>
                <w:rFonts w:hint="eastAsia" w:eastAsia="宋体" w:cs="Times New Roman"/>
                <w:b/>
                <w:sz w:val="24"/>
                <w:szCs w:val="24"/>
                <w:u w:val="single" w:color="auto"/>
                <w:lang w:val="en-US" w:eastAsia="zh-CN"/>
              </w:rPr>
            </w:pPr>
            <w:r>
              <w:rPr>
                <w:rFonts w:hint="eastAsia" w:cs="Times New Roman"/>
                <w:b/>
                <w:sz w:val="24"/>
                <w:szCs w:val="24"/>
                <w:u w:val="single" w:color="auto"/>
                <w:lang w:val="en-US" w:eastAsia="zh-CN"/>
              </w:rPr>
              <w:t>注：</w:t>
            </w:r>
            <w:r>
              <w:rPr>
                <w:spacing w:val="-6"/>
                <w:sz w:val="24"/>
                <w:u w:val="single" w:color="auto"/>
              </w:rPr>
              <w:t>项目设备</w:t>
            </w:r>
            <w:r>
              <w:rPr>
                <w:rFonts w:hint="default" w:ascii="Times New Roman" w:hAnsi="Times New Roman" w:eastAsia="宋体" w:cs="Times New Roman"/>
                <w:bCs/>
                <w:sz w:val="24"/>
                <w:szCs w:val="24"/>
                <w:u w:val="single" w:color="auto"/>
              </w:rPr>
              <w:t>无国家发改委《产业结构调整指导目录》（2019 年本）</w:t>
            </w:r>
            <w:r>
              <w:rPr>
                <w:rFonts w:hint="eastAsia" w:ascii="Times New Roman" w:hAnsi="Times New Roman" w:eastAsia="宋体" w:cs="Times New Roman"/>
                <w:bCs/>
                <w:sz w:val="24"/>
                <w:szCs w:val="24"/>
                <w:u w:val="single" w:color="auto"/>
                <w:lang w:eastAsia="zh-CN"/>
              </w:rPr>
              <w:t>、</w:t>
            </w:r>
            <w:r>
              <w:rPr>
                <w:rFonts w:hint="default" w:ascii="Times New Roman" w:hAnsi="Times New Roman" w:eastAsia="宋体" w:cs="Times New Roman"/>
                <w:bCs/>
                <w:sz w:val="24"/>
                <w:szCs w:val="24"/>
                <w:u w:val="single" w:color="auto"/>
              </w:rPr>
              <w:t>《工业和信息化部高耗能落后机电设备（产品）淘汰目录》、《部分工业行业淘汰落后生产工艺装备和产品指导目录》中淘汰及明令禁止使用的设备</w:t>
            </w:r>
            <w:r>
              <w:rPr>
                <w:rFonts w:hint="eastAsia" w:ascii="Times New Roman" w:hAnsi="Times New Roman" w:eastAsia="宋体" w:cs="Times New Roman"/>
                <w:bCs/>
                <w:sz w:val="24"/>
                <w:szCs w:val="24"/>
                <w:u w:val="single" w:color="auto"/>
                <w:lang w:eastAsia="zh-CN"/>
              </w:rPr>
              <w:t>。</w:t>
            </w:r>
          </w:p>
          <w:p>
            <w:pPr>
              <w:spacing w:line="360" w:lineRule="auto"/>
              <w:ind w:firstLine="482" w:firstLineChars="200"/>
              <w:rPr>
                <w:rFonts w:hint="default" w:ascii="Times New Roman" w:hAnsi="Times New Roman" w:cs="Times New Roman"/>
                <w:b/>
                <w:sz w:val="24"/>
                <w:szCs w:val="24"/>
                <w:u w:val="none" w:color="auto"/>
              </w:rPr>
            </w:pPr>
            <w:r>
              <w:rPr>
                <w:rFonts w:hint="eastAsia" w:cs="Times New Roman"/>
                <w:b/>
                <w:sz w:val="24"/>
                <w:szCs w:val="24"/>
                <w:u w:val="none" w:color="auto"/>
                <w:lang w:val="en-US" w:eastAsia="zh-CN"/>
              </w:rPr>
              <w:t>5</w:t>
            </w:r>
            <w:r>
              <w:rPr>
                <w:rFonts w:hint="default" w:ascii="Times New Roman" w:hAnsi="Times New Roman" w:cs="Times New Roman"/>
                <w:b/>
                <w:sz w:val="24"/>
                <w:szCs w:val="24"/>
                <w:u w:val="none" w:color="auto"/>
              </w:rPr>
              <w:t>、产品方案及原辅材料消耗</w:t>
            </w:r>
          </w:p>
          <w:p>
            <w:pPr>
              <w:spacing w:line="500" w:lineRule="exact"/>
              <w:ind w:firstLine="480" w:firstLineChars="200"/>
              <w:jc w:val="left"/>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（1）本项目产品方案见表1-3。</w:t>
            </w:r>
          </w:p>
          <w:p>
            <w:pPr>
              <w:jc w:val="center"/>
              <w:rPr>
                <w:rFonts w:hint="default" w:ascii="Times New Roman" w:hAnsi="Times New Roman" w:cs="Times New Roman"/>
                <w:sz w:val="24"/>
                <w:szCs w:val="24"/>
                <w:u w:val="none" w:color="auto"/>
              </w:rPr>
            </w:pPr>
            <w:r>
              <w:rPr>
                <w:rFonts w:hint="default" w:ascii="Times New Roman" w:hAnsi="Times New Roman" w:cs="Times New Roman"/>
                <w:b/>
                <w:bCs/>
                <w:sz w:val="24"/>
                <w:szCs w:val="24"/>
                <w:u w:val="none" w:color="auto"/>
              </w:rPr>
              <w:t>表1-3  产品方案一览表</w:t>
            </w:r>
          </w:p>
          <w:tbl>
            <w:tblPr>
              <w:tblStyle w:val="39"/>
              <w:tblW w:w="90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4909"/>
              <w:gridCol w:w="41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4909" w:type="dxa"/>
                  <w:vAlign w:val="center"/>
                </w:tcPr>
                <w:p>
                  <w:pPr>
                    <w:pStyle w:val="166"/>
                    <w:spacing w:line="360" w:lineRule="auto"/>
                    <w:rPr>
                      <w:rFonts w:hint="default" w:ascii="Times New Roman" w:hAnsi="Times New Roman" w:cs="Times New Roman"/>
                      <w:b w:val="0"/>
                      <w:bCs/>
                      <w:sz w:val="22"/>
                      <w:szCs w:val="22"/>
                      <w:u w:val="none" w:color="auto"/>
                    </w:rPr>
                  </w:pPr>
                  <w:r>
                    <w:rPr>
                      <w:rFonts w:hint="default" w:ascii="Times New Roman" w:hAnsi="Times New Roman" w:cs="Times New Roman"/>
                      <w:b w:val="0"/>
                      <w:bCs/>
                      <w:sz w:val="22"/>
                      <w:szCs w:val="22"/>
                      <w:u w:val="none" w:color="auto"/>
                    </w:rPr>
                    <w:t>产品名称</w:t>
                  </w:r>
                </w:p>
              </w:tc>
              <w:tc>
                <w:tcPr>
                  <w:tcW w:w="4159" w:type="dxa"/>
                  <w:vAlign w:val="center"/>
                </w:tcPr>
                <w:p>
                  <w:pPr>
                    <w:pStyle w:val="166"/>
                    <w:spacing w:line="360" w:lineRule="auto"/>
                    <w:rPr>
                      <w:rFonts w:hint="default" w:ascii="Times New Roman" w:hAnsi="Times New Roman" w:cs="Times New Roman"/>
                      <w:b w:val="0"/>
                      <w:bCs/>
                      <w:sz w:val="22"/>
                      <w:szCs w:val="22"/>
                      <w:u w:val="none" w:color="auto"/>
                    </w:rPr>
                  </w:pPr>
                  <w:r>
                    <w:rPr>
                      <w:rFonts w:hint="default" w:ascii="Times New Roman" w:hAnsi="Times New Roman" w:cs="Times New Roman"/>
                      <w:b w:val="0"/>
                      <w:bCs/>
                      <w:sz w:val="22"/>
                      <w:szCs w:val="22"/>
                      <w:u w:val="none" w:color="auto"/>
                    </w:rPr>
                    <w:t>年加工（套）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4909" w:type="dxa"/>
                  <w:vAlign w:val="center"/>
                </w:tcPr>
                <w:p>
                  <w:pPr>
                    <w:adjustRightInd w:val="0"/>
                    <w:snapToGrid w:val="0"/>
                    <w:spacing w:line="360" w:lineRule="auto"/>
                    <w:jc w:val="center"/>
                    <w:rPr>
                      <w:rFonts w:hint="default" w:ascii="Times New Roman" w:hAnsi="Times New Roman" w:eastAsia="宋体" w:cs="Times New Roman"/>
                      <w:b w:val="0"/>
                      <w:bCs/>
                      <w:sz w:val="22"/>
                      <w:szCs w:val="22"/>
                      <w:u w:val="none" w:color="auto"/>
                      <w:lang w:eastAsia="zh-CN"/>
                    </w:rPr>
                  </w:pPr>
                  <w:r>
                    <w:rPr>
                      <w:rFonts w:hint="default" w:ascii="Times New Roman" w:hAnsi="Times New Roman" w:cs="Times New Roman"/>
                      <w:b w:val="0"/>
                      <w:bCs/>
                      <w:sz w:val="22"/>
                      <w:szCs w:val="22"/>
                      <w:u w:val="none" w:color="auto"/>
                      <w:lang w:eastAsia="zh-CN"/>
                    </w:rPr>
                    <w:t>办公桌</w:t>
                  </w:r>
                </w:p>
              </w:tc>
              <w:tc>
                <w:tcPr>
                  <w:tcW w:w="4159" w:type="dxa"/>
                  <w:vAlign w:val="center"/>
                </w:tcPr>
                <w:p>
                  <w:pPr>
                    <w:adjustRightInd w:val="0"/>
                    <w:snapToGrid w:val="0"/>
                    <w:spacing w:line="360" w:lineRule="auto"/>
                    <w:jc w:val="center"/>
                    <w:rPr>
                      <w:rFonts w:hint="default" w:ascii="Times New Roman" w:hAnsi="Times New Roman" w:eastAsia="宋体" w:cs="Times New Roman"/>
                      <w:b w:val="0"/>
                      <w:bCs/>
                      <w:sz w:val="22"/>
                      <w:szCs w:val="22"/>
                      <w:u w:val="none" w:color="auto"/>
                      <w:lang w:val="en-US" w:eastAsia="zh-CN"/>
                    </w:rPr>
                  </w:pPr>
                  <w:r>
                    <w:rPr>
                      <w:rFonts w:hint="eastAsia" w:ascii="Times New Roman" w:hAnsi="Times New Roman" w:cs="Times New Roman"/>
                      <w:b w:val="0"/>
                      <w:bCs/>
                      <w:sz w:val="22"/>
                      <w:szCs w:val="22"/>
                      <w:u w:val="none" w:color="auto"/>
                      <w:lang w:val="en-US" w:eastAsia="zh-CN"/>
                    </w:rPr>
                    <w:t>5</w:t>
                  </w:r>
                  <w:r>
                    <w:rPr>
                      <w:rFonts w:hint="default" w:ascii="Times New Roman" w:hAnsi="Times New Roman" w:cs="Times New Roman"/>
                      <w:b w:val="0"/>
                      <w:bCs/>
                      <w:sz w:val="22"/>
                      <w:szCs w:val="22"/>
                      <w:u w:val="none" w:color="auto"/>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4909" w:type="dxa"/>
                  <w:vAlign w:val="center"/>
                </w:tcPr>
                <w:p>
                  <w:pPr>
                    <w:adjustRightInd w:val="0"/>
                    <w:snapToGrid w:val="0"/>
                    <w:spacing w:line="360" w:lineRule="auto"/>
                    <w:jc w:val="center"/>
                    <w:rPr>
                      <w:rFonts w:hint="default" w:ascii="Times New Roman" w:hAnsi="Times New Roman" w:cs="Times New Roman"/>
                      <w:b w:val="0"/>
                      <w:bCs/>
                      <w:sz w:val="22"/>
                      <w:szCs w:val="22"/>
                      <w:u w:val="none" w:color="auto"/>
                      <w:lang w:eastAsia="zh-CN"/>
                    </w:rPr>
                  </w:pPr>
                  <w:r>
                    <w:rPr>
                      <w:rFonts w:hint="default" w:ascii="Times New Roman" w:hAnsi="Times New Roman" w:cs="Times New Roman"/>
                      <w:b w:val="0"/>
                      <w:bCs/>
                      <w:sz w:val="22"/>
                      <w:szCs w:val="22"/>
                      <w:u w:val="none" w:color="auto"/>
                      <w:lang w:eastAsia="zh-CN"/>
                    </w:rPr>
                    <w:t>电脑桌</w:t>
                  </w:r>
                </w:p>
              </w:tc>
              <w:tc>
                <w:tcPr>
                  <w:tcW w:w="4159" w:type="dxa"/>
                  <w:vAlign w:val="center"/>
                </w:tcPr>
                <w:p>
                  <w:pPr>
                    <w:adjustRightInd w:val="0"/>
                    <w:snapToGrid w:val="0"/>
                    <w:spacing w:line="360" w:lineRule="auto"/>
                    <w:jc w:val="center"/>
                    <w:rPr>
                      <w:rFonts w:hint="default" w:ascii="Times New Roman" w:hAnsi="Times New Roman" w:cs="Times New Roman"/>
                      <w:b w:val="0"/>
                      <w:bCs/>
                      <w:sz w:val="22"/>
                      <w:szCs w:val="22"/>
                      <w:u w:val="none" w:color="auto"/>
                      <w:lang w:val="en-US" w:eastAsia="zh-CN"/>
                    </w:rPr>
                  </w:pPr>
                  <w:r>
                    <w:rPr>
                      <w:rFonts w:hint="eastAsia" w:ascii="Times New Roman" w:hAnsi="Times New Roman" w:cs="Times New Roman"/>
                      <w:b w:val="0"/>
                      <w:bCs/>
                      <w:sz w:val="22"/>
                      <w:szCs w:val="22"/>
                      <w:u w:val="none" w:color="auto"/>
                      <w:lang w:val="en-US" w:eastAsia="zh-CN"/>
                    </w:rPr>
                    <w:t>10</w:t>
                  </w:r>
                  <w:r>
                    <w:rPr>
                      <w:rFonts w:hint="default" w:ascii="Times New Roman" w:hAnsi="Times New Roman" w:cs="Times New Roman"/>
                      <w:b w:val="0"/>
                      <w:bCs/>
                      <w:sz w:val="22"/>
                      <w:szCs w:val="22"/>
                      <w:u w:val="none" w:color="auto"/>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4909" w:type="dxa"/>
                  <w:vAlign w:val="center"/>
                </w:tcPr>
                <w:p>
                  <w:pPr>
                    <w:adjustRightInd w:val="0"/>
                    <w:snapToGrid w:val="0"/>
                    <w:spacing w:line="360" w:lineRule="auto"/>
                    <w:jc w:val="center"/>
                    <w:rPr>
                      <w:rFonts w:hint="default" w:ascii="Times New Roman" w:hAnsi="Times New Roman" w:cs="Times New Roman"/>
                      <w:b w:val="0"/>
                      <w:bCs/>
                      <w:sz w:val="22"/>
                      <w:szCs w:val="22"/>
                      <w:u w:val="none" w:color="auto"/>
                      <w:lang w:eastAsia="zh-CN"/>
                    </w:rPr>
                  </w:pPr>
                  <w:r>
                    <w:rPr>
                      <w:rFonts w:hint="default" w:ascii="Times New Roman" w:hAnsi="Times New Roman" w:cs="Times New Roman"/>
                      <w:b w:val="0"/>
                      <w:bCs/>
                      <w:sz w:val="22"/>
                      <w:szCs w:val="22"/>
                      <w:u w:val="none" w:color="auto"/>
                      <w:lang w:eastAsia="zh-CN"/>
                    </w:rPr>
                    <w:t>书柜</w:t>
                  </w:r>
                </w:p>
              </w:tc>
              <w:tc>
                <w:tcPr>
                  <w:tcW w:w="4159" w:type="dxa"/>
                  <w:vAlign w:val="center"/>
                </w:tcPr>
                <w:p>
                  <w:pPr>
                    <w:adjustRightInd w:val="0"/>
                    <w:snapToGrid w:val="0"/>
                    <w:spacing w:line="360" w:lineRule="auto"/>
                    <w:jc w:val="center"/>
                    <w:rPr>
                      <w:rFonts w:hint="default" w:ascii="Times New Roman" w:hAnsi="Times New Roman" w:cs="Times New Roman"/>
                      <w:b w:val="0"/>
                      <w:bCs/>
                      <w:sz w:val="22"/>
                      <w:szCs w:val="22"/>
                      <w:u w:val="none" w:color="auto"/>
                      <w:lang w:val="en-US" w:eastAsia="zh-CN"/>
                    </w:rPr>
                  </w:pPr>
                  <w:r>
                    <w:rPr>
                      <w:rFonts w:hint="eastAsia" w:ascii="Times New Roman" w:hAnsi="Times New Roman" w:cs="Times New Roman"/>
                      <w:b w:val="0"/>
                      <w:bCs/>
                      <w:sz w:val="22"/>
                      <w:szCs w:val="22"/>
                      <w:u w:val="none" w:color="auto"/>
                      <w:lang w:val="en-US" w:eastAsia="zh-CN"/>
                    </w:rPr>
                    <w:t>10</w:t>
                  </w:r>
                  <w:r>
                    <w:rPr>
                      <w:rFonts w:hint="default" w:ascii="Times New Roman" w:hAnsi="Times New Roman" w:cs="Times New Roman"/>
                      <w:b w:val="0"/>
                      <w:bCs/>
                      <w:sz w:val="22"/>
                      <w:szCs w:val="22"/>
                      <w:u w:val="none" w:color="auto"/>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4909" w:type="dxa"/>
                  <w:vAlign w:val="center"/>
                </w:tcPr>
                <w:p>
                  <w:pPr>
                    <w:adjustRightInd w:val="0"/>
                    <w:snapToGrid w:val="0"/>
                    <w:spacing w:line="360" w:lineRule="auto"/>
                    <w:jc w:val="center"/>
                    <w:rPr>
                      <w:rFonts w:hint="default" w:ascii="Times New Roman" w:hAnsi="Times New Roman" w:cs="Times New Roman"/>
                      <w:b w:val="0"/>
                      <w:bCs/>
                      <w:sz w:val="22"/>
                      <w:szCs w:val="22"/>
                      <w:u w:val="none" w:color="auto"/>
                      <w:lang w:eastAsia="zh-CN"/>
                    </w:rPr>
                  </w:pPr>
                  <w:r>
                    <w:rPr>
                      <w:rFonts w:hint="default" w:ascii="Times New Roman" w:hAnsi="Times New Roman" w:cs="Times New Roman"/>
                      <w:b w:val="0"/>
                      <w:bCs/>
                      <w:sz w:val="22"/>
                      <w:szCs w:val="22"/>
                      <w:u w:val="none" w:color="auto"/>
                      <w:lang w:eastAsia="zh-CN"/>
                    </w:rPr>
                    <w:t>衣柜</w:t>
                  </w:r>
                </w:p>
              </w:tc>
              <w:tc>
                <w:tcPr>
                  <w:tcW w:w="4159" w:type="dxa"/>
                  <w:vAlign w:val="center"/>
                </w:tcPr>
                <w:p>
                  <w:pPr>
                    <w:adjustRightInd w:val="0"/>
                    <w:snapToGrid w:val="0"/>
                    <w:spacing w:line="360" w:lineRule="auto"/>
                    <w:jc w:val="center"/>
                    <w:rPr>
                      <w:rFonts w:hint="default" w:ascii="Times New Roman" w:hAnsi="Times New Roman" w:cs="Times New Roman"/>
                      <w:b w:val="0"/>
                      <w:bCs/>
                      <w:sz w:val="22"/>
                      <w:szCs w:val="22"/>
                      <w:u w:val="none" w:color="auto"/>
                      <w:lang w:val="en-US" w:eastAsia="zh-CN"/>
                    </w:rPr>
                  </w:pPr>
                  <w:r>
                    <w:rPr>
                      <w:rFonts w:hint="default" w:ascii="Times New Roman" w:hAnsi="Times New Roman" w:cs="Times New Roman"/>
                      <w:b w:val="0"/>
                      <w:bCs/>
                      <w:sz w:val="22"/>
                      <w:szCs w:val="22"/>
                      <w:u w:val="none" w:color="auto"/>
                      <w:lang w:val="en-US" w:eastAsia="zh-CN"/>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4909" w:type="dxa"/>
                  <w:vAlign w:val="center"/>
                </w:tcPr>
                <w:p>
                  <w:pPr>
                    <w:adjustRightInd w:val="0"/>
                    <w:snapToGrid w:val="0"/>
                    <w:spacing w:line="360" w:lineRule="auto"/>
                    <w:jc w:val="center"/>
                    <w:rPr>
                      <w:rFonts w:hint="default" w:ascii="Times New Roman" w:hAnsi="Times New Roman" w:cs="Times New Roman"/>
                      <w:b w:val="0"/>
                      <w:bCs/>
                      <w:sz w:val="22"/>
                      <w:szCs w:val="22"/>
                      <w:u w:val="none" w:color="auto"/>
                      <w:lang w:eastAsia="zh-CN"/>
                    </w:rPr>
                  </w:pPr>
                  <w:r>
                    <w:rPr>
                      <w:rFonts w:hint="default" w:ascii="Times New Roman" w:hAnsi="Times New Roman" w:cs="Times New Roman"/>
                      <w:b w:val="0"/>
                      <w:bCs/>
                      <w:sz w:val="22"/>
                      <w:szCs w:val="22"/>
                      <w:u w:val="none" w:color="auto"/>
                      <w:lang w:eastAsia="zh-CN"/>
                    </w:rPr>
                    <w:t>定制办公家具</w:t>
                  </w:r>
                </w:p>
              </w:tc>
              <w:tc>
                <w:tcPr>
                  <w:tcW w:w="4159" w:type="dxa"/>
                  <w:vAlign w:val="center"/>
                </w:tcPr>
                <w:p>
                  <w:pPr>
                    <w:adjustRightInd w:val="0"/>
                    <w:snapToGrid w:val="0"/>
                    <w:spacing w:line="360" w:lineRule="auto"/>
                    <w:jc w:val="center"/>
                    <w:rPr>
                      <w:rFonts w:hint="default" w:ascii="Times New Roman" w:hAnsi="Times New Roman" w:cs="Times New Roman"/>
                      <w:b w:val="0"/>
                      <w:bCs/>
                      <w:sz w:val="22"/>
                      <w:szCs w:val="22"/>
                      <w:u w:val="none" w:color="auto"/>
                      <w:lang w:val="en-US" w:eastAsia="zh-CN"/>
                    </w:rPr>
                  </w:pPr>
                  <w:r>
                    <w:rPr>
                      <w:rFonts w:hint="eastAsia" w:ascii="Times New Roman" w:hAnsi="Times New Roman" w:cs="Times New Roman"/>
                      <w:b w:val="0"/>
                      <w:bCs/>
                      <w:sz w:val="22"/>
                      <w:szCs w:val="22"/>
                      <w:u w:val="none" w:color="auto"/>
                      <w:lang w:val="en-US" w:eastAsia="zh-CN"/>
                    </w:rPr>
                    <w:t>20</w:t>
                  </w:r>
                  <w:r>
                    <w:rPr>
                      <w:rFonts w:hint="default" w:ascii="Times New Roman" w:hAnsi="Times New Roman" w:cs="Times New Roman"/>
                      <w:b w:val="0"/>
                      <w:bCs/>
                      <w:sz w:val="22"/>
                      <w:szCs w:val="22"/>
                      <w:u w:val="none" w:color="auto"/>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4909" w:type="dxa"/>
                  <w:vAlign w:val="center"/>
                </w:tcPr>
                <w:p>
                  <w:pPr>
                    <w:adjustRightInd w:val="0"/>
                    <w:snapToGrid w:val="0"/>
                    <w:spacing w:line="360" w:lineRule="auto"/>
                    <w:jc w:val="center"/>
                    <w:rPr>
                      <w:rFonts w:hint="eastAsia" w:ascii="Times New Roman" w:hAnsi="Times New Roman" w:eastAsia="宋体" w:cs="Times New Roman"/>
                      <w:b w:val="0"/>
                      <w:bCs/>
                      <w:sz w:val="22"/>
                      <w:szCs w:val="22"/>
                      <w:u w:val="none" w:color="auto"/>
                      <w:lang w:val="en-US" w:eastAsia="zh-CN"/>
                    </w:rPr>
                  </w:pPr>
                  <w:r>
                    <w:rPr>
                      <w:rFonts w:hint="eastAsia" w:cs="Times New Roman"/>
                      <w:b w:val="0"/>
                      <w:bCs/>
                      <w:sz w:val="22"/>
                      <w:szCs w:val="22"/>
                      <w:u w:val="none" w:color="auto"/>
                      <w:lang w:val="en-US" w:eastAsia="zh-CN"/>
                    </w:rPr>
                    <w:t>合计</w:t>
                  </w:r>
                </w:p>
              </w:tc>
              <w:tc>
                <w:tcPr>
                  <w:tcW w:w="4159" w:type="dxa"/>
                  <w:vAlign w:val="center"/>
                </w:tcPr>
                <w:p>
                  <w:pPr>
                    <w:adjustRightInd w:val="0"/>
                    <w:snapToGrid w:val="0"/>
                    <w:spacing w:line="360" w:lineRule="auto"/>
                    <w:jc w:val="center"/>
                    <w:rPr>
                      <w:rFonts w:hint="default" w:ascii="Times New Roman" w:hAnsi="Times New Roman" w:cs="Times New Roman"/>
                      <w:b w:val="0"/>
                      <w:bCs/>
                      <w:sz w:val="22"/>
                      <w:szCs w:val="22"/>
                      <w:u w:val="none" w:color="auto"/>
                      <w:lang w:val="en-US" w:eastAsia="zh-CN"/>
                    </w:rPr>
                  </w:pPr>
                  <w:r>
                    <w:rPr>
                      <w:rFonts w:hint="eastAsia" w:cs="Times New Roman"/>
                      <w:b w:val="0"/>
                      <w:bCs/>
                      <w:sz w:val="22"/>
                      <w:szCs w:val="22"/>
                      <w:u w:val="none" w:color="auto"/>
                      <w:lang w:val="en-US" w:eastAsia="zh-CN"/>
                    </w:rPr>
                    <w:t>5000</w:t>
                  </w:r>
                </w:p>
              </w:tc>
            </w:tr>
          </w:tbl>
          <w:p>
            <w:pPr>
              <w:pStyle w:val="168"/>
              <w:ind w:firstLine="480"/>
              <w:rPr>
                <w:rFonts w:hint="default" w:ascii="Times New Roman" w:hAnsi="Times New Roman" w:cs="Times New Roman"/>
                <w:u w:val="single" w:color="auto"/>
              </w:rPr>
            </w:pPr>
            <w:r>
              <w:rPr>
                <w:rFonts w:hint="eastAsia" w:cs="Times New Roman"/>
                <w:u w:val="single" w:color="auto"/>
                <w:lang w:eastAsia="zh-CN"/>
              </w:rPr>
              <w:t>注：本项目生产过程中不需要进行喷漆等工序，全部使用免漆板，且产品均为免漆产品。</w:t>
            </w:r>
          </w:p>
          <w:p>
            <w:pPr>
              <w:pStyle w:val="168"/>
              <w:ind w:firstLine="480"/>
              <w:rPr>
                <w:rFonts w:hint="default" w:ascii="Times New Roman" w:hAnsi="Times New Roman" w:eastAsia="宋体" w:cs="Times New Roman"/>
                <w:b/>
                <w:u w:val="single" w:color="auto"/>
              </w:rPr>
            </w:pPr>
            <w:r>
              <w:rPr>
                <w:rFonts w:hint="default" w:ascii="Times New Roman" w:hAnsi="Times New Roman" w:cs="Times New Roman"/>
                <w:u w:val="single" w:color="auto"/>
              </w:rPr>
              <w:t xml:space="preserve">（2）本项目主要的原材料消耗情况详见表1-4。 </w:t>
            </w:r>
          </w:p>
          <w:p>
            <w:pPr>
              <w:pStyle w:val="167"/>
              <w:spacing w:before="0" w:beforeLines="0" w:after="0" w:afterLines="0" w:line="240" w:lineRule="auto"/>
              <w:rPr>
                <w:rFonts w:hint="default" w:ascii="Times New Roman" w:hAnsi="Times New Roman" w:eastAsia="宋体" w:cs="Times New Roman"/>
                <w:b/>
                <w:color w:val="auto"/>
                <w:u w:val="single" w:color="auto"/>
              </w:rPr>
            </w:pPr>
            <w:r>
              <w:rPr>
                <w:rFonts w:hint="default" w:ascii="Times New Roman" w:hAnsi="Times New Roman" w:eastAsia="宋体" w:cs="Times New Roman"/>
                <w:b/>
                <w:color w:val="auto"/>
                <w:u w:val="single" w:color="auto"/>
              </w:rPr>
              <w:t>表1-4  主要原辅材料消耗一览表</w:t>
            </w:r>
          </w:p>
          <w:tbl>
            <w:tblPr>
              <w:tblStyle w:val="39"/>
              <w:tblW w:w="90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58"/>
              <w:gridCol w:w="1416"/>
              <w:gridCol w:w="1290"/>
              <w:gridCol w:w="1380"/>
              <w:gridCol w:w="39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blHeader/>
              </w:trPr>
              <w:tc>
                <w:tcPr>
                  <w:tcW w:w="1058" w:type="dxa"/>
                  <w:vAlign w:val="center"/>
                </w:tcPr>
                <w:p>
                  <w:pPr>
                    <w:pStyle w:val="167"/>
                    <w:spacing w:before="48" w:after="48" w:line="360" w:lineRule="auto"/>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序号</w:t>
                  </w:r>
                </w:p>
              </w:tc>
              <w:tc>
                <w:tcPr>
                  <w:tcW w:w="1416" w:type="dxa"/>
                  <w:vAlign w:val="center"/>
                </w:tcPr>
                <w:p>
                  <w:pPr>
                    <w:pStyle w:val="167"/>
                    <w:spacing w:before="48" w:after="48" w:line="360" w:lineRule="auto"/>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名称</w:t>
                  </w:r>
                </w:p>
              </w:tc>
              <w:tc>
                <w:tcPr>
                  <w:tcW w:w="1290" w:type="dxa"/>
                  <w:vAlign w:val="center"/>
                </w:tcPr>
                <w:p>
                  <w:pPr>
                    <w:pStyle w:val="167"/>
                    <w:spacing w:before="48" w:after="48" w:line="360" w:lineRule="auto"/>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单位</w:t>
                  </w:r>
                </w:p>
              </w:tc>
              <w:tc>
                <w:tcPr>
                  <w:tcW w:w="1380" w:type="dxa"/>
                  <w:vAlign w:val="center"/>
                </w:tcPr>
                <w:p>
                  <w:pPr>
                    <w:pStyle w:val="167"/>
                    <w:spacing w:before="48" w:after="48" w:line="360" w:lineRule="auto"/>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年用量</w:t>
                  </w:r>
                </w:p>
              </w:tc>
              <w:tc>
                <w:tcPr>
                  <w:tcW w:w="3924" w:type="dxa"/>
                </w:tcPr>
                <w:p>
                  <w:pPr>
                    <w:pStyle w:val="167"/>
                    <w:spacing w:before="48" w:after="48" w:line="360" w:lineRule="auto"/>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1058" w:type="dxa"/>
                  <w:vAlign w:val="center"/>
                </w:tcPr>
                <w:p>
                  <w:pPr>
                    <w:pStyle w:val="167"/>
                    <w:spacing w:before="48" w:after="48" w:line="360" w:lineRule="auto"/>
                    <w:rPr>
                      <w:rFonts w:hint="default" w:ascii="Times New Roman" w:hAnsi="Times New Roman" w:eastAsia="宋体" w:cs="Times New Roman"/>
                      <w:color w:val="auto"/>
                      <w:sz w:val="22"/>
                      <w:szCs w:val="22"/>
                      <w:u w:val="single" w:color="auto"/>
                    </w:rPr>
                  </w:pPr>
                  <w:r>
                    <w:rPr>
                      <w:rFonts w:hint="default" w:ascii="Times New Roman" w:hAnsi="Times New Roman" w:eastAsia="宋体" w:cs="Times New Roman"/>
                      <w:color w:val="auto"/>
                      <w:sz w:val="22"/>
                      <w:szCs w:val="22"/>
                      <w:u w:val="single" w:color="auto"/>
                    </w:rPr>
                    <w:t>1</w:t>
                  </w:r>
                </w:p>
              </w:tc>
              <w:tc>
                <w:tcPr>
                  <w:tcW w:w="1416" w:type="dxa"/>
                  <w:vAlign w:val="center"/>
                </w:tcPr>
                <w:p>
                  <w:pPr>
                    <w:spacing w:before="48" w:after="48" w:line="360" w:lineRule="auto"/>
                    <w:jc w:val="center"/>
                    <w:rPr>
                      <w:rFonts w:hint="eastAsia" w:eastAsia="宋体" w:cs="Times New Roman"/>
                      <w:color w:val="auto"/>
                      <w:sz w:val="22"/>
                      <w:szCs w:val="22"/>
                      <w:u w:val="single" w:color="auto"/>
                      <w:lang w:eastAsia="zh-CN"/>
                    </w:rPr>
                  </w:pPr>
                  <w:r>
                    <w:rPr>
                      <w:rFonts w:hint="eastAsia" w:eastAsia="宋体" w:cs="Times New Roman"/>
                      <w:color w:val="auto"/>
                      <w:sz w:val="22"/>
                      <w:szCs w:val="22"/>
                      <w:u w:val="single" w:color="auto"/>
                      <w:lang w:eastAsia="zh-CN"/>
                    </w:rPr>
                    <w:t>免漆板</w:t>
                  </w:r>
                </w:p>
              </w:tc>
              <w:tc>
                <w:tcPr>
                  <w:tcW w:w="1290" w:type="dxa"/>
                  <w:vAlign w:val="center"/>
                </w:tcPr>
                <w:p>
                  <w:pPr>
                    <w:spacing w:before="48" w:after="48" w:line="360" w:lineRule="auto"/>
                    <w:jc w:val="center"/>
                    <w:rPr>
                      <w:rFonts w:hint="eastAsia" w:eastAsia="宋体" w:cs="Times New Roman"/>
                      <w:color w:val="auto"/>
                      <w:sz w:val="22"/>
                      <w:szCs w:val="22"/>
                      <w:u w:val="single" w:color="auto"/>
                      <w:lang w:eastAsia="zh-CN"/>
                    </w:rPr>
                  </w:pPr>
                  <w:r>
                    <w:rPr>
                      <w:rFonts w:hint="eastAsia" w:eastAsia="宋体" w:cs="Times New Roman"/>
                      <w:color w:val="auto"/>
                      <w:sz w:val="22"/>
                      <w:szCs w:val="22"/>
                      <w:u w:val="single" w:color="auto"/>
                      <w:lang w:eastAsia="zh-CN"/>
                    </w:rPr>
                    <w:t>张</w:t>
                  </w:r>
                </w:p>
              </w:tc>
              <w:tc>
                <w:tcPr>
                  <w:tcW w:w="1380" w:type="dxa"/>
                  <w:vAlign w:val="center"/>
                </w:tcPr>
                <w:p>
                  <w:pPr>
                    <w:spacing w:before="48" w:after="48" w:line="360" w:lineRule="auto"/>
                    <w:jc w:val="center"/>
                    <w:rPr>
                      <w:rFonts w:hint="default" w:eastAsia="宋体" w:cs="Times New Roman"/>
                      <w:color w:val="auto"/>
                      <w:sz w:val="22"/>
                      <w:szCs w:val="22"/>
                      <w:u w:val="single" w:color="auto"/>
                      <w:lang w:val="en-US" w:eastAsia="zh-CN"/>
                    </w:rPr>
                  </w:pPr>
                  <w:r>
                    <w:rPr>
                      <w:rFonts w:hint="eastAsia" w:eastAsia="宋体" w:cs="Times New Roman"/>
                      <w:color w:val="auto"/>
                      <w:sz w:val="22"/>
                      <w:szCs w:val="22"/>
                      <w:u w:val="single" w:color="auto"/>
                      <w:lang w:val="en-US" w:eastAsia="zh-CN"/>
                    </w:rPr>
                    <w:t>30000</w:t>
                  </w:r>
                </w:p>
              </w:tc>
              <w:tc>
                <w:tcPr>
                  <w:tcW w:w="3924" w:type="dxa"/>
                  <w:vAlign w:val="center"/>
                </w:tcPr>
                <w:p>
                  <w:pPr>
                    <w:spacing w:before="48" w:after="48" w:line="360" w:lineRule="auto"/>
                    <w:jc w:val="center"/>
                    <w:rPr>
                      <w:rFonts w:hint="default" w:eastAsia="宋体" w:cs="Times New Roman"/>
                      <w:color w:val="auto"/>
                      <w:sz w:val="22"/>
                      <w:szCs w:val="22"/>
                      <w:u w:val="single" w:color="auto"/>
                      <w:lang w:eastAsia="zh-CN"/>
                    </w:rPr>
                  </w:pPr>
                  <w:r>
                    <w:rPr>
                      <w:rFonts w:hint="default" w:eastAsia="宋体" w:cs="Times New Roman"/>
                      <w:color w:val="auto"/>
                      <w:sz w:val="22"/>
                      <w:szCs w:val="22"/>
                      <w:u w:val="single" w:color="auto"/>
                      <w:lang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058" w:type="dxa"/>
                  <w:tcBorders>
                    <w:bottom w:val="single" w:color="auto" w:sz="4" w:space="0"/>
                  </w:tcBorders>
                  <w:vAlign w:val="center"/>
                </w:tcPr>
                <w:p>
                  <w:pPr>
                    <w:pStyle w:val="167"/>
                    <w:spacing w:before="48" w:after="48" w:line="360" w:lineRule="auto"/>
                    <w:rPr>
                      <w:rFonts w:hint="default" w:ascii="Times New Roman" w:hAnsi="Times New Roman" w:eastAsia="宋体" w:cs="Times New Roman"/>
                      <w:color w:val="auto"/>
                      <w:sz w:val="22"/>
                      <w:szCs w:val="22"/>
                      <w:u w:val="single" w:color="auto"/>
                      <w:lang w:val="en-US" w:eastAsia="zh-CN"/>
                    </w:rPr>
                  </w:pPr>
                  <w:r>
                    <w:rPr>
                      <w:rFonts w:hint="eastAsia" w:eastAsia="宋体" w:cs="Times New Roman"/>
                      <w:color w:val="auto"/>
                      <w:sz w:val="22"/>
                      <w:szCs w:val="22"/>
                      <w:u w:val="single" w:color="auto"/>
                      <w:lang w:val="en-US" w:eastAsia="zh-CN"/>
                    </w:rPr>
                    <w:t>3</w:t>
                  </w:r>
                </w:p>
              </w:tc>
              <w:tc>
                <w:tcPr>
                  <w:tcW w:w="1416" w:type="dxa"/>
                  <w:tcBorders>
                    <w:bottom w:val="single" w:color="auto" w:sz="4" w:space="0"/>
                  </w:tcBorders>
                  <w:vAlign w:val="center"/>
                </w:tcPr>
                <w:p>
                  <w:pPr>
                    <w:spacing w:before="48" w:after="48" w:line="360" w:lineRule="auto"/>
                    <w:jc w:val="center"/>
                    <w:rPr>
                      <w:rFonts w:hint="eastAsia" w:eastAsia="宋体" w:cs="Times New Roman"/>
                      <w:color w:val="auto"/>
                      <w:sz w:val="22"/>
                      <w:szCs w:val="22"/>
                      <w:u w:val="single" w:color="auto"/>
                      <w:lang w:eastAsia="zh-CN"/>
                    </w:rPr>
                  </w:pPr>
                  <w:r>
                    <w:rPr>
                      <w:rFonts w:hint="eastAsia" w:eastAsia="宋体" w:cs="Times New Roman"/>
                      <w:color w:val="auto"/>
                      <w:sz w:val="22"/>
                      <w:szCs w:val="22"/>
                      <w:u w:val="single" w:color="auto"/>
                      <w:lang w:eastAsia="zh-CN"/>
                    </w:rPr>
                    <w:t>封边带</w:t>
                  </w:r>
                </w:p>
              </w:tc>
              <w:tc>
                <w:tcPr>
                  <w:tcW w:w="1290" w:type="dxa"/>
                  <w:tcBorders>
                    <w:bottom w:val="single" w:color="auto" w:sz="4" w:space="0"/>
                  </w:tcBorders>
                  <w:vAlign w:val="center"/>
                </w:tcPr>
                <w:p>
                  <w:pPr>
                    <w:spacing w:before="48" w:after="48" w:line="360" w:lineRule="auto"/>
                    <w:jc w:val="center"/>
                    <w:rPr>
                      <w:rFonts w:hint="default" w:eastAsia="宋体" w:cs="Times New Roman"/>
                      <w:color w:val="auto"/>
                      <w:sz w:val="22"/>
                      <w:szCs w:val="22"/>
                      <w:u w:val="single" w:color="auto"/>
                      <w:lang w:val="en-US" w:eastAsia="zh-CN"/>
                    </w:rPr>
                  </w:pPr>
                  <w:r>
                    <w:rPr>
                      <w:rFonts w:hint="eastAsia" w:eastAsia="宋体" w:cs="Times New Roman"/>
                      <w:color w:val="auto"/>
                      <w:sz w:val="22"/>
                      <w:szCs w:val="22"/>
                      <w:u w:val="single" w:color="auto"/>
                      <w:lang w:val="en-US" w:eastAsia="zh-CN"/>
                    </w:rPr>
                    <w:t>卷</w:t>
                  </w:r>
                </w:p>
              </w:tc>
              <w:tc>
                <w:tcPr>
                  <w:tcW w:w="1380" w:type="dxa"/>
                  <w:tcBorders>
                    <w:bottom w:val="single" w:color="auto" w:sz="4" w:space="0"/>
                  </w:tcBorders>
                  <w:vAlign w:val="center"/>
                </w:tcPr>
                <w:p>
                  <w:pPr>
                    <w:spacing w:before="48" w:after="48" w:line="360" w:lineRule="auto"/>
                    <w:jc w:val="center"/>
                    <w:rPr>
                      <w:rFonts w:hint="eastAsia" w:eastAsia="宋体" w:cs="Times New Roman"/>
                      <w:color w:val="auto"/>
                      <w:sz w:val="22"/>
                      <w:szCs w:val="22"/>
                      <w:u w:val="single" w:color="auto"/>
                      <w:lang w:val="en-US" w:eastAsia="zh-CN"/>
                    </w:rPr>
                  </w:pPr>
                  <w:r>
                    <w:rPr>
                      <w:rFonts w:hint="eastAsia" w:eastAsia="宋体" w:cs="Times New Roman"/>
                      <w:color w:val="auto"/>
                      <w:sz w:val="22"/>
                      <w:szCs w:val="22"/>
                      <w:u w:val="single" w:color="auto"/>
                      <w:lang w:val="en-US" w:eastAsia="zh-CN"/>
                    </w:rPr>
                    <w:t>30000</w:t>
                  </w:r>
                </w:p>
              </w:tc>
              <w:tc>
                <w:tcPr>
                  <w:tcW w:w="3924" w:type="dxa"/>
                  <w:tcBorders>
                    <w:bottom w:val="single" w:color="auto" w:sz="4" w:space="0"/>
                  </w:tcBorders>
                  <w:vAlign w:val="center"/>
                </w:tcPr>
                <w:p>
                  <w:pPr>
                    <w:spacing w:before="48" w:after="48" w:line="360" w:lineRule="auto"/>
                    <w:jc w:val="center"/>
                    <w:rPr>
                      <w:rFonts w:hint="eastAsia" w:eastAsia="宋体" w:cs="Times New Roman"/>
                      <w:color w:val="auto"/>
                      <w:sz w:val="22"/>
                      <w:szCs w:val="22"/>
                      <w:u w:val="single" w:color="auto"/>
                      <w:lang w:eastAsia="zh-CN"/>
                    </w:rPr>
                  </w:pPr>
                  <w:r>
                    <w:rPr>
                      <w:rFonts w:hint="default" w:eastAsia="宋体" w:cs="Times New Roman"/>
                      <w:color w:val="auto"/>
                      <w:sz w:val="22"/>
                      <w:szCs w:val="22"/>
                      <w:u w:val="single" w:color="auto"/>
                      <w:lang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0" w:hRule="atLeast"/>
              </w:trPr>
              <w:tc>
                <w:tcPr>
                  <w:tcW w:w="1058" w:type="dxa"/>
                  <w:tcBorders>
                    <w:top w:val="single" w:color="auto" w:sz="4" w:space="0"/>
                    <w:bottom w:val="single" w:color="auto" w:sz="4" w:space="0"/>
                  </w:tcBorders>
                  <w:vAlign w:val="center"/>
                </w:tcPr>
                <w:p>
                  <w:pPr>
                    <w:pStyle w:val="167"/>
                    <w:spacing w:before="48" w:after="48" w:line="360" w:lineRule="auto"/>
                    <w:rPr>
                      <w:rFonts w:hint="default" w:eastAsia="宋体" w:cs="Times New Roman"/>
                      <w:color w:val="auto"/>
                      <w:sz w:val="22"/>
                      <w:szCs w:val="22"/>
                      <w:u w:val="single" w:color="auto"/>
                      <w:lang w:val="en-US" w:eastAsia="zh-CN"/>
                    </w:rPr>
                  </w:pPr>
                  <w:r>
                    <w:rPr>
                      <w:rFonts w:hint="eastAsia" w:eastAsia="宋体" w:cs="Times New Roman"/>
                      <w:color w:val="auto"/>
                      <w:sz w:val="22"/>
                      <w:szCs w:val="22"/>
                      <w:u w:val="single" w:color="auto"/>
                      <w:lang w:val="en-US" w:eastAsia="zh-CN"/>
                    </w:rPr>
                    <w:t>4</w:t>
                  </w:r>
                </w:p>
              </w:tc>
              <w:tc>
                <w:tcPr>
                  <w:tcW w:w="1416" w:type="dxa"/>
                  <w:tcBorders>
                    <w:top w:val="single" w:color="auto" w:sz="4" w:space="0"/>
                    <w:bottom w:val="single" w:color="auto" w:sz="4" w:space="0"/>
                  </w:tcBorders>
                  <w:vAlign w:val="center"/>
                </w:tcPr>
                <w:p>
                  <w:pPr>
                    <w:spacing w:before="48" w:after="48" w:line="360" w:lineRule="auto"/>
                    <w:jc w:val="center"/>
                    <w:rPr>
                      <w:rFonts w:hint="eastAsia" w:eastAsia="宋体" w:cs="Times New Roman"/>
                      <w:color w:val="auto"/>
                      <w:sz w:val="22"/>
                      <w:szCs w:val="22"/>
                      <w:u w:val="single" w:color="auto"/>
                      <w:lang w:eastAsia="zh-CN"/>
                    </w:rPr>
                  </w:pPr>
                  <w:r>
                    <w:rPr>
                      <w:rFonts w:hint="eastAsia" w:eastAsia="宋体" w:cs="Times New Roman"/>
                      <w:color w:val="auto"/>
                      <w:sz w:val="22"/>
                      <w:szCs w:val="22"/>
                      <w:u w:val="single" w:color="auto"/>
                      <w:lang w:eastAsia="zh-CN"/>
                    </w:rPr>
                    <w:t>屏风型材</w:t>
                  </w:r>
                </w:p>
              </w:tc>
              <w:tc>
                <w:tcPr>
                  <w:tcW w:w="1290" w:type="dxa"/>
                  <w:tcBorders>
                    <w:top w:val="single" w:color="auto" w:sz="4" w:space="0"/>
                    <w:bottom w:val="single" w:color="auto" w:sz="4" w:space="0"/>
                  </w:tcBorders>
                  <w:vAlign w:val="center"/>
                </w:tcPr>
                <w:p>
                  <w:pPr>
                    <w:spacing w:before="48" w:after="48" w:line="360" w:lineRule="auto"/>
                    <w:jc w:val="center"/>
                    <w:rPr>
                      <w:rFonts w:hint="default" w:eastAsia="宋体" w:cs="Times New Roman"/>
                      <w:color w:val="auto"/>
                      <w:sz w:val="22"/>
                      <w:szCs w:val="22"/>
                      <w:u w:val="single" w:color="auto"/>
                      <w:lang w:val="en-US" w:eastAsia="zh-CN"/>
                    </w:rPr>
                  </w:pPr>
                  <w:r>
                    <w:rPr>
                      <w:rFonts w:hint="eastAsia" w:eastAsia="宋体" w:cs="Times New Roman"/>
                      <w:color w:val="auto"/>
                      <w:sz w:val="22"/>
                      <w:szCs w:val="22"/>
                      <w:u w:val="single" w:color="auto"/>
                      <w:lang w:val="en-US" w:eastAsia="zh-CN"/>
                    </w:rPr>
                    <w:t>吨</w:t>
                  </w:r>
                </w:p>
              </w:tc>
              <w:tc>
                <w:tcPr>
                  <w:tcW w:w="1380" w:type="dxa"/>
                  <w:tcBorders>
                    <w:top w:val="single" w:color="auto" w:sz="4" w:space="0"/>
                    <w:bottom w:val="single" w:color="auto" w:sz="4" w:space="0"/>
                  </w:tcBorders>
                  <w:vAlign w:val="center"/>
                </w:tcPr>
                <w:p>
                  <w:pPr>
                    <w:spacing w:before="48" w:after="48" w:line="360" w:lineRule="auto"/>
                    <w:jc w:val="center"/>
                    <w:rPr>
                      <w:rFonts w:hint="default" w:eastAsia="宋体" w:cs="Times New Roman"/>
                      <w:color w:val="auto"/>
                      <w:sz w:val="22"/>
                      <w:szCs w:val="22"/>
                      <w:u w:val="single" w:color="auto"/>
                      <w:lang w:val="en-US" w:eastAsia="zh-CN"/>
                    </w:rPr>
                  </w:pPr>
                  <w:r>
                    <w:rPr>
                      <w:rFonts w:hint="eastAsia" w:eastAsia="宋体" w:cs="Times New Roman"/>
                      <w:color w:val="auto"/>
                      <w:sz w:val="22"/>
                      <w:szCs w:val="22"/>
                      <w:u w:val="single" w:color="auto"/>
                      <w:lang w:val="en-US" w:eastAsia="zh-CN"/>
                    </w:rPr>
                    <w:t>30</w:t>
                  </w:r>
                </w:p>
              </w:tc>
              <w:tc>
                <w:tcPr>
                  <w:tcW w:w="3924" w:type="dxa"/>
                  <w:tcBorders>
                    <w:top w:val="single" w:color="auto" w:sz="4" w:space="0"/>
                    <w:bottom w:val="single" w:color="auto" w:sz="4" w:space="0"/>
                  </w:tcBorders>
                  <w:vAlign w:val="center"/>
                </w:tcPr>
                <w:p>
                  <w:pPr>
                    <w:spacing w:before="48" w:after="48" w:line="360" w:lineRule="auto"/>
                    <w:jc w:val="center"/>
                    <w:rPr>
                      <w:rFonts w:hint="eastAsia" w:eastAsia="宋体" w:cs="Times New Roman"/>
                      <w:color w:val="auto"/>
                      <w:sz w:val="22"/>
                      <w:szCs w:val="22"/>
                      <w:u w:val="single" w:color="auto"/>
                      <w:lang w:eastAsia="zh-CN"/>
                    </w:rPr>
                  </w:pPr>
                  <w:r>
                    <w:rPr>
                      <w:rFonts w:hint="eastAsia" w:eastAsia="宋体" w:cs="Times New Roman"/>
                      <w:color w:val="auto"/>
                      <w:sz w:val="22"/>
                      <w:szCs w:val="22"/>
                      <w:u w:val="single" w:color="auto"/>
                      <w:lang w:eastAsia="zh-CN"/>
                    </w:rPr>
                    <w:t>外购（家具装饰品）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0" w:hRule="atLeast"/>
              </w:trPr>
              <w:tc>
                <w:tcPr>
                  <w:tcW w:w="1058" w:type="dxa"/>
                  <w:tcBorders>
                    <w:top w:val="single" w:color="auto" w:sz="4" w:space="0"/>
                    <w:bottom w:val="single" w:color="auto" w:sz="4" w:space="0"/>
                  </w:tcBorders>
                  <w:vAlign w:val="center"/>
                </w:tcPr>
                <w:p>
                  <w:pPr>
                    <w:pStyle w:val="167"/>
                    <w:spacing w:before="48" w:after="48" w:line="360" w:lineRule="auto"/>
                    <w:rPr>
                      <w:rFonts w:hint="default" w:eastAsia="宋体" w:cs="Times New Roman"/>
                      <w:color w:val="auto"/>
                      <w:sz w:val="22"/>
                      <w:szCs w:val="22"/>
                      <w:u w:val="single" w:color="auto"/>
                      <w:lang w:val="en-US" w:eastAsia="zh-CN"/>
                    </w:rPr>
                  </w:pPr>
                  <w:r>
                    <w:rPr>
                      <w:rFonts w:hint="eastAsia" w:eastAsia="宋体" w:cs="Times New Roman"/>
                      <w:color w:val="auto"/>
                      <w:sz w:val="22"/>
                      <w:szCs w:val="22"/>
                      <w:u w:val="single" w:color="auto"/>
                      <w:lang w:val="en-US" w:eastAsia="zh-CN"/>
                    </w:rPr>
                    <w:t>5</w:t>
                  </w:r>
                </w:p>
              </w:tc>
              <w:tc>
                <w:tcPr>
                  <w:tcW w:w="1416" w:type="dxa"/>
                  <w:tcBorders>
                    <w:top w:val="single" w:color="auto" w:sz="4" w:space="0"/>
                    <w:bottom w:val="single" w:color="auto" w:sz="4" w:space="0"/>
                  </w:tcBorders>
                  <w:vAlign w:val="center"/>
                </w:tcPr>
                <w:p>
                  <w:pPr>
                    <w:spacing w:before="48" w:after="48" w:line="360" w:lineRule="auto"/>
                    <w:jc w:val="center"/>
                    <w:rPr>
                      <w:rFonts w:hint="eastAsia" w:eastAsia="宋体" w:cs="Times New Roman"/>
                      <w:color w:val="auto"/>
                      <w:sz w:val="22"/>
                      <w:szCs w:val="22"/>
                      <w:u w:val="single" w:color="auto"/>
                      <w:lang w:eastAsia="zh-CN"/>
                    </w:rPr>
                  </w:pPr>
                  <w:r>
                    <w:rPr>
                      <w:rFonts w:hint="eastAsia" w:cs="Times New Roman"/>
                      <w:color w:val="auto"/>
                      <w:sz w:val="22"/>
                      <w:szCs w:val="22"/>
                      <w:u w:val="single" w:color="auto"/>
                      <w:lang w:eastAsia="zh-CN"/>
                    </w:rPr>
                    <w:t>白乳胶</w:t>
                  </w:r>
                </w:p>
              </w:tc>
              <w:tc>
                <w:tcPr>
                  <w:tcW w:w="1290" w:type="dxa"/>
                  <w:tcBorders>
                    <w:top w:val="single" w:color="auto" w:sz="4" w:space="0"/>
                    <w:bottom w:val="single" w:color="auto" w:sz="4" w:space="0"/>
                  </w:tcBorders>
                  <w:vAlign w:val="center"/>
                </w:tcPr>
                <w:p>
                  <w:pPr>
                    <w:spacing w:before="48" w:after="48" w:line="360" w:lineRule="auto"/>
                    <w:jc w:val="center"/>
                    <w:rPr>
                      <w:rFonts w:hint="eastAsia" w:eastAsia="宋体" w:cs="Times New Roman"/>
                      <w:color w:val="auto"/>
                      <w:sz w:val="22"/>
                      <w:szCs w:val="22"/>
                      <w:u w:val="single" w:color="auto"/>
                      <w:lang w:val="en-US" w:eastAsia="zh-CN"/>
                    </w:rPr>
                  </w:pPr>
                  <w:r>
                    <w:rPr>
                      <w:rFonts w:hint="eastAsia" w:eastAsia="宋体" w:cs="Times New Roman"/>
                      <w:color w:val="auto"/>
                      <w:sz w:val="22"/>
                      <w:szCs w:val="22"/>
                      <w:u w:val="single" w:color="auto"/>
                      <w:lang w:val="en-US" w:eastAsia="zh-CN"/>
                    </w:rPr>
                    <w:t>吨</w:t>
                  </w:r>
                </w:p>
              </w:tc>
              <w:tc>
                <w:tcPr>
                  <w:tcW w:w="1380" w:type="dxa"/>
                  <w:tcBorders>
                    <w:top w:val="single" w:color="auto" w:sz="4" w:space="0"/>
                    <w:bottom w:val="single" w:color="auto" w:sz="4" w:space="0"/>
                  </w:tcBorders>
                  <w:vAlign w:val="center"/>
                </w:tcPr>
                <w:p>
                  <w:pPr>
                    <w:spacing w:before="48" w:after="48" w:line="360" w:lineRule="auto"/>
                    <w:jc w:val="center"/>
                    <w:rPr>
                      <w:rFonts w:hint="default"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3</w:t>
                  </w:r>
                </w:p>
              </w:tc>
              <w:tc>
                <w:tcPr>
                  <w:tcW w:w="3924" w:type="dxa"/>
                  <w:tcBorders>
                    <w:top w:val="single" w:color="auto" w:sz="4" w:space="0"/>
                    <w:bottom w:val="single" w:color="auto" w:sz="4" w:space="0"/>
                  </w:tcBorders>
                  <w:vAlign w:val="center"/>
                </w:tcPr>
                <w:p>
                  <w:pPr>
                    <w:spacing w:before="48" w:after="48" w:line="360" w:lineRule="auto"/>
                    <w:jc w:val="center"/>
                    <w:rPr>
                      <w:rFonts w:hint="eastAsia" w:eastAsia="宋体" w:cs="Times New Roman"/>
                      <w:color w:val="auto"/>
                      <w:sz w:val="22"/>
                      <w:szCs w:val="22"/>
                      <w:u w:val="single" w:color="auto"/>
                      <w:lang w:eastAsia="zh-CN"/>
                    </w:rPr>
                  </w:pPr>
                  <w:r>
                    <w:rPr>
                      <w:rFonts w:hint="default" w:eastAsia="宋体" w:cs="Times New Roman"/>
                      <w:color w:val="auto"/>
                      <w:sz w:val="22"/>
                      <w:szCs w:val="22"/>
                      <w:u w:val="single" w:color="auto"/>
                      <w:lang w:eastAsia="zh-CN"/>
                    </w:rPr>
                    <w:t>外购</w:t>
                  </w:r>
                  <w:r>
                    <w:rPr>
                      <w:rFonts w:hint="eastAsia" w:eastAsia="宋体" w:cs="Times New Roman"/>
                      <w:color w:val="auto"/>
                      <w:sz w:val="22"/>
                      <w:szCs w:val="22"/>
                      <w:u w:val="single" w:color="auto"/>
                      <w:lang w:eastAsia="zh-CN"/>
                    </w:rPr>
                    <w:t>（桶装）</w:t>
                  </w:r>
                  <w:r>
                    <w:rPr>
                      <w:rFonts w:hint="eastAsia" w:cs="Times New Roman"/>
                      <w:color w:val="auto"/>
                      <w:sz w:val="22"/>
                      <w:szCs w:val="22"/>
                      <w:u w:val="single" w:color="auto"/>
                      <w:lang w:eastAsia="zh-CN"/>
                    </w:rPr>
                    <w:t>，用于冷压工序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0" w:hRule="atLeast"/>
              </w:trPr>
              <w:tc>
                <w:tcPr>
                  <w:tcW w:w="1058" w:type="dxa"/>
                  <w:tcBorders>
                    <w:top w:val="single" w:color="auto" w:sz="4" w:space="0"/>
                    <w:bottom w:val="single" w:color="auto" w:sz="4" w:space="0"/>
                  </w:tcBorders>
                  <w:vAlign w:val="center"/>
                </w:tcPr>
                <w:p>
                  <w:pPr>
                    <w:pStyle w:val="167"/>
                    <w:spacing w:before="48" w:after="48" w:line="360" w:lineRule="auto"/>
                    <w:rPr>
                      <w:rFonts w:hint="default" w:eastAsia="宋体" w:cs="Times New Roman"/>
                      <w:color w:val="auto"/>
                      <w:sz w:val="22"/>
                      <w:szCs w:val="22"/>
                      <w:u w:val="single" w:color="auto"/>
                      <w:lang w:val="en-US" w:eastAsia="zh-CN"/>
                    </w:rPr>
                  </w:pPr>
                  <w:r>
                    <w:rPr>
                      <w:rFonts w:hint="eastAsia" w:eastAsia="宋体" w:cs="Times New Roman"/>
                      <w:color w:val="auto"/>
                      <w:sz w:val="22"/>
                      <w:szCs w:val="22"/>
                      <w:u w:val="single" w:color="auto"/>
                      <w:lang w:val="en-US" w:eastAsia="zh-CN"/>
                    </w:rPr>
                    <w:t>6</w:t>
                  </w:r>
                </w:p>
              </w:tc>
              <w:tc>
                <w:tcPr>
                  <w:tcW w:w="1416" w:type="dxa"/>
                  <w:tcBorders>
                    <w:top w:val="single" w:color="auto" w:sz="4" w:space="0"/>
                    <w:bottom w:val="single" w:color="auto" w:sz="4" w:space="0"/>
                  </w:tcBorders>
                  <w:vAlign w:val="center"/>
                </w:tcPr>
                <w:p>
                  <w:pPr>
                    <w:spacing w:before="48" w:after="48" w:line="360" w:lineRule="auto"/>
                    <w:jc w:val="center"/>
                    <w:rPr>
                      <w:rFonts w:hint="eastAsia" w:eastAsia="宋体" w:cs="Times New Roman"/>
                      <w:color w:val="auto"/>
                      <w:sz w:val="22"/>
                      <w:szCs w:val="22"/>
                      <w:u w:val="single" w:color="auto"/>
                      <w:lang w:eastAsia="zh-CN"/>
                    </w:rPr>
                  </w:pPr>
                  <w:r>
                    <w:rPr>
                      <w:rFonts w:hint="eastAsia" w:eastAsia="宋体" w:cs="Times New Roman"/>
                      <w:color w:val="auto"/>
                      <w:sz w:val="22"/>
                      <w:szCs w:val="22"/>
                      <w:u w:val="single" w:color="auto"/>
                      <w:lang w:eastAsia="zh-CN"/>
                    </w:rPr>
                    <w:t>布料</w:t>
                  </w:r>
                </w:p>
              </w:tc>
              <w:tc>
                <w:tcPr>
                  <w:tcW w:w="1290" w:type="dxa"/>
                  <w:tcBorders>
                    <w:top w:val="single" w:color="auto" w:sz="4" w:space="0"/>
                    <w:bottom w:val="single" w:color="auto" w:sz="4" w:space="0"/>
                  </w:tcBorders>
                  <w:vAlign w:val="center"/>
                </w:tcPr>
                <w:p>
                  <w:pPr>
                    <w:spacing w:before="48" w:after="48" w:line="360" w:lineRule="auto"/>
                    <w:jc w:val="center"/>
                    <w:rPr>
                      <w:rFonts w:hint="default" w:eastAsia="宋体" w:cs="Times New Roman"/>
                      <w:color w:val="auto"/>
                      <w:sz w:val="22"/>
                      <w:szCs w:val="22"/>
                      <w:u w:val="single" w:color="auto"/>
                      <w:lang w:val="en-US" w:eastAsia="zh-CN"/>
                    </w:rPr>
                  </w:pPr>
                  <w:r>
                    <w:rPr>
                      <w:rFonts w:hint="eastAsia" w:eastAsia="宋体" w:cs="Times New Roman"/>
                      <w:color w:val="auto"/>
                      <w:sz w:val="22"/>
                      <w:szCs w:val="22"/>
                      <w:u w:val="single" w:color="auto"/>
                      <w:lang w:val="en-US" w:eastAsia="zh-CN"/>
                    </w:rPr>
                    <w:t>尺</w:t>
                  </w:r>
                </w:p>
              </w:tc>
              <w:tc>
                <w:tcPr>
                  <w:tcW w:w="1380" w:type="dxa"/>
                  <w:tcBorders>
                    <w:top w:val="single" w:color="auto" w:sz="4" w:space="0"/>
                    <w:bottom w:val="single" w:color="auto" w:sz="4" w:space="0"/>
                  </w:tcBorders>
                  <w:vAlign w:val="center"/>
                </w:tcPr>
                <w:p>
                  <w:pPr>
                    <w:spacing w:before="48" w:after="48" w:line="360" w:lineRule="auto"/>
                    <w:jc w:val="center"/>
                    <w:rPr>
                      <w:rFonts w:hint="default" w:eastAsia="宋体" w:cs="Times New Roman"/>
                      <w:color w:val="auto"/>
                      <w:sz w:val="22"/>
                      <w:szCs w:val="22"/>
                      <w:u w:val="single" w:color="auto"/>
                      <w:lang w:val="en-US" w:eastAsia="zh-CN"/>
                    </w:rPr>
                  </w:pPr>
                  <w:r>
                    <w:rPr>
                      <w:rFonts w:hint="eastAsia" w:eastAsia="宋体" w:cs="Times New Roman"/>
                      <w:color w:val="auto"/>
                      <w:sz w:val="22"/>
                      <w:szCs w:val="22"/>
                      <w:u w:val="single" w:color="auto"/>
                      <w:lang w:val="en-US" w:eastAsia="zh-CN"/>
                    </w:rPr>
                    <w:t>5000</w:t>
                  </w:r>
                </w:p>
              </w:tc>
              <w:tc>
                <w:tcPr>
                  <w:tcW w:w="3924" w:type="dxa"/>
                  <w:tcBorders>
                    <w:top w:val="single" w:color="auto" w:sz="4" w:space="0"/>
                    <w:bottom w:val="single" w:color="auto" w:sz="4" w:space="0"/>
                  </w:tcBorders>
                  <w:vAlign w:val="center"/>
                </w:tcPr>
                <w:p>
                  <w:pPr>
                    <w:spacing w:before="48" w:after="48" w:line="360" w:lineRule="auto"/>
                    <w:jc w:val="center"/>
                    <w:rPr>
                      <w:rFonts w:hint="eastAsia" w:eastAsia="宋体" w:cs="Times New Roman"/>
                      <w:color w:val="auto"/>
                      <w:sz w:val="22"/>
                      <w:szCs w:val="22"/>
                      <w:u w:val="single" w:color="auto"/>
                      <w:lang w:eastAsia="zh-CN"/>
                    </w:rPr>
                  </w:pPr>
                  <w:r>
                    <w:rPr>
                      <w:rFonts w:hint="default" w:eastAsia="宋体" w:cs="Times New Roman"/>
                      <w:color w:val="auto"/>
                      <w:sz w:val="22"/>
                      <w:szCs w:val="22"/>
                      <w:u w:val="single" w:color="auto"/>
                      <w:lang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0" w:hRule="atLeast"/>
              </w:trPr>
              <w:tc>
                <w:tcPr>
                  <w:tcW w:w="1058" w:type="dxa"/>
                  <w:tcBorders>
                    <w:top w:val="single" w:color="auto" w:sz="4" w:space="0"/>
                    <w:bottom w:val="single" w:color="auto" w:sz="4" w:space="0"/>
                  </w:tcBorders>
                  <w:vAlign w:val="center"/>
                </w:tcPr>
                <w:p>
                  <w:pPr>
                    <w:pStyle w:val="167"/>
                    <w:spacing w:before="48" w:after="48" w:line="360" w:lineRule="auto"/>
                    <w:rPr>
                      <w:rFonts w:hint="default" w:eastAsia="宋体" w:cs="Times New Roman"/>
                      <w:color w:val="auto"/>
                      <w:sz w:val="22"/>
                      <w:szCs w:val="22"/>
                      <w:u w:val="single" w:color="auto"/>
                      <w:lang w:val="en-US" w:eastAsia="zh-CN"/>
                    </w:rPr>
                  </w:pPr>
                  <w:r>
                    <w:rPr>
                      <w:rFonts w:hint="eastAsia" w:eastAsia="宋体" w:cs="Times New Roman"/>
                      <w:color w:val="auto"/>
                      <w:sz w:val="22"/>
                      <w:szCs w:val="22"/>
                      <w:u w:val="single" w:color="auto"/>
                      <w:lang w:val="en-US" w:eastAsia="zh-CN"/>
                    </w:rPr>
                    <w:t>7</w:t>
                  </w:r>
                </w:p>
              </w:tc>
              <w:tc>
                <w:tcPr>
                  <w:tcW w:w="1416" w:type="dxa"/>
                  <w:tcBorders>
                    <w:top w:val="single" w:color="auto" w:sz="4" w:space="0"/>
                    <w:bottom w:val="single" w:color="auto" w:sz="4" w:space="0"/>
                  </w:tcBorders>
                  <w:vAlign w:val="center"/>
                </w:tcPr>
                <w:p>
                  <w:pPr>
                    <w:spacing w:before="48" w:after="48" w:line="360" w:lineRule="auto"/>
                    <w:jc w:val="center"/>
                    <w:rPr>
                      <w:rFonts w:hint="eastAsia" w:eastAsia="宋体" w:cs="Times New Roman"/>
                      <w:color w:val="auto"/>
                      <w:sz w:val="22"/>
                      <w:szCs w:val="22"/>
                      <w:u w:val="single" w:color="auto"/>
                      <w:lang w:eastAsia="zh-CN"/>
                    </w:rPr>
                  </w:pPr>
                  <w:r>
                    <w:rPr>
                      <w:rFonts w:hint="eastAsia" w:eastAsia="宋体" w:cs="Times New Roman"/>
                      <w:color w:val="auto"/>
                      <w:sz w:val="22"/>
                      <w:szCs w:val="22"/>
                      <w:u w:val="single" w:color="auto"/>
                      <w:lang w:eastAsia="zh-CN"/>
                    </w:rPr>
                    <w:t>热熔胶</w:t>
                  </w:r>
                </w:p>
              </w:tc>
              <w:tc>
                <w:tcPr>
                  <w:tcW w:w="1290" w:type="dxa"/>
                  <w:tcBorders>
                    <w:top w:val="single" w:color="auto" w:sz="4" w:space="0"/>
                    <w:bottom w:val="single" w:color="auto" w:sz="4" w:space="0"/>
                  </w:tcBorders>
                  <w:vAlign w:val="center"/>
                </w:tcPr>
                <w:p>
                  <w:pPr>
                    <w:spacing w:before="48" w:after="48" w:line="360" w:lineRule="auto"/>
                    <w:jc w:val="center"/>
                    <w:rPr>
                      <w:rFonts w:hint="eastAsia" w:eastAsia="宋体" w:cs="Times New Roman"/>
                      <w:color w:val="auto"/>
                      <w:sz w:val="22"/>
                      <w:szCs w:val="22"/>
                      <w:u w:val="single" w:color="auto"/>
                      <w:lang w:val="en-US" w:eastAsia="zh-CN"/>
                    </w:rPr>
                  </w:pPr>
                  <w:r>
                    <w:rPr>
                      <w:rFonts w:hint="eastAsia" w:eastAsia="宋体" w:cs="Times New Roman"/>
                      <w:color w:val="auto"/>
                      <w:sz w:val="22"/>
                      <w:szCs w:val="22"/>
                      <w:u w:val="single" w:color="auto"/>
                      <w:lang w:val="en-US" w:eastAsia="zh-CN"/>
                    </w:rPr>
                    <w:t>吨</w:t>
                  </w:r>
                </w:p>
              </w:tc>
              <w:tc>
                <w:tcPr>
                  <w:tcW w:w="1380" w:type="dxa"/>
                  <w:tcBorders>
                    <w:top w:val="single" w:color="auto" w:sz="4" w:space="0"/>
                    <w:bottom w:val="single" w:color="auto" w:sz="4" w:space="0"/>
                  </w:tcBorders>
                  <w:vAlign w:val="center"/>
                </w:tcPr>
                <w:p>
                  <w:pPr>
                    <w:spacing w:before="48" w:after="48" w:line="360" w:lineRule="auto"/>
                    <w:jc w:val="center"/>
                    <w:rPr>
                      <w:rFonts w:hint="eastAsia" w:eastAsia="宋体" w:cs="Times New Roman"/>
                      <w:color w:val="auto"/>
                      <w:sz w:val="22"/>
                      <w:szCs w:val="22"/>
                      <w:u w:val="single" w:color="auto"/>
                      <w:lang w:val="en-US" w:eastAsia="zh-CN"/>
                    </w:rPr>
                  </w:pPr>
                  <w:r>
                    <w:rPr>
                      <w:rFonts w:hint="eastAsia" w:eastAsia="宋体" w:cs="Times New Roman"/>
                      <w:color w:val="auto"/>
                      <w:sz w:val="22"/>
                      <w:szCs w:val="22"/>
                      <w:u w:val="single" w:color="auto"/>
                      <w:lang w:val="en-US" w:eastAsia="zh-CN"/>
                    </w:rPr>
                    <w:t>5</w:t>
                  </w:r>
                </w:p>
              </w:tc>
              <w:tc>
                <w:tcPr>
                  <w:tcW w:w="3924" w:type="dxa"/>
                  <w:tcBorders>
                    <w:top w:val="single" w:color="auto" w:sz="4" w:space="0"/>
                    <w:bottom w:val="single" w:color="auto" w:sz="4" w:space="0"/>
                  </w:tcBorders>
                  <w:vAlign w:val="center"/>
                </w:tcPr>
                <w:p>
                  <w:pPr>
                    <w:spacing w:before="48" w:after="48" w:line="360" w:lineRule="auto"/>
                    <w:jc w:val="center"/>
                    <w:rPr>
                      <w:rFonts w:hint="eastAsia" w:eastAsia="宋体" w:cs="Times New Roman"/>
                      <w:color w:val="auto"/>
                      <w:sz w:val="22"/>
                      <w:szCs w:val="22"/>
                      <w:u w:val="single" w:color="auto"/>
                      <w:lang w:eastAsia="zh-CN"/>
                    </w:rPr>
                  </w:pPr>
                  <w:r>
                    <w:rPr>
                      <w:rFonts w:hint="eastAsia" w:eastAsia="宋体" w:cs="Times New Roman"/>
                      <w:color w:val="auto"/>
                      <w:sz w:val="22"/>
                      <w:szCs w:val="22"/>
                      <w:u w:val="single" w:color="auto"/>
                      <w:lang w:eastAsia="zh-CN"/>
                    </w:rPr>
                    <w:t>外购（袋装）</w:t>
                  </w:r>
                  <w:r>
                    <w:rPr>
                      <w:rFonts w:hint="eastAsia" w:cs="Times New Roman"/>
                      <w:color w:val="auto"/>
                      <w:sz w:val="22"/>
                      <w:szCs w:val="22"/>
                      <w:u w:val="single" w:color="auto"/>
                      <w:lang w:eastAsia="zh-CN"/>
                    </w:rPr>
                    <w:t>，用于封边工序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0" w:hRule="atLeast"/>
              </w:trPr>
              <w:tc>
                <w:tcPr>
                  <w:tcW w:w="1058" w:type="dxa"/>
                  <w:tcBorders>
                    <w:top w:val="single" w:color="auto" w:sz="4" w:space="0"/>
                    <w:bottom w:val="single" w:color="auto" w:sz="4" w:space="0"/>
                  </w:tcBorders>
                  <w:vAlign w:val="center"/>
                </w:tcPr>
                <w:p>
                  <w:pPr>
                    <w:pStyle w:val="167"/>
                    <w:spacing w:before="48" w:after="48" w:line="360" w:lineRule="auto"/>
                    <w:rPr>
                      <w:rFonts w:hint="default" w:eastAsia="宋体" w:cs="Times New Roman"/>
                      <w:color w:val="auto"/>
                      <w:sz w:val="22"/>
                      <w:szCs w:val="22"/>
                      <w:u w:val="single" w:color="auto"/>
                      <w:lang w:val="en-US" w:eastAsia="zh-CN"/>
                    </w:rPr>
                  </w:pPr>
                  <w:r>
                    <w:rPr>
                      <w:rFonts w:hint="eastAsia" w:eastAsia="宋体" w:cs="Times New Roman"/>
                      <w:color w:val="auto"/>
                      <w:sz w:val="22"/>
                      <w:szCs w:val="22"/>
                      <w:u w:val="single" w:color="auto"/>
                      <w:lang w:val="en-US" w:eastAsia="zh-CN"/>
                    </w:rPr>
                    <w:t>8</w:t>
                  </w:r>
                </w:p>
              </w:tc>
              <w:tc>
                <w:tcPr>
                  <w:tcW w:w="1416" w:type="dxa"/>
                  <w:tcBorders>
                    <w:top w:val="single" w:color="auto" w:sz="4" w:space="0"/>
                    <w:bottom w:val="single" w:color="auto" w:sz="4" w:space="0"/>
                  </w:tcBorders>
                  <w:vAlign w:val="center"/>
                </w:tcPr>
                <w:p>
                  <w:pPr>
                    <w:spacing w:before="48" w:after="48" w:line="360" w:lineRule="auto"/>
                    <w:jc w:val="center"/>
                    <w:rPr>
                      <w:rFonts w:hint="eastAsia" w:eastAsia="宋体" w:cs="Times New Roman"/>
                      <w:color w:val="auto"/>
                      <w:sz w:val="22"/>
                      <w:szCs w:val="22"/>
                      <w:u w:val="single" w:color="auto"/>
                      <w:lang w:eastAsia="zh-CN"/>
                    </w:rPr>
                  </w:pPr>
                  <w:r>
                    <w:rPr>
                      <w:rFonts w:hint="eastAsia" w:eastAsia="宋体" w:cs="Times New Roman"/>
                      <w:color w:val="auto"/>
                      <w:sz w:val="22"/>
                      <w:szCs w:val="22"/>
                      <w:u w:val="single" w:color="auto"/>
                      <w:lang w:eastAsia="zh-CN"/>
                    </w:rPr>
                    <w:t>五金配件</w:t>
                  </w:r>
                </w:p>
              </w:tc>
              <w:tc>
                <w:tcPr>
                  <w:tcW w:w="1290" w:type="dxa"/>
                  <w:tcBorders>
                    <w:top w:val="single" w:color="auto" w:sz="4" w:space="0"/>
                    <w:bottom w:val="single" w:color="auto" w:sz="4" w:space="0"/>
                  </w:tcBorders>
                  <w:vAlign w:val="center"/>
                </w:tcPr>
                <w:p>
                  <w:pPr>
                    <w:spacing w:before="48" w:after="48" w:line="360" w:lineRule="auto"/>
                    <w:jc w:val="center"/>
                    <w:rPr>
                      <w:rFonts w:hint="default" w:eastAsia="宋体" w:cs="Times New Roman"/>
                      <w:color w:val="auto"/>
                      <w:sz w:val="22"/>
                      <w:szCs w:val="22"/>
                      <w:u w:val="single" w:color="auto"/>
                      <w:lang w:val="en-US" w:eastAsia="zh-CN"/>
                    </w:rPr>
                  </w:pPr>
                  <w:r>
                    <w:rPr>
                      <w:rFonts w:hint="eastAsia" w:eastAsia="宋体" w:cs="Times New Roman"/>
                      <w:color w:val="auto"/>
                      <w:sz w:val="22"/>
                      <w:szCs w:val="22"/>
                      <w:u w:val="single" w:color="auto"/>
                      <w:lang w:val="en-US" w:eastAsia="zh-CN"/>
                    </w:rPr>
                    <w:t>/</w:t>
                  </w:r>
                </w:p>
              </w:tc>
              <w:tc>
                <w:tcPr>
                  <w:tcW w:w="1380" w:type="dxa"/>
                  <w:tcBorders>
                    <w:top w:val="single" w:color="auto" w:sz="4" w:space="0"/>
                    <w:bottom w:val="single" w:color="auto" w:sz="4" w:space="0"/>
                  </w:tcBorders>
                  <w:vAlign w:val="center"/>
                </w:tcPr>
                <w:p>
                  <w:pPr>
                    <w:spacing w:before="48" w:after="48" w:line="360" w:lineRule="auto"/>
                    <w:jc w:val="center"/>
                    <w:rPr>
                      <w:rFonts w:hint="eastAsia" w:eastAsia="宋体" w:cs="Times New Roman"/>
                      <w:color w:val="auto"/>
                      <w:sz w:val="22"/>
                      <w:szCs w:val="22"/>
                      <w:u w:val="single" w:color="auto"/>
                      <w:lang w:val="en-US" w:eastAsia="zh-CN"/>
                    </w:rPr>
                  </w:pPr>
                  <w:r>
                    <w:rPr>
                      <w:rFonts w:hint="eastAsia" w:eastAsia="宋体" w:cs="Times New Roman"/>
                      <w:color w:val="auto"/>
                      <w:sz w:val="22"/>
                      <w:szCs w:val="22"/>
                      <w:u w:val="single" w:color="auto"/>
                      <w:lang w:val="en-US" w:eastAsia="zh-CN"/>
                    </w:rPr>
                    <w:t>若干</w:t>
                  </w:r>
                </w:p>
              </w:tc>
              <w:tc>
                <w:tcPr>
                  <w:tcW w:w="3924" w:type="dxa"/>
                  <w:tcBorders>
                    <w:top w:val="single" w:color="auto" w:sz="4" w:space="0"/>
                    <w:bottom w:val="single" w:color="auto" w:sz="4" w:space="0"/>
                  </w:tcBorders>
                  <w:vAlign w:val="center"/>
                </w:tcPr>
                <w:p>
                  <w:pPr>
                    <w:spacing w:before="48" w:after="48" w:line="360" w:lineRule="auto"/>
                    <w:jc w:val="center"/>
                    <w:rPr>
                      <w:rFonts w:hint="eastAsia" w:eastAsia="宋体" w:cs="Times New Roman"/>
                      <w:color w:val="auto"/>
                      <w:sz w:val="22"/>
                      <w:szCs w:val="22"/>
                      <w:u w:val="single" w:color="auto"/>
                      <w:lang w:eastAsia="zh-CN"/>
                    </w:rPr>
                  </w:pPr>
                  <w:r>
                    <w:rPr>
                      <w:rFonts w:hint="eastAsia" w:eastAsia="宋体" w:cs="Times New Roman"/>
                      <w:color w:val="auto"/>
                      <w:sz w:val="22"/>
                      <w:szCs w:val="22"/>
                      <w:u w:val="single" w:color="auto"/>
                      <w:lang w:eastAsia="zh-CN"/>
                    </w:rPr>
                    <w:t>外购（办公家具组装配件）</w:t>
                  </w:r>
                </w:p>
              </w:tc>
            </w:tr>
          </w:tbl>
          <w:p>
            <w:pPr>
              <w:spacing w:line="360" w:lineRule="auto"/>
              <w:jc w:val="both"/>
              <w:rPr>
                <w:rFonts w:hint="default" w:ascii="Times New Roman" w:hAnsi="Times New Roman" w:cs="Times New Roman"/>
                <w:b/>
                <w:sz w:val="24"/>
                <w:szCs w:val="24"/>
                <w:u w:val="single" w:color="auto"/>
              </w:rPr>
            </w:pPr>
            <w:r>
              <w:rPr>
                <w:rFonts w:hint="eastAsia" w:cs="Times New Roman"/>
                <w:color w:val="auto"/>
                <w:kern w:val="2"/>
                <w:sz w:val="24"/>
                <w:szCs w:val="24"/>
                <w:u w:val="single" w:color="auto"/>
                <w:lang w:val="en-US" w:eastAsia="zh-CN" w:bidi="ar-SA"/>
              </w:rPr>
              <w:t>注：</w:t>
            </w:r>
            <w:r>
              <w:rPr>
                <w:rFonts w:hint="default" w:ascii="Times New Roman" w:hAnsi="Times New Roman" w:eastAsia="宋体" w:cs="Times New Roman"/>
                <w:color w:val="auto"/>
                <w:kern w:val="2"/>
                <w:sz w:val="24"/>
                <w:szCs w:val="24"/>
                <w:u w:val="single" w:color="auto"/>
                <w:lang w:val="en-US" w:eastAsia="zh-CN" w:bidi="ar-SA"/>
              </w:rPr>
              <w:t>本项目不含白乳胶生产工序，且没有热压工序和烘干工序</w:t>
            </w:r>
            <w:r>
              <w:rPr>
                <w:rFonts w:hint="eastAsia" w:cs="Times New Roman"/>
                <w:color w:val="auto"/>
                <w:kern w:val="2"/>
                <w:sz w:val="24"/>
                <w:szCs w:val="24"/>
                <w:u w:val="single" w:color="auto"/>
                <w:lang w:val="en-US" w:eastAsia="zh-CN" w:bidi="ar-SA"/>
              </w:rPr>
              <w:t>，本项目使用的是免漆板，无喷漆工序。</w:t>
            </w:r>
          </w:p>
          <w:p>
            <w:pPr>
              <w:jc w:val="center"/>
              <w:rPr>
                <w:rFonts w:hint="default" w:ascii="Times New Roman" w:hAnsi="Times New Roman" w:cs="Times New Roman"/>
                <w:b/>
                <w:sz w:val="24"/>
                <w:szCs w:val="24"/>
                <w:u w:val="single" w:color="auto"/>
              </w:rPr>
            </w:pPr>
          </w:p>
          <w:p>
            <w:pPr>
              <w:jc w:val="center"/>
              <w:rPr>
                <w:rFonts w:hint="default" w:ascii="Times New Roman" w:hAnsi="Times New Roman" w:cs="Times New Roman"/>
                <w:b/>
                <w:sz w:val="24"/>
                <w:szCs w:val="24"/>
                <w:u w:val="single" w:color="auto"/>
              </w:rPr>
            </w:pPr>
            <w:r>
              <w:rPr>
                <w:rFonts w:hint="default" w:ascii="Times New Roman" w:hAnsi="Times New Roman" w:cs="Times New Roman"/>
                <w:b/>
                <w:sz w:val="24"/>
                <w:szCs w:val="24"/>
                <w:u w:val="single" w:color="auto"/>
              </w:rPr>
              <w:t>表1-5</w:t>
            </w:r>
            <w:r>
              <w:rPr>
                <w:rFonts w:hint="default" w:ascii="Times New Roman" w:hAnsi="Times New Roman" w:cs="Times New Roman"/>
                <w:u w:val="single" w:color="auto"/>
              </w:rPr>
              <w:t xml:space="preserve">  </w:t>
            </w:r>
            <w:r>
              <w:rPr>
                <w:rFonts w:hint="default" w:ascii="Times New Roman" w:hAnsi="Times New Roman" w:cs="Times New Roman"/>
                <w:b/>
                <w:sz w:val="24"/>
                <w:szCs w:val="24"/>
                <w:u w:val="single" w:color="auto"/>
              </w:rPr>
              <w:t>主要原辅材料的理化性质</w:t>
            </w:r>
          </w:p>
          <w:tbl>
            <w:tblPr>
              <w:tblStyle w:val="40"/>
              <w:tblW w:w="90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45"/>
              <w:gridCol w:w="1421"/>
              <w:gridCol w:w="67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83" w:hRule="atLeast"/>
              </w:trPr>
              <w:tc>
                <w:tcPr>
                  <w:tcW w:w="945" w:type="dxa"/>
                  <w:vAlign w:val="center"/>
                </w:tcPr>
                <w:p>
                  <w:pPr>
                    <w:pStyle w:val="32"/>
                    <w:spacing w:line="360" w:lineRule="auto"/>
                    <w:ind w:left="0" w:leftChars="0"/>
                    <w:jc w:val="center"/>
                    <w:rPr>
                      <w:rFonts w:hint="default" w:ascii="Times New Roman" w:hAnsi="Times New Roman" w:cs="Times New Roman"/>
                      <w:color w:val="auto"/>
                      <w:sz w:val="22"/>
                      <w:szCs w:val="22"/>
                      <w:u w:val="single" w:color="auto"/>
                    </w:rPr>
                  </w:pPr>
                  <w:r>
                    <w:rPr>
                      <w:rFonts w:hint="default" w:ascii="Times New Roman" w:hAnsi="Times New Roman" w:cs="Times New Roman"/>
                      <w:b/>
                      <w:color w:val="auto"/>
                      <w:sz w:val="22"/>
                      <w:szCs w:val="22"/>
                      <w:u w:val="single" w:color="auto"/>
                    </w:rPr>
                    <w:t>序号</w:t>
                  </w:r>
                </w:p>
              </w:tc>
              <w:tc>
                <w:tcPr>
                  <w:tcW w:w="1421" w:type="dxa"/>
                  <w:vAlign w:val="center"/>
                </w:tcPr>
                <w:p>
                  <w:pPr>
                    <w:pStyle w:val="32"/>
                    <w:spacing w:line="360" w:lineRule="auto"/>
                    <w:ind w:left="0" w:leftChars="0"/>
                    <w:jc w:val="center"/>
                    <w:rPr>
                      <w:rFonts w:hint="default" w:ascii="Times New Roman" w:hAnsi="Times New Roman" w:cs="Times New Roman"/>
                      <w:color w:val="auto"/>
                      <w:sz w:val="22"/>
                      <w:szCs w:val="22"/>
                      <w:u w:val="single" w:color="auto"/>
                    </w:rPr>
                  </w:pPr>
                  <w:r>
                    <w:rPr>
                      <w:rFonts w:hint="default" w:ascii="Times New Roman" w:hAnsi="Times New Roman" w:cs="Times New Roman"/>
                      <w:b/>
                      <w:color w:val="auto"/>
                      <w:sz w:val="22"/>
                      <w:szCs w:val="22"/>
                      <w:u w:val="single" w:color="auto"/>
                    </w:rPr>
                    <w:t>类别</w:t>
                  </w:r>
                </w:p>
              </w:tc>
              <w:tc>
                <w:tcPr>
                  <w:tcW w:w="6702" w:type="dxa"/>
                  <w:vAlign w:val="center"/>
                </w:tcPr>
                <w:p>
                  <w:pPr>
                    <w:pStyle w:val="32"/>
                    <w:spacing w:line="360" w:lineRule="auto"/>
                    <w:ind w:left="0" w:leftChars="0"/>
                    <w:jc w:val="center"/>
                    <w:rPr>
                      <w:rFonts w:hint="default" w:ascii="Times New Roman" w:hAnsi="Times New Roman" w:cs="Times New Roman"/>
                      <w:color w:val="auto"/>
                      <w:sz w:val="22"/>
                      <w:szCs w:val="22"/>
                      <w:u w:val="single" w:color="auto"/>
                    </w:rPr>
                  </w:pPr>
                  <w:r>
                    <w:rPr>
                      <w:rFonts w:hint="default" w:ascii="Times New Roman" w:hAnsi="Times New Roman" w:cs="Times New Roman"/>
                      <w:b/>
                      <w:color w:val="auto"/>
                      <w:sz w:val="22"/>
                      <w:szCs w:val="22"/>
                      <w:u w:val="single" w:color="auto"/>
                    </w:rPr>
                    <w:t>理化性质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atLeast"/>
              </w:trPr>
              <w:tc>
                <w:tcPr>
                  <w:tcW w:w="945" w:type="dxa"/>
                  <w:vAlign w:val="center"/>
                </w:tcPr>
                <w:p>
                  <w:pPr>
                    <w:pStyle w:val="32"/>
                    <w:spacing w:line="360" w:lineRule="auto"/>
                    <w:ind w:left="0" w:leftChars="0"/>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1</w:t>
                  </w:r>
                </w:p>
              </w:tc>
              <w:tc>
                <w:tcPr>
                  <w:tcW w:w="1421" w:type="dxa"/>
                  <w:vAlign w:val="center"/>
                </w:tcPr>
                <w:p>
                  <w:pPr>
                    <w:pStyle w:val="32"/>
                    <w:spacing w:line="360" w:lineRule="auto"/>
                    <w:ind w:left="0" w:leftChars="0"/>
                    <w:jc w:val="center"/>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白乳胶</w:t>
                  </w:r>
                </w:p>
              </w:tc>
              <w:tc>
                <w:tcPr>
                  <w:tcW w:w="6702" w:type="dxa"/>
                  <w:vAlign w:val="center"/>
                </w:tcPr>
                <w:p>
                  <w:pPr>
                    <w:keepNext w:val="0"/>
                    <w:keepLines w:val="0"/>
                    <w:widowControl/>
                    <w:suppressLineNumbers w:val="0"/>
                    <w:spacing w:after="240" w:afterAutospacing="0" w:line="360" w:lineRule="auto"/>
                    <w:jc w:val="both"/>
                    <w:rPr>
                      <w:rFonts w:hint="eastAsia" w:ascii="Times New Roman" w:hAnsi="Times New Roman" w:eastAsia="宋体" w:cs="Times New Roman"/>
                      <w:color w:val="auto"/>
                      <w:sz w:val="22"/>
                      <w:szCs w:val="22"/>
                      <w:u w:val="single" w:color="auto"/>
                      <w:lang w:eastAsia="zh-CN"/>
                    </w:rPr>
                  </w:pPr>
                  <w:r>
                    <w:rPr>
                      <w:rFonts w:hint="eastAsia" w:cs="Times New Roman"/>
                      <w:color w:val="auto"/>
                      <w:sz w:val="22"/>
                      <w:szCs w:val="22"/>
                      <w:u w:val="single" w:color="auto"/>
                      <w:lang w:eastAsia="zh-CN"/>
                    </w:rPr>
                    <w:t>水乳型胶粘剂，白色，溶于水，无毒无味，无腐蚀，无污染，可在室温下固化，主要成分为聚醋酸乙烯酯（</w:t>
                  </w:r>
                  <w:r>
                    <w:rPr>
                      <w:rFonts w:hint="eastAsia" w:cs="Times New Roman"/>
                      <w:color w:val="auto"/>
                      <w:sz w:val="22"/>
                      <w:szCs w:val="22"/>
                      <w:u w:val="single" w:color="auto"/>
                      <w:lang w:val="en-US" w:eastAsia="zh-CN"/>
                    </w:rPr>
                    <w:t>45%</w:t>
                  </w:r>
                  <w:r>
                    <w:rPr>
                      <w:rFonts w:hint="eastAsia" w:cs="Times New Roman"/>
                      <w:color w:val="auto"/>
                      <w:sz w:val="22"/>
                      <w:szCs w:val="22"/>
                      <w:u w:val="single" w:color="auto"/>
                      <w:lang w:eastAsia="zh-CN"/>
                    </w:rPr>
                    <w:t>）、水（</w:t>
                  </w:r>
                  <w:r>
                    <w:rPr>
                      <w:rFonts w:hint="eastAsia" w:cs="Times New Roman"/>
                      <w:color w:val="auto"/>
                      <w:sz w:val="22"/>
                      <w:szCs w:val="22"/>
                      <w:u w:val="single" w:color="auto"/>
                      <w:lang w:val="en-US" w:eastAsia="zh-CN"/>
                    </w:rPr>
                    <w:t>40%</w:t>
                  </w:r>
                  <w:r>
                    <w:rPr>
                      <w:rFonts w:hint="eastAsia" w:cs="Times New Roman"/>
                      <w:color w:val="auto"/>
                      <w:sz w:val="22"/>
                      <w:szCs w:val="22"/>
                      <w:u w:val="single" w:color="auto"/>
                      <w:lang w:eastAsia="zh-CN"/>
                    </w:rPr>
                    <w:t>）、滑石粉及钛白粉（</w:t>
                  </w:r>
                  <w:r>
                    <w:rPr>
                      <w:rFonts w:hint="eastAsia" w:cs="Times New Roman"/>
                      <w:color w:val="auto"/>
                      <w:sz w:val="22"/>
                      <w:szCs w:val="22"/>
                      <w:u w:val="single" w:color="auto"/>
                      <w:lang w:val="en-US" w:eastAsia="zh-CN"/>
                    </w:rPr>
                    <w:t>10%</w:t>
                  </w:r>
                  <w:r>
                    <w:rPr>
                      <w:rFonts w:hint="eastAsia" w:cs="Times New Roman"/>
                      <w:color w:val="auto"/>
                      <w:sz w:val="22"/>
                      <w:szCs w:val="22"/>
                      <w:u w:val="single" w:color="auto"/>
                      <w:lang w:eastAsia="zh-CN"/>
                    </w:rPr>
                    <w:t>）、辛醇（</w:t>
                  </w:r>
                  <w:r>
                    <w:rPr>
                      <w:rFonts w:hint="eastAsia" w:cs="Times New Roman"/>
                      <w:color w:val="auto"/>
                      <w:sz w:val="22"/>
                      <w:szCs w:val="22"/>
                      <w:u w:val="single" w:color="auto"/>
                      <w:lang w:val="en-US" w:eastAsia="zh-CN"/>
                    </w:rPr>
                    <w:t>1%</w:t>
                  </w:r>
                  <w:r>
                    <w:rPr>
                      <w:rFonts w:hint="eastAsia" w:cs="Times New Roman"/>
                      <w:color w:val="auto"/>
                      <w:sz w:val="22"/>
                      <w:szCs w:val="22"/>
                      <w:u w:val="single" w:color="auto"/>
                      <w:lang w:eastAsia="zh-CN"/>
                    </w:rPr>
                    <w:t>）、其他助剂（</w:t>
                  </w:r>
                  <w:r>
                    <w:rPr>
                      <w:rFonts w:hint="eastAsia" w:cs="Times New Roman"/>
                      <w:color w:val="auto"/>
                      <w:sz w:val="22"/>
                      <w:szCs w:val="22"/>
                      <w:u w:val="single" w:color="auto"/>
                      <w:lang w:val="en-US" w:eastAsia="zh-CN"/>
                    </w:rPr>
                    <w:t>4%</w:t>
                  </w:r>
                  <w:r>
                    <w:rPr>
                      <w:rFonts w:hint="eastAsia" w:cs="Times New Roman"/>
                      <w:color w:val="auto"/>
                      <w:sz w:val="22"/>
                      <w:szCs w:val="22"/>
                      <w:u w:val="singl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atLeast"/>
              </w:trPr>
              <w:tc>
                <w:tcPr>
                  <w:tcW w:w="945" w:type="dxa"/>
                  <w:vAlign w:val="center"/>
                </w:tcPr>
                <w:p>
                  <w:pPr>
                    <w:pStyle w:val="32"/>
                    <w:spacing w:line="360" w:lineRule="auto"/>
                    <w:ind w:left="0" w:leftChars="0"/>
                    <w:jc w:val="center"/>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2</w:t>
                  </w:r>
                </w:p>
              </w:tc>
              <w:tc>
                <w:tcPr>
                  <w:tcW w:w="1421" w:type="dxa"/>
                  <w:vAlign w:val="center"/>
                </w:tcPr>
                <w:p>
                  <w:pPr>
                    <w:pStyle w:val="32"/>
                    <w:spacing w:line="360" w:lineRule="auto"/>
                    <w:ind w:left="0" w:leftChars="0"/>
                    <w:jc w:val="center"/>
                    <w:rPr>
                      <w:rFonts w:hint="default" w:ascii="Times New Roman" w:hAnsi="Times New Roman" w:cs="Times New Roman"/>
                      <w:color w:val="auto"/>
                      <w:sz w:val="22"/>
                      <w:szCs w:val="22"/>
                      <w:u w:val="single" w:color="auto"/>
                      <w:lang w:eastAsia="zh-CN"/>
                    </w:rPr>
                  </w:pPr>
                  <w:r>
                    <w:rPr>
                      <w:rFonts w:hint="eastAsia" w:cs="Times New Roman"/>
                      <w:color w:val="auto"/>
                      <w:sz w:val="22"/>
                      <w:szCs w:val="22"/>
                      <w:u w:val="single" w:color="auto"/>
                      <w:lang w:eastAsia="zh-CN"/>
                    </w:rPr>
                    <w:t>热熔胶</w:t>
                  </w:r>
                </w:p>
              </w:tc>
              <w:tc>
                <w:tcPr>
                  <w:tcW w:w="6702" w:type="dxa"/>
                  <w:vAlign w:val="center"/>
                </w:tcPr>
                <w:p>
                  <w:pPr>
                    <w:keepNext w:val="0"/>
                    <w:keepLines w:val="0"/>
                    <w:widowControl/>
                    <w:suppressLineNumbers w:val="0"/>
                    <w:spacing w:after="240" w:afterAutospacing="0" w:line="360" w:lineRule="auto"/>
                    <w:jc w:val="both"/>
                    <w:rPr>
                      <w:rFonts w:hint="default" w:cs="Times New Roman"/>
                      <w:color w:val="auto"/>
                      <w:sz w:val="22"/>
                      <w:szCs w:val="22"/>
                      <w:u w:val="single" w:color="auto"/>
                      <w:lang w:val="en-US" w:eastAsia="zh-CN"/>
                    </w:rPr>
                  </w:pPr>
                  <w:r>
                    <w:rPr>
                      <w:rFonts w:hint="eastAsia" w:eastAsia="宋体" w:cs="Times New Roman"/>
                      <w:color w:val="auto"/>
                      <w:sz w:val="22"/>
                      <w:szCs w:val="22"/>
                      <w:u w:val="single" w:color="auto"/>
                      <w:lang w:eastAsia="zh-CN"/>
                    </w:rPr>
                    <w:t>EVA热熔胶是一种不需</w:t>
                  </w:r>
                  <w:r>
                    <w:rPr>
                      <w:rFonts w:hint="default" w:eastAsia="宋体" w:cs="Times New Roman"/>
                      <w:color w:val="auto"/>
                      <w:sz w:val="22"/>
                      <w:szCs w:val="22"/>
                      <w:u w:val="single" w:color="auto"/>
                      <w:lang w:eastAsia="zh-CN"/>
                    </w:rPr>
                    <w:fldChar w:fldCharType="begin"/>
                  </w:r>
                  <w:r>
                    <w:rPr>
                      <w:rFonts w:hint="default" w:eastAsia="宋体" w:cs="Times New Roman"/>
                      <w:color w:val="auto"/>
                      <w:sz w:val="22"/>
                      <w:szCs w:val="22"/>
                      <w:u w:val="single" w:color="auto"/>
                      <w:lang w:eastAsia="zh-CN"/>
                    </w:rPr>
                    <w:instrText xml:space="preserve"> HYPERLINK "https://baike.baidu.com/item/%E6%BA%B6%E5%89%82" \t "https://baike.baidu.com/item/%E7%83%AD%E7%86%94%E8%83%B6/_blank" </w:instrText>
                  </w:r>
                  <w:r>
                    <w:rPr>
                      <w:rFonts w:hint="default" w:eastAsia="宋体" w:cs="Times New Roman"/>
                      <w:color w:val="auto"/>
                      <w:sz w:val="22"/>
                      <w:szCs w:val="22"/>
                      <w:u w:val="single" w:color="auto"/>
                      <w:lang w:eastAsia="zh-CN"/>
                    </w:rPr>
                    <w:fldChar w:fldCharType="separate"/>
                  </w:r>
                  <w:r>
                    <w:rPr>
                      <w:rFonts w:hint="default" w:eastAsia="宋体" w:cs="Times New Roman"/>
                      <w:color w:val="auto"/>
                      <w:sz w:val="22"/>
                      <w:szCs w:val="22"/>
                      <w:u w:val="single" w:color="auto"/>
                      <w:lang w:eastAsia="zh-CN"/>
                    </w:rPr>
                    <w:t>溶剂</w:t>
                  </w:r>
                  <w:r>
                    <w:rPr>
                      <w:rFonts w:hint="default" w:eastAsia="宋体" w:cs="Times New Roman"/>
                      <w:color w:val="auto"/>
                      <w:sz w:val="22"/>
                      <w:szCs w:val="22"/>
                      <w:u w:val="single" w:color="auto"/>
                      <w:lang w:eastAsia="zh-CN"/>
                    </w:rPr>
                    <w:fldChar w:fldCharType="end"/>
                  </w:r>
                  <w:r>
                    <w:rPr>
                      <w:rFonts w:hint="default" w:eastAsia="宋体" w:cs="Times New Roman"/>
                      <w:color w:val="auto"/>
                      <w:sz w:val="22"/>
                      <w:szCs w:val="22"/>
                      <w:u w:val="single" w:color="auto"/>
                      <w:lang w:eastAsia="zh-CN"/>
                    </w:rPr>
                    <w:t>、不含水分100%的固体可熔性</w:t>
                  </w:r>
                  <w:r>
                    <w:rPr>
                      <w:rFonts w:hint="default" w:eastAsia="宋体" w:cs="Times New Roman"/>
                      <w:color w:val="auto"/>
                      <w:sz w:val="22"/>
                      <w:szCs w:val="22"/>
                      <w:u w:val="single" w:color="auto"/>
                      <w:lang w:eastAsia="zh-CN"/>
                    </w:rPr>
                    <w:fldChar w:fldCharType="begin"/>
                  </w:r>
                  <w:r>
                    <w:rPr>
                      <w:rFonts w:hint="default" w:eastAsia="宋体" w:cs="Times New Roman"/>
                      <w:color w:val="auto"/>
                      <w:sz w:val="22"/>
                      <w:szCs w:val="22"/>
                      <w:u w:val="single" w:color="auto"/>
                      <w:lang w:eastAsia="zh-CN"/>
                    </w:rPr>
                    <w:instrText xml:space="preserve"> HYPERLINK "https://baike.baidu.com/item/%E8%81%9A%E5%90%88%E7%89%A9" \t "https://baike.baidu.com/item/%E7%83%AD%E7%86%94%E8%83%B6/_blank" </w:instrText>
                  </w:r>
                  <w:r>
                    <w:rPr>
                      <w:rFonts w:hint="default" w:eastAsia="宋体" w:cs="Times New Roman"/>
                      <w:color w:val="auto"/>
                      <w:sz w:val="22"/>
                      <w:szCs w:val="22"/>
                      <w:u w:val="single" w:color="auto"/>
                      <w:lang w:eastAsia="zh-CN"/>
                    </w:rPr>
                    <w:fldChar w:fldCharType="separate"/>
                  </w:r>
                  <w:r>
                    <w:rPr>
                      <w:rFonts w:hint="default" w:eastAsia="宋体" w:cs="Times New Roman"/>
                      <w:color w:val="auto"/>
                      <w:sz w:val="22"/>
                      <w:szCs w:val="22"/>
                      <w:u w:val="single" w:color="auto"/>
                      <w:lang w:eastAsia="zh-CN"/>
                    </w:rPr>
                    <w:t>聚合物</w:t>
                  </w:r>
                  <w:r>
                    <w:rPr>
                      <w:rFonts w:hint="default" w:eastAsia="宋体" w:cs="Times New Roman"/>
                      <w:color w:val="auto"/>
                      <w:sz w:val="22"/>
                      <w:szCs w:val="22"/>
                      <w:u w:val="single" w:color="auto"/>
                      <w:lang w:eastAsia="zh-CN"/>
                    </w:rPr>
                    <w:fldChar w:fldCharType="end"/>
                  </w:r>
                  <w:r>
                    <w:rPr>
                      <w:rFonts w:hint="default" w:eastAsia="宋体" w:cs="Times New Roman"/>
                      <w:color w:val="auto"/>
                      <w:sz w:val="22"/>
                      <w:szCs w:val="22"/>
                      <w:u w:val="single" w:color="auto"/>
                      <w:lang w:eastAsia="zh-CN"/>
                    </w:rPr>
                    <w:t>；它在常温下为固体，</w:t>
                  </w:r>
                  <w:r>
                    <w:rPr>
                      <w:rFonts w:hint="eastAsia" w:eastAsia="宋体" w:cs="Times New Roman"/>
                      <w:color w:val="auto"/>
                      <w:sz w:val="22"/>
                      <w:szCs w:val="22"/>
                      <w:u w:val="single" w:color="auto"/>
                      <w:lang w:eastAsia="zh-CN"/>
                    </w:rPr>
                    <w:t>是一种可塑性的粘合剂，在一定温度范围内其物理状态随温度改变而改变，而化学特性不变，其无毒无味，属环保型化学产品</w:t>
                  </w:r>
                  <w:r>
                    <w:rPr>
                      <w:rFonts w:hint="default" w:eastAsia="宋体" w:cs="Times New Roman"/>
                      <w:color w:val="auto"/>
                      <w:sz w:val="22"/>
                      <w:szCs w:val="22"/>
                      <w:u w:val="single" w:color="auto"/>
                      <w:lang w:eastAsia="zh-CN"/>
                    </w:rPr>
                    <w:t>。熔融后的EVA热熔胶，呈浅棕色或白色。EVA热熔胶由基本树脂、增粘剂、</w:t>
                  </w:r>
                  <w:r>
                    <w:rPr>
                      <w:rFonts w:hint="default" w:eastAsia="宋体" w:cs="Times New Roman"/>
                      <w:color w:val="auto"/>
                      <w:sz w:val="22"/>
                      <w:szCs w:val="22"/>
                      <w:u w:val="single" w:color="auto"/>
                      <w:lang w:eastAsia="zh-CN"/>
                    </w:rPr>
                    <w:fldChar w:fldCharType="begin"/>
                  </w:r>
                  <w:r>
                    <w:rPr>
                      <w:rFonts w:hint="default" w:eastAsia="宋体" w:cs="Times New Roman"/>
                      <w:color w:val="auto"/>
                      <w:sz w:val="22"/>
                      <w:szCs w:val="22"/>
                      <w:u w:val="single" w:color="auto"/>
                      <w:lang w:eastAsia="zh-CN"/>
                    </w:rPr>
                    <w:instrText xml:space="preserve"> HYPERLINK "https://baike.baidu.com/item/%E7%B2%98%E5%BA%A6" \t "https://baike.baidu.com/item/%E7%83%AD%E7%86%94%E8%83%B6/_blank" </w:instrText>
                  </w:r>
                  <w:r>
                    <w:rPr>
                      <w:rFonts w:hint="default" w:eastAsia="宋体" w:cs="Times New Roman"/>
                      <w:color w:val="auto"/>
                      <w:sz w:val="22"/>
                      <w:szCs w:val="22"/>
                      <w:u w:val="single" w:color="auto"/>
                      <w:lang w:eastAsia="zh-CN"/>
                    </w:rPr>
                    <w:fldChar w:fldCharType="separate"/>
                  </w:r>
                  <w:r>
                    <w:rPr>
                      <w:rFonts w:hint="default" w:eastAsia="宋体" w:cs="Times New Roman"/>
                      <w:color w:val="auto"/>
                      <w:sz w:val="22"/>
                      <w:szCs w:val="22"/>
                      <w:u w:val="single" w:color="auto"/>
                      <w:lang w:eastAsia="zh-CN"/>
                    </w:rPr>
                    <w:t>粘度</w:t>
                  </w:r>
                  <w:r>
                    <w:rPr>
                      <w:rFonts w:hint="default" w:eastAsia="宋体" w:cs="Times New Roman"/>
                      <w:color w:val="auto"/>
                      <w:sz w:val="22"/>
                      <w:szCs w:val="22"/>
                      <w:u w:val="single" w:color="auto"/>
                      <w:lang w:eastAsia="zh-CN"/>
                    </w:rPr>
                    <w:fldChar w:fldCharType="end"/>
                  </w:r>
                  <w:r>
                    <w:rPr>
                      <w:rFonts w:hint="default" w:eastAsia="宋体" w:cs="Times New Roman"/>
                      <w:color w:val="auto"/>
                      <w:sz w:val="22"/>
                      <w:szCs w:val="22"/>
                      <w:u w:val="single" w:color="auto"/>
                      <w:lang w:eastAsia="zh-CN"/>
                    </w:rPr>
                    <w:t>调节剂和抗氧剂等成分组成</w:t>
                  </w:r>
                </w:p>
              </w:tc>
            </w:tr>
          </w:tbl>
          <w:p>
            <w:pPr>
              <w:pStyle w:val="32"/>
              <w:spacing w:line="360" w:lineRule="auto"/>
              <w:ind w:left="0" w:leftChars="0" w:firstLine="482" w:firstLineChars="200"/>
              <w:rPr>
                <w:rFonts w:hint="default" w:ascii="Times New Roman" w:hAnsi="Times New Roman" w:cs="Times New Roman"/>
                <w:sz w:val="24"/>
                <w:u w:val="none" w:color="auto"/>
              </w:rPr>
            </w:pPr>
            <w:r>
              <w:rPr>
                <w:rFonts w:hint="eastAsia" w:cs="Times New Roman"/>
                <w:b/>
                <w:sz w:val="24"/>
                <w:u w:val="none" w:color="auto"/>
                <w:lang w:val="en-US" w:eastAsia="zh-CN"/>
              </w:rPr>
              <w:t>6</w:t>
            </w:r>
            <w:r>
              <w:rPr>
                <w:rFonts w:hint="default" w:ascii="Times New Roman" w:hAnsi="Times New Roman" w:cs="Times New Roman"/>
                <w:b/>
                <w:sz w:val="24"/>
                <w:u w:val="none" w:color="auto"/>
              </w:rPr>
              <w:t>、公用工程：</w:t>
            </w:r>
          </w:p>
          <w:p>
            <w:pPr>
              <w:snapToGrid w:val="0"/>
              <w:spacing w:line="360" w:lineRule="auto"/>
              <w:ind w:firstLine="480" w:firstLineChars="200"/>
              <w:rPr>
                <w:rFonts w:hint="default" w:ascii="Times New Roman" w:hAnsi="Times New Roman" w:cs="Times New Roman"/>
                <w:bCs/>
                <w:sz w:val="24"/>
                <w:u w:val="none" w:color="auto"/>
              </w:rPr>
            </w:pPr>
            <w:r>
              <w:rPr>
                <w:rFonts w:hint="default" w:ascii="Times New Roman" w:hAnsi="Times New Roman" w:cs="Times New Roman"/>
                <w:bCs/>
                <w:sz w:val="24"/>
                <w:u w:val="none" w:color="auto"/>
              </w:rPr>
              <w:t>（1）用水</w:t>
            </w:r>
          </w:p>
          <w:p>
            <w:pPr>
              <w:snapToGrid w:val="0"/>
              <w:spacing w:line="360" w:lineRule="auto"/>
              <w:ind w:firstLine="480" w:firstLineChars="200"/>
              <w:rPr>
                <w:rFonts w:hint="default" w:ascii="Times New Roman" w:hAnsi="Times New Roman" w:cs="Times New Roman"/>
                <w:b/>
                <w:u w:val="none" w:color="auto"/>
              </w:rPr>
            </w:pPr>
            <w:r>
              <w:rPr>
                <w:rFonts w:hint="default" w:ascii="Times New Roman" w:hAnsi="Times New Roman" w:cs="Times New Roman"/>
                <w:sz w:val="24"/>
                <w:szCs w:val="24"/>
                <w:u w:val="none" w:color="auto"/>
              </w:rPr>
              <w:t>本项目给水水源来自市政给水管网，本项目用水包括职工生活用水</w:t>
            </w:r>
            <w:r>
              <w:rPr>
                <w:rFonts w:hint="eastAsia" w:cs="Times New Roman"/>
                <w:sz w:val="24"/>
                <w:szCs w:val="24"/>
                <w:u w:val="none" w:color="auto"/>
                <w:lang w:eastAsia="zh-CN"/>
              </w:rPr>
              <w:t>，生产过程中不产生废水</w:t>
            </w:r>
            <w:r>
              <w:rPr>
                <w:rFonts w:hint="default" w:ascii="Times New Roman" w:hAnsi="Times New Roman" w:cs="Times New Roman"/>
                <w:sz w:val="24"/>
                <w:szCs w:val="24"/>
                <w:u w:val="none" w:color="auto"/>
              </w:rPr>
              <w:t>，</w:t>
            </w:r>
            <w:r>
              <w:rPr>
                <w:rFonts w:hint="default" w:ascii="Times New Roman" w:hAnsi="Times New Roman" w:cs="Times New Roman"/>
                <w:bCs/>
                <w:sz w:val="24"/>
                <w:u w:val="none" w:color="auto"/>
              </w:rPr>
              <w:t>本项目营运期劳动定员</w:t>
            </w:r>
            <w:r>
              <w:rPr>
                <w:rFonts w:hint="eastAsia" w:cs="Times New Roman"/>
                <w:bCs/>
                <w:sz w:val="24"/>
                <w:u w:val="none" w:color="auto"/>
                <w:lang w:val="en-US" w:eastAsia="zh-CN"/>
              </w:rPr>
              <w:t>8</w:t>
            </w:r>
            <w:r>
              <w:rPr>
                <w:rFonts w:hint="default" w:ascii="Times New Roman" w:hAnsi="Times New Roman" w:cs="Times New Roman"/>
                <w:bCs/>
                <w:sz w:val="24"/>
                <w:u w:val="none" w:color="auto"/>
              </w:rPr>
              <w:t>人，不在厂区食宿，根据《湖南省用水定额》（DB43T388-2014）的规定，生活用水量按</w:t>
            </w:r>
            <w:r>
              <w:rPr>
                <w:rFonts w:hint="eastAsia" w:cs="Times New Roman"/>
                <w:bCs/>
                <w:sz w:val="24"/>
                <w:u w:val="none" w:color="auto"/>
                <w:lang w:val="en-US" w:eastAsia="zh-CN"/>
              </w:rPr>
              <w:t>45</w:t>
            </w:r>
            <w:r>
              <w:rPr>
                <w:rFonts w:hint="default" w:ascii="Times New Roman" w:hAnsi="Times New Roman" w:cs="Times New Roman"/>
                <w:bCs/>
                <w:sz w:val="24"/>
                <w:u w:val="none" w:color="auto"/>
              </w:rPr>
              <w:t>L/人•d计，则生活用水量为0.</w:t>
            </w:r>
            <w:r>
              <w:rPr>
                <w:rFonts w:hint="eastAsia" w:cs="Times New Roman"/>
                <w:bCs/>
                <w:sz w:val="24"/>
                <w:u w:val="none" w:color="auto"/>
                <w:lang w:val="en-US" w:eastAsia="zh-CN"/>
              </w:rPr>
              <w:t>5</w:t>
            </w:r>
            <w:r>
              <w:rPr>
                <w:rFonts w:hint="default" w:ascii="Times New Roman" w:hAnsi="Times New Roman" w:cs="Times New Roman"/>
                <w:bCs/>
                <w:sz w:val="24"/>
                <w:u w:val="none" w:color="auto"/>
              </w:rPr>
              <w:t>m</w:t>
            </w:r>
            <w:r>
              <w:rPr>
                <w:rFonts w:hint="default" w:ascii="Times New Roman" w:hAnsi="Times New Roman" w:cs="Times New Roman"/>
                <w:bCs/>
                <w:sz w:val="24"/>
                <w:u w:val="none" w:color="auto"/>
                <w:vertAlign w:val="superscript"/>
              </w:rPr>
              <w:t>3</w:t>
            </w:r>
            <w:r>
              <w:rPr>
                <w:rFonts w:hint="default" w:ascii="Times New Roman" w:hAnsi="Times New Roman" w:cs="Times New Roman"/>
                <w:bCs/>
                <w:sz w:val="24"/>
                <w:u w:val="none" w:color="auto"/>
              </w:rPr>
              <w:t>/d，</w:t>
            </w:r>
            <w:r>
              <w:rPr>
                <w:rFonts w:hint="eastAsia" w:cs="Times New Roman"/>
                <w:bCs/>
                <w:sz w:val="24"/>
                <w:u w:val="none" w:color="auto"/>
                <w:lang w:val="en-US" w:eastAsia="zh-CN"/>
              </w:rPr>
              <w:t>150</w:t>
            </w:r>
            <w:r>
              <w:rPr>
                <w:rFonts w:hint="default" w:ascii="Times New Roman" w:hAnsi="Times New Roman" w:cs="Times New Roman"/>
                <w:bCs/>
                <w:sz w:val="24"/>
                <w:u w:val="none" w:color="auto"/>
              </w:rPr>
              <w:t xml:space="preserve"> m</w:t>
            </w:r>
            <w:r>
              <w:rPr>
                <w:rFonts w:hint="default" w:ascii="Times New Roman" w:hAnsi="Times New Roman" w:cs="Times New Roman"/>
                <w:bCs/>
                <w:sz w:val="24"/>
                <w:u w:val="none" w:color="auto"/>
                <w:vertAlign w:val="superscript"/>
              </w:rPr>
              <w:t>3</w:t>
            </w:r>
            <w:r>
              <w:rPr>
                <w:rFonts w:hint="default" w:ascii="Times New Roman" w:hAnsi="Times New Roman" w:cs="Times New Roman"/>
                <w:bCs/>
                <w:sz w:val="24"/>
                <w:u w:val="none" w:color="auto"/>
              </w:rPr>
              <w:t>/a</w:t>
            </w:r>
            <w:r>
              <w:rPr>
                <w:rFonts w:hint="default" w:ascii="Times New Roman" w:hAnsi="Times New Roman" w:cs="Times New Roman"/>
                <w:sz w:val="24"/>
                <w:szCs w:val="24"/>
                <w:u w:val="none" w:color="auto"/>
              </w:rPr>
              <w:t>。</w:t>
            </w:r>
            <w:r>
              <w:rPr>
                <w:rFonts w:hint="default" w:ascii="Times New Roman" w:hAnsi="Times New Roman" w:cs="Times New Roman"/>
                <w:bCs/>
                <w:sz w:val="24"/>
                <w:u w:val="none" w:color="auto"/>
              </w:rPr>
              <w:t>本项目用水情况如表1-</w:t>
            </w:r>
            <w:r>
              <w:rPr>
                <w:rFonts w:hint="eastAsia" w:cs="Times New Roman"/>
                <w:bCs/>
                <w:sz w:val="24"/>
                <w:u w:val="none" w:color="auto"/>
                <w:lang w:val="en-US" w:eastAsia="zh-CN"/>
              </w:rPr>
              <w:t>6</w:t>
            </w:r>
            <w:r>
              <w:rPr>
                <w:rFonts w:hint="default" w:ascii="Times New Roman" w:hAnsi="Times New Roman" w:cs="Times New Roman"/>
                <w:bCs/>
                <w:sz w:val="24"/>
                <w:u w:val="none" w:color="auto"/>
              </w:rPr>
              <w:t>所示：</w:t>
            </w:r>
          </w:p>
          <w:p>
            <w:pPr>
              <w:pStyle w:val="168"/>
              <w:spacing w:line="240" w:lineRule="auto"/>
              <w:ind w:firstLine="482"/>
              <w:jc w:val="center"/>
              <w:rPr>
                <w:rFonts w:hint="default" w:ascii="Times New Roman" w:hAnsi="Times New Roman" w:cs="Times New Roman"/>
                <w:b/>
                <w:u w:val="none" w:color="auto"/>
              </w:rPr>
            </w:pPr>
            <w:r>
              <w:rPr>
                <w:rFonts w:hint="default" w:ascii="Times New Roman" w:hAnsi="Times New Roman" w:cs="Times New Roman"/>
                <w:b/>
                <w:u w:val="none" w:color="auto"/>
              </w:rPr>
              <w:t>表1-</w:t>
            </w:r>
            <w:r>
              <w:rPr>
                <w:rFonts w:hint="default" w:ascii="Times New Roman" w:hAnsi="Times New Roman" w:cs="Times New Roman"/>
                <w:b/>
                <w:u w:val="none" w:color="auto"/>
                <w:lang w:val="en-US" w:eastAsia="zh-CN"/>
              </w:rPr>
              <w:t>6</w:t>
            </w:r>
            <w:r>
              <w:rPr>
                <w:rFonts w:hint="default" w:ascii="Times New Roman" w:hAnsi="Times New Roman" w:cs="Times New Roman"/>
                <w:b/>
                <w:u w:val="none" w:color="auto"/>
              </w:rPr>
              <w:t xml:space="preserve">  项目用水情况估算一览表</w:t>
            </w:r>
          </w:p>
          <w:tbl>
            <w:tblPr>
              <w:tblStyle w:val="39"/>
              <w:tblW w:w="90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37"/>
              <w:gridCol w:w="1128"/>
              <w:gridCol w:w="713"/>
              <w:gridCol w:w="1273"/>
              <w:gridCol w:w="1416"/>
              <w:gridCol w:w="1844"/>
              <w:gridCol w:w="19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tblHeader/>
              </w:trPr>
              <w:tc>
                <w:tcPr>
                  <w:tcW w:w="737" w:type="dxa"/>
                  <w:vAlign w:val="center"/>
                </w:tcPr>
                <w:p>
                  <w:pPr>
                    <w:pStyle w:val="167"/>
                    <w:spacing w:before="48" w:after="48" w:line="240" w:lineRule="atLeast"/>
                    <w:rPr>
                      <w:rFonts w:hint="default" w:ascii="Times New Roman" w:hAnsi="Times New Roman" w:eastAsia="宋体" w:cs="Times New Roman"/>
                      <w:b/>
                      <w:sz w:val="21"/>
                      <w:szCs w:val="21"/>
                      <w:u w:val="none" w:color="auto"/>
                    </w:rPr>
                  </w:pPr>
                  <w:r>
                    <w:rPr>
                      <w:rFonts w:hint="default" w:ascii="Times New Roman" w:hAnsi="Times New Roman" w:eastAsia="宋体" w:cs="Times New Roman"/>
                      <w:b/>
                      <w:sz w:val="21"/>
                      <w:szCs w:val="21"/>
                      <w:u w:val="none" w:color="auto"/>
                    </w:rPr>
                    <w:t>序号</w:t>
                  </w:r>
                </w:p>
              </w:tc>
              <w:tc>
                <w:tcPr>
                  <w:tcW w:w="1128" w:type="dxa"/>
                  <w:vAlign w:val="center"/>
                </w:tcPr>
                <w:p>
                  <w:pPr>
                    <w:pStyle w:val="167"/>
                    <w:spacing w:before="48" w:after="48" w:line="240" w:lineRule="atLeast"/>
                    <w:rPr>
                      <w:rFonts w:hint="default" w:ascii="Times New Roman" w:hAnsi="Times New Roman" w:eastAsia="宋体" w:cs="Times New Roman"/>
                      <w:b/>
                      <w:sz w:val="21"/>
                      <w:szCs w:val="21"/>
                      <w:u w:val="none" w:color="auto"/>
                    </w:rPr>
                  </w:pPr>
                  <w:r>
                    <w:rPr>
                      <w:rFonts w:hint="default" w:ascii="Times New Roman" w:hAnsi="Times New Roman" w:eastAsia="宋体" w:cs="Times New Roman"/>
                      <w:b/>
                      <w:sz w:val="21"/>
                      <w:szCs w:val="21"/>
                      <w:u w:val="none" w:color="auto"/>
                    </w:rPr>
                    <w:t>项目</w:t>
                  </w:r>
                </w:p>
              </w:tc>
              <w:tc>
                <w:tcPr>
                  <w:tcW w:w="713" w:type="dxa"/>
                  <w:vAlign w:val="center"/>
                </w:tcPr>
                <w:p>
                  <w:pPr>
                    <w:pStyle w:val="167"/>
                    <w:spacing w:before="48" w:after="48" w:line="240" w:lineRule="atLeast"/>
                    <w:rPr>
                      <w:rFonts w:hint="default" w:ascii="Times New Roman" w:hAnsi="Times New Roman" w:eastAsia="宋体" w:cs="Times New Roman"/>
                      <w:b/>
                      <w:sz w:val="21"/>
                      <w:szCs w:val="21"/>
                      <w:u w:val="none" w:color="auto"/>
                    </w:rPr>
                  </w:pPr>
                  <w:r>
                    <w:rPr>
                      <w:rFonts w:hint="default" w:ascii="Times New Roman" w:hAnsi="Times New Roman" w:eastAsia="宋体" w:cs="Times New Roman"/>
                      <w:b/>
                      <w:sz w:val="21"/>
                      <w:szCs w:val="21"/>
                      <w:u w:val="none" w:color="auto"/>
                    </w:rPr>
                    <w:t>人数</w:t>
                  </w:r>
                </w:p>
              </w:tc>
              <w:tc>
                <w:tcPr>
                  <w:tcW w:w="1273" w:type="dxa"/>
                  <w:vAlign w:val="center"/>
                </w:tcPr>
                <w:p>
                  <w:pPr>
                    <w:pStyle w:val="167"/>
                    <w:spacing w:before="48" w:after="48" w:line="240" w:lineRule="atLeast"/>
                    <w:rPr>
                      <w:rFonts w:hint="default" w:ascii="Times New Roman" w:hAnsi="Times New Roman" w:eastAsia="宋体" w:cs="Times New Roman"/>
                      <w:b/>
                      <w:sz w:val="21"/>
                      <w:szCs w:val="21"/>
                      <w:u w:val="none" w:color="auto"/>
                    </w:rPr>
                  </w:pPr>
                  <w:r>
                    <w:rPr>
                      <w:rFonts w:hint="default" w:ascii="Times New Roman" w:hAnsi="Times New Roman" w:eastAsia="宋体" w:cs="Times New Roman"/>
                      <w:b/>
                      <w:sz w:val="21"/>
                      <w:szCs w:val="21"/>
                      <w:u w:val="none" w:color="auto"/>
                    </w:rPr>
                    <w:t>用水定额</w:t>
                  </w:r>
                </w:p>
              </w:tc>
              <w:tc>
                <w:tcPr>
                  <w:tcW w:w="1416" w:type="dxa"/>
                  <w:vAlign w:val="center"/>
                </w:tcPr>
                <w:p>
                  <w:pPr>
                    <w:pStyle w:val="167"/>
                    <w:spacing w:before="48" w:after="48" w:line="240" w:lineRule="atLeast"/>
                    <w:rPr>
                      <w:rFonts w:hint="default" w:ascii="Times New Roman" w:hAnsi="Times New Roman" w:eastAsia="宋体" w:cs="Times New Roman"/>
                      <w:b/>
                      <w:sz w:val="21"/>
                      <w:szCs w:val="21"/>
                      <w:u w:val="none" w:color="auto"/>
                    </w:rPr>
                  </w:pPr>
                  <w:r>
                    <w:rPr>
                      <w:rFonts w:hint="default" w:ascii="Times New Roman" w:hAnsi="Times New Roman" w:eastAsia="宋体" w:cs="Times New Roman"/>
                      <w:b/>
                      <w:sz w:val="21"/>
                      <w:szCs w:val="21"/>
                      <w:u w:val="none" w:color="auto"/>
                    </w:rPr>
                    <w:t>年工作天数</w:t>
                  </w:r>
                </w:p>
              </w:tc>
              <w:tc>
                <w:tcPr>
                  <w:tcW w:w="1844" w:type="dxa"/>
                  <w:vAlign w:val="center"/>
                </w:tcPr>
                <w:p>
                  <w:pPr>
                    <w:pStyle w:val="167"/>
                    <w:spacing w:before="48" w:after="48" w:line="240" w:lineRule="atLeast"/>
                    <w:jc w:val="center"/>
                    <w:rPr>
                      <w:rFonts w:hint="default" w:ascii="Times New Roman" w:hAnsi="Times New Roman" w:eastAsia="宋体" w:cs="Times New Roman"/>
                      <w:b/>
                      <w:sz w:val="21"/>
                      <w:szCs w:val="21"/>
                      <w:u w:val="none" w:color="auto"/>
                    </w:rPr>
                  </w:pPr>
                  <w:r>
                    <w:rPr>
                      <w:rFonts w:hint="default" w:ascii="Times New Roman" w:hAnsi="Times New Roman" w:eastAsia="宋体" w:cs="Times New Roman"/>
                      <w:b/>
                      <w:sz w:val="21"/>
                      <w:szCs w:val="21"/>
                      <w:u w:val="none" w:color="auto"/>
                    </w:rPr>
                    <w:t>日用水量（t/a）</w:t>
                  </w:r>
                </w:p>
              </w:tc>
              <w:tc>
                <w:tcPr>
                  <w:tcW w:w="1957" w:type="dxa"/>
                  <w:vAlign w:val="center"/>
                </w:tcPr>
                <w:p>
                  <w:pPr>
                    <w:pStyle w:val="167"/>
                    <w:spacing w:before="48" w:after="48" w:line="240" w:lineRule="atLeast"/>
                    <w:jc w:val="center"/>
                    <w:rPr>
                      <w:rFonts w:hint="default" w:ascii="Times New Roman" w:hAnsi="Times New Roman" w:eastAsia="宋体" w:cs="Times New Roman"/>
                      <w:b/>
                      <w:sz w:val="21"/>
                      <w:szCs w:val="21"/>
                      <w:u w:val="none" w:color="auto"/>
                    </w:rPr>
                  </w:pPr>
                  <w:r>
                    <w:rPr>
                      <w:rFonts w:hint="default" w:ascii="Times New Roman" w:hAnsi="Times New Roman" w:eastAsia="宋体" w:cs="Times New Roman"/>
                      <w:b/>
                      <w:sz w:val="21"/>
                      <w:szCs w:val="21"/>
                      <w:u w:val="none" w:color="auto"/>
                    </w:rPr>
                    <w:t>年用水量（t/a）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3" w:hRule="atLeast"/>
              </w:trPr>
              <w:tc>
                <w:tcPr>
                  <w:tcW w:w="737" w:type="dxa"/>
                  <w:vAlign w:val="center"/>
                </w:tcPr>
                <w:p>
                  <w:pPr>
                    <w:pStyle w:val="167"/>
                    <w:spacing w:before="48" w:after="48" w:line="240" w:lineRule="atLeast"/>
                    <w:jc w:val="center"/>
                    <w:rPr>
                      <w:rFonts w:hint="default" w:ascii="Times New Roman" w:hAnsi="Times New Roman" w:eastAsia="宋体" w:cs="Times New Roman"/>
                      <w:bCs/>
                      <w:kern w:val="2"/>
                      <w:sz w:val="22"/>
                      <w:szCs w:val="21"/>
                      <w:u w:val="none" w:color="auto"/>
                      <w:lang w:val="en-US" w:eastAsia="zh-CN" w:bidi="ar-SA"/>
                    </w:rPr>
                  </w:pPr>
                  <w:r>
                    <w:rPr>
                      <w:rFonts w:hint="default" w:ascii="Times New Roman" w:hAnsi="Times New Roman" w:eastAsia="宋体" w:cs="Times New Roman"/>
                      <w:bCs/>
                      <w:kern w:val="2"/>
                      <w:sz w:val="22"/>
                      <w:szCs w:val="21"/>
                      <w:u w:val="none" w:color="auto"/>
                      <w:lang w:val="en-US" w:eastAsia="zh-CN" w:bidi="ar-SA"/>
                    </w:rPr>
                    <w:t>1</w:t>
                  </w:r>
                </w:p>
              </w:tc>
              <w:tc>
                <w:tcPr>
                  <w:tcW w:w="1128" w:type="dxa"/>
                  <w:vAlign w:val="center"/>
                </w:tcPr>
                <w:p>
                  <w:pPr>
                    <w:pStyle w:val="167"/>
                    <w:spacing w:before="48" w:after="48" w:line="240" w:lineRule="atLeast"/>
                    <w:jc w:val="center"/>
                    <w:rPr>
                      <w:rFonts w:hint="default" w:ascii="Times New Roman" w:hAnsi="Times New Roman" w:eastAsia="宋体" w:cs="Times New Roman"/>
                      <w:bCs/>
                      <w:kern w:val="2"/>
                      <w:sz w:val="22"/>
                      <w:szCs w:val="21"/>
                      <w:u w:val="none" w:color="auto"/>
                      <w:lang w:val="en-US" w:eastAsia="zh-CN" w:bidi="ar-SA"/>
                    </w:rPr>
                  </w:pPr>
                  <w:r>
                    <w:rPr>
                      <w:rFonts w:hint="default" w:ascii="Times New Roman" w:hAnsi="Times New Roman" w:eastAsia="宋体" w:cs="Times New Roman"/>
                      <w:bCs/>
                      <w:kern w:val="2"/>
                      <w:sz w:val="22"/>
                      <w:szCs w:val="21"/>
                      <w:u w:val="none" w:color="auto"/>
                      <w:lang w:val="en-US" w:eastAsia="zh-CN" w:bidi="ar-SA"/>
                    </w:rPr>
                    <w:t>生活用水</w:t>
                  </w:r>
                </w:p>
              </w:tc>
              <w:tc>
                <w:tcPr>
                  <w:tcW w:w="713" w:type="dxa"/>
                </w:tcPr>
                <w:p>
                  <w:pPr>
                    <w:pStyle w:val="167"/>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Times New Roman" w:hAnsi="Times New Roman" w:eastAsia="宋体" w:cs="Times New Roman"/>
                      <w:bCs/>
                      <w:kern w:val="2"/>
                      <w:sz w:val="22"/>
                      <w:szCs w:val="21"/>
                      <w:u w:val="none" w:color="auto"/>
                      <w:lang w:val="en-US" w:eastAsia="zh-CN" w:bidi="ar-SA"/>
                    </w:rPr>
                  </w:pPr>
                </w:p>
                <w:p>
                  <w:pPr>
                    <w:pStyle w:val="167"/>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default" w:ascii="Times New Roman" w:hAnsi="Times New Roman" w:eastAsia="宋体" w:cs="Times New Roman"/>
                      <w:bCs/>
                      <w:kern w:val="2"/>
                      <w:sz w:val="22"/>
                      <w:szCs w:val="21"/>
                      <w:u w:val="none" w:color="auto"/>
                      <w:lang w:val="en-US" w:eastAsia="zh-CN" w:bidi="ar-SA"/>
                    </w:rPr>
                  </w:pPr>
                  <w:r>
                    <w:rPr>
                      <w:rFonts w:hint="eastAsia" w:eastAsia="宋体" w:cs="Times New Roman"/>
                      <w:bCs/>
                      <w:kern w:val="2"/>
                      <w:sz w:val="22"/>
                      <w:szCs w:val="21"/>
                      <w:u w:val="none" w:color="auto"/>
                      <w:lang w:val="en-US" w:eastAsia="zh-CN" w:bidi="ar-SA"/>
                    </w:rPr>
                    <w:t>8</w:t>
                  </w:r>
                </w:p>
              </w:tc>
              <w:tc>
                <w:tcPr>
                  <w:tcW w:w="1273" w:type="dxa"/>
                  <w:vAlign w:val="center"/>
                </w:tcPr>
                <w:p>
                  <w:pPr>
                    <w:pStyle w:val="167"/>
                    <w:spacing w:before="48" w:after="48" w:line="240" w:lineRule="atLeast"/>
                    <w:jc w:val="center"/>
                    <w:rPr>
                      <w:rFonts w:hint="default" w:ascii="Times New Roman" w:hAnsi="Times New Roman" w:eastAsia="宋体" w:cs="Times New Roman"/>
                      <w:bCs/>
                      <w:kern w:val="2"/>
                      <w:sz w:val="22"/>
                      <w:szCs w:val="21"/>
                      <w:u w:val="none" w:color="auto"/>
                      <w:lang w:val="en-US" w:eastAsia="zh-CN" w:bidi="ar-SA"/>
                    </w:rPr>
                  </w:pPr>
                  <w:r>
                    <w:rPr>
                      <w:rFonts w:hint="eastAsia" w:eastAsia="宋体" w:cs="Times New Roman"/>
                      <w:bCs/>
                      <w:kern w:val="2"/>
                      <w:sz w:val="22"/>
                      <w:szCs w:val="21"/>
                      <w:u w:val="none" w:color="auto"/>
                      <w:lang w:val="en-US" w:eastAsia="zh-CN" w:bidi="ar-SA"/>
                    </w:rPr>
                    <w:t>45</w:t>
                  </w:r>
                  <w:r>
                    <w:rPr>
                      <w:rFonts w:hint="default" w:ascii="Times New Roman" w:hAnsi="Times New Roman" w:eastAsia="宋体" w:cs="Times New Roman"/>
                      <w:bCs/>
                      <w:kern w:val="2"/>
                      <w:sz w:val="22"/>
                      <w:szCs w:val="21"/>
                      <w:u w:val="none" w:color="auto"/>
                      <w:lang w:val="en-US" w:eastAsia="zh-CN" w:bidi="ar-SA"/>
                    </w:rPr>
                    <w:t xml:space="preserve"> L/人·d</w:t>
                  </w:r>
                </w:p>
              </w:tc>
              <w:tc>
                <w:tcPr>
                  <w:tcW w:w="1416" w:type="dxa"/>
                  <w:vAlign w:val="bottom"/>
                </w:tcPr>
                <w:p>
                  <w:pPr>
                    <w:pStyle w:val="167"/>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center"/>
                    <w:textAlignment w:val="auto"/>
                    <w:rPr>
                      <w:rFonts w:hint="default" w:ascii="Times New Roman" w:hAnsi="Times New Roman" w:eastAsia="宋体" w:cs="Times New Roman"/>
                      <w:bCs/>
                      <w:kern w:val="2"/>
                      <w:sz w:val="22"/>
                      <w:szCs w:val="21"/>
                      <w:u w:val="none" w:color="auto"/>
                      <w:lang w:val="en-US" w:eastAsia="zh-CN" w:bidi="ar-SA"/>
                    </w:rPr>
                  </w:pPr>
                  <w:r>
                    <w:rPr>
                      <w:rFonts w:hint="eastAsia" w:eastAsia="宋体" w:cs="Times New Roman"/>
                      <w:bCs/>
                      <w:kern w:val="2"/>
                      <w:sz w:val="22"/>
                      <w:szCs w:val="21"/>
                      <w:u w:val="none" w:color="auto"/>
                      <w:lang w:val="en-US" w:eastAsia="zh-CN" w:bidi="ar-SA"/>
                    </w:rPr>
                    <w:t>300</w:t>
                  </w:r>
                </w:p>
              </w:tc>
              <w:tc>
                <w:tcPr>
                  <w:tcW w:w="1844" w:type="dxa"/>
                  <w:vAlign w:val="center"/>
                </w:tcPr>
                <w:p>
                  <w:pPr>
                    <w:pStyle w:val="167"/>
                    <w:spacing w:before="48" w:after="48" w:line="240" w:lineRule="atLeast"/>
                    <w:jc w:val="center"/>
                    <w:rPr>
                      <w:rFonts w:hint="default" w:ascii="Times New Roman" w:hAnsi="Times New Roman" w:eastAsia="宋体" w:cs="Times New Roman"/>
                      <w:bCs/>
                      <w:kern w:val="2"/>
                      <w:sz w:val="22"/>
                      <w:szCs w:val="21"/>
                      <w:u w:val="none" w:color="auto"/>
                      <w:lang w:val="en-US" w:eastAsia="zh-CN" w:bidi="ar-SA"/>
                    </w:rPr>
                  </w:pPr>
                  <w:r>
                    <w:rPr>
                      <w:rFonts w:hint="eastAsia" w:eastAsia="宋体" w:cs="Times New Roman"/>
                      <w:bCs/>
                      <w:kern w:val="2"/>
                      <w:sz w:val="22"/>
                      <w:szCs w:val="21"/>
                      <w:u w:val="none" w:color="auto"/>
                      <w:lang w:val="en-US" w:eastAsia="zh-CN" w:bidi="ar-SA"/>
                    </w:rPr>
                    <w:t>0.36</w:t>
                  </w:r>
                </w:p>
              </w:tc>
              <w:tc>
                <w:tcPr>
                  <w:tcW w:w="1957" w:type="dxa"/>
                  <w:vAlign w:val="center"/>
                </w:tcPr>
                <w:p>
                  <w:pPr>
                    <w:pStyle w:val="167"/>
                    <w:spacing w:before="48" w:after="48" w:line="240" w:lineRule="atLeast"/>
                    <w:jc w:val="center"/>
                    <w:rPr>
                      <w:rFonts w:hint="default" w:ascii="Times New Roman" w:hAnsi="Times New Roman" w:eastAsia="宋体" w:cs="Times New Roman"/>
                      <w:bCs/>
                      <w:kern w:val="2"/>
                      <w:sz w:val="22"/>
                      <w:szCs w:val="21"/>
                      <w:u w:val="none" w:color="auto"/>
                      <w:lang w:val="en-US" w:eastAsia="zh-CN" w:bidi="ar-SA"/>
                    </w:rPr>
                  </w:pPr>
                  <w:r>
                    <w:rPr>
                      <w:rFonts w:hint="eastAsia" w:eastAsia="宋体" w:cs="Times New Roman"/>
                      <w:bCs/>
                      <w:kern w:val="2"/>
                      <w:sz w:val="22"/>
                      <w:szCs w:val="21"/>
                      <w:u w:val="none" w:color="auto"/>
                      <w:lang w:val="en-US" w:eastAsia="zh-CN" w:bidi="ar-SA"/>
                    </w:rPr>
                    <w:t>108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737" w:type="dxa"/>
                  <w:vAlign w:val="center"/>
                </w:tcPr>
                <w:p>
                  <w:pPr>
                    <w:pStyle w:val="167"/>
                    <w:spacing w:before="48" w:after="48" w:line="240" w:lineRule="atLeast"/>
                    <w:rPr>
                      <w:rFonts w:hint="eastAsia" w:ascii="Times New Roman" w:hAnsi="Times New Roman" w:eastAsia="宋体" w:cs="Times New Roman"/>
                      <w:sz w:val="21"/>
                      <w:szCs w:val="21"/>
                      <w:u w:val="none" w:color="auto"/>
                      <w:lang w:eastAsia="zh-CN"/>
                    </w:rPr>
                  </w:pPr>
                  <w:r>
                    <w:rPr>
                      <w:rFonts w:hint="eastAsia" w:eastAsia="宋体" w:cs="Times New Roman"/>
                      <w:sz w:val="21"/>
                      <w:szCs w:val="21"/>
                      <w:u w:val="none" w:color="auto"/>
                      <w:lang w:val="en-US" w:eastAsia="zh-CN"/>
                    </w:rPr>
                    <w:t>2</w:t>
                  </w:r>
                </w:p>
              </w:tc>
              <w:tc>
                <w:tcPr>
                  <w:tcW w:w="4530" w:type="dxa"/>
                  <w:gridSpan w:val="4"/>
                  <w:vAlign w:val="center"/>
                </w:tcPr>
                <w:p>
                  <w:pPr>
                    <w:pStyle w:val="167"/>
                    <w:spacing w:before="48" w:after="48" w:line="240" w:lineRule="atLeast"/>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合计</w:t>
                  </w:r>
                </w:p>
              </w:tc>
              <w:tc>
                <w:tcPr>
                  <w:tcW w:w="1844" w:type="dxa"/>
                  <w:vAlign w:val="center"/>
                </w:tcPr>
                <w:p>
                  <w:pPr>
                    <w:pStyle w:val="167"/>
                    <w:spacing w:before="48" w:after="48" w:line="240" w:lineRule="atLeast"/>
                    <w:jc w:val="center"/>
                    <w:rPr>
                      <w:rFonts w:hint="default" w:ascii="Times New Roman" w:hAnsi="Times New Roman" w:eastAsia="宋体" w:cs="Times New Roman"/>
                      <w:sz w:val="21"/>
                      <w:szCs w:val="21"/>
                      <w:u w:val="none" w:color="auto"/>
                      <w:lang w:val="en-US" w:eastAsia="zh-CN"/>
                    </w:rPr>
                  </w:pPr>
                  <w:r>
                    <w:rPr>
                      <w:rFonts w:hint="eastAsia" w:eastAsia="宋体" w:cs="Times New Roman"/>
                      <w:bCs/>
                      <w:kern w:val="2"/>
                      <w:sz w:val="22"/>
                      <w:szCs w:val="21"/>
                      <w:u w:val="none" w:color="auto"/>
                      <w:lang w:val="en-US" w:eastAsia="zh-CN" w:bidi="ar-SA"/>
                    </w:rPr>
                    <w:t>0.36</w:t>
                  </w:r>
                </w:p>
              </w:tc>
              <w:tc>
                <w:tcPr>
                  <w:tcW w:w="1957" w:type="dxa"/>
                  <w:vAlign w:val="center"/>
                </w:tcPr>
                <w:p>
                  <w:pPr>
                    <w:pStyle w:val="167"/>
                    <w:spacing w:before="48" w:after="48" w:line="240" w:lineRule="atLeast"/>
                    <w:jc w:val="center"/>
                    <w:rPr>
                      <w:rFonts w:hint="default" w:ascii="Times New Roman" w:hAnsi="Times New Roman" w:eastAsia="宋体" w:cs="Times New Roman"/>
                      <w:sz w:val="21"/>
                      <w:szCs w:val="21"/>
                      <w:u w:val="none" w:color="auto"/>
                      <w:lang w:val="en-US" w:eastAsia="zh-CN"/>
                    </w:rPr>
                  </w:pPr>
                  <w:r>
                    <w:rPr>
                      <w:rFonts w:hint="eastAsia" w:eastAsia="宋体" w:cs="Times New Roman"/>
                      <w:bCs/>
                      <w:kern w:val="2"/>
                      <w:sz w:val="22"/>
                      <w:szCs w:val="21"/>
                      <w:u w:val="none" w:color="auto"/>
                      <w:lang w:val="en-US" w:eastAsia="zh-CN" w:bidi="ar-SA"/>
                    </w:rPr>
                    <w:t>108</w:t>
                  </w:r>
                </w:p>
              </w:tc>
            </w:tr>
          </w:tbl>
          <w:p>
            <w:pPr>
              <w:snapToGrid w:val="0"/>
              <w:spacing w:line="360" w:lineRule="auto"/>
              <w:ind w:firstLine="480" w:firstLineChars="200"/>
              <w:rPr>
                <w:rFonts w:hint="default" w:ascii="Times New Roman" w:hAnsi="Times New Roman" w:cs="Times New Roman"/>
                <w:bCs/>
                <w:sz w:val="24"/>
                <w:u w:val="none" w:color="auto"/>
              </w:rPr>
            </w:pPr>
            <w:r>
              <w:rPr>
                <w:rFonts w:hint="default" w:ascii="Times New Roman" w:hAnsi="Times New Roman" w:cs="Times New Roman"/>
                <w:bCs/>
                <w:sz w:val="24"/>
                <w:u w:val="none" w:color="auto"/>
              </w:rPr>
              <w:t>（2）排水</w:t>
            </w:r>
          </w:p>
          <w:p>
            <w:pPr>
              <w:snapToGrid w:val="0"/>
              <w:spacing w:line="360" w:lineRule="auto"/>
              <w:ind w:firstLine="480" w:firstLineChars="200"/>
              <w:rPr>
                <w:rFonts w:hint="default" w:ascii="Times New Roman" w:hAnsi="Times New Roman" w:cs="Times New Roman"/>
                <w:bCs/>
                <w:sz w:val="24"/>
                <w:u w:val="none" w:color="auto"/>
              </w:rPr>
            </w:pPr>
            <w:r>
              <w:rPr>
                <w:rFonts w:hint="default" w:ascii="Times New Roman" w:hAnsi="Times New Roman" w:cs="Times New Roman"/>
                <w:sz w:val="24"/>
                <w:szCs w:val="24"/>
                <w:u w:val="none" w:color="auto"/>
              </w:rPr>
              <w:t>本项目</w:t>
            </w:r>
            <w:r>
              <w:rPr>
                <w:rFonts w:hint="default" w:ascii="Times New Roman" w:hAnsi="Times New Roman" w:cs="Times New Roman"/>
                <w:bCs/>
                <w:sz w:val="24"/>
                <w:szCs w:val="24"/>
                <w:u w:val="none" w:color="auto"/>
              </w:rPr>
              <w:t>生活污水按</w:t>
            </w:r>
            <w:r>
              <w:rPr>
                <w:rFonts w:hint="default" w:ascii="Times New Roman" w:hAnsi="Times New Roman" w:cs="Times New Roman"/>
                <w:sz w:val="24"/>
                <w:szCs w:val="24"/>
                <w:u w:val="none" w:color="auto"/>
              </w:rPr>
              <w:t>产生率按</w:t>
            </w:r>
            <w:r>
              <w:rPr>
                <w:rFonts w:hint="default" w:ascii="Times New Roman" w:hAnsi="Times New Roman" w:eastAsia="Times New Roman" w:cs="Times New Roman"/>
                <w:sz w:val="24"/>
                <w:szCs w:val="24"/>
                <w:u w:val="none" w:color="auto"/>
              </w:rPr>
              <w:t>80%</w:t>
            </w:r>
            <w:r>
              <w:rPr>
                <w:rFonts w:hint="default" w:ascii="Times New Roman" w:hAnsi="Times New Roman" w:cs="Times New Roman"/>
                <w:sz w:val="24"/>
                <w:szCs w:val="24"/>
                <w:u w:val="none" w:color="auto"/>
              </w:rPr>
              <w:t>计，项目营运期生活污水产生量为</w:t>
            </w:r>
            <w:r>
              <w:rPr>
                <w:rFonts w:hint="eastAsia" w:cs="Times New Roman"/>
                <w:sz w:val="24"/>
                <w:szCs w:val="24"/>
                <w:u w:val="none" w:color="auto"/>
                <w:lang w:val="en-US" w:eastAsia="zh-CN"/>
              </w:rPr>
              <w:t>0.288</w:t>
            </w:r>
            <w:r>
              <w:rPr>
                <w:rFonts w:hint="default" w:ascii="Times New Roman" w:hAnsi="Times New Roman" w:cs="Times New Roman"/>
                <w:bCs/>
                <w:sz w:val="24"/>
                <w:szCs w:val="24"/>
                <w:u w:val="none" w:color="auto"/>
              </w:rPr>
              <w:t>m</w:t>
            </w:r>
            <w:r>
              <w:rPr>
                <w:rFonts w:hint="default" w:ascii="Times New Roman" w:hAnsi="Times New Roman" w:cs="Times New Roman"/>
                <w:bCs/>
                <w:sz w:val="24"/>
                <w:szCs w:val="24"/>
                <w:u w:val="none" w:color="auto"/>
                <w:vertAlign w:val="superscript"/>
              </w:rPr>
              <w:t>3</w:t>
            </w:r>
            <w:r>
              <w:rPr>
                <w:rFonts w:hint="default" w:ascii="Times New Roman" w:hAnsi="Times New Roman" w:cs="Times New Roman"/>
                <w:bCs/>
                <w:sz w:val="24"/>
                <w:szCs w:val="24"/>
                <w:u w:val="none" w:color="auto"/>
              </w:rPr>
              <w:t>/d、</w:t>
            </w:r>
            <w:r>
              <w:rPr>
                <w:rFonts w:hint="eastAsia" w:cs="Times New Roman"/>
                <w:bCs/>
                <w:sz w:val="24"/>
                <w:szCs w:val="24"/>
                <w:u w:val="none" w:color="auto"/>
                <w:lang w:val="en-US" w:eastAsia="zh-CN"/>
              </w:rPr>
              <w:t>86.4</w:t>
            </w:r>
            <w:r>
              <w:rPr>
                <w:rFonts w:hint="default" w:ascii="Times New Roman" w:hAnsi="Times New Roman" w:cs="Times New Roman"/>
                <w:bCs/>
                <w:sz w:val="24"/>
                <w:szCs w:val="24"/>
                <w:u w:val="none" w:color="auto"/>
              </w:rPr>
              <w:t>m</w:t>
            </w:r>
            <w:r>
              <w:rPr>
                <w:rFonts w:hint="default" w:ascii="Times New Roman" w:hAnsi="Times New Roman" w:cs="Times New Roman"/>
                <w:bCs/>
                <w:sz w:val="24"/>
                <w:szCs w:val="24"/>
                <w:u w:val="none" w:color="auto"/>
                <w:vertAlign w:val="superscript"/>
              </w:rPr>
              <w:t>3</w:t>
            </w:r>
            <w:r>
              <w:rPr>
                <w:rFonts w:hint="default" w:ascii="Times New Roman" w:hAnsi="Times New Roman" w:cs="Times New Roman"/>
                <w:bCs/>
                <w:sz w:val="24"/>
                <w:szCs w:val="24"/>
                <w:u w:val="none" w:color="auto"/>
              </w:rPr>
              <w:t>/a。</w:t>
            </w:r>
            <w:r>
              <w:rPr>
                <w:rFonts w:hint="default" w:ascii="Times New Roman" w:hAnsi="Times New Roman" w:cs="Times New Roman"/>
                <w:sz w:val="24"/>
                <w:szCs w:val="24"/>
                <w:u w:val="none" w:color="auto"/>
              </w:rPr>
              <w:t>生活污水经化粪池预处理后</w:t>
            </w:r>
            <w:r>
              <w:rPr>
                <w:rFonts w:hint="default" w:ascii="Times New Roman" w:hAnsi="Times New Roman" w:cs="Times New Roman"/>
                <w:sz w:val="24"/>
                <w:szCs w:val="24"/>
                <w:u w:val="none" w:color="auto"/>
                <w:lang w:eastAsia="zh-CN"/>
              </w:rPr>
              <w:t>回用于周边绿化施肥</w:t>
            </w:r>
            <w:r>
              <w:rPr>
                <w:rFonts w:hint="default" w:ascii="Times New Roman" w:hAnsi="Times New Roman" w:cs="Times New Roman"/>
                <w:sz w:val="24"/>
                <w:szCs w:val="24"/>
                <w:u w:val="none" w:color="auto"/>
              </w:rPr>
              <w:t>。</w:t>
            </w:r>
          </w:p>
          <w:p>
            <w:pPr>
              <w:snapToGrid w:val="0"/>
              <w:spacing w:line="360" w:lineRule="auto"/>
              <w:ind w:firstLine="470" w:firstLineChars="196"/>
              <w:rPr>
                <w:rFonts w:hint="default" w:ascii="Times New Roman" w:hAnsi="Times New Roman" w:cs="Times New Roman"/>
                <w:bCs/>
                <w:sz w:val="24"/>
                <w:u w:val="none" w:color="auto"/>
              </w:rPr>
            </w:pPr>
            <w:r>
              <w:rPr>
                <w:rFonts w:hint="default" w:ascii="Times New Roman" w:hAnsi="Times New Roman" w:cs="Times New Roman"/>
                <w:sz w:val="24"/>
                <w:u w:val="none" w:color="auto"/>
                <w:lang w:eastAsia="zh-CN"/>
              </w:rPr>
              <w:pict>
                <v:shape id="_x0000_s1026" o:spid="_x0000_s1026" o:spt="75" type="#_x0000_t75" style="position:absolute;left:0pt;margin-left:4.15pt;margin-top:10.75pt;height:112.25pt;width:451.25pt;z-index:251663360;mso-width-relative:page;mso-height-relative:page;" o:ole="t" filled="f" o:preferrelative="t" stroked="f" coordsize="21600,21600">
                  <v:path/>
                  <v:fill on="f" focussize="0,0"/>
                  <v:stroke on="f"/>
                  <v:imagedata r:id="rId11" o:title=""/>
                  <o:lock v:ext="edit" aspectratio="f"/>
                </v:shape>
                <o:OLEObject Type="Embed" ProgID="Visio.Drawing.11" ShapeID="_x0000_s1026" DrawAspect="Content" ObjectID="_1468075725" r:id="rId10">
                  <o:LockedField>false</o:LockedField>
                </o:OLEObject>
              </w:pict>
            </w:r>
            <w:r>
              <w:rPr>
                <w:rFonts w:hint="default" w:ascii="Times New Roman" w:hAnsi="Times New Roman" w:cs="Times New Roman"/>
                <w:bCs/>
                <w:sz w:val="24"/>
                <w:u w:val="none" w:color="auto"/>
              </w:rPr>
              <w:t>本项目水平衡情况如图1-1所示。</w:t>
            </w:r>
          </w:p>
          <w:p>
            <w:pPr>
              <w:pStyle w:val="168"/>
              <w:spacing w:line="360" w:lineRule="auto"/>
              <w:ind w:firstLine="0" w:firstLineChars="0"/>
              <w:jc w:val="center"/>
              <w:rPr>
                <w:rFonts w:hint="default" w:ascii="Times New Roman" w:hAnsi="Times New Roman" w:cs="Times New Roman"/>
                <w:b/>
                <w:bCs/>
                <w:u w:val="none" w:color="auto"/>
              </w:rPr>
            </w:pPr>
          </w:p>
          <w:p>
            <w:pPr>
              <w:pStyle w:val="168"/>
              <w:spacing w:line="360" w:lineRule="auto"/>
              <w:ind w:firstLineChars="83"/>
              <w:jc w:val="center"/>
              <w:rPr>
                <w:rFonts w:hint="default" w:ascii="Times New Roman" w:hAnsi="Times New Roman" w:cs="Times New Roman"/>
                <w:b/>
                <w:bCs/>
                <w:u w:val="none" w:color="auto"/>
              </w:rPr>
            </w:pPr>
          </w:p>
          <w:p>
            <w:pPr>
              <w:pStyle w:val="168"/>
              <w:spacing w:line="360" w:lineRule="auto"/>
              <w:ind w:firstLineChars="83"/>
              <w:jc w:val="center"/>
              <w:rPr>
                <w:rFonts w:hint="default" w:ascii="Times New Roman" w:hAnsi="Times New Roman" w:cs="Times New Roman"/>
                <w:b/>
                <w:bCs/>
                <w:u w:val="none" w:color="auto"/>
              </w:rPr>
            </w:pPr>
          </w:p>
          <w:p>
            <w:pPr>
              <w:pStyle w:val="168"/>
              <w:spacing w:line="360" w:lineRule="auto"/>
              <w:ind w:left="0" w:leftChars="0" w:firstLine="0" w:firstLineChars="0"/>
              <w:jc w:val="both"/>
              <w:rPr>
                <w:rFonts w:hint="default" w:ascii="Times New Roman" w:hAnsi="Times New Roman" w:cs="Times New Roman"/>
                <w:b/>
                <w:bCs/>
                <w:u w:val="none" w:color="auto"/>
              </w:rPr>
            </w:pPr>
          </w:p>
          <w:p>
            <w:pPr>
              <w:pStyle w:val="168"/>
              <w:spacing w:line="360" w:lineRule="auto"/>
              <w:ind w:firstLineChars="83"/>
              <w:jc w:val="center"/>
              <w:rPr>
                <w:rFonts w:hint="default" w:ascii="Times New Roman" w:hAnsi="Times New Roman" w:cs="Times New Roman"/>
                <w:b/>
                <w:sz w:val="24"/>
                <w:szCs w:val="24"/>
                <w:u w:val="none" w:color="auto"/>
              </w:rPr>
            </w:pPr>
            <w:r>
              <w:rPr>
                <w:rFonts w:hint="default" w:ascii="Times New Roman" w:hAnsi="Times New Roman" w:cs="Times New Roman"/>
                <w:b/>
                <w:bCs/>
                <w:u w:val="none" w:color="auto"/>
              </w:rPr>
              <w:t>图1-1  项目水平衡图</w:t>
            </w:r>
          </w:p>
          <w:p>
            <w:pPr>
              <w:spacing w:line="360" w:lineRule="auto"/>
              <w:ind w:firstLine="482" w:firstLineChars="200"/>
              <w:jc w:val="left"/>
              <w:rPr>
                <w:rFonts w:hint="default" w:ascii="Times New Roman" w:hAnsi="Times New Roman" w:cs="Times New Roman"/>
                <w:b/>
                <w:sz w:val="24"/>
                <w:szCs w:val="24"/>
                <w:u w:val="none" w:color="auto"/>
              </w:rPr>
            </w:pPr>
            <w:r>
              <w:rPr>
                <w:rFonts w:hint="eastAsia" w:cs="Times New Roman"/>
                <w:b/>
                <w:sz w:val="24"/>
                <w:szCs w:val="24"/>
                <w:u w:val="none" w:color="auto"/>
                <w:lang w:val="en-US" w:eastAsia="zh-CN"/>
              </w:rPr>
              <w:t>7</w:t>
            </w:r>
            <w:r>
              <w:rPr>
                <w:rFonts w:hint="default" w:ascii="Times New Roman" w:hAnsi="Times New Roman" w:cs="Times New Roman"/>
                <w:b/>
                <w:sz w:val="24"/>
                <w:szCs w:val="24"/>
                <w:u w:val="none" w:color="auto"/>
              </w:rPr>
              <w:t>、劳动定员及生产制度</w:t>
            </w:r>
          </w:p>
          <w:p>
            <w:pPr>
              <w:tabs>
                <w:tab w:val="left" w:pos="630"/>
              </w:tabs>
              <w:spacing w:line="360" w:lineRule="auto"/>
              <w:ind w:firstLine="480" w:firstLineChars="200"/>
              <w:jc w:val="left"/>
              <w:rPr>
                <w:rFonts w:hint="default" w:ascii="Times New Roman" w:hAnsi="Times New Roman" w:cs="Times New Roman"/>
                <w:sz w:val="24"/>
                <w:u w:val="none" w:color="auto"/>
              </w:rPr>
            </w:pPr>
            <w:r>
              <w:rPr>
                <w:rFonts w:hint="default" w:ascii="Times New Roman" w:hAnsi="Times New Roman" w:cs="Times New Roman"/>
                <w:sz w:val="24"/>
                <w:u w:val="none" w:color="auto"/>
              </w:rPr>
              <w:t>劳动定员：项目劳动定员总数为</w:t>
            </w:r>
            <w:r>
              <w:rPr>
                <w:rFonts w:hint="eastAsia" w:cs="Times New Roman"/>
                <w:sz w:val="24"/>
                <w:u w:val="none" w:color="auto"/>
                <w:lang w:val="en-US" w:eastAsia="zh-CN"/>
              </w:rPr>
              <w:t>8</w:t>
            </w:r>
            <w:r>
              <w:rPr>
                <w:rFonts w:hint="default" w:ascii="Times New Roman" w:hAnsi="Times New Roman" w:cs="Times New Roman"/>
                <w:sz w:val="24"/>
                <w:u w:val="none" w:color="auto"/>
              </w:rPr>
              <w:t>人。年工作300天，每班运行8小时</w:t>
            </w:r>
            <w:r>
              <w:rPr>
                <w:rFonts w:hint="eastAsia" w:cs="Times New Roman"/>
                <w:sz w:val="24"/>
                <w:u w:val="none" w:color="auto"/>
                <w:lang w:eastAsia="zh-CN"/>
              </w:rPr>
              <w:t>（</w:t>
            </w:r>
            <w:r>
              <w:rPr>
                <w:rFonts w:hint="eastAsia" w:cs="Times New Roman"/>
                <w:sz w:val="24"/>
                <w:u w:val="none" w:color="auto"/>
                <w:lang w:val="en-US" w:eastAsia="zh-CN"/>
              </w:rPr>
              <w:t>白天生产，晚上不生产</w:t>
            </w:r>
            <w:r>
              <w:rPr>
                <w:rFonts w:hint="eastAsia" w:cs="Times New Roman"/>
                <w:sz w:val="24"/>
                <w:u w:val="none" w:color="auto"/>
                <w:lang w:eastAsia="zh-CN"/>
              </w:rPr>
              <w:t>）</w:t>
            </w:r>
            <w:r>
              <w:rPr>
                <w:rFonts w:hint="default" w:ascii="Times New Roman" w:hAnsi="Times New Roman" w:cs="Times New Roman"/>
                <w:sz w:val="24"/>
                <w:u w:val="none" w:color="auto"/>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1549" w:hRule="atLeast"/>
          <w:jc w:val="center"/>
        </w:trPr>
        <w:tc>
          <w:tcPr>
            <w:tcW w:w="9268" w:type="dxa"/>
            <w:gridSpan w:val="7"/>
          </w:tcPr>
          <w:p>
            <w:pPr>
              <w:adjustRightInd w:val="0"/>
              <w:snapToGrid w:val="0"/>
              <w:spacing w:line="360" w:lineRule="auto"/>
              <w:rPr>
                <w:rFonts w:hint="default" w:ascii="Times New Roman" w:hAnsi="Times New Roman" w:cs="Times New Roman"/>
                <w:b/>
                <w:bCs/>
                <w:sz w:val="30"/>
                <w:szCs w:val="30"/>
                <w:u w:val="none" w:color="auto"/>
              </w:rPr>
            </w:pPr>
            <w:r>
              <w:rPr>
                <w:rFonts w:hint="default" w:ascii="Times New Roman" w:hAnsi="Times New Roman" w:cs="Times New Roman"/>
                <w:b/>
                <w:bCs/>
                <w:sz w:val="30"/>
                <w:szCs w:val="30"/>
                <w:u w:val="none" w:color="auto"/>
              </w:rPr>
              <w:t>与本项目有关的原有污染情况及主要环境问题：</w:t>
            </w:r>
          </w:p>
          <w:p>
            <w:pPr>
              <w:spacing w:line="360" w:lineRule="auto"/>
              <w:ind w:firstLine="600" w:firstLineChars="250"/>
              <w:rPr>
                <w:rFonts w:hint="eastAsia" w:ascii="Times New Roman" w:hAnsi="Times New Roman" w:eastAsia="宋体" w:cs="Times New Roman"/>
                <w:bCs/>
                <w:sz w:val="24"/>
                <w:u w:val="none" w:color="auto"/>
                <w:lang w:val="en-US" w:eastAsia="zh-CN"/>
              </w:rPr>
            </w:pPr>
            <w:r>
              <w:rPr>
                <w:rFonts w:hint="default" w:ascii="Times New Roman" w:hAnsi="Times New Roman" w:cs="Times New Roman"/>
                <w:bCs/>
                <w:sz w:val="24"/>
                <w:u w:val="none" w:color="auto"/>
              </w:rPr>
              <w:t>本项目租赁</w:t>
            </w:r>
            <w:r>
              <w:rPr>
                <w:rFonts w:hint="eastAsia" w:cs="Times New Roman"/>
                <w:sz w:val="24"/>
                <w:szCs w:val="24"/>
                <w:u w:val="none" w:color="auto"/>
                <w:lang w:eastAsia="zh-CN"/>
              </w:rPr>
              <w:t>湘阴县石塘乡高山村红星组厂房</w:t>
            </w:r>
            <w:r>
              <w:rPr>
                <w:rFonts w:hint="default" w:ascii="Times New Roman" w:hAnsi="Times New Roman" w:cs="Times New Roman"/>
                <w:bCs/>
                <w:sz w:val="24"/>
                <w:u w:val="none" w:color="auto"/>
              </w:rPr>
              <w:t>进行</w:t>
            </w:r>
            <w:r>
              <w:rPr>
                <w:rFonts w:hint="eastAsia" w:cs="Times New Roman"/>
                <w:bCs/>
                <w:sz w:val="24"/>
                <w:u w:val="none" w:color="auto"/>
                <w:lang w:eastAsia="zh-CN"/>
              </w:rPr>
              <w:t>建设</w:t>
            </w:r>
            <w:r>
              <w:rPr>
                <w:rFonts w:hint="default" w:ascii="Times New Roman" w:hAnsi="Times New Roman" w:cs="Times New Roman"/>
                <w:bCs/>
                <w:sz w:val="24"/>
                <w:u w:val="none" w:color="auto"/>
              </w:rPr>
              <w:t>生产</w:t>
            </w:r>
            <w:r>
              <w:rPr>
                <w:rFonts w:hint="eastAsia" w:cs="Times New Roman"/>
                <w:bCs/>
                <w:sz w:val="24"/>
                <w:u w:val="none" w:color="auto"/>
                <w:lang w:val="en-US" w:eastAsia="zh-CN"/>
              </w:rPr>
              <w:t>。</w:t>
            </w:r>
          </w:p>
          <w:p>
            <w:pPr>
              <w:spacing w:line="360" w:lineRule="auto"/>
              <w:ind w:firstLine="600" w:firstLineChars="250"/>
              <w:rPr>
                <w:rFonts w:hint="default" w:ascii="Times New Roman" w:hAnsi="Times New Roman" w:cs="Times New Roman"/>
                <w:sz w:val="24"/>
                <w:u w:val="none" w:color="auto"/>
              </w:rPr>
            </w:pPr>
            <w:r>
              <w:rPr>
                <w:rFonts w:hint="eastAsia" w:cs="Times New Roman"/>
                <w:sz w:val="24"/>
                <w:u w:val="none" w:color="auto"/>
                <w:lang w:val="en-US" w:eastAsia="zh-CN"/>
              </w:rPr>
              <w:t>1、</w:t>
            </w:r>
            <w:r>
              <w:rPr>
                <w:rFonts w:hint="default" w:ascii="Times New Roman" w:hAnsi="Times New Roman" w:cs="Times New Roman"/>
                <w:sz w:val="24"/>
                <w:u w:val="none" w:color="auto"/>
              </w:rPr>
              <w:t>与项目有关的原有污染情况</w:t>
            </w:r>
          </w:p>
          <w:p>
            <w:pPr>
              <w:spacing w:line="360" w:lineRule="auto"/>
              <w:ind w:firstLine="600" w:firstLineChars="250"/>
              <w:rPr>
                <w:rFonts w:hint="default" w:ascii="Times New Roman" w:hAnsi="Times New Roman" w:cs="Times New Roman"/>
                <w:sz w:val="24"/>
                <w:u w:val="none" w:color="auto"/>
              </w:rPr>
            </w:pPr>
            <w:r>
              <w:rPr>
                <w:rFonts w:hint="default" w:ascii="Times New Roman" w:hAnsi="Times New Roman" w:cs="Times New Roman"/>
                <w:sz w:val="24"/>
                <w:u w:val="none" w:color="auto"/>
              </w:rPr>
              <w:t>项目已投产运营，与项目有关的原有污染情况主要为项目生产过程中产生的粉尘</w:t>
            </w:r>
            <w:r>
              <w:rPr>
                <w:rFonts w:hint="eastAsia" w:cs="Times New Roman"/>
                <w:sz w:val="24"/>
                <w:u w:val="none" w:color="auto"/>
                <w:lang w:eastAsia="zh-CN"/>
              </w:rPr>
              <w:t>、有机废气</w:t>
            </w:r>
            <w:r>
              <w:rPr>
                <w:rFonts w:hint="default" w:ascii="Times New Roman" w:hAnsi="Times New Roman" w:cs="Times New Roman"/>
                <w:sz w:val="24"/>
                <w:u w:val="none" w:color="auto"/>
              </w:rPr>
              <w:t>、噪声及固体废物对环境的影响，投产至今运行较好暂未接到周边居民投诉。</w:t>
            </w:r>
          </w:p>
          <w:p>
            <w:pPr>
              <w:spacing w:line="360" w:lineRule="auto"/>
              <w:ind w:firstLine="600" w:firstLineChars="250"/>
              <w:rPr>
                <w:rFonts w:hint="eastAsia" w:ascii="Times New Roman" w:hAnsi="Times New Roman" w:eastAsia="宋体" w:cs="Times New Roman"/>
                <w:sz w:val="24"/>
                <w:u w:val="none" w:color="auto"/>
                <w:lang w:eastAsia="zh-CN"/>
              </w:rPr>
            </w:pPr>
            <w:r>
              <w:rPr>
                <w:rFonts w:hint="eastAsia" w:cs="Times New Roman"/>
                <w:sz w:val="24"/>
                <w:u w:val="none" w:color="auto"/>
                <w:lang w:val="en-US" w:eastAsia="zh-CN"/>
              </w:rPr>
              <w:t>2、</w:t>
            </w:r>
            <w:r>
              <w:rPr>
                <w:rFonts w:hint="eastAsia" w:cs="Times New Roman"/>
                <w:sz w:val="24"/>
                <w:u w:val="none" w:color="auto"/>
                <w:lang w:eastAsia="zh-CN"/>
              </w:rPr>
              <w:t>项目周边污染源</w:t>
            </w:r>
          </w:p>
          <w:p>
            <w:pPr>
              <w:spacing w:line="360" w:lineRule="auto"/>
              <w:ind w:firstLine="600" w:firstLineChars="250"/>
              <w:rPr>
                <w:rFonts w:hint="eastAsia" w:ascii="Times New Roman" w:hAnsi="Times New Roman" w:eastAsia="宋体" w:cs="Times New Roman"/>
                <w:sz w:val="24"/>
                <w:u w:val="none" w:color="auto"/>
                <w:lang w:eastAsia="zh-CN"/>
              </w:rPr>
            </w:pPr>
            <w:r>
              <w:rPr>
                <w:rFonts w:hint="eastAsia" w:cs="Times New Roman"/>
                <w:sz w:val="24"/>
                <w:u w:val="none" w:color="auto"/>
                <w:lang w:eastAsia="zh-CN"/>
              </w:rPr>
              <w:t>项目周边主要环境问题为附近居民生活污水、生活垃圾。根据走访了解，附近居民生活污水经化粪池处理后作为农田、绿化施肥，生活垃圾交由环卫部门进行处理，故可知，项目周边无明显污染。</w:t>
            </w:r>
          </w:p>
          <w:p>
            <w:pPr>
              <w:spacing w:line="360" w:lineRule="auto"/>
              <w:ind w:firstLine="600" w:firstLineChars="250"/>
              <w:rPr>
                <w:rFonts w:hint="eastAsia" w:ascii="Times New Roman" w:hAnsi="Times New Roman" w:eastAsia="宋体" w:cs="Times New Roman"/>
                <w:sz w:val="24"/>
                <w:u w:val="none" w:color="auto"/>
                <w:lang w:eastAsia="zh-CN"/>
              </w:rPr>
            </w:pPr>
            <w:r>
              <w:rPr>
                <w:rFonts w:hint="eastAsia" w:cs="Times New Roman"/>
                <w:sz w:val="24"/>
                <w:u w:val="none" w:color="auto"/>
                <w:lang w:val="en-US" w:eastAsia="zh-CN"/>
              </w:rPr>
              <w:t>3、</w:t>
            </w:r>
            <w:r>
              <w:rPr>
                <w:rFonts w:hint="eastAsia" w:cs="Times New Roman"/>
                <w:sz w:val="24"/>
                <w:u w:val="none" w:color="auto"/>
                <w:lang w:eastAsia="zh-CN"/>
              </w:rPr>
              <w:t>项目污染现状及现有环保措施</w:t>
            </w:r>
          </w:p>
          <w:p>
            <w:pPr>
              <w:spacing w:line="360" w:lineRule="auto"/>
              <w:ind w:firstLine="480" w:firstLineChars="200"/>
              <w:rPr>
                <w:rFonts w:hint="eastAsia" w:cs="Times New Roman"/>
                <w:sz w:val="24"/>
                <w:u w:val="none" w:color="auto"/>
                <w:lang w:eastAsia="zh-CN"/>
              </w:rPr>
            </w:pPr>
            <w:r>
              <w:rPr>
                <w:rFonts w:hint="eastAsia" w:cs="Times New Roman"/>
                <w:sz w:val="24"/>
                <w:u w:val="none" w:color="auto"/>
                <w:lang w:eastAsia="zh-CN"/>
              </w:rPr>
              <w:t>（</w:t>
            </w:r>
            <w:r>
              <w:rPr>
                <w:rFonts w:hint="eastAsia" w:cs="Times New Roman"/>
                <w:sz w:val="24"/>
                <w:u w:val="none" w:color="auto"/>
                <w:lang w:val="en-US" w:eastAsia="zh-CN"/>
              </w:rPr>
              <w:t>1</w:t>
            </w:r>
            <w:r>
              <w:rPr>
                <w:rFonts w:hint="eastAsia" w:cs="Times New Roman"/>
                <w:sz w:val="24"/>
                <w:u w:val="none" w:color="auto"/>
                <w:lang w:eastAsia="zh-CN"/>
              </w:rPr>
              <w:t>）废水污染及现有的环保措施</w:t>
            </w:r>
          </w:p>
          <w:p>
            <w:pPr>
              <w:spacing w:line="360" w:lineRule="auto"/>
              <w:ind w:firstLine="720" w:firstLineChars="300"/>
              <w:rPr>
                <w:rFonts w:hint="eastAsia" w:cs="Times New Roman"/>
                <w:sz w:val="24"/>
                <w:u w:val="none" w:color="auto"/>
                <w:lang w:eastAsia="zh-CN"/>
              </w:rPr>
            </w:pPr>
            <w:r>
              <w:rPr>
                <w:rFonts w:hint="eastAsia" w:cs="Times New Roman"/>
                <w:sz w:val="24"/>
                <w:u w:val="none" w:color="auto"/>
                <w:lang w:eastAsia="zh-CN"/>
              </w:rPr>
              <w:t>生活污水</w:t>
            </w:r>
          </w:p>
          <w:p>
            <w:pPr>
              <w:bidi w:val="0"/>
              <w:spacing w:line="360" w:lineRule="auto"/>
              <w:ind w:firstLine="720" w:firstLineChars="300"/>
              <w:rPr>
                <w:rFonts w:hint="eastAsia" w:ascii="Times New Roman" w:hAnsi="Times New Roman" w:cs="Times New Roman"/>
                <w:sz w:val="24"/>
                <w:szCs w:val="24"/>
                <w:u w:val="none" w:color="auto"/>
                <w:lang w:eastAsia="zh-CN"/>
              </w:rPr>
            </w:pPr>
            <w:r>
              <w:rPr>
                <w:rFonts w:hint="eastAsia"/>
                <w:sz w:val="24"/>
                <w:szCs w:val="22"/>
                <w:u w:val="none" w:color="auto"/>
                <w:lang w:val="en-US" w:eastAsia="zh-CN"/>
              </w:rPr>
              <w:t>项目生产污水经化粪池处理后用于周边绿化施肥，不直接外排</w:t>
            </w:r>
            <w:r>
              <w:rPr>
                <w:rFonts w:hint="eastAsia" w:ascii="Times New Roman" w:hAnsi="Times New Roman" w:cs="Times New Roman"/>
                <w:sz w:val="24"/>
                <w:szCs w:val="24"/>
                <w:u w:val="none" w:color="auto"/>
                <w:lang w:eastAsia="zh-CN"/>
              </w:rPr>
              <w:t>。</w:t>
            </w:r>
          </w:p>
          <w:p>
            <w:pPr>
              <w:spacing w:line="360" w:lineRule="auto"/>
              <w:ind w:firstLine="600" w:firstLineChars="250"/>
              <w:rPr>
                <w:rFonts w:hint="eastAsia" w:cs="Times New Roman"/>
                <w:sz w:val="24"/>
                <w:szCs w:val="24"/>
                <w:u w:val="none" w:color="auto"/>
                <w:lang w:eastAsia="zh-CN"/>
              </w:rPr>
            </w:pPr>
            <w:r>
              <w:rPr>
                <w:rFonts w:hint="eastAsia" w:cs="Times New Roman"/>
                <w:sz w:val="24"/>
                <w:szCs w:val="24"/>
                <w:u w:val="none" w:color="auto"/>
                <w:lang w:eastAsia="zh-CN"/>
              </w:rPr>
              <w:t>综上所述，本项目废水能够得到妥善处理</w:t>
            </w:r>
            <w:r>
              <w:rPr>
                <w:rFonts w:hint="eastAsia" w:ascii="Times New Roman" w:hAnsi="Times New Roman" w:eastAsia="宋体" w:cs="Times New Roman"/>
                <w:bCs/>
                <w:sz w:val="24"/>
                <w:szCs w:val="24"/>
                <w:u w:val="none" w:color="auto"/>
                <w:lang w:val="en-US" w:eastAsia="zh-CN"/>
              </w:rPr>
              <w:t>。</w:t>
            </w:r>
          </w:p>
          <w:p>
            <w:pPr>
              <w:spacing w:line="360" w:lineRule="auto"/>
              <w:ind w:firstLine="600" w:firstLineChars="250"/>
              <w:rPr>
                <w:rFonts w:hint="eastAsia" w:ascii="Times New Roman" w:hAnsi="Times New Roman" w:eastAsia="宋体" w:cs="Times New Roman"/>
                <w:sz w:val="24"/>
                <w:szCs w:val="24"/>
                <w:u w:val="none" w:color="auto"/>
                <w:lang w:eastAsia="zh-CN"/>
              </w:rPr>
            </w:pPr>
            <w:r>
              <w:rPr>
                <w:rFonts w:hint="eastAsia" w:cs="Times New Roman"/>
                <w:sz w:val="24"/>
                <w:szCs w:val="24"/>
                <w:u w:val="none" w:color="auto"/>
                <w:lang w:eastAsia="zh-CN"/>
              </w:rPr>
              <w:t>（</w:t>
            </w:r>
            <w:r>
              <w:rPr>
                <w:rFonts w:hint="eastAsia" w:cs="Times New Roman"/>
                <w:sz w:val="24"/>
                <w:szCs w:val="24"/>
                <w:u w:val="none" w:color="auto"/>
                <w:lang w:val="en-US" w:eastAsia="zh-CN"/>
              </w:rPr>
              <w:t>2</w:t>
            </w:r>
            <w:r>
              <w:rPr>
                <w:rFonts w:hint="eastAsia" w:cs="Times New Roman"/>
                <w:sz w:val="24"/>
                <w:szCs w:val="24"/>
                <w:u w:val="none" w:color="auto"/>
                <w:lang w:eastAsia="zh-CN"/>
              </w:rPr>
              <w:t>）废气污染及现有的环保措施</w:t>
            </w:r>
          </w:p>
          <w:p>
            <w:pPr>
              <w:spacing w:line="360" w:lineRule="auto"/>
              <w:ind w:firstLine="600" w:firstLineChars="250"/>
              <w:rPr>
                <w:rFonts w:hint="default" w:ascii="Times New Roman" w:hAnsi="Times New Roman" w:eastAsia="宋体" w:cs="Times New Roman"/>
                <w:color w:val="auto"/>
                <w:sz w:val="24"/>
                <w:u w:val="none" w:color="auto"/>
                <w:lang w:val="en-US" w:eastAsia="zh-CN"/>
              </w:rPr>
            </w:pPr>
            <w:r>
              <w:rPr>
                <w:rFonts w:hint="eastAsia" w:cs="Times New Roman"/>
                <w:sz w:val="24"/>
                <w:u w:val="none" w:color="auto"/>
                <w:lang w:eastAsia="zh-CN"/>
              </w:rPr>
              <w:t>本项目在下料、钻孔、</w:t>
            </w:r>
            <w:r>
              <w:rPr>
                <w:rFonts w:hint="eastAsia" w:cs="Times New Roman"/>
                <w:color w:val="auto"/>
                <w:sz w:val="24"/>
                <w:u w:val="none" w:color="auto"/>
                <w:lang w:eastAsia="zh-CN"/>
              </w:rPr>
              <w:t>切割等工序产生的工艺粉尘，项目粉尘经双桶布袋除尘器收集处理后无组织排放；刷胶、冷压、封边工序产生有机废气经车间通风后无组织排放</w:t>
            </w:r>
            <w:r>
              <w:rPr>
                <w:rFonts w:hint="eastAsia" w:cs="Times New Roman"/>
                <w:color w:val="auto"/>
                <w:sz w:val="24"/>
                <w:u w:val="none" w:color="auto"/>
                <w:lang w:val="en-US" w:eastAsia="zh-CN"/>
              </w:rPr>
              <w:t>。</w:t>
            </w:r>
          </w:p>
          <w:p>
            <w:pPr>
              <w:spacing w:line="360" w:lineRule="auto"/>
              <w:ind w:firstLine="600" w:firstLineChars="250"/>
              <w:rPr>
                <w:rFonts w:hint="default" w:cs="Times New Roman"/>
                <w:color w:val="auto"/>
                <w:sz w:val="24"/>
                <w:u w:val="none" w:color="auto"/>
                <w:lang w:val="en-US" w:eastAsia="zh-CN"/>
              </w:rPr>
            </w:pPr>
            <w:r>
              <w:rPr>
                <w:rFonts w:hint="eastAsia" w:cs="Times New Roman"/>
                <w:color w:val="auto"/>
                <w:sz w:val="24"/>
                <w:u w:val="none" w:color="auto"/>
                <w:lang w:val="en-US" w:eastAsia="zh-CN"/>
              </w:rPr>
              <w:t>根据现场勘查，项目</w:t>
            </w:r>
            <w:r>
              <w:rPr>
                <w:rFonts w:hint="eastAsia" w:cs="Times New Roman"/>
                <w:bCs/>
                <w:sz w:val="24"/>
                <w:szCs w:val="24"/>
                <w:u w:val="none" w:color="auto"/>
                <w:lang w:val="en-US" w:eastAsia="zh-CN"/>
              </w:rPr>
              <w:t>钻孔、下料无双桶式布袋除尘器，需新增双桶式布袋除尘器。</w:t>
            </w:r>
          </w:p>
          <w:p>
            <w:pPr>
              <w:spacing w:line="360" w:lineRule="auto"/>
              <w:ind w:firstLine="600" w:firstLineChars="250"/>
              <w:rPr>
                <w:rFonts w:hint="default" w:ascii="Times New Roman" w:hAnsi="Times New Roman" w:cs="Times New Roman"/>
                <w:color w:val="auto"/>
                <w:sz w:val="24"/>
                <w:szCs w:val="24"/>
                <w:u w:val="none" w:color="auto"/>
                <w:lang w:val="en-US" w:eastAsia="zh-CN"/>
              </w:rPr>
            </w:pPr>
            <w:r>
              <w:rPr>
                <w:rFonts w:hint="eastAsia" w:cs="Times New Roman"/>
                <w:color w:val="auto"/>
                <w:sz w:val="24"/>
                <w:u w:val="none" w:color="auto"/>
                <w:lang w:eastAsia="zh-CN"/>
              </w:rPr>
              <w:t>根据湖南精准通检测技术有限公司于</w:t>
            </w:r>
            <w:r>
              <w:rPr>
                <w:rFonts w:hint="eastAsia" w:cs="Times New Roman"/>
                <w:color w:val="auto"/>
                <w:sz w:val="24"/>
                <w:u w:val="none" w:color="auto"/>
                <w:lang w:val="en-US" w:eastAsia="zh-CN"/>
              </w:rPr>
              <w:t>2020年5月26-27日对其厂界上风向及下风向颗粒物、非甲烷总烃进行了监测，</w:t>
            </w:r>
            <w:r>
              <w:rPr>
                <w:rFonts w:hint="eastAsia" w:cs="Times New Roman"/>
                <w:color w:val="auto"/>
                <w:sz w:val="24"/>
                <w:szCs w:val="24"/>
                <w:u w:val="none" w:color="auto"/>
                <w:lang w:eastAsia="zh-CN"/>
              </w:rPr>
              <w:t>监测期间项目正常运行（</w:t>
            </w:r>
            <w:r>
              <w:rPr>
                <w:rFonts w:hint="eastAsia" w:cs="Times New Roman"/>
                <w:color w:val="auto"/>
                <w:sz w:val="24"/>
                <w:szCs w:val="24"/>
                <w:u w:val="none" w:color="auto"/>
                <w:lang w:val="en-US" w:eastAsia="zh-CN"/>
              </w:rPr>
              <w:t>工况为75%</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lang w:eastAsia="zh-CN"/>
              </w:rPr>
              <w:t>，具体</w:t>
            </w:r>
            <w:r>
              <w:rPr>
                <w:rFonts w:hint="eastAsia" w:cs="Times New Roman"/>
                <w:color w:val="auto"/>
                <w:sz w:val="24"/>
                <w:szCs w:val="24"/>
                <w:u w:val="none" w:color="auto"/>
                <w:lang w:eastAsia="zh-CN"/>
              </w:rPr>
              <w:t>监测结果</w:t>
            </w:r>
            <w:r>
              <w:rPr>
                <w:rFonts w:hint="default" w:ascii="Times New Roman" w:hAnsi="Times New Roman" w:cs="Times New Roman"/>
                <w:color w:val="auto"/>
                <w:sz w:val="24"/>
                <w:szCs w:val="24"/>
                <w:u w:val="none" w:color="auto"/>
                <w:lang w:eastAsia="zh-CN"/>
              </w:rPr>
              <w:t>详见表</w:t>
            </w:r>
            <w:r>
              <w:rPr>
                <w:rFonts w:hint="eastAsia" w:cs="Times New Roman"/>
                <w:color w:val="auto"/>
                <w:sz w:val="24"/>
                <w:szCs w:val="24"/>
                <w:u w:val="none" w:color="auto"/>
                <w:lang w:val="en-US" w:eastAsia="zh-CN"/>
              </w:rPr>
              <w:t>1-7</w:t>
            </w:r>
            <w:r>
              <w:rPr>
                <w:rFonts w:hint="default" w:ascii="Times New Roman" w:hAnsi="Times New Roman" w:cs="Times New Roman"/>
                <w:color w:val="auto"/>
                <w:sz w:val="24"/>
                <w:szCs w:val="24"/>
                <w:u w:val="none" w:color="auto"/>
                <w:lang w:val="en-US" w:eastAsia="zh-CN"/>
              </w:rPr>
              <w:t>。</w:t>
            </w:r>
          </w:p>
          <w:p>
            <w:pPr>
              <w:bidi w:val="0"/>
              <w:spacing w:line="360" w:lineRule="auto"/>
              <w:jc w:val="center"/>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表</w:t>
            </w:r>
            <w:r>
              <w:rPr>
                <w:rFonts w:hint="eastAsia" w:cs="Times New Roman"/>
                <w:sz w:val="24"/>
                <w:szCs w:val="24"/>
                <w:u w:val="none" w:color="auto"/>
                <w:lang w:val="en-US" w:eastAsia="zh-CN"/>
              </w:rPr>
              <w:t>1-7</w:t>
            </w:r>
            <w:r>
              <w:rPr>
                <w:rFonts w:hint="default" w:ascii="Times New Roman" w:hAnsi="Times New Roman" w:cs="Times New Roman"/>
                <w:sz w:val="24"/>
                <w:szCs w:val="24"/>
                <w:u w:val="none" w:color="auto"/>
                <w:lang w:val="en-US" w:eastAsia="zh-CN"/>
              </w:rPr>
              <w:t xml:space="preserve"> 厂界无组</w:t>
            </w:r>
            <w:r>
              <w:rPr>
                <w:rFonts w:hint="eastAsia" w:cs="Times New Roman"/>
                <w:sz w:val="24"/>
                <w:szCs w:val="24"/>
                <w:u w:val="none" w:color="auto"/>
                <w:lang w:val="en-US" w:eastAsia="zh-CN"/>
              </w:rPr>
              <w:t>织</w:t>
            </w:r>
            <w:r>
              <w:rPr>
                <w:rFonts w:hint="default" w:ascii="Times New Roman" w:hAnsi="Times New Roman" w:cs="Times New Roman"/>
                <w:sz w:val="24"/>
                <w:szCs w:val="24"/>
                <w:u w:val="none" w:color="auto"/>
                <w:lang w:val="en-US" w:eastAsia="zh-CN"/>
              </w:rPr>
              <w:t>废气检测结果一览表</w:t>
            </w:r>
          </w:p>
          <w:tbl>
            <w:tblPr>
              <w:tblStyle w:val="40"/>
              <w:tblW w:w="904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063"/>
              <w:gridCol w:w="1554"/>
              <w:gridCol w:w="1809"/>
              <w:gridCol w:w="18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9" w:type="dxa"/>
                  <w:vMerge w:val="restart"/>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监测点位</w:t>
                  </w:r>
                </w:p>
              </w:tc>
              <w:tc>
                <w:tcPr>
                  <w:tcW w:w="3617" w:type="dxa"/>
                  <w:gridSpan w:val="2"/>
                  <w:vMerge w:val="restart"/>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采样日期</w:t>
                  </w:r>
                </w:p>
              </w:tc>
              <w:tc>
                <w:tcPr>
                  <w:tcW w:w="3616" w:type="dxa"/>
                  <w:gridSpan w:val="2"/>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检测结果mg/m</w:t>
                  </w:r>
                  <w:r>
                    <w:rPr>
                      <w:rFonts w:hint="default" w:ascii="Times New Roman" w:hAnsi="Times New Roman" w:cs="Times New Roman"/>
                      <w:sz w:val="22"/>
                      <w:szCs w:val="22"/>
                      <w:u w:val="none" w:color="auto"/>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3617" w:type="dxa"/>
                  <w:gridSpan w:val="2"/>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颗粒物</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非甲烷总烃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809" w:type="dxa"/>
                  <w:vMerge w:val="restart"/>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厂界上风向</w:t>
                  </w:r>
                </w:p>
              </w:tc>
              <w:tc>
                <w:tcPr>
                  <w:tcW w:w="2063" w:type="dxa"/>
                  <w:vMerge w:val="restart"/>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20</w:t>
                  </w:r>
                  <w:r>
                    <w:rPr>
                      <w:rFonts w:hint="eastAsia" w:cs="Times New Roman"/>
                      <w:sz w:val="22"/>
                      <w:szCs w:val="22"/>
                      <w:u w:val="none" w:color="auto"/>
                      <w:lang w:val="en-US" w:eastAsia="zh-CN"/>
                    </w:rPr>
                    <w:t>20年5月26日</w:t>
                  </w: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第一次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0.134</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2063"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第二次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0.150</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2063"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第三次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0.156</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2063" w:type="dxa"/>
                  <w:vMerge w:val="restart"/>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20</w:t>
                  </w:r>
                  <w:r>
                    <w:rPr>
                      <w:rFonts w:hint="eastAsia" w:cs="Times New Roman"/>
                      <w:sz w:val="22"/>
                      <w:szCs w:val="22"/>
                      <w:u w:val="none" w:color="auto"/>
                      <w:lang w:val="en-US" w:eastAsia="zh-CN"/>
                    </w:rPr>
                    <w:t>20年5月27日</w:t>
                  </w: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第一次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0.143</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2063"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第二次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0.158</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2063"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第三次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0.155</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809" w:type="dxa"/>
                  <w:vMerge w:val="restart"/>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厂界下风向</w:t>
                  </w:r>
                  <w:r>
                    <w:rPr>
                      <w:rFonts w:hint="eastAsia" w:cs="Times New Roman"/>
                      <w:sz w:val="22"/>
                      <w:szCs w:val="22"/>
                      <w:u w:val="none" w:color="auto"/>
                      <w:lang w:val="en-US" w:eastAsia="zh-CN"/>
                    </w:rPr>
                    <w:t>1#</w:t>
                  </w:r>
                </w:p>
              </w:tc>
              <w:tc>
                <w:tcPr>
                  <w:tcW w:w="2063" w:type="dxa"/>
                  <w:vMerge w:val="restart"/>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20</w:t>
                  </w:r>
                  <w:r>
                    <w:rPr>
                      <w:rFonts w:hint="eastAsia" w:cs="Times New Roman"/>
                      <w:sz w:val="22"/>
                      <w:szCs w:val="22"/>
                      <w:u w:val="none" w:color="auto"/>
                      <w:lang w:val="en-US" w:eastAsia="zh-CN"/>
                    </w:rPr>
                    <w:t>20年5月26日</w:t>
                  </w: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第一次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0.168</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2063"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第二次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0.170</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0.46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2063"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第三次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0.183</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0.48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2063" w:type="dxa"/>
                  <w:vMerge w:val="restart"/>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20</w:t>
                  </w:r>
                  <w:r>
                    <w:rPr>
                      <w:rFonts w:hint="eastAsia" w:cs="Times New Roman"/>
                      <w:sz w:val="22"/>
                      <w:szCs w:val="22"/>
                      <w:u w:val="none" w:color="auto"/>
                      <w:lang w:val="en-US" w:eastAsia="zh-CN"/>
                    </w:rPr>
                    <w:t>20年5月27日</w:t>
                  </w: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第一次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0.175</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2063"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第二次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0.188</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2063"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第三次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0.200</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09" w:type="dxa"/>
                  <w:vMerge w:val="restart"/>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厂界下风向</w:t>
                  </w:r>
                  <w:r>
                    <w:rPr>
                      <w:rFonts w:hint="eastAsia" w:cs="Times New Roman"/>
                      <w:sz w:val="22"/>
                      <w:szCs w:val="22"/>
                      <w:u w:val="none" w:color="auto"/>
                      <w:lang w:val="en-US" w:eastAsia="zh-CN"/>
                    </w:rPr>
                    <w:t>2#</w:t>
                  </w:r>
                </w:p>
              </w:tc>
              <w:tc>
                <w:tcPr>
                  <w:tcW w:w="2063" w:type="dxa"/>
                  <w:vMerge w:val="restart"/>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20</w:t>
                  </w:r>
                  <w:r>
                    <w:rPr>
                      <w:rFonts w:hint="eastAsia" w:cs="Times New Roman"/>
                      <w:sz w:val="22"/>
                      <w:szCs w:val="22"/>
                      <w:u w:val="none" w:color="auto"/>
                      <w:lang w:val="en-US" w:eastAsia="zh-CN"/>
                    </w:rPr>
                    <w:t>20年5月26日</w:t>
                  </w: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第一次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0.327</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0.51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2063"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第二次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0.345</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2063"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第三次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0.344</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2063" w:type="dxa"/>
                  <w:vMerge w:val="restart"/>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20</w:t>
                  </w:r>
                  <w:r>
                    <w:rPr>
                      <w:rFonts w:hint="eastAsia" w:cs="Times New Roman"/>
                      <w:sz w:val="22"/>
                      <w:szCs w:val="22"/>
                      <w:u w:val="none" w:color="auto"/>
                      <w:lang w:val="en-US" w:eastAsia="zh-CN"/>
                    </w:rPr>
                    <w:t>20年5月27日</w:t>
                  </w: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第一次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0.339</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2063"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第二次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0.346</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2063"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第三次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0.370</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0.53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26" w:type="dxa"/>
                  <w:gridSpan w:val="3"/>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标准限值</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1.0</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2.0</w:t>
                  </w:r>
                </w:p>
              </w:tc>
            </w:tr>
          </w:tbl>
          <w:p>
            <w:pPr>
              <w:spacing w:line="360" w:lineRule="auto"/>
              <w:ind w:firstLine="600" w:firstLineChars="250"/>
              <w:rPr>
                <w:rFonts w:hint="eastAsia" w:cs="Times New Roman"/>
                <w:sz w:val="24"/>
                <w:u w:val="none" w:color="auto"/>
                <w:lang w:eastAsia="zh-CN"/>
              </w:rPr>
            </w:pPr>
            <w:r>
              <w:rPr>
                <w:rFonts w:hint="eastAsia" w:cs="Times New Roman"/>
                <w:sz w:val="24"/>
                <w:u w:val="none" w:color="auto"/>
                <w:lang w:eastAsia="zh-CN"/>
              </w:rPr>
              <w:t>通过上表监测结果可知，</w:t>
            </w:r>
            <w:r>
              <w:rPr>
                <w:rFonts w:hint="eastAsia"/>
                <w:sz w:val="24"/>
                <w:szCs w:val="24"/>
                <w:u w:val="none" w:color="auto"/>
              </w:rPr>
              <w:t>颗粒物</w:t>
            </w:r>
            <w:r>
              <w:rPr>
                <w:rFonts w:hint="eastAsia"/>
                <w:sz w:val="24"/>
                <w:szCs w:val="24"/>
                <w:u w:val="none" w:color="auto"/>
                <w:lang w:eastAsia="zh-CN"/>
              </w:rPr>
              <w:t>监测结果达到了</w:t>
            </w:r>
            <w:r>
              <w:rPr>
                <w:rFonts w:hint="eastAsia"/>
                <w:sz w:val="24"/>
                <w:szCs w:val="24"/>
                <w:u w:val="none" w:color="auto"/>
              </w:rPr>
              <w:t>《大气污染物综合排放标准》（GB16297-1996）无组织监控限值，</w:t>
            </w:r>
            <w:r>
              <w:rPr>
                <w:rFonts w:hint="eastAsia"/>
                <w:sz w:val="24"/>
                <w:szCs w:val="24"/>
                <w:u w:val="none" w:color="auto"/>
                <w:lang w:val="en-US" w:eastAsia="zh-CN"/>
              </w:rPr>
              <w:t>非甲烷总烃</w:t>
            </w:r>
            <w:r>
              <w:rPr>
                <w:rFonts w:hint="eastAsia"/>
                <w:sz w:val="24"/>
                <w:szCs w:val="24"/>
                <w:u w:val="none" w:color="auto"/>
                <w:lang w:eastAsia="zh-CN"/>
              </w:rPr>
              <w:t>监测结果达到</w:t>
            </w:r>
            <w:r>
              <w:rPr>
                <w:rFonts w:hint="eastAsia"/>
                <w:sz w:val="24"/>
                <w:szCs w:val="24"/>
                <w:u w:val="none" w:color="auto"/>
              </w:rPr>
              <w:t>湖南省地方标准《</w:t>
            </w:r>
            <w:r>
              <w:rPr>
                <w:rFonts w:hint="eastAsia"/>
                <w:sz w:val="24"/>
                <w:szCs w:val="24"/>
                <w:u w:val="none" w:color="auto"/>
                <w:lang w:eastAsia="zh-CN"/>
              </w:rPr>
              <w:t>家具制造行业</w:t>
            </w:r>
            <w:r>
              <w:rPr>
                <w:rFonts w:hint="eastAsia"/>
                <w:sz w:val="24"/>
                <w:szCs w:val="24"/>
                <w:u w:val="none" w:color="auto"/>
              </w:rPr>
              <w:t>挥发性有机物排放标准》（DB43/1355-2017）</w:t>
            </w:r>
            <w:r>
              <w:rPr>
                <w:rFonts w:hint="eastAsia"/>
                <w:sz w:val="24"/>
                <w:szCs w:val="24"/>
                <w:u w:val="none" w:color="auto"/>
                <w:lang w:eastAsia="zh-CN"/>
              </w:rPr>
              <w:t>中</w:t>
            </w:r>
            <w:r>
              <w:rPr>
                <w:rFonts w:hint="eastAsia"/>
                <w:sz w:val="24"/>
                <w:szCs w:val="24"/>
                <w:u w:val="none" w:color="auto"/>
              </w:rPr>
              <w:t>的排放浓度限值</w:t>
            </w:r>
            <w:r>
              <w:rPr>
                <w:rFonts w:hint="eastAsia"/>
                <w:sz w:val="24"/>
                <w:szCs w:val="24"/>
                <w:u w:val="none" w:color="auto"/>
                <w:lang w:eastAsia="zh-CN"/>
              </w:rPr>
              <w:t>。</w:t>
            </w:r>
          </w:p>
          <w:p>
            <w:pPr>
              <w:spacing w:line="360" w:lineRule="auto"/>
              <w:ind w:firstLine="600" w:firstLineChars="250"/>
              <w:rPr>
                <w:rFonts w:hint="eastAsia" w:ascii="Times New Roman" w:hAnsi="Times New Roman" w:eastAsia="宋体" w:cs="Times New Roman"/>
                <w:color w:val="auto"/>
                <w:sz w:val="24"/>
                <w:u w:val="none" w:color="auto"/>
                <w:lang w:eastAsia="zh-CN"/>
              </w:rPr>
            </w:pPr>
            <w:r>
              <w:rPr>
                <w:rFonts w:hint="eastAsia" w:cs="Times New Roman"/>
                <w:sz w:val="24"/>
                <w:u w:val="none" w:color="auto"/>
                <w:lang w:eastAsia="zh-CN"/>
              </w:rPr>
              <w:t>（</w:t>
            </w:r>
            <w:r>
              <w:rPr>
                <w:rFonts w:hint="eastAsia" w:cs="Times New Roman"/>
                <w:sz w:val="24"/>
                <w:u w:val="none" w:color="auto"/>
                <w:lang w:val="en-US" w:eastAsia="zh-CN"/>
              </w:rPr>
              <w:t>3</w:t>
            </w:r>
            <w:r>
              <w:rPr>
                <w:rFonts w:hint="eastAsia" w:cs="Times New Roman"/>
                <w:sz w:val="24"/>
                <w:u w:val="none" w:color="auto"/>
                <w:lang w:eastAsia="zh-CN"/>
              </w:rPr>
              <w:t>）噪声污染</w:t>
            </w:r>
            <w:r>
              <w:rPr>
                <w:rFonts w:hint="eastAsia" w:cs="Times New Roman"/>
                <w:color w:val="auto"/>
                <w:sz w:val="24"/>
                <w:u w:val="none" w:color="auto"/>
                <w:lang w:eastAsia="zh-CN"/>
              </w:rPr>
              <w:t>及现有的环保措施</w:t>
            </w:r>
          </w:p>
          <w:p>
            <w:pPr>
              <w:spacing w:line="360" w:lineRule="auto"/>
              <w:ind w:firstLine="600" w:firstLineChars="250"/>
              <w:rPr>
                <w:rFonts w:hint="default" w:ascii="Times New Roman" w:hAnsi="Times New Roman" w:cs="Times New Roman"/>
                <w:color w:val="auto"/>
                <w:sz w:val="24"/>
                <w:szCs w:val="24"/>
                <w:u w:val="none" w:color="auto"/>
              </w:rPr>
            </w:pPr>
            <w:r>
              <w:rPr>
                <w:rFonts w:hint="eastAsia" w:cs="Times New Roman"/>
                <w:color w:val="auto"/>
                <w:sz w:val="24"/>
                <w:u w:val="none" w:color="auto"/>
                <w:lang w:eastAsia="zh-CN"/>
              </w:rPr>
              <w:t>项目噪声污染源主要来自各车间机加工设备的运行噪声，</w:t>
            </w:r>
            <w:r>
              <w:rPr>
                <w:rFonts w:hint="eastAsia" w:cs="Times New Roman"/>
                <w:color w:val="auto"/>
                <w:sz w:val="24"/>
                <w:u w:val="none" w:color="auto"/>
                <w:lang w:val="en-US" w:eastAsia="zh-CN"/>
              </w:rPr>
              <w:t>经减震、隔声、消音等措施处理后对周边影响较小</w:t>
            </w:r>
            <w:r>
              <w:rPr>
                <w:rFonts w:hint="eastAsia" w:cs="Times New Roman"/>
                <w:color w:val="auto"/>
                <w:sz w:val="24"/>
                <w:u w:val="none" w:color="auto"/>
                <w:lang w:eastAsia="zh-CN"/>
              </w:rPr>
              <w:t>。根据湖南精准通检测技术有限公司于</w:t>
            </w:r>
            <w:r>
              <w:rPr>
                <w:rFonts w:hint="eastAsia" w:cs="Times New Roman"/>
                <w:color w:val="auto"/>
                <w:sz w:val="24"/>
                <w:u w:val="none" w:color="auto"/>
                <w:lang w:val="en-US" w:eastAsia="zh-CN"/>
              </w:rPr>
              <w:t>2020年5月26-27日对其厂界四周及附近居民敏感点进行了监测。</w:t>
            </w:r>
          </w:p>
          <w:p>
            <w:pPr>
              <w:spacing w:line="360" w:lineRule="auto"/>
              <w:jc w:val="center"/>
              <w:rPr>
                <w:rFonts w:hint="default" w:ascii="Times New Roman" w:hAnsi="Times New Roman" w:cs="Times New Roman"/>
                <w:color w:val="auto"/>
                <w:sz w:val="24"/>
                <w:szCs w:val="24"/>
                <w:u w:val="none" w:color="auto"/>
              </w:rPr>
            </w:pP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w:t>
            </w:r>
            <w:r>
              <w:rPr>
                <w:rFonts w:hint="eastAsia" w:cs="Times New Roman"/>
                <w:color w:val="auto"/>
                <w:sz w:val="24"/>
                <w:szCs w:val="24"/>
                <w:u w:val="none" w:color="auto"/>
                <w:lang w:val="en-US" w:eastAsia="zh-CN"/>
              </w:rPr>
              <w:t>1-8</w:t>
            </w:r>
            <w:r>
              <w:rPr>
                <w:rFonts w:hint="default" w:ascii="Times New Roman" w:hAnsi="Times New Roman" w:cs="Times New Roman"/>
                <w:color w:val="auto"/>
                <w:sz w:val="24"/>
                <w:szCs w:val="24"/>
                <w:u w:val="none" w:color="auto"/>
              </w:rPr>
              <w:t xml:space="preserve">  </w:t>
            </w:r>
            <w:r>
              <w:rPr>
                <w:rFonts w:hint="eastAsia" w:cs="Times New Roman"/>
                <w:color w:val="auto"/>
                <w:sz w:val="24"/>
                <w:szCs w:val="24"/>
                <w:u w:val="none" w:color="auto"/>
                <w:lang w:eastAsia="zh-CN"/>
              </w:rPr>
              <w:t>噪声监测结果一览表</w:t>
            </w:r>
            <w:r>
              <w:rPr>
                <w:rFonts w:hint="default" w:ascii="Times New Roman" w:hAnsi="Times New Roman" w:cs="Times New Roman"/>
                <w:color w:val="auto"/>
                <w:sz w:val="24"/>
                <w:szCs w:val="24"/>
                <w:u w:val="none" w:color="auto"/>
              </w:rPr>
              <w:t xml:space="preserve">    单位：dB(A)</w:t>
            </w:r>
          </w:p>
          <w:tbl>
            <w:tblPr>
              <w:tblStyle w:val="39"/>
              <w:tblW w:w="905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848"/>
              <w:gridCol w:w="1369"/>
              <w:gridCol w:w="972"/>
              <w:gridCol w:w="973"/>
              <w:gridCol w:w="974"/>
              <w:gridCol w:w="973"/>
              <w:gridCol w:w="975"/>
              <w:gridCol w:w="9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1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监测点</w:t>
                  </w:r>
                </w:p>
              </w:tc>
              <w:tc>
                <w:tcPr>
                  <w:tcW w:w="1369"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监测日期</w:t>
                  </w:r>
                </w:p>
              </w:tc>
              <w:tc>
                <w:tcPr>
                  <w:tcW w:w="2919"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昼间</w:t>
                  </w:r>
                </w:p>
              </w:tc>
              <w:tc>
                <w:tcPr>
                  <w:tcW w:w="2920"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055"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东</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sz w:val="22"/>
                      <w:szCs w:val="22"/>
                      <w:u w:val="none" w:color="auto"/>
                      <w:lang w:val="en-US" w:eastAsia="zh-CN"/>
                    </w:rPr>
                    <w:t>5月26日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52.4</w:t>
                  </w:r>
                </w:p>
              </w:tc>
              <w:tc>
                <w:tcPr>
                  <w:tcW w:w="973"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37.0</w:t>
                  </w:r>
                </w:p>
              </w:tc>
              <w:tc>
                <w:tcPr>
                  <w:tcW w:w="975"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7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sz w:val="22"/>
                      <w:szCs w:val="22"/>
                      <w:u w:val="none" w:color="auto"/>
                      <w:lang w:val="en-US" w:eastAsia="zh-CN"/>
                    </w:rPr>
                    <w:t>5月27日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54.8</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u w:val="none" w:color="auto"/>
                      <w:lang w:val="en-US" w:eastAsia="zh-CN"/>
                    </w:rPr>
                  </w:pPr>
                  <w:r>
                    <w:rPr>
                      <w:rFonts w:hint="eastAsia"/>
                      <w:u w:val="none" w:color="auto"/>
                      <w:lang w:val="en-US" w:eastAsia="zh-CN"/>
                    </w:rPr>
                    <w:t>38.7</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南</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sz w:val="22"/>
                      <w:szCs w:val="22"/>
                      <w:u w:val="none" w:color="auto"/>
                      <w:lang w:val="en-US" w:eastAsia="zh-CN"/>
                    </w:rPr>
                    <w:t>5月26日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55.2</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39.5</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sz w:val="22"/>
                      <w:szCs w:val="22"/>
                      <w:u w:val="none" w:color="auto"/>
                      <w:lang w:val="en-US" w:eastAsia="zh-CN"/>
                    </w:rPr>
                    <w:t>5月27日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52.4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40.5</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西</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sz w:val="22"/>
                      <w:szCs w:val="22"/>
                      <w:u w:val="none" w:color="auto"/>
                      <w:lang w:val="en-US" w:eastAsia="zh-CN"/>
                    </w:rPr>
                    <w:t>5月26日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54.3</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40.3</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sz w:val="22"/>
                      <w:szCs w:val="22"/>
                      <w:u w:val="none" w:color="auto"/>
                      <w:lang w:val="en-US" w:eastAsia="zh-CN"/>
                    </w:rPr>
                    <w:t>5月27日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55.4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37.0</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北</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sz w:val="22"/>
                      <w:szCs w:val="22"/>
                      <w:u w:val="none" w:color="auto"/>
                      <w:lang w:val="en-US" w:eastAsia="zh-CN"/>
                    </w:rPr>
                    <w:t>5月26日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58.2</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41.0</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87"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sz w:val="22"/>
                      <w:szCs w:val="22"/>
                      <w:u w:val="none" w:color="auto"/>
                      <w:lang w:val="en-US" w:eastAsia="zh-CN"/>
                    </w:rPr>
                    <w:t>5月27日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57.8</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42.4</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1848" w:type="dxa"/>
                  <w:vMerge w:val="restart"/>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eastAsia="zh-CN"/>
                    </w:rPr>
                    <w:t>居民敏感点</w:t>
                  </w:r>
                </w:p>
              </w:tc>
              <w:tc>
                <w:tcPr>
                  <w:tcW w:w="1369" w:type="dxa"/>
                  <w:tcBorders>
                    <w:tl2br w:val="nil"/>
                    <w:tr2bl w:val="nil"/>
                  </w:tcBorders>
                  <w:noWrap w:val="0"/>
                  <w:vAlign w:val="center"/>
                </w:tcPr>
                <w:p>
                  <w:pPr>
                    <w:spacing w:line="360" w:lineRule="auto"/>
                    <w:jc w:val="center"/>
                    <w:rPr>
                      <w:rFonts w:hint="eastAsia" w:cs="Times New Roman"/>
                      <w:color w:val="auto"/>
                      <w:sz w:val="22"/>
                      <w:szCs w:val="22"/>
                      <w:u w:val="none" w:color="auto"/>
                      <w:lang w:val="en-US" w:eastAsia="zh-CN"/>
                    </w:rPr>
                  </w:pPr>
                  <w:r>
                    <w:rPr>
                      <w:rFonts w:hint="eastAsia" w:cs="Times New Roman"/>
                      <w:sz w:val="22"/>
                      <w:szCs w:val="22"/>
                      <w:u w:val="none" w:color="auto"/>
                      <w:lang w:val="en-US" w:eastAsia="zh-CN"/>
                    </w:rPr>
                    <w:t>5月26日</w:t>
                  </w:r>
                </w:p>
              </w:tc>
              <w:tc>
                <w:tcPr>
                  <w:tcW w:w="972" w:type="dxa"/>
                  <w:tcBorders>
                    <w:tl2br w:val="nil"/>
                    <w:tr2bl w:val="nil"/>
                  </w:tcBorders>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50.7</w:t>
                  </w:r>
                </w:p>
              </w:tc>
              <w:tc>
                <w:tcPr>
                  <w:tcW w:w="973" w:type="dxa"/>
                  <w:tcBorders>
                    <w:tl2br w:val="nil"/>
                    <w:tr2bl w:val="nil"/>
                  </w:tcBorders>
                  <w:noWrap w:val="0"/>
                  <w:vAlign w:val="center"/>
                </w:tcPr>
                <w:p>
                  <w:pPr>
                    <w:spacing w:line="360" w:lineRule="auto"/>
                    <w:jc w:val="center"/>
                    <w:rPr>
                      <w:rFonts w:hint="eastAsia" w:cs="Times New Roman"/>
                      <w:color w:val="auto"/>
                      <w:sz w:val="22"/>
                      <w:szCs w:val="22"/>
                      <w:u w:val="none" w:color="auto"/>
                      <w:lang w:val="en-US" w:eastAsia="zh-CN"/>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37.0</w:t>
                  </w:r>
                </w:p>
              </w:tc>
              <w:tc>
                <w:tcPr>
                  <w:tcW w:w="975" w:type="dxa"/>
                  <w:tcBorders>
                    <w:tl2br w:val="nil"/>
                    <w:tr2bl w:val="nil"/>
                  </w:tcBorders>
                  <w:noWrap w:val="0"/>
                  <w:vAlign w:val="center"/>
                </w:tcPr>
                <w:p>
                  <w:pPr>
                    <w:spacing w:line="360" w:lineRule="auto"/>
                    <w:jc w:val="center"/>
                    <w:rPr>
                      <w:rFonts w:hint="eastAsia" w:cs="Times New Roman"/>
                      <w:color w:val="auto"/>
                      <w:sz w:val="22"/>
                      <w:szCs w:val="22"/>
                      <w:u w:val="none" w:color="auto"/>
                      <w:lang w:val="en-US" w:eastAsia="zh-CN"/>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eastAsia" w:cs="Times New Roman"/>
                      <w:color w:val="auto"/>
                      <w:sz w:val="22"/>
                      <w:szCs w:val="22"/>
                      <w:u w:val="none" w:color="auto"/>
                      <w:lang w:val="en-US" w:eastAsia="zh-CN"/>
                    </w:rPr>
                  </w:pPr>
                  <w:r>
                    <w:rPr>
                      <w:rFonts w:hint="eastAsia" w:cs="Times New Roman"/>
                      <w:sz w:val="22"/>
                      <w:szCs w:val="22"/>
                      <w:u w:val="none" w:color="auto"/>
                      <w:lang w:val="en-US" w:eastAsia="zh-CN"/>
                    </w:rPr>
                    <w:t>5月27日</w:t>
                  </w:r>
                </w:p>
              </w:tc>
              <w:tc>
                <w:tcPr>
                  <w:tcW w:w="972" w:type="dxa"/>
                  <w:tcBorders>
                    <w:tl2br w:val="nil"/>
                    <w:tr2bl w:val="nil"/>
                  </w:tcBorders>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52.4</w:t>
                  </w:r>
                </w:p>
              </w:tc>
              <w:tc>
                <w:tcPr>
                  <w:tcW w:w="973" w:type="dxa"/>
                  <w:tcBorders>
                    <w:tl2br w:val="nil"/>
                    <w:tr2bl w:val="nil"/>
                  </w:tcBorders>
                  <w:noWrap w:val="0"/>
                  <w:vAlign w:val="center"/>
                </w:tcPr>
                <w:p>
                  <w:pPr>
                    <w:spacing w:line="360" w:lineRule="auto"/>
                    <w:jc w:val="center"/>
                    <w:rPr>
                      <w:rFonts w:hint="eastAsia" w:cs="Times New Roman"/>
                      <w:color w:val="auto"/>
                      <w:sz w:val="22"/>
                      <w:szCs w:val="22"/>
                      <w:u w:val="none" w:color="auto"/>
                      <w:lang w:val="en-US" w:eastAsia="zh-CN"/>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39.0</w:t>
                  </w:r>
                </w:p>
              </w:tc>
              <w:tc>
                <w:tcPr>
                  <w:tcW w:w="975" w:type="dxa"/>
                  <w:tcBorders>
                    <w:tl2br w:val="nil"/>
                    <w:tr2bl w:val="nil"/>
                  </w:tcBorders>
                  <w:noWrap w:val="0"/>
                  <w:vAlign w:val="center"/>
                </w:tcPr>
                <w:p>
                  <w:pPr>
                    <w:spacing w:line="360" w:lineRule="auto"/>
                    <w:jc w:val="center"/>
                    <w:rPr>
                      <w:rFonts w:hint="eastAsia" w:cs="Times New Roman"/>
                      <w:color w:val="auto"/>
                      <w:sz w:val="22"/>
                      <w:szCs w:val="22"/>
                      <w:u w:val="none" w:color="auto"/>
                      <w:lang w:val="en-US" w:eastAsia="zh-CN"/>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bl>
          <w:p>
            <w:pPr>
              <w:spacing w:line="360" w:lineRule="auto"/>
              <w:ind w:firstLine="600" w:firstLineChars="250"/>
              <w:rPr>
                <w:rFonts w:hint="eastAsia" w:ascii="Times New Roman" w:hAnsi="Times New Roman" w:eastAsia="宋体" w:cs="Times New Roman"/>
                <w:sz w:val="24"/>
                <w:u w:val="none" w:color="auto"/>
                <w:lang w:eastAsia="zh-CN"/>
              </w:rPr>
            </w:pPr>
            <w:r>
              <w:rPr>
                <w:rFonts w:hint="eastAsia" w:cs="Times New Roman"/>
                <w:sz w:val="24"/>
                <w:szCs w:val="24"/>
                <w:u w:val="none" w:color="auto"/>
                <w:lang w:eastAsia="zh-CN"/>
              </w:rPr>
              <w:t>监测结果表明，本项目厂界四周噪声满足</w:t>
            </w:r>
            <w:r>
              <w:rPr>
                <w:sz w:val="24"/>
                <w:szCs w:val="24"/>
                <w:u w:val="none" w:color="auto"/>
              </w:rPr>
              <w:t>《工业企业厂界环境噪声排放标准》（GB12348-2008）</w:t>
            </w:r>
            <w:r>
              <w:rPr>
                <w:rFonts w:hint="eastAsia"/>
                <w:sz w:val="24"/>
                <w:szCs w:val="24"/>
                <w:u w:val="none" w:color="auto"/>
                <w:lang w:val="en-US" w:eastAsia="zh-CN"/>
              </w:rPr>
              <w:t>2</w:t>
            </w:r>
            <w:r>
              <w:rPr>
                <w:sz w:val="24"/>
                <w:szCs w:val="24"/>
                <w:u w:val="none" w:color="auto"/>
              </w:rPr>
              <w:t>类标准</w:t>
            </w:r>
            <w:r>
              <w:rPr>
                <w:rFonts w:hint="eastAsia"/>
                <w:sz w:val="24"/>
                <w:szCs w:val="24"/>
                <w:u w:val="none" w:color="auto"/>
                <w:lang w:eastAsia="zh-CN"/>
              </w:rPr>
              <w:t>，</w:t>
            </w:r>
            <w:r>
              <w:rPr>
                <w:rFonts w:hint="eastAsia" w:ascii="Times New Roman" w:hAnsi="Times New Roman" w:eastAsia="宋体" w:cs="Times New Roman"/>
                <w:b w:val="0"/>
                <w:bCs w:val="0"/>
                <w:snapToGrid/>
                <w:spacing w:val="0"/>
                <w:w w:val="100"/>
                <w:kern w:val="0"/>
                <w:sz w:val="24"/>
                <w:szCs w:val="24"/>
                <w:u w:val="none" w:color="auto"/>
                <w:lang w:val="en-US" w:eastAsia="zh-CN" w:bidi="ar-SA"/>
              </w:rPr>
              <w:t>居民敏感点</w:t>
            </w:r>
            <w:r>
              <w:rPr>
                <w:rFonts w:hint="eastAsia" w:cs="Times New Roman"/>
                <w:b w:val="0"/>
                <w:bCs w:val="0"/>
                <w:snapToGrid/>
                <w:spacing w:val="0"/>
                <w:w w:val="100"/>
                <w:kern w:val="0"/>
                <w:sz w:val="24"/>
                <w:szCs w:val="24"/>
                <w:u w:val="none" w:color="auto"/>
                <w:lang w:val="en-US" w:eastAsia="zh-CN" w:bidi="ar-SA"/>
              </w:rPr>
              <w:t>噪声</w:t>
            </w:r>
            <w:r>
              <w:rPr>
                <w:rFonts w:hint="eastAsia" w:ascii="Times New Roman" w:hAnsi="Times New Roman" w:eastAsia="宋体" w:cs="Times New Roman"/>
                <w:b w:val="0"/>
                <w:bCs w:val="0"/>
                <w:snapToGrid/>
                <w:spacing w:val="0"/>
                <w:w w:val="100"/>
                <w:kern w:val="0"/>
                <w:sz w:val="24"/>
                <w:szCs w:val="24"/>
                <w:u w:val="none" w:color="auto"/>
                <w:lang w:val="en-US" w:eastAsia="zh-CN" w:bidi="ar-SA"/>
              </w:rPr>
              <w:t>满足</w:t>
            </w:r>
            <w:r>
              <w:rPr>
                <w:rFonts w:hint="default" w:ascii="Times New Roman" w:hAnsi="Times New Roman" w:eastAsia="宋体" w:cs="Times New Roman"/>
                <w:b w:val="0"/>
                <w:bCs w:val="0"/>
                <w:snapToGrid/>
                <w:spacing w:val="0"/>
                <w:w w:val="100"/>
                <w:kern w:val="0"/>
                <w:sz w:val="24"/>
                <w:szCs w:val="24"/>
                <w:u w:val="none" w:color="auto"/>
                <w:lang w:val="en-US" w:eastAsia="zh-CN" w:bidi="ar-SA"/>
              </w:rPr>
              <w:t>《声环境质量标准》（GB3096-2008）2类标准</w:t>
            </w:r>
            <w:r>
              <w:rPr>
                <w:rFonts w:hint="eastAsia"/>
                <w:sz w:val="24"/>
                <w:u w:val="none" w:color="auto"/>
                <w:lang w:eastAsia="zh-CN"/>
              </w:rPr>
              <w:t>。</w:t>
            </w:r>
          </w:p>
          <w:p>
            <w:pPr>
              <w:spacing w:line="360" w:lineRule="auto"/>
              <w:ind w:firstLine="600" w:firstLineChars="250"/>
              <w:rPr>
                <w:rFonts w:hint="eastAsia" w:ascii="Times New Roman" w:hAnsi="Times New Roman" w:eastAsia="宋体" w:cs="Times New Roman"/>
                <w:sz w:val="24"/>
                <w:u w:val="none" w:color="auto"/>
                <w:lang w:eastAsia="zh-CN"/>
              </w:rPr>
            </w:pPr>
            <w:r>
              <w:rPr>
                <w:rFonts w:hint="eastAsia" w:cs="Times New Roman"/>
                <w:sz w:val="24"/>
                <w:u w:val="none" w:color="auto"/>
                <w:lang w:eastAsia="zh-CN"/>
              </w:rPr>
              <w:t>（</w:t>
            </w:r>
            <w:r>
              <w:rPr>
                <w:rFonts w:hint="eastAsia" w:cs="Times New Roman"/>
                <w:sz w:val="24"/>
                <w:u w:val="none" w:color="auto"/>
                <w:lang w:val="en-US" w:eastAsia="zh-CN"/>
              </w:rPr>
              <w:t>4</w:t>
            </w:r>
            <w:r>
              <w:rPr>
                <w:rFonts w:hint="eastAsia" w:cs="Times New Roman"/>
                <w:sz w:val="24"/>
                <w:u w:val="none" w:color="auto"/>
                <w:lang w:eastAsia="zh-CN"/>
              </w:rPr>
              <w:t>）固体废物污染及现有的环保措施</w:t>
            </w:r>
          </w:p>
          <w:p>
            <w:pPr>
              <w:spacing w:line="360" w:lineRule="auto"/>
              <w:ind w:firstLine="600" w:firstLineChars="250"/>
              <w:rPr>
                <w:rFonts w:hint="eastAsia" w:ascii="Times New Roman" w:hAnsi="Times New Roman" w:eastAsia="宋体" w:cs="Times New Roman"/>
                <w:sz w:val="24"/>
                <w:u w:val="none" w:color="auto"/>
                <w:lang w:eastAsia="zh-CN"/>
              </w:rPr>
            </w:pPr>
            <w:r>
              <w:rPr>
                <w:rFonts w:hint="eastAsia" w:cs="Times New Roman"/>
                <w:sz w:val="24"/>
                <w:u w:val="none" w:color="auto"/>
                <w:lang w:eastAsia="zh-CN"/>
              </w:rPr>
              <w:t>本项目运营期固体废物主要为边角料、废包装材料、废白乳胶包装材料、布袋除尘器收集的粉尘以及职工生活垃圾。</w:t>
            </w:r>
          </w:p>
          <w:p>
            <w:pPr>
              <w:spacing w:line="360" w:lineRule="auto"/>
              <w:ind w:firstLine="600" w:firstLineChars="250"/>
              <w:rPr>
                <w:rFonts w:hint="default" w:ascii="Times New Roman" w:hAnsi="Times New Roman" w:eastAsia="宋体" w:cs="Times New Roman"/>
                <w:sz w:val="24"/>
                <w:u w:val="none" w:color="auto"/>
                <w:lang w:val="en-US" w:eastAsia="zh-CN"/>
              </w:rPr>
            </w:pPr>
            <w:r>
              <w:rPr>
                <w:rFonts w:hint="eastAsia" w:cs="Times New Roman"/>
                <w:sz w:val="24"/>
                <w:u w:val="none" w:color="auto"/>
                <w:lang w:eastAsia="zh-CN"/>
              </w:rPr>
              <w:t>根据现场勘查，项目一般固废无储存间，但均交由环卫部门进行处理；危险废物无专门的储存间进行储存，且无危险废物处理合同。</w:t>
            </w:r>
          </w:p>
          <w:p>
            <w:pPr>
              <w:spacing w:line="360" w:lineRule="auto"/>
              <w:ind w:firstLine="600" w:firstLineChars="250"/>
              <w:rPr>
                <w:rFonts w:hint="default" w:ascii="Times New Roman" w:hAnsi="Times New Roman" w:cs="Times New Roman"/>
                <w:sz w:val="24"/>
                <w:u w:val="single" w:color="auto"/>
              </w:rPr>
            </w:pPr>
            <w:r>
              <w:rPr>
                <w:rFonts w:hint="eastAsia" w:cs="Times New Roman"/>
                <w:sz w:val="24"/>
                <w:u w:val="single" w:color="auto"/>
                <w:lang w:val="en-US" w:eastAsia="zh-CN"/>
              </w:rPr>
              <w:t>4、</w:t>
            </w:r>
            <w:r>
              <w:rPr>
                <w:rFonts w:hint="default" w:ascii="Times New Roman" w:hAnsi="Times New Roman" w:cs="Times New Roman"/>
                <w:sz w:val="24"/>
                <w:u w:val="single" w:color="auto"/>
              </w:rPr>
              <w:t>存在的主要问题及整改措施</w:t>
            </w:r>
          </w:p>
          <w:p>
            <w:pPr>
              <w:spacing w:line="360" w:lineRule="auto"/>
              <w:ind w:firstLine="480" w:firstLineChars="200"/>
              <w:rPr>
                <w:rFonts w:hint="eastAsia" w:cs="Times New Roman"/>
                <w:sz w:val="24"/>
                <w:u w:val="single" w:color="auto"/>
                <w:lang w:eastAsia="zh-CN"/>
              </w:rPr>
            </w:pPr>
            <w:r>
              <w:rPr>
                <w:rFonts w:hint="eastAsia" w:cs="Times New Roman"/>
                <w:sz w:val="24"/>
                <w:u w:val="single" w:color="auto"/>
                <w:lang w:eastAsia="zh-CN"/>
              </w:rPr>
              <w:t>根据</w:t>
            </w:r>
            <w:r>
              <w:rPr>
                <w:rFonts w:hint="default" w:ascii="Times New Roman" w:hAnsi="Times New Roman" w:cs="Times New Roman"/>
                <w:sz w:val="24"/>
                <w:u w:val="single" w:color="auto"/>
              </w:rPr>
              <w:t>现场踏察，</w:t>
            </w:r>
            <w:r>
              <w:rPr>
                <w:rFonts w:hint="eastAsia" w:cs="Times New Roman"/>
                <w:sz w:val="24"/>
                <w:u w:val="single" w:color="auto"/>
                <w:lang w:eastAsia="zh-CN"/>
              </w:rPr>
              <w:t>项目存在的问题主要见表</w:t>
            </w:r>
            <w:r>
              <w:rPr>
                <w:rFonts w:hint="eastAsia" w:cs="Times New Roman"/>
                <w:sz w:val="24"/>
                <w:u w:val="single" w:color="auto"/>
                <w:lang w:val="en-US" w:eastAsia="zh-CN"/>
              </w:rPr>
              <w:t>1-9</w:t>
            </w:r>
          </w:p>
          <w:p>
            <w:pPr>
              <w:spacing w:line="360" w:lineRule="auto"/>
              <w:ind w:firstLine="480" w:firstLineChars="200"/>
              <w:jc w:val="center"/>
              <w:rPr>
                <w:rFonts w:hint="default" w:ascii="Times New Roman" w:hAnsi="Times New Roman" w:eastAsia="宋体" w:cs="Times New Roman"/>
                <w:sz w:val="24"/>
                <w:u w:val="single" w:color="auto"/>
                <w:lang w:val="en-US" w:eastAsia="zh-CN"/>
              </w:rPr>
            </w:pPr>
            <w:r>
              <w:rPr>
                <w:rFonts w:hint="eastAsia" w:cs="Times New Roman"/>
                <w:sz w:val="24"/>
                <w:u w:val="single" w:color="auto"/>
                <w:lang w:eastAsia="zh-CN"/>
              </w:rPr>
              <w:t>表</w:t>
            </w:r>
            <w:r>
              <w:rPr>
                <w:rFonts w:hint="eastAsia" w:cs="Times New Roman"/>
                <w:sz w:val="24"/>
                <w:u w:val="single" w:color="auto"/>
                <w:lang w:val="en-US" w:eastAsia="zh-CN"/>
              </w:rPr>
              <w:t>1-9 项目存在的问题及解决措施</w:t>
            </w:r>
          </w:p>
          <w:tbl>
            <w:tblPr>
              <w:tblStyle w:val="40"/>
              <w:tblW w:w="908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151"/>
              <w:gridCol w:w="4275"/>
              <w:gridCol w:w="28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08" w:type="dxa"/>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eastAsia="zh-CN"/>
                    </w:rPr>
                  </w:pPr>
                  <w:r>
                    <w:rPr>
                      <w:rFonts w:hint="default" w:ascii="Times New Roman" w:hAnsi="Times New Roman" w:cs="Times New Roman"/>
                      <w:sz w:val="24"/>
                      <w:szCs w:val="24"/>
                      <w:u w:val="single" w:color="auto"/>
                      <w:vertAlign w:val="baseline"/>
                      <w:lang w:eastAsia="zh-CN"/>
                    </w:rPr>
                    <w:t>序号</w:t>
                  </w:r>
                </w:p>
              </w:tc>
              <w:tc>
                <w:tcPr>
                  <w:tcW w:w="1151" w:type="dxa"/>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eastAsia="zh-CN"/>
                    </w:rPr>
                  </w:pPr>
                  <w:r>
                    <w:rPr>
                      <w:rFonts w:hint="default" w:ascii="Times New Roman" w:hAnsi="Times New Roman" w:cs="Times New Roman"/>
                      <w:sz w:val="24"/>
                      <w:szCs w:val="24"/>
                      <w:u w:val="single" w:color="auto"/>
                      <w:vertAlign w:val="baseline"/>
                      <w:lang w:eastAsia="zh-CN"/>
                    </w:rPr>
                    <w:t>类别</w:t>
                  </w:r>
                </w:p>
              </w:tc>
              <w:tc>
                <w:tcPr>
                  <w:tcW w:w="4275" w:type="dxa"/>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eastAsia="zh-CN"/>
                    </w:rPr>
                  </w:pPr>
                  <w:r>
                    <w:rPr>
                      <w:rFonts w:hint="default" w:ascii="Times New Roman" w:hAnsi="Times New Roman" w:cs="Times New Roman"/>
                      <w:sz w:val="24"/>
                      <w:szCs w:val="24"/>
                      <w:u w:val="single" w:color="auto"/>
                      <w:vertAlign w:val="baseline"/>
                      <w:lang w:eastAsia="zh-CN"/>
                    </w:rPr>
                    <w:t>现有的措施</w:t>
                  </w:r>
                </w:p>
              </w:tc>
              <w:tc>
                <w:tcPr>
                  <w:tcW w:w="2854" w:type="dxa"/>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eastAsia="zh-CN"/>
                    </w:rPr>
                  </w:pPr>
                  <w:r>
                    <w:rPr>
                      <w:rFonts w:hint="default" w:ascii="Times New Roman" w:hAnsi="Times New Roman" w:cs="Times New Roman"/>
                      <w:sz w:val="24"/>
                      <w:szCs w:val="24"/>
                      <w:u w:val="single" w:color="auto"/>
                      <w:vertAlign w:val="baseline"/>
                      <w:lang w:eastAsia="zh-CN"/>
                    </w:rPr>
                    <w:t>整改措施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08" w:type="dxa"/>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val="en-US" w:eastAsia="zh-CN"/>
                    </w:rPr>
                  </w:pPr>
                  <w:r>
                    <w:rPr>
                      <w:rFonts w:hint="default" w:ascii="Times New Roman" w:hAnsi="Times New Roman" w:cs="Times New Roman"/>
                      <w:sz w:val="24"/>
                      <w:szCs w:val="24"/>
                      <w:u w:val="single" w:color="auto"/>
                      <w:vertAlign w:val="baseline"/>
                      <w:lang w:val="en-US" w:eastAsia="zh-CN"/>
                    </w:rPr>
                    <w:t>1</w:t>
                  </w:r>
                </w:p>
              </w:tc>
              <w:tc>
                <w:tcPr>
                  <w:tcW w:w="1151" w:type="dxa"/>
                  <w:vMerge w:val="restart"/>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eastAsia="zh-CN"/>
                    </w:rPr>
                  </w:pPr>
                  <w:r>
                    <w:rPr>
                      <w:rFonts w:hint="default" w:ascii="Times New Roman" w:hAnsi="Times New Roman" w:cs="Times New Roman"/>
                      <w:sz w:val="24"/>
                      <w:szCs w:val="24"/>
                      <w:u w:val="single" w:color="auto"/>
                      <w:vertAlign w:val="baseline"/>
                      <w:lang w:eastAsia="zh-CN"/>
                    </w:rPr>
                    <w:t>废水</w:t>
                  </w:r>
                </w:p>
              </w:tc>
              <w:tc>
                <w:tcPr>
                  <w:tcW w:w="4275" w:type="dxa"/>
                  <w:tcBorders>
                    <w:tl2br w:val="nil"/>
                    <w:tr2bl w:val="nil"/>
                  </w:tcBorders>
                  <w:vAlign w:val="center"/>
                </w:tcPr>
                <w:p>
                  <w:pPr>
                    <w:spacing w:line="360" w:lineRule="auto"/>
                    <w:jc w:val="center"/>
                    <w:rPr>
                      <w:rFonts w:hint="default" w:ascii="Times New Roman" w:hAnsi="Times New Roman" w:eastAsia="宋体" w:cs="Times New Roman"/>
                      <w:sz w:val="24"/>
                      <w:szCs w:val="24"/>
                      <w:u w:val="single" w:color="auto"/>
                      <w:vertAlign w:val="baseline"/>
                      <w:lang w:val="en-US" w:eastAsia="zh-CN"/>
                    </w:rPr>
                  </w:pPr>
                  <w:r>
                    <w:rPr>
                      <w:rFonts w:hint="default" w:ascii="Times New Roman" w:hAnsi="Times New Roman" w:cs="Times New Roman"/>
                      <w:sz w:val="24"/>
                      <w:szCs w:val="24"/>
                      <w:u w:val="single" w:color="auto"/>
                      <w:vertAlign w:val="baseline"/>
                      <w:lang w:eastAsia="zh-CN"/>
                    </w:rPr>
                    <w:t>生活污水经化粪池处理后回用于周边绿化、</w:t>
                  </w:r>
                  <w:r>
                    <w:rPr>
                      <w:rFonts w:hint="eastAsia" w:cs="Times New Roman"/>
                      <w:sz w:val="24"/>
                      <w:szCs w:val="24"/>
                      <w:u w:val="single" w:color="auto"/>
                      <w:vertAlign w:val="baseline"/>
                      <w:lang w:eastAsia="zh-CN"/>
                    </w:rPr>
                    <w:t>绿化施肥</w:t>
                  </w:r>
                  <w:r>
                    <w:rPr>
                      <w:rFonts w:hint="default" w:ascii="Times New Roman" w:hAnsi="Times New Roman" w:cs="Times New Roman"/>
                      <w:sz w:val="24"/>
                      <w:szCs w:val="24"/>
                      <w:u w:val="single" w:color="auto"/>
                      <w:vertAlign w:val="baseline"/>
                      <w:lang w:eastAsia="zh-CN"/>
                    </w:rPr>
                    <w:t>，不外排</w:t>
                  </w:r>
                </w:p>
              </w:tc>
              <w:tc>
                <w:tcPr>
                  <w:tcW w:w="2854" w:type="dxa"/>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eastAsia="zh-CN"/>
                    </w:rPr>
                  </w:pPr>
                  <w:r>
                    <w:rPr>
                      <w:rFonts w:hint="eastAsia" w:cs="Times New Roman"/>
                      <w:sz w:val="24"/>
                      <w:szCs w:val="24"/>
                      <w:u w:val="single" w:color="auto"/>
                      <w:vertAlign w:val="baseline"/>
                      <w:lang w:val="en-US" w:eastAsia="zh-CN"/>
                    </w:rPr>
                    <w:t xml:space="preserve"> </w:t>
                  </w:r>
                  <w:r>
                    <w:rPr>
                      <w:rFonts w:hint="default" w:ascii="Times New Roman" w:hAnsi="Times New Roman" w:cs="Times New Roman"/>
                      <w:sz w:val="24"/>
                      <w:szCs w:val="24"/>
                      <w:u w:val="single" w:color="auto"/>
                      <w:vertAlign w:val="baseline"/>
                      <w:lang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808" w:type="dxa"/>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val="en-US" w:eastAsia="zh-CN"/>
                    </w:rPr>
                  </w:pPr>
                  <w:r>
                    <w:rPr>
                      <w:rFonts w:hint="eastAsia" w:cs="Times New Roman"/>
                      <w:sz w:val="24"/>
                      <w:szCs w:val="24"/>
                      <w:u w:val="single" w:color="auto"/>
                      <w:vertAlign w:val="baseline"/>
                      <w:lang w:val="en-US" w:eastAsia="zh-CN"/>
                    </w:rPr>
                    <w:t>2</w:t>
                  </w:r>
                </w:p>
              </w:tc>
              <w:tc>
                <w:tcPr>
                  <w:tcW w:w="1151" w:type="dxa"/>
                  <w:vMerge w:val="continue"/>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val="en-US" w:eastAsia="zh-CN"/>
                    </w:rPr>
                  </w:pPr>
                </w:p>
              </w:tc>
              <w:tc>
                <w:tcPr>
                  <w:tcW w:w="4275" w:type="dxa"/>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eastAsia="zh-CN"/>
                    </w:rPr>
                  </w:pPr>
                  <w:r>
                    <w:rPr>
                      <w:rFonts w:hint="eastAsia" w:ascii="Times New Roman" w:hAnsi="Times New Roman" w:cs="Times New Roman"/>
                      <w:sz w:val="24"/>
                      <w:szCs w:val="24"/>
                      <w:u w:val="single" w:color="auto"/>
                      <w:vertAlign w:val="baseline"/>
                      <w:lang w:eastAsia="zh-CN"/>
                    </w:rPr>
                    <w:t>雨污分流</w:t>
                  </w:r>
                </w:p>
              </w:tc>
              <w:tc>
                <w:tcPr>
                  <w:tcW w:w="2854" w:type="dxa"/>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eastAsia="zh-CN"/>
                    </w:rPr>
                  </w:pPr>
                  <w:r>
                    <w:rPr>
                      <w:rFonts w:hint="eastAsia" w:cs="Times New Roman"/>
                      <w:sz w:val="24"/>
                      <w:szCs w:val="24"/>
                      <w:u w:val="single" w:color="auto"/>
                      <w:vertAlign w:val="baseline"/>
                      <w:lang w:val="en-US" w:eastAsia="zh-CN"/>
                    </w:rPr>
                    <w:t xml:space="preserve"> </w:t>
                  </w:r>
                  <w:r>
                    <w:rPr>
                      <w:rFonts w:hint="default" w:ascii="Times New Roman" w:hAnsi="Times New Roman" w:cs="Times New Roman"/>
                      <w:sz w:val="24"/>
                      <w:szCs w:val="24"/>
                      <w:u w:val="single" w:color="auto"/>
                      <w:vertAlign w:val="baseline"/>
                      <w:lang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808" w:type="dxa"/>
                  <w:vMerge w:val="restart"/>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val="en-US" w:eastAsia="zh-CN"/>
                    </w:rPr>
                  </w:pPr>
                  <w:r>
                    <w:rPr>
                      <w:rFonts w:hint="default" w:ascii="Times New Roman" w:hAnsi="Times New Roman" w:cs="Times New Roman"/>
                      <w:sz w:val="24"/>
                      <w:szCs w:val="24"/>
                      <w:u w:val="single" w:color="auto"/>
                      <w:vertAlign w:val="baseline"/>
                      <w:lang w:val="en-US" w:eastAsia="zh-CN"/>
                    </w:rPr>
                    <w:t>3</w:t>
                  </w:r>
                </w:p>
              </w:tc>
              <w:tc>
                <w:tcPr>
                  <w:tcW w:w="1151" w:type="dxa"/>
                  <w:vMerge w:val="restart"/>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eastAsia="zh-CN"/>
                    </w:rPr>
                  </w:pPr>
                  <w:r>
                    <w:rPr>
                      <w:rFonts w:hint="default" w:ascii="Times New Roman" w:hAnsi="Times New Roman" w:cs="Times New Roman"/>
                      <w:sz w:val="24"/>
                      <w:szCs w:val="24"/>
                      <w:u w:val="single" w:color="auto"/>
                      <w:vertAlign w:val="baseline"/>
                      <w:lang w:eastAsia="zh-CN"/>
                    </w:rPr>
                    <w:t>废气</w:t>
                  </w:r>
                </w:p>
              </w:tc>
              <w:tc>
                <w:tcPr>
                  <w:tcW w:w="4275" w:type="dxa"/>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eastAsia="zh-CN"/>
                    </w:rPr>
                  </w:pPr>
                  <w:r>
                    <w:rPr>
                      <w:rFonts w:hint="eastAsia" w:cs="Times New Roman"/>
                      <w:sz w:val="24"/>
                      <w:szCs w:val="24"/>
                      <w:u w:val="single" w:color="auto"/>
                      <w:vertAlign w:val="baseline"/>
                      <w:lang w:eastAsia="zh-CN"/>
                    </w:rPr>
                    <w:t>下料、钻孔、切割</w:t>
                  </w:r>
                  <w:r>
                    <w:rPr>
                      <w:rFonts w:hint="default" w:ascii="Times New Roman" w:hAnsi="Times New Roman" w:cs="Times New Roman"/>
                      <w:sz w:val="24"/>
                      <w:szCs w:val="24"/>
                      <w:u w:val="single" w:color="auto"/>
                      <w:vertAlign w:val="baseline"/>
                      <w:lang w:eastAsia="zh-CN"/>
                    </w:rPr>
                    <w:t>等工序产生的粉尘经</w:t>
                  </w:r>
                  <w:r>
                    <w:rPr>
                      <w:rFonts w:hint="eastAsia" w:cs="Times New Roman"/>
                      <w:sz w:val="24"/>
                      <w:szCs w:val="24"/>
                      <w:u w:val="single" w:color="auto"/>
                      <w:vertAlign w:val="baseline"/>
                      <w:lang w:eastAsia="zh-CN"/>
                    </w:rPr>
                    <w:t>双桶布袋除尘器</w:t>
                  </w:r>
                  <w:r>
                    <w:rPr>
                      <w:rFonts w:hint="default" w:ascii="Times New Roman" w:hAnsi="Times New Roman" w:cs="Times New Roman"/>
                      <w:sz w:val="24"/>
                      <w:szCs w:val="24"/>
                      <w:u w:val="single" w:color="auto"/>
                      <w:vertAlign w:val="baseline"/>
                      <w:lang w:eastAsia="zh-CN"/>
                    </w:rPr>
                    <w:t>处理后无组织</w:t>
                  </w:r>
                  <w:r>
                    <w:rPr>
                      <w:rFonts w:hint="eastAsia" w:cs="Times New Roman"/>
                      <w:sz w:val="24"/>
                      <w:szCs w:val="24"/>
                      <w:u w:val="single" w:color="auto"/>
                      <w:vertAlign w:val="baseline"/>
                      <w:lang w:eastAsia="zh-CN"/>
                    </w:rPr>
                    <w:t>排放</w:t>
                  </w:r>
                </w:p>
              </w:tc>
              <w:tc>
                <w:tcPr>
                  <w:tcW w:w="2854" w:type="dxa"/>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val="en-US" w:eastAsia="zh-CN"/>
                    </w:rPr>
                  </w:pPr>
                  <w:r>
                    <w:rPr>
                      <w:rFonts w:hint="eastAsia" w:cs="Times New Roman"/>
                      <w:sz w:val="24"/>
                      <w:szCs w:val="24"/>
                      <w:u w:val="single" w:color="auto"/>
                      <w:vertAlign w:val="baseline"/>
                      <w:lang w:eastAsia="zh-CN"/>
                    </w:rPr>
                    <w:t>增加双桶式布袋除尘器，需做到每台产生粉尘的设备均设置了除尘设施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808" w:type="dxa"/>
                  <w:vMerge w:val="continue"/>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val="en-US" w:eastAsia="zh-CN"/>
                    </w:rPr>
                  </w:pPr>
                </w:p>
              </w:tc>
              <w:tc>
                <w:tcPr>
                  <w:tcW w:w="1151" w:type="dxa"/>
                  <w:vMerge w:val="continue"/>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eastAsia="zh-CN"/>
                    </w:rPr>
                  </w:pPr>
                </w:p>
              </w:tc>
              <w:tc>
                <w:tcPr>
                  <w:tcW w:w="4275" w:type="dxa"/>
                  <w:tcBorders>
                    <w:tl2br w:val="nil"/>
                    <w:tr2bl w:val="nil"/>
                  </w:tcBorders>
                  <w:vAlign w:val="center"/>
                </w:tcPr>
                <w:p>
                  <w:pPr>
                    <w:spacing w:line="360" w:lineRule="auto"/>
                    <w:jc w:val="center"/>
                    <w:rPr>
                      <w:rFonts w:hint="eastAsia" w:cs="Times New Roman"/>
                      <w:sz w:val="24"/>
                      <w:szCs w:val="24"/>
                      <w:u w:val="single" w:color="auto"/>
                      <w:vertAlign w:val="baseline"/>
                      <w:lang w:eastAsia="zh-CN"/>
                    </w:rPr>
                  </w:pPr>
                  <w:r>
                    <w:rPr>
                      <w:rFonts w:hint="default" w:ascii="Times New Roman" w:hAnsi="Times New Roman" w:eastAsia="宋体" w:cs="Times New Roman"/>
                      <w:kern w:val="2"/>
                      <w:sz w:val="24"/>
                      <w:szCs w:val="20"/>
                      <w:u w:val="single" w:color="auto"/>
                      <w:lang w:val="en-US" w:eastAsia="zh-CN" w:bidi="ar-SA"/>
                    </w:rPr>
                    <w:t>刷胶、冷压、封边工序</w:t>
                  </w:r>
                  <w:r>
                    <w:rPr>
                      <w:rFonts w:hint="eastAsia" w:cs="Times New Roman"/>
                      <w:kern w:val="2"/>
                      <w:sz w:val="24"/>
                      <w:szCs w:val="20"/>
                      <w:u w:val="single" w:color="auto"/>
                      <w:lang w:val="en-US" w:eastAsia="zh-CN" w:bidi="ar-SA"/>
                    </w:rPr>
                    <w:t>有机废气经排风后无组织排放</w:t>
                  </w:r>
                </w:p>
              </w:tc>
              <w:tc>
                <w:tcPr>
                  <w:tcW w:w="2854" w:type="dxa"/>
                  <w:tcBorders>
                    <w:tl2br w:val="nil"/>
                    <w:tr2bl w:val="nil"/>
                  </w:tcBorders>
                  <w:vAlign w:val="center"/>
                </w:tcPr>
                <w:p>
                  <w:pPr>
                    <w:spacing w:line="360" w:lineRule="auto"/>
                    <w:jc w:val="center"/>
                    <w:rPr>
                      <w:rFonts w:hint="eastAsia" w:cs="Times New Roman"/>
                      <w:sz w:val="24"/>
                      <w:szCs w:val="24"/>
                      <w:u w:val="single" w:color="auto"/>
                      <w:vertAlign w:val="baseline"/>
                      <w:lang w:eastAsia="zh-CN"/>
                    </w:rPr>
                  </w:pPr>
                  <w:r>
                    <w:rPr>
                      <w:rFonts w:hint="eastAsia" w:cs="Times New Roman"/>
                      <w:sz w:val="24"/>
                      <w:szCs w:val="24"/>
                      <w:u w:val="single" w:color="auto"/>
                      <w:vertAlign w:val="baseline"/>
                      <w:lang w:eastAsia="zh-CN"/>
                    </w:rPr>
                    <w:t>需安装排风扇（远离居民处安装）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08" w:type="dxa"/>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val="en-US" w:eastAsia="zh-CN"/>
                    </w:rPr>
                  </w:pPr>
                  <w:r>
                    <w:rPr>
                      <w:rFonts w:hint="eastAsia" w:cs="Times New Roman"/>
                      <w:sz w:val="24"/>
                      <w:szCs w:val="24"/>
                      <w:u w:val="single" w:color="auto"/>
                      <w:vertAlign w:val="baseline"/>
                      <w:lang w:val="en-US" w:eastAsia="zh-CN"/>
                    </w:rPr>
                    <w:t>4</w:t>
                  </w:r>
                </w:p>
              </w:tc>
              <w:tc>
                <w:tcPr>
                  <w:tcW w:w="1151" w:type="dxa"/>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eastAsia="zh-CN"/>
                    </w:rPr>
                  </w:pPr>
                  <w:r>
                    <w:rPr>
                      <w:rFonts w:hint="default" w:ascii="Times New Roman" w:hAnsi="Times New Roman" w:cs="Times New Roman"/>
                      <w:sz w:val="24"/>
                      <w:szCs w:val="24"/>
                      <w:u w:val="single" w:color="auto"/>
                      <w:vertAlign w:val="baseline"/>
                      <w:lang w:eastAsia="zh-CN"/>
                    </w:rPr>
                    <w:t>噪声</w:t>
                  </w:r>
                </w:p>
              </w:tc>
              <w:tc>
                <w:tcPr>
                  <w:tcW w:w="4275" w:type="dxa"/>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eastAsia="zh-CN"/>
                    </w:rPr>
                  </w:pPr>
                  <w:r>
                    <w:rPr>
                      <w:rFonts w:hint="default" w:ascii="Times New Roman" w:hAnsi="Times New Roman" w:cs="Times New Roman"/>
                      <w:sz w:val="24"/>
                      <w:szCs w:val="24"/>
                      <w:u w:val="single" w:color="auto"/>
                      <w:vertAlign w:val="baseline"/>
                      <w:lang w:eastAsia="zh-CN"/>
                    </w:rPr>
                    <w:t>减震垫、隔声门窗、绿化</w:t>
                  </w:r>
                </w:p>
              </w:tc>
              <w:tc>
                <w:tcPr>
                  <w:tcW w:w="2854" w:type="dxa"/>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eastAsia="zh-CN"/>
                    </w:rPr>
                  </w:pPr>
                  <w:r>
                    <w:rPr>
                      <w:rFonts w:hint="eastAsia" w:cs="Times New Roman"/>
                      <w:sz w:val="24"/>
                      <w:szCs w:val="24"/>
                      <w:u w:val="single" w:color="auto"/>
                      <w:vertAlign w:val="baseline"/>
                      <w:lang w:eastAsia="zh-CN"/>
                    </w:rPr>
                    <w:t>项目生产过程中门窗需关闭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808" w:type="dxa"/>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val="en-US" w:eastAsia="zh-CN"/>
                    </w:rPr>
                  </w:pPr>
                  <w:r>
                    <w:rPr>
                      <w:rFonts w:hint="eastAsia" w:cs="Times New Roman"/>
                      <w:sz w:val="24"/>
                      <w:szCs w:val="24"/>
                      <w:u w:val="single" w:color="auto"/>
                      <w:vertAlign w:val="baseline"/>
                      <w:lang w:val="en-US" w:eastAsia="zh-CN"/>
                    </w:rPr>
                    <w:t>5</w:t>
                  </w:r>
                </w:p>
              </w:tc>
              <w:tc>
                <w:tcPr>
                  <w:tcW w:w="1151" w:type="dxa"/>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eastAsia="zh-CN"/>
                    </w:rPr>
                  </w:pPr>
                  <w:r>
                    <w:rPr>
                      <w:rFonts w:hint="default" w:ascii="Times New Roman" w:hAnsi="Times New Roman" w:cs="Times New Roman"/>
                      <w:sz w:val="24"/>
                      <w:szCs w:val="24"/>
                      <w:u w:val="single" w:color="auto"/>
                      <w:vertAlign w:val="baseline"/>
                      <w:lang w:eastAsia="zh-CN"/>
                    </w:rPr>
                    <w:t>固废</w:t>
                  </w:r>
                </w:p>
              </w:tc>
              <w:tc>
                <w:tcPr>
                  <w:tcW w:w="4275" w:type="dxa"/>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eastAsia="zh-CN"/>
                    </w:rPr>
                  </w:pPr>
                  <w:r>
                    <w:rPr>
                      <w:rFonts w:hint="default" w:ascii="Times New Roman" w:hAnsi="Times New Roman" w:cs="Times New Roman"/>
                      <w:sz w:val="24"/>
                      <w:szCs w:val="24"/>
                      <w:u w:val="single" w:color="auto"/>
                      <w:vertAlign w:val="baseline"/>
                      <w:lang w:eastAsia="zh-CN"/>
                    </w:rPr>
                    <w:t>生活垃圾收集于垃圾桶中再交由环卫部门进行处理，一般固废无集中式收集点，但也交由环卫部门进行处理</w:t>
                  </w:r>
                  <w:r>
                    <w:rPr>
                      <w:rFonts w:hint="eastAsia" w:ascii="Times New Roman" w:hAnsi="Times New Roman" w:cs="Times New Roman"/>
                      <w:sz w:val="24"/>
                      <w:szCs w:val="24"/>
                      <w:u w:val="single" w:color="auto"/>
                      <w:vertAlign w:val="baseline"/>
                      <w:lang w:eastAsia="zh-CN"/>
                    </w:rPr>
                    <w:t>，无危险废物储存间及处理合同</w:t>
                  </w:r>
                </w:p>
              </w:tc>
              <w:tc>
                <w:tcPr>
                  <w:tcW w:w="2854" w:type="dxa"/>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eastAsia="zh-CN"/>
                    </w:rPr>
                  </w:pPr>
                  <w:r>
                    <w:rPr>
                      <w:rFonts w:hint="eastAsia" w:ascii="Times New Roman" w:hAnsi="Times New Roman" w:cs="Times New Roman"/>
                      <w:sz w:val="24"/>
                      <w:szCs w:val="24"/>
                      <w:u w:val="single" w:color="auto"/>
                      <w:vertAlign w:val="baseline"/>
                      <w:lang w:eastAsia="zh-CN"/>
                    </w:rPr>
                    <w:t>一般工业固废</w:t>
                  </w:r>
                  <w:r>
                    <w:rPr>
                      <w:rFonts w:hint="eastAsia" w:cs="Times New Roman"/>
                      <w:sz w:val="24"/>
                      <w:szCs w:val="24"/>
                      <w:u w:val="single" w:color="auto"/>
                      <w:vertAlign w:val="baseline"/>
                      <w:lang w:eastAsia="zh-CN"/>
                    </w:rPr>
                    <w:t>堆放间，粉尘需使用密闭容器进行盛装</w:t>
                  </w:r>
                  <w:r>
                    <w:rPr>
                      <w:rFonts w:hint="eastAsia" w:ascii="Times New Roman" w:hAnsi="Times New Roman" w:cs="Times New Roman"/>
                      <w:sz w:val="24"/>
                      <w:szCs w:val="24"/>
                      <w:u w:val="single" w:color="auto"/>
                      <w:vertAlign w:val="baseline"/>
                      <w:lang w:eastAsia="zh-CN"/>
                    </w:rPr>
                    <w:t>，增加危险废物储存间及处理合同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8" w:type="dxa"/>
                  <w:tcBorders>
                    <w:tl2br w:val="nil"/>
                    <w:tr2bl w:val="nil"/>
                  </w:tcBorders>
                  <w:vAlign w:val="center"/>
                </w:tcPr>
                <w:p>
                  <w:pPr>
                    <w:spacing w:line="360" w:lineRule="auto"/>
                    <w:jc w:val="center"/>
                    <w:rPr>
                      <w:rFonts w:hint="default" w:cs="Times New Roman"/>
                      <w:sz w:val="24"/>
                      <w:szCs w:val="24"/>
                      <w:u w:val="single" w:color="auto"/>
                      <w:vertAlign w:val="baseline"/>
                      <w:lang w:val="en-US" w:eastAsia="zh-CN"/>
                    </w:rPr>
                  </w:pPr>
                  <w:r>
                    <w:rPr>
                      <w:rFonts w:hint="eastAsia" w:cs="Times New Roman"/>
                      <w:sz w:val="24"/>
                      <w:szCs w:val="24"/>
                      <w:u w:val="single" w:color="auto"/>
                      <w:vertAlign w:val="baseline"/>
                      <w:lang w:val="en-US" w:eastAsia="zh-CN"/>
                    </w:rPr>
                    <w:t>6</w:t>
                  </w:r>
                </w:p>
              </w:tc>
              <w:tc>
                <w:tcPr>
                  <w:tcW w:w="1151" w:type="dxa"/>
                  <w:vMerge w:val="restart"/>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eastAsia="zh-CN"/>
                    </w:rPr>
                  </w:pPr>
                  <w:r>
                    <w:rPr>
                      <w:rFonts w:hint="eastAsia" w:cs="Times New Roman"/>
                      <w:sz w:val="24"/>
                      <w:szCs w:val="24"/>
                      <w:u w:val="single" w:color="auto"/>
                      <w:vertAlign w:val="baseline"/>
                      <w:lang w:eastAsia="zh-CN"/>
                    </w:rPr>
                    <w:t>其他</w:t>
                  </w:r>
                </w:p>
              </w:tc>
              <w:tc>
                <w:tcPr>
                  <w:tcW w:w="4275" w:type="dxa"/>
                  <w:tcBorders>
                    <w:tl2br w:val="nil"/>
                    <w:tr2bl w:val="nil"/>
                  </w:tcBorders>
                  <w:vAlign w:val="center"/>
                </w:tcPr>
                <w:p>
                  <w:pPr>
                    <w:spacing w:line="360" w:lineRule="auto"/>
                    <w:jc w:val="center"/>
                    <w:rPr>
                      <w:rFonts w:hint="default" w:ascii="Times New Roman" w:hAnsi="Times New Roman" w:cs="Times New Roman"/>
                      <w:sz w:val="24"/>
                      <w:szCs w:val="24"/>
                      <w:u w:val="single" w:color="auto"/>
                      <w:vertAlign w:val="baseline"/>
                      <w:lang w:eastAsia="zh-CN"/>
                    </w:rPr>
                  </w:pPr>
                  <w:r>
                    <w:rPr>
                      <w:rFonts w:hint="eastAsia" w:cs="Times New Roman"/>
                      <w:sz w:val="24"/>
                      <w:szCs w:val="24"/>
                      <w:u w:val="single" w:color="auto"/>
                      <w:vertAlign w:val="baseline"/>
                      <w:lang w:eastAsia="zh-CN"/>
                    </w:rPr>
                    <w:t>白乳胶、热熔胶现为堆放在车间内</w:t>
                  </w:r>
                </w:p>
              </w:tc>
              <w:tc>
                <w:tcPr>
                  <w:tcW w:w="2854" w:type="dxa"/>
                  <w:tcBorders>
                    <w:tl2br w:val="nil"/>
                    <w:tr2bl w:val="nil"/>
                  </w:tcBorders>
                  <w:vAlign w:val="center"/>
                </w:tcPr>
                <w:p>
                  <w:pPr>
                    <w:spacing w:line="360" w:lineRule="auto"/>
                    <w:jc w:val="center"/>
                    <w:rPr>
                      <w:rFonts w:hint="eastAsia" w:ascii="Times New Roman" w:hAnsi="Times New Roman" w:cs="Times New Roman"/>
                      <w:sz w:val="24"/>
                      <w:szCs w:val="24"/>
                      <w:u w:val="single" w:color="auto"/>
                      <w:vertAlign w:val="baseline"/>
                      <w:lang w:eastAsia="zh-CN"/>
                    </w:rPr>
                  </w:pPr>
                  <w:r>
                    <w:rPr>
                      <w:rFonts w:hint="eastAsia" w:cs="Times New Roman"/>
                      <w:sz w:val="24"/>
                      <w:szCs w:val="24"/>
                      <w:u w:val="single" w:color="auto"/>
                      <w:vertAlign w:val="baseline"/>
                      <w:lang w:eastAsia="zh-CN"/>
                    </w:rPr>
                    <w:t>需设置专门的堆放车间，车间需设置标识标牌、进行“防风、防雨、放流失”等措施，储存间门口需设置围堰，防止泄露流失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8" w:type="dxa"/>
                  <w:tcBorders>
                    <w:tl2br w:val="nil"/>
                    <w:tr2bl w:val="nil"/>
                  </w:tcBorders>
                  <w:vAlign w:val="center"/>
                </w:tcPr>
                <w:p>
                  <w:pPr>
                    <w:spacing w:line="360" w:lineRule="auto"/>
                    <w:jc w:val="center"/>
                    <w:rPr>
                      <w:rFonts w:hint="default" w:cs="Times New Roman"/>
                      <w:sz w:val="24"/>
                      <w:szCs w:val="24"/>
                      <w:u w:val="single" w:color="auto"/>
                      <w:vertAlign w:val="baseline"/>
                      <w:lang w:val="en-US" w:eastAsia="zh-CN"/>
                    </w:rPr>
                  </w:pPr>
                  <w:r>
                    <w:rPr>
                      <w:rFonts w:hint="eastAsia" w:cs="Times New Roman"/>
                      <w:sz w:val="24"/>
                      <w:szCs w:val="24"/>
                      <w:u w:val="single" w:color="auto"/>
                      <w:vertAlign w:val="baseline"/>
                      <w:lang w:val="en-US" w:eastAsia="zh-CN"/>
                    </w:rPr>
                    <w:t>7</w:t>
                  </w:r>
                </w:p>
              </w:tc>
              <w:tc>
                <w:tcPr>
                  <w:tcW w:w="1151" w:type="dxa"/>
                  <w:vMerge w:val="continue"/>
                  <w:tcBorders>
                    <w:tl2br w:val="nil"/>
                    <w:tr2bl w:val="nil"/>
                  </w:tcBorders>
                  <w:vAlign w:val="center"/>
                </w:tcPr>
                <w:p>
                  <w:pPr>
                    <w:spacing w:line="360" w:lineRule="auto"/>
                    <w:jc w:val="center"/>
                    <w:rPr>
                      <w:rFonts w:hint="eastAsia" w:cs="Times New Roman"/>
                      <w:sz w:val="24"/>
                      <w:szCs w:val="24"/>
                      <w:u w:val="single" w:color="auto"/>
                      <w:vertAlign w:val="baseline"/>
                      <w:lang w:eastAsia="zh-CN"/>
                    </w:rPr>
                  </w:pPr>
                </w:p>
              </w:tc>
              <w:tc>
                <w:tcPr>
                  <w:tcW w:w="4275" w:type="dxa"/>
                  <w:tcBorders>
                    <w:tl2br w:val="nil"/>
                    <w:tr2bl w:val="nil"/>
                  </w:tcBorders>
                  <w:vAlign w:val="center"/>
                </w:tcPr>
                <w:p>
                  <w:pPr>
                    <w:spacing w:line="360" w:lineRule="auto"/>
                    <w:jc w:val="center"/>
                    <w:rPr>
                      <w:rFonts w:hint="default" w:cs="Times New Roman"/>
                      <w:sz w:val="24"/>
                      <w:szCs w:val="24"/>
                      <w:u w:val="single" w:color="auto"/>
                      <w:vertAlign w:val="baseline"/>
                      <w:lang w:val="en-US" w:eastAsia="zh-CN"/>
                    </w:rPr>
                  </w:pPr>
                  <w:r>
                    <w:rPr>
                      <w:rFonts w:hint="eastAsia" w:cs="Times New Roman"/>
                      <w:sz w:val="24"/>
                      <w:szCs w:val="24"/>
                      <w:u w:val="single" w:color="auto"/>
                      <w:vertAlign w:val="baseline"/>
                      <w:lang w:val="en-US" w:eastAsia="zh-CN"/>
                    </w:rPr>
                    <w:t>厂区地面粉尘量较多</w:t>
                  </w:r>
                </w:p>
              </w:tc>
              <w:tc>
                <w:tcPr>
                  <w:tcW w:w="2854" w:type="dxa"/>
                  <w:tcBorders>
                    <w:tl2br w:val="nil"/>
                    <w:tr2bl w:val="nil"/>
                  </w:tcBorders>
                  <w:vAlign w:val="center"/>
                </w:tcPr>
                <w:p>
                  <w:pPr>
                    <w:spacing w:line="360" w:lineRule="auto"/>
                    <w:jc w:val="center"/>
                    <w:rPr>
                      <w:rFonts w:hint="default" w:cs="Times New Roman"/>
                      <w:sz w:val="24"/>
                      <w:szCs w:val="24"/>
                      <w:u w:val="single" w:color="auto"/>
                      <w:vertAlign w:val="baseline"/>
                      <w:lang w:val="en-US" w:eastAsia="zh-CN"/>
                    </w:rPr>
                  </w:pPr>
                  <w:r>
                    <w:rPr>
                      <w:rFonts w:hint="eastAsia" w:cs="Times New Roman"/>
                      <w:sz w:val="24"/>
                      <w:szCs w:val="24"/>
                      <w:u w:val="single" w:color="auto"/>
                      <w:vertAlign w:val="baseline"/>
                      <w:lang w:val="en-US" w:eastAsia="zh-CN"/>
                    </w:rPr>
                    <w:t>增加处理设施的收集效率，地面粉尘设置吸尘器进行吸尘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8" w:type="dxa"/>
                  <w:tcBorders>
                    <w:tl2br w:val="nil"/>
                    <w:tr2bl w:val="nil"/>
                  </w:tcBorders>
                  <w:vAlign w:val="center"/>
                </w:tcPr>
                <w:p>
                  <w:pPr>
                    <w:spacing w:line="360" w:lineRule="auto"/>
                    <w:jc w:val="center"/>
                    <w:rPr>
                      <w:rFonts w:hint="default" w:cs="Times New Roman"/>
                      <w:sz w:val="24"/>
                      <w:szCs w:val="24"/>
                      <w:u w:val="single" w:color="auto"/>
                      <w:vertAlign w:val="baseline"/>
                      <w:lang w:val="en-US" w:eastAsia="zh-CN"/>
                    </w:rPr>
                  </w:pPr>
                  <w:r>
                    <w:rPr>
                      <w:rFonts w:hint="eastAsia" w:cs="Times New Roman"/>
                      <w:sz w:val="24"/>
                      <w:szCs w:val="24"/>
                      <w:u w:val="single" w:color="auto"/>
                      <w:vertAlign w:val="baseline"/>
                      <w:lang w:val="en-US" w:eastAsia="zh-CN"/>
                    </w:rPr>
                    <w:t>8</w:t>
                  </w:r>
                </w:p>
              </w:tc>
              <w:tc>
                <w:tcPr>
                  <w:tcW w:w="1151" w:type="dxa"/>
                  <w:vMerge w:val="continue"/>
                  <w:tcBorders>
                    <w:tl2br w:val="nil"/>
                    <w:tr2bl w:val="nil"/>
                  </w:tcBorders>
                  <w:vAlign w:val="center"/>
                </w:tcPr>
                <w:p>
                  <w:pPr>
                    <w:spacing w:line="360" w:lineRule="auto"/>
                    <w:jc w:val="center"/>
                    <w:rPr>
                      <w:rFonts w:hint="eastAsia" w:cs="Times New Roman"/>
                      <w:sz w:val="24"/>
                      <w:szCs w:val="24"/>
                      <w:u w:val="single" w:color="auto"/>
                      <w:vertAlign w:val="baseline"/>
                      <w:lang w:eastAsia="zh-CN"/>
                    </w:rPr>
                  </w:pPr>
                </w:p>
              </w:tc>
              <w:tc>
                <w:tcPr>
                  <w:tcW w:w="4275" w:type="dxa"/>
                  <w:tcBorders>
                    <w:tl2br w:val="nil"/>
                    <w:tr2bl w:val="nil"/>
                  </w:tcBorders>
                  <w:vAlign w:val="center"/>
                </w:tcPr>
                <w:p>
                  <w:pPr>
                    <w:spacing w:line="360" w:lineRule="auto"/>
                    <w:jc w:val="center"/>
                    <w:rPr>
                      <w:rFonts w:hint="default" w:cs="Times New Roman"/>
                      <w:sz w:val="24"/>
                      <w:szCs w:val="24"/>
                      <w:u w:val="single" w:color="auto"/>
                      <w:vertAlign w:val="baseline"/>
                      <w:lang w:val="en-US" w:eastAsia="zh-CN"/>
                    </w:rPr>
                  </w:pPr>
                  <w:r>
                    <w:rPr>
                      <w:rFonts w:hint="eastAsia" w:cs="Times New Roman"/>
                      <w:sz w:val="24"/>
                      <w:szCs w:val="24"/>
                      <w:u w:val="single" w:color="auto"/>
                      <w:vertAlign w:val="baseline"/>
                      <w:lang w:val="en-US" w:eastAsia="zh-CN"/>
                    </w:rPr>
                    <w:t>项目分区不明确</w:t>
                  </w:r>
                </w:p>
              </w:tc>
              <w:tc>
                <w:tcPr>
                  <w:tcW w:w="2854" w:type="dxa"/>
                  <w:tcBorders>
                    <w:tl2br w:val="nil"/>
                    <w:tr2bl w:val="nil"/>
                  </w:tcBorders>
                  <w:vAlign w:val="center"/>
                </w:tcPr>
                <w:p>
                  <w:pPr>
                    <w:spacing w:line="360" w:lineRule="auto"/>
                    <w:jc w:val="center"/>
                    <w:rPr>
                      <w:rFonts w:hint="default" w:cs="Times New Roman"/>
                      <w:sz w:val="24"/>
                      <w:szCs w:val="24"/>
                      <w:u w:val="single" w:color="auto"/>
                      <w:vertAlign w:val="baseline"/>
                      <w:lang w:val="en-US" w:eastAsia="zh-CN"/>
                    </w:rPr>
                  </w:pPr>
                  <w:r>
                    <w:rPr>
                      <w:rFonts w:hint="eastAsia" w:cs="Times New Roman"/>
                      <w:sz w:val="24"/>
                      <w:szCs w:val="24"/>
                      <w:u w:val="single" w:color="auto"/>
                      <w:vertAlign w:val="baseline"/>
                      <w:lang w:val="en-US" w:eastAsia="zh-CN"/>
                    </w:rPr>
                    <w:t>需要优化平面布局，各区域分区需明确，设置标识标牌，高噪声、排风扇应设置在远离居民点处</w:t>
                  </w:r>
                </w:p>
              </w:tc>
            </w:tr>
          </w:tbl>
          <w:p>
            <w:pPr>
              <w:rPr>
                <w:rFonts w:hint="eastAsia" w:cs="Times New Roman"/>
                <w:u w:val="none" w:color="auto"/>
                <w:lang w:eastAsia="zh-CN"/>
              </w:rPr>
            </w:pPr>
          </w:p>
          <w:p>
            <w:pPr>
              <w:rPr>
                <w:rFonts w:hint="eastAsia" w:cs="Times New Roman"/>
                <w:u w:val="none" w:color="auto"/>
                <w:lang w:eastAsia="zh-CN"/>
              </w:rPr>
            </w:pPr>
          </w:p>
          <w:p>
            <w:pPr>
              <w:rPr>
                <w:rFonts w:hint="eastAsia" w:ascii="Times New Roman" w:hAnsi="Times New Roman" w:eastAsia="宋体" w:cs="Times New Roman"/>
                <w:u w:val="none" w:color="auto"/>
                <w:lang w:eastAsia="zh-CN"/>
              </w:rPr>
            </w:pPr>
          </w:p>
        </w:tc>
      </w:tr>
    </w:tbl>
    <w:p>
      <w:pPr>
        <w:snapToGrid w:val="0"/>
        <w:spacing w:before="120"/>
        <w:outlineLvl w:val="0"/>
        <w:rPr>
          <w:rFonts w:eastAsia="黑体"/>
          <w:sz w:val="32"/>
          <w:u w:val="none" w:color="auto"/>
        </w:rPr>
        <w:sectPr>
          <w:headerReference r:id="rId6" w:type="default"/>
          <w:footerReference r:id="rId7" w:type="default"/>
          <w:pgSz w:w="11906" w:h="16838"/>
          <w:pgMar w:top="1418" w:right="1134" w:bottom="1418" w:left="1474" w:header="851" w:footer="992" w:gutter="0"/>
          <w:pgBorders>
            <w:top w:val="none" w:sz="0" w:space="0"/>
            <w:left w:val="none" w:sz="0" w:space="0"/>
            <w:bottom w:val="none" w:sz="0" w:space="0"/>
            <w:right w:val="none" w:sz="0" w:space="0"/>
          </w:pgBorders>
          <w:pgNumType w:start="1"/>
          <w:cols w:space="720" w:num="1"/>
          <w:docGrid w:linePitch="312" w:charSpace="55034"/>
        </w:sectPr>
      </w:pPr>
    </w:p>
    <w:p>
      <w:pPr>
        <w:snapToGrid w:val="0"/>
        <w:outlineLvl w:val="0"/>
        <w:rPr>
          <w:rFonts w:eastAsia="黑体"/>
          <w:kern w:val="24"/>
          <w:sz w:val="32"/>
          <w:u w:val="none" w:color="auto"/>
        </w:rPr>
      </w:pPr>
      <w:bookmarkStart w:id="1" w:name="_Toc10693"/>
      <w:r>
        <w:rPr>
          <w:rFonts w:hint="eastAsia" w:eastAsia="黑体"/>
          <w:sz w:val="32"/>
          <w:u w:val="none" w:color="auto"/>
        </w:rPr>
        <w:t>二、</w:t>
      </w:r>
      <w:r>
        <w:rPr>
          <w:rFonts w:eastAsia="黑体"/>
          <w:sz w:val="32"/>
          <w:u w:val="none" w:color="auto"/>
        </w:rPr>
        <w:t>建设项目所在地自然环境简况</w:t>
      </w:r>
      <w:bookmarkEnd w:id="1"/>
    </w:p>
    <w:tbl>
      <w:tblPr>
        <w:tblStyle w:val="39"/>
        <w:tblW w:w="926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85" w:type="dxa"/>
          <w:bottom w:w="0" w:type="dxa"/>
          <w:right w:w="85" w:type="dxa"/>
        </w:tblCellMar>
      </w:tblPr>
      <w:tblGrid>
        <w:gridCol w:w="926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85" w:type="dxa"/>
            <w:bottom w:w="0" w:type="dxa"/>
            <w:right w:w="85" w:type="dxa"/>
          </w:tblCellMar>
        </w:tblPrEx>
        <w:trPr>
          <w:trHeight w:val="13005" w:hRule="atLeast"/>
          <w:jc w:val="center"/>
        </w:trPr>
        <w:tc>
          <w:tcPr>
            <w:tcW w:w="9268" w:type="dxa"/>
          </w:tcPr>
          <w:p>
            <w:pPr>
              <w:adjustRightInd w:val="0"/>
              <w:snapToGrid w:val="0"/>
              <w:spacing w:line="360" w:lineRule="auto"/>
              <w:rPr>
                <w:b/>
                <w:bCs/>
                <w:sz w:val="24"/>
                <w:szCs w:val="24"/>
                <w:u w:val="none" w:color="auto"/>
              </w:rPr>
            </w:pPr>
            <w:r>
              <w:rPr>
                <w:rFonts w:hint="eastAsia"/>
                <w:b/>
                <w:bCs/>
                <w:sz w:val="24"/>
                <w:szCs w:val="24"/>
                <w:u w:val="none" w:color="auto"/>
              </w:rPr>
              <w:t>一、</w:t>
            </w:r>
            <w:r>
              <w:rPr>
                <w:b/>
                <w:bCs/>
                <w:sz w:val="24"/>
                <w:szCs w:val="24"/>
                <w:u w:val="none" w:color="auto"/>
              </w:rPr>
              <w:t>自然环境简况（地形、地貌、地质、气候、气象、水文、植被、生物多样性等）：</w:t>
            </w:r>
          </w:p>
          <w:p>
            <w:pPr>
              <w:adjustRightInd w:val="0"/>
              <w:snapToGrid w:val="0"/>
              <w:spacing w:line="360" w:lineRule="auto"/>
              <w:ind w:firstLine="462" w:firstLineChars="200"/>
              <w:rPr>
                <w:b/>
                <w:bCs/>
                <w:sz w:val="24"/>
                <w:szCs w:val="24"/>
                <w:u w:val="none" w:color="auto"/>
              </w:rPr>
            </w:pPr>
            <w:r>
              <w:rPr>
                <w:b/>
                <w:bCs/>
                <w:sz w:val="24"/>
                <w:szCs w:val="24"/>
                <w:u w:val="none" w:color="auto"/>
              </w:rPr>
              <w:t>1、地理位置与交通</w:t>
            </w:r>
          </w:p>
          <w:p>
            <w:pPr>
              <w:spacing w:line="360" w:lineRule="auto"/>
              <w:ind w:firstLine="480"/>
              <w:rPr>
                <w:bCs/>
                <w:sz w:val="24"/>
                <w:u w:val="none" w:color="auto"/>
              </w:rPr>
            </w:pPr>
            <w:r>
              <w:rPr>
                <w:bCs/>
                <w:sz w:val="24"/>
                <w:u w:val="none" w:color="auto"/>
              </w:rPr>
              <w:t>湘阴县位于湖南省东北部、居湘、资两水尾间，濒南洞庭湖。东邻汨罗市、西接湘阴县，南界望城县，北抵沅江市、屈原行政区，介于东经112°30′~113°02′，北纬28°30′~29°03′之间。南北长61公里，东西宽51.3公里，面积1581.5平方公里，距湘阴县区仅50公里，岳阳市区110公里，经长湘公路至长沙仅45公里，交通十分便利。</w:t>
            </w:r>
          </w:p>
          <w:p>
            <w:pPr>
              <w:snapToGrid w:val="0"/>
              <w:spacing w:line="360" w:lineRule="auto"/>
              <w:ind w:firstLine="462" w:firstLineChars="200"/>
              <w:jc w:val="left"/>
              <w:rPr>
                <w:rFonts w:hint="eastAsia" w:eastAsia="宋体"/>
                <w:bCs/>
                <w:sz w:val="24"/>
                <w:u w:val="none" w:color="auto"/>
                <w:lang w:eastAsia="zh-CN"/>
              </w:rPr>
            </w:pPr>
            <w:r>
              <w:rPr>
                <w:rFonts w:hint="default" w:ascii="Times New Roman" w:hAnsi="Times New Roman" w:eastAsia="宋体" w:cs="Times New Roman"/>
                <w:i w:val="0"/>
                <w:caps w:val="0"/>
                <w:color w:val="333333"/>
                <w:spacing w:val="0"/>
                <w:sz w:val="24"/>
                <w:szCs w:val="24"/>
                <w:shd w:val="clear" w:fill="FFFFFF"/>
              </w:rPr>
              <w:t>石塘乡位于湘阴县东部。面积45平方千米，人口23837人（2009年末）。辖新农、月湾、五仑、农大、板桥、栽松、双桥、寺坝、齐心、九州、宋甲、黄泥、高峰、七里、彭家、秃峰、高山、石塘18个行政村，227个村民小组。乡政府驻地石头塘，距县城6千米。308省道过境</w:t>
            </w:r>
            <w:r>
              <w:rPr>
                <w:rFonts w:hint="eastAsia" w:cs="Times New Roman"/>
                <w:i w:val="0"/>
                <w:caps w:val="0"/>
                <w:color w:val="333333"/>
                <w:spacing w:val="0"/>
                <w:sz w:val="24"/>
                <w:szCs w:val="24"/>
                <w:shd w:val="clear" w:fill="FFFFFF"/>
                <w:lang w:eastAsia="zh-CN"/>
              </w:rPr>
              <w:t>。</w:t>
            </w:r>
          </w:p>
          <w:p>
            <w:pPr>
              <w:snapToGrid w:val="0"/>
              <w:spacing w:line="360" w:lineRule="auto"/>
              <w:ind w:firstLine="453" w:firstLineChars="196"/>
              <w:rPr>
                <w:bCs/>
                <w:sz w:val="24"/>
                <w:u w:val="none" w:color="auto"/>
              </w:rPr>
            </w:pPr>
            <w:r>
              <w:rPr>
                <w:bCs/>
                <w:sz w:val="24"/>
                <w:u w:val="none" w:color="auto"/>
              </w:rPr>
              <w:t>本项目位于</w:t>
            </w:r>
            <w:r>
              <w:rPr>
                <w:rFonts w:hint="eastAsia"/>
                <w:bCs/>
                <w:sz w:val="24"/>
                <w:u w:val="none" w:color="auto"/>
                <w:lang w:eastAsia="zh-CN"/>
              </w:rPr>
              <w:t>湘阴县石塘乡高山村红星组</w:t>
            </w:r>
            <w:r>
              <w:rPr>
                <w:bCs/>
                <w:sz w:val="24"/>
                <w:u w:val="none" w:color="auto"/>
              </w:rPr>
              <w:t>，其具体位置见附图1所示。</w:t>
            </w:r>
          </w:p>
          <w:p>
            <w:pPr>
              <w:adjustRightInd w:val="0"/>
              <w:snapToGrid w:val="0"/>
              <w:spacing w:line="360" w:lineRule="auto"/>
              <w:ind w:firstLine="462" w:firstLineChars="200"/>
              <w:rPr>
                <w:b/>
                <w:bCs/>
                <w:sz w:val="24"/>
                <w:szCs w:val="24"/>
                <w:u w:val="none" w:color="auto"/>
              </w:rPr>
            </w:pPr>
            <w:r>
              <w:rPr>
                <w:b/>
                <w:bCs/>
                <w:sz w:val="24"/>
                <w:szCs w:val="24"/>
                <w:u w:val="none" w:color="auto"/>
              </w:rPr>
              <w:t>2、地形、地貌、地质</w:t>
            </w:r>
          </w:p>
          <w:p>
            <w:pPr>
              <w:spacing w:line="360" w:lineRule="auto"/>
              <w:ind w:firstLine="480"/>
              <w:rPr>
                <w:bCs/>
                <w:sz w:val="24"/>
                <w:u w:val="none" w:color="auto"/>
              </w:rPr>
            </w:pPr>
            <w:r>
              <w:rPr>
                <w:rFonts w:hint="eastAsia"/>
                <w:bCs/>
                <w:sz w:val="24"/>
                <w:u w:val="none" w:color="auto"/>
              </w:rPr>
              <w:t>湘阴地块属新华夏构造体系的第二隆起带，所处地质状况，使其地貌呈低山、岗地、平原三种形态，具有如下三个特征：其一、地势东南高、西北低。位居幕阜山余脉走向洞庭湖凹陷处的过渡地带，地势至东南向西北递降，形成一个微向洞庭湖碰盆中心的倾斜面。其二、以滨湖平原为主体，成块状分布。地处湘江大断裂带，其东盘上升，基岩裸露，构成低山、岗地；西盘下降，阶台下切，形成滨湖平源。全县除去江河湖泊及其他水面，滨湖、江河、溪谷三种平原共</w:t>
            </w:r>
            <w:r>
              <w:rPr>
                <w:bCs/>
                <w:sz w:val="24"/>
                <w:u w:val="none" w:color="auto"/>
              </w:rPr>
              <w:t>702.11</w:t>
            </w:r>
            <w:r>
              <w:rPr>
                <w:rFonts w:hint="eastAsia"/>
                <w:bCs/>
                <w:sz w:val="24"/>
                <w:u w:val="none" w:color="auto"/>
              </w:rPr>
              <w:t>平方公里，占全县总面积的</w:t>
            </w:r>
            <w:r>
              <w:rPr>
                <w:bCs/>
                <w:sz w:val="24"/>
                <w:u w:val="none" w:color="auto"/>
              </w:rPr>
              <w:t>44.4%</w:t>
            </w:r>
            <w:r>
              <w:rPr>
                <w:rFonts w:hint="eastAsia"/>
                <w:bCs/>
                <w:sz w:val="24"/>
                <w:u w:val="none" w:color="auto"/>
              </w:rPr>
              <w:t>；岗地占</w:t>
            </w:r>
            <w:r>
              <w:rPr>
                <w:bCs/>
                <w:sz w:val="24"/>
                <w:u w:val="none" w:color="auto"/>
              </w:rPr>
              <w:t>13.59%</w:t>
            </w:r>
            <w:r>
              <w:rPr>
                <w:rFonts w:hint="eastAsia"/>
                <w:bCs/>
                <w:sz w:val="24"/>
                <w:u w:val="none" w:color="auto"/>
              </w:rPr>
              <w:t>；低山占</w:t>
            </w:r>
            <w:r>
              <w:rPr>
                <w:bCs/>
                <w:sz w:val="24"/>
                <w:u w:val="none" w:color="auto"/>
              </w:rPr>
              <w:t>1.51%</w:t>
            </w:r>
            <w:r>
              <w:rPr>
                <w:rFonts w:hint="eastAsia"/>
                <w:bCs/>
                <w:sz w:val="24"/>
                <w:u w:val="none" w:color="auto"/>
              </w:rPr>
              <w:t>。其三、河湖交会，水域广阔。湘江自南而北贯穿全景，自然分成东西两部，江东为东乡，为低山岗丘地，岗丘婉蜒，地形起伏；江西为西乡，属滨湖平原地，河渠纵横，湖沼塘堰星罗棋布。全县国土总面积</w:t>
            </w:r>
            <w:r>
              <w:rPr>
                <w:bCs/>
                <w:sz w:val="24"/>
                <w:u w:val="none" w:color="auto"/>
              </w:rPr>
              <w:t>1581.5</w:t>
            </w:r>
            <w:r>
              <w:rPr>
                <w:rFonts w:hint="eastAsia"/>
                <w:bCs/>
                <w:sz w:val="24"/>
                <w:u w:val="none" w:color="auto"/>
              </w:rPr>
              <w:t>平方公里，湖区、山丘区、湖洲分别为</w:t>
            </w:r>
            <w:r>
              <w:rPr>
                <w:bCs/>
                <w:sz w:val="24"/>
                <w:u w:val="none" w:color="auto"/>
              </w:rPr>
              <w:t>675.0</w:t>
            </w:r>
            <w:r>
              <w:rPr>
                <w:rFonts w:hint="eastAsia"/>
                <w:bCs/>
                <w:sz w:val="24"/>
                <w:u w:val="none" w:color="auto"/>
              </w:rPr>
              <w:t>平方公里、</w:t>
            </w:r>
            <w:r>
              <w:rPr>
                <w:bCs/>
                <w:sz w:val="24"/>
                <w:u w:val="none" w:color="auto"/>
              </w:rPr>
              <w:t>484.6</w:t>
            </w:r>
            <w:r>
              <w:rPr>
                <w:rFonts w:hint="eastAsia"/>
                <w:bCs/>
                <w:sz w:val="24"/>
                <w:u w:val="none" w:color="auto"/>
              </w:rPr>
              <w:t>平方公里、</w:t>
            </w:r>
            <w:r>
              <w:rPr>
                <w:bCs/>
                <w:sz w:val="24"/>
                <w:u w:val="none" w:color="auto"/>
              </w:rPr>
              <w:t>421.9</w:t>
            </w:r>
            <w:r>
              <w:rPr>
                <w:rFonts w:hint="eastAsia"/>
                <w:bCs/>
                <w:sz w:val="24"/>
                <w:u w:val="none" w:color="auto"/>
              </w:rPr>
              <w:t>平方公里。水域面积</w:t>
            </w:r>
            <w:r>
              <w:rPr>
                <w:bCs/>
                <w:sz w:val="24"/>
                <w:u w:val="none" w:color="auto"/>
              </w:rPr>
              <w:t>98.56</w:t>
            </w:r>
            <w:r>
              <w:rPr>
                <w:rFonts w:hint="eastAsia"/>
                <w:bCs/>
                <w:sz w:val="24"/>
                <w:u w:val="none" w:color="auto"/>
              </w:rPr>
              <w:t>万亩，占全县总面积的</w:t>
            </w:r>
            <w:r>
              <w:rPr>
                <w:bCs/>
                <w:sz w:val="24"/>
                <w:u w:val="none" w:color="auto"/>
              </w:rPr>
              <w:t>41.56%</w:t>
            </w:r>
            <w:r>
              <w:rPr>
                <w:rFonts w:hint="eastAsia"/>
                <w:bCs/>
                <w:sz w:val="24"/>
                <w:u w:val="none" w:color="auto"/>
              </w:rPr>
              <w:t>。各类地貌中的水面面积占总面积的百分比分别为：滨湖平原为</w:t>
            </w:r>
            <w:r>
              <w:rPr>
                <w:bCs/>
                <w:sz w:val="24"/>
                <w:u w:val="none" w:color="auto"/>
              </w:rPr>
              <w:t>89.06</w:t>
            </w:r>
            <w:r>
              <w:rPr>
                <w:rFonts w:hint="eastAsia"/>
                <w:bCs/>
                <w:sz w:val="24"/>
                <w:u w:val="none" w:color="auto"/>
              </w:rPr>
              <w:t>万亩，占</w:t>
            </w:r>
            <w:r>
              <w:rPr>
                <w:bCs/>
                <w:sz w:val="24"/>
                <w:u w:val="none" w:color="auto"/>
              </w:rPr>
              <w:t>53.99%</w:t>
            </w:r>
            <w:r>
              <w:rPr>
                <w:rFonts w:hint="eastAsia"/>
                <w:bCs/>
                <w:sz w:val="24"/>
                <w:u w:val="none" w:color="auto"/>
              </w:rPr>
              <w:t>；江河平原为</w:t>
            </w:r>
            <w:r>
              <w:rPr>
                <w:bCs/>
                <w:sz w:val="24"/>
                <w:u w:val="none" w:color="auto"/>
              </w:rPr>
              <w:t>2.37</w:t>
            </w:r>
            <w:r>
              <w:rPr>
                <w:rFonts w:hint="eastAsia"/>
                <w:bCs/>
                <w:sz w:val="24"/>
                <w:u w:val="none" w:color="auto"/>
              </w:rPr>
              <w:t>万亩，占</w:t>
            </w:r>
            <w:r>
              <w:rPr>
                <w:bCs/>
                <w:sz w:val="24"/>
                <w:u w:val="none" w:color="auto"/>
              </w:rPr>
              <w:t>21.68%</w:t>
            </w:r>
            <w:r>
              <w:rPr>
                <w:rFonts w:hint="eastAsia"/>
                <w:bCs/>
                <w:sz w:val="24"/>
                <w:u w:val="none" w:color="auto"/>
              </w:rPr>
              <w:t>；溪谷平原为</w:t>
            </w:r>
            <w:r>
              <w:rPr>
                <w:bCs/>
                <w:sz w:val="24"/>
                <w:u w:val="none" w:color="auto"/>
              </w:rPr>
              <w:t>3.82</w:t>
            </w:r>
            <w:r>
              <w:rPr>
                <w:rFonts w:hint="eastAsia"/>
                <w:bCs/>
                <w:sz w:val="24"/>
                <w:u w:val="none" w:color="auto"/>
              </w:rPr>
              <w:t>万亩，占</w:t>
            </w:r>
            <w:r>
              <w:rPr>
                <w:bCs/>
                <w:sz w:val="24"/>
                <w:u w:val="none" w:color="auto"/>
              </w:rPr>
              <w:t>15.54%</w:t>
            </w:r>
            <w:r>
              <w:rPr>
                <w:rFonts w:hint="eastAsia"/>
                <w:bCs/>
                <w:sz w:val="24"/>
                <w:u w:val="none" w:color="auto"/>
              </w:rPr>
              <w:t>；岗地为</w:t>
            </w:r>
            <w:r>
              <w:rPr>
                <w:bCs/>
                <w:sz w:val="24"/>
                <w:u w:val="none" w:color="auto"/>
              </w:rPr>
              <w:t>2.95</w:t>
            </w:r>
            <w:r>
              <w:rPr>
                <w:rFonts w:hint="eastAsia"/>
                <w:bCs/>
                <w:sz w:val="24"/>
                <w:u w:val="none" w:color="auto"/>
              </w:rPr>
              <w:t>万亩，占</w:t>
            </w:r>
            <w:r>
              <w:rPr>
                <w:bCs/>
                <w:sz w:val="24"/>
                <w:u w:val="none" w:color="auto"/>
              </w:rPr>
              <w:t>8.92%</w:t>
            </w:r>
            <w:r>
              <w:rPr>
                <w:rFonts w:hint="eastAsia"/>
                <w:bCs/>
                <w:sz w:val="24"/>
                <w:u w:val="none" w:color="auto"/>
              </w:rPr>
              <w:t>，低山为</w:t>
            </w:r>
            <w:r>
              <w:rPr>
                <w:bCs/>
                <w:sz w:val="24"/>
                <w:u w:val="none" w:color="auto"/>
              </w:rPr>
              <w:t>3600</w:t>
            </w:r>
            <w:r>
              <w:rPr>
                <w:rFonts w:hint="eastAsia"/>
                <w:bCs/>
                <w:sz w:val="24"/>
                <w:u w:val="none" w:color="auto"/>
              </w:rPr>
              <w:t>亩，占</w:t>
            </w:r>
            <w:r>
              <w:rPr>
                <w:bCs/>
                <w:sz w:val="24"/>
                <w:u w:val="none" w:color="auto"/>
              </w:rPr>
              <w:t>10.08%</w:t>
            </w:r>
            <w:r>
              <w:rPr>
                <w:rFonts w:hint="eastAsia"/>
                <w:bCs/>
                <w:sz w:val="24"/>
                <w:u w:val="none" w:color="auto"/>
              </w:rPr>
              <w:t>。</w:t>
            </w:r>
          </w:p>
          <w:p>
            <w:pPr>
              <w:spacing w:line="360" w:lineRule="auto"/>
              <w:ind w:firstLine="480"/>
              <w:rPr>
                <w:bCs/>
                <w:sz w:val="24"/>
                <w:u w:val="none" w:color="auto"/>
              </w:rPr>
            </w:pPr>
            <w:r>
              <w:rPr>
                <w:rFonts w:hint="eastAsia"/>
                <w:bCs/>
                <w:sz w:val="24"/>
                <w:u w:val="none" w:color="auto"/>
              </w:rPr>
              <w:t>根据《建筑抗震设计规范》</w:t>
            </w:r>
            <w:r>
              <w:rPr>
                <w:bCs/>
                <w:sz w:val="24"/>
                <w:u w:val="none" w:color="auto"/>
              </w:rPr>
              <w:t>GB50011—2001</w:t>
            </w:r>
            <w:r>
              <w:rPr>
                <w:rFonts w:hint="eastAsia"/>
                <w:bCs/>
                <w:sz w:val="24"/>
                <w:u w:val="none" w:color="auto"/>
              </w:rPr>
              <w:t>附录</w:t>
            </w:r>
            <w:r>
              <w:rPr>
                <w:bCs/>
                <w:sz w:val="24"/>
                <w:u w:val="none" w:color="auto"/>
              </w:rPr>
              <w:t>A</w:t>
            </w:r>
            <w:r>
              <w:rPr>
                <w:rFonts w:hint="eastAsia"/>
                <w:bCs/>
                <w:sz w:val="24"/>
                <w:u w:val="none" w:color="auto"/>
              </w:rPr>
              <w:t>及相关规定，湘阴为</w:t>
            </w:r>
            <w:r>
              <w:rPr>
                <w:bCs/>
                <w:sz w:val="24"/>
                <w:u w:val="none" w:color="auto"/>
              </w:rPr>
              <w:t>Ⅶ</w:t>
            </w:r>
            <w:r>
              <w:rPr>
                <w:rFonts w:hint="eastAsia"/>
                <w:bCs/>
                <w:sz w:val="24"/>
                <w:u w:val="none" w:color="auto"/>
              </w:rPr>
              <w:t>度烈度区。</w:t>
            </w:r>
          </w:p>
          <w:p>
            <w:pPr>
              <w:adjustRightInd w:val="0"/>
              <w:snapToGrid w:val="0"/>
              <w:spacing w:line="360" w:lineRule="auto"/>
              <w:ind w:firstLine="462" w:firstLineChars="200"/>
              <w:rPr>
                <w:b/>
                <w:bCs/>
                <w:sz w:val="24"/>
                <w:szCs w:val="24"/>
                <w:u w:val="none" w:color="auto"/>
              </w:rPr>
            </w:pPr>
            <w:r>
              <w:rPr>
                <w:b/>
                <w:bCs/>
                <w:sz w:val="24"/>
                <w:szCs w:val="24"/>
                <w:u w:val="none" w:color="auto"/>
              </w:rPr>
              <w:t>3、气候气象</w:t>
            </w:r>
          </w:p>
          <w:p>
            <w:pPr>
              <w:snapToGrid w:val="0"/>
              <w:spacing w:line="360" w:lineRule="auto"/>
              <w:ind w:firstLine="453" w:firstLineChars="196"/>
              <w:rPr>
                <w:rFonts w:hAnsi="宋体"/>
                <w:bCs/>
                <w:sz w:val="24"/>
                <w:u w:val="none" w:color="auto"/>
              </w:rPr>
            </w:pPr>
            <w:r>
              <w:rPr>
                <w:rFonts w:hint="eastAsia" w:hAnsi="宋体"/>
                <w:bCs/>
                <w:sz w:val="24"/>
                <w:u w:val="none" w:color="auto"/>
              </w:rPr>
              <w:t>湘阴县地处中亚热带向北亚热带过渡的季风气候区，县域内地貌类型简单，东西两部分气候差异不显著，气候温和，雨量充沛，光照充足，四季分明。主要灾害性天气有暴雨、干旱、大风、雷雹、低温、冰冻。县气象站记载，1959～1985年的27年间，共发生此类天气141次，年均5.2次。各种灾害性天气发生次数及占此类天气总数的百分比为：暴雨25次，占17.85%；干旱23次，占16.42%，低温31次，占22.17%；大风26次，占18.57%；雷雹13次，占9.28%，冰冻23次，占15.71%。</w:t>
            </w:r>
          </w:p>
          <w:p>
            <w:pPr>
              <w:spacing w:line="360" w:lineRule="auto"/>
              <w:ind w:firstLine="480"/>
              <w:rPr>
                <w:sz w:val="24"/>
                <w:u w:val="none" w:color="auto"/>
              </w:rPr>
            </w:pPr>
            <w:r>
              <w:rPr>
                <w:bCs/>
                <w:sz w:val="24"/>
                <w:u w:val="none" w:color="auto"/>
              </w:rPr>
              <w:t>湘阴县区域</w:t>
            </w:r>
            <w:r>
              <w:rPr>
                <w:sz w:val="24"/>
                <w:u w:val="none" w:color="auto"/>
              </w:rPr>
              <w:t>主要气象数据；</w:t>
            </w:r>
          </w:p>
          <w:p>
            <w:pPr>
              <w:autoSpaceDE w:val="0"/>
              <w:spacing w:line="360" w:lineRule="auto"/>
              <w:ind w:firstLine="480"/>
              <w:rPr>
                <w:sz w:val="24"/>
                <w:u w:val="none" w:color="auto"/>
              </w:rPr>
            </w:pPr>
            <w:r>
              <w:rPr>
                <w:sz w:val="24"/>
                <w:u w:val="none" w:color="auto"/>
              </w:rPr>
              <w:t>年平均气温                     16.9℃</w:t>
            </w:r>
          </w:p>
          <w:p>
            <w:pPr>
              <w:tabs>
                <w:tab w:val="center" w:pos="4849"/>
              </w:tabs>
              <w:autoSpaceDE w:val="0"/>
              <w:spacing w:line="360" w:lineRule="auto"/>
              <w:ind w:firstLine="480"/>
              <w:rPr>
                <w:sz w:val="24"/>
                <w:u w:val="none" w:color="auto"/>
              </w:rPr>
            </w:pPr>
            <w:r>
              <w:rPr>
                <w:sz w:val="24"/>
                <w:u w:val="none" w:color="auto"/>
              </w:rPr>
              <w:t>最热月平均气温                 29.0℃</w:t>
            </w:r>
          </w:p>
          <w:p>
            <w:pPr>
              <w:tabs>
                <w:tab w:val="center" w:pos="4849"/>
              </w:tabs>
              <w:autoSpaceDE w:val="0"/>
              <w:spacing w:line="360" w:lineRule="auto"/>
              <w:ind w:firstLine="480"/>
              <w:rPr>
                <w:sz w:val="24"/>
                <w:u w:val="none" w:color="auto"/>
              </w:rPr>
            </w:pPr>
            <w:r>
              <w:rPr>
                <w:sz w:val="24"/>
                <w:u w:val="none" w:color="auto"/>
              </w:rPr>
              <w:t>最冷月平均气温                 4.4℃</w:t>
            </w:r>
          </w:p>
          <w:p>
            <w:pPr>
              <w:tabs>
                <w:tab w:val="center" w:pos="4849"/>
              </w:tabs>
              <w:autoSpaceDE w:val="0"/>
              <w:spacing w:line="360" w:lineRule="auto"/>
              <w:ind w:firstLine="480"/>
              <w:rPr>
                <w:sz w:val="24"/>
                <w:u w:val="none" w:color="auto"/>
              </w:rPr>
            </w:pPr>
            <w:r>
              <w:rPr>
                <w:sz w:val="24"/>
                <w:u w:val="none" w:color="auto"/>
              </w:rPr>
              <w:t>极端最高气温                   38.4℃</w:t>
            </w:r>
          </w:p>
          <w:p>
            <w:pPr>
              <w:tabs>
                <w:tab w:val="center" w:pos="4849"/>
              </w:tabs>
              <w:autoSpaceDE w:val="0"/>
              <w:spacing w:line="360" w:lineRule="auto"/>
              <w:ind w:firstLine="480"/>
              <w:rPr>
                <w:sz w:val="24"/>
                <w:u w:val="none" w:color="auto"/>
              </w:rPr>
            </w:pPr>
            <w:r>
              <w:rPr>
                <w:sz w:val="24"/>
                <w:u w:val="none" w:color="auto"/>
              </w:rPr>
              <w:t>极端最低气温                   -12.0℃</w:t>
            </w:r>
          </w:p>
          <w:p>
            <w:pPr>
              <w:tabs>
                <w:tab w:val="center" w:pos="4849"/>
              </w:tabs>
              <w:autoSpaceDE w:val="0"/>
              <w:spacing w:line="360" w:lineRule="auto"/>
              <w:ind w:firstLine="480"/>
              <w:rPr>
                <w:sz w:val="24"/>
                <w:u w:val="none" w:color="auto"/>
              </w:rPr>
            </w:pPr>
            <w:r>
              <w:rPr>
                <w:sz w:val="24"/>
                <w:u w:val="none" w:color="auto"/>
              </w:rPr>
              <w:t>年总降水量                     1410.8mm</w:t>
            </w:r>
          </w:p>
          <w:p>
            <w:pPr>
              <w:tabs>
                <w:tab w:val="center" w:pos="4849"/>
              </w:tabs>
              <w:autoSpaceDE w:val="0"/>
              <w:spacing w:line="360" w:lineRule="auto"/>
              <w:ind w:firstLine="480"/>
              <w:rPr>
                <w:sz w:val="24"/>
                <w:u w:val="none" w:color="auto"/>
              </w:rPr>
            </w:pPr>
            <w:r>
              <w:rPr>
                <w:sz w:val="24"/>
                <w:u w:val="none" w:color="auto"/>
              </w:rPr>
              <w:t>年总日照                       1610.5h</w:t>
            </w:r>
          </w:p>
          <w:p>
            <w:pPr>
              <w:spacing w:line="360" w:lineRule="auto"/>
              <w:ind w:firstLine="480"/>
              <w:rPr>
                <w:bCs/>
                <w:sz w:val="24"/>
                <w:u w:val="none" w:color="auto"/>
              </w:rPr>
            </w:pPr>
            <w:r>
              <w:rPr>
                <w:bCs/>
                <w:sz w:val="24"/>
                <w:u w:val="none" w:color="auto"/>
              </w:rPr>
              <w:t>年主导风向                     西北风</w:t>
            </w:r>
          </w:p>
          <w:p>
            <w:pPr>
              <w:spacing w:line="360" w:lineRule="auto"/>
              <w:ind w:firstLine="480"/>
              <w:rPr>
                <w:bCs/>
                <w:sz w:val="24"/>
                <w:u w:val="none" w:color="auto"/>
              </w:rPr>
            </w:pPr>
            <w:r>
              <w:rPr>
                <w:sz w:val="24"/>
                <w:u w:val="none" w:color="auto"/>
              </w:rPr>
              <w:t>年平均风速                     2.5m/s</w:t>
            </w:r>
          </w:p>
          <w:p>
            <w:pPr>
              <w:tabs>
                <w:tab w:val="center" w:pos="4849"/>
              </w:tabs>
              <w:autoSpaceDE w:val="0"/>
              <w:spacing w:line="360" w:lineRule="auto"/>
              <w:ind w:firstLine="480"/>
              <w:rPr>
                <w:sz w:val="24"/>
                <w:u w:val="none" w:color="auto"/>
              </w:rPr>
            </w:pPr>
            <w:r>
              <w:rPr>
                <w:sz w:val="24"/>
                <w:u w:val="none" w:color="auto"/>
              </w:rPr>
              <w:t>年相对湿度                     81%</w:t>
            </w:r>
          </w:p>
          <w:p>
            <w:pPr>
              <w:spacing w:line="360" w:lineRule="auto"/>
              <w:ind w:firstLine="480"/>
              <w:rPr>
                <w:bCs/>
                <w:sz w:val="24"/>
                <w:u w:val="none" w:color="auto"/>
              </w:rPr>
            </w:pPr>
            <w:r>
              <w:rPr>
                <w:bCs/>
                <w:sz w:val="24"/>
                <w:u w:val="none" w:color="auto"/>
              </w:rPr>
              <w:t>年平均降雨量                   1383毫米</w:t>
            </w:r>
          </w:p>
          <w:p>
            <w:pPr>
              <w:spacing w:line="360" w:lineRule="auto"/>
              <w:ind w:firstLine="480"/>
              <w:rPr>
                <w:bCs/>
                <w:sz w:val="24"/>
                <w:u w:val="none" w:color="auto"/>
              </w:rPr>
            </w:pPr>
            <w:r>
              <w:rPr>
                <w:sz w:val="24"/>
                <w:u w:val="none" w:color="auto"/>
              </w:rPr>
              <w:t>年总蒸发量                     1329.4mm</w:t>
            </w:r>
          </w:p>
          <w:p>
            <w:pPr>
              <w:spacing w:line="360" w:lineRule="auto"/>
              <w:ind w:firstLine="480"/>
              <w:rPr>
                <w:sz w:val="24"/>
                <w:u w:val="none" w:color="auto"/>
              </w:rPr>
            </w:pPr>
            <w:r>
              <w:rPr>
                <w:sz w:val="24"/>
                <w:u w:val="none" w:color="auto"/>
              </w:rPr>
              <w:t>全年无霜期                     274天</w:t>
            </w:r>
          </w:p>
          <w:p>
            <w:pPr>
              <w:adjustRightInd w:val="0"/>
              <w:snapToGrid w:val="0"/>
              <w:spacing w:line="360" w:lineRule="auto"/>
              <w:ind w:firstLine="462" w:firstLineChars="200"/>
              <w:rPr>
                <w:b/>
                <w:bCs/>
                <w:sz w:val="24"/>
                <w:szCs w:val="24"/>
                <w:u w:val="none" w:color="auto"/>
              </w:rPr>
            </w:pPr>
            <w:r>
              <w:rPr>
                <w:b/>
                <w:bCs/>
                <w:sz w:val="24"/>
                <w:szCs w:val="24"/>
                <w:u w:val="none" w:color="auto"/>
              </w:rPr>
              <w:t>4、水文</w:t>
            </w:r>
          </w:p>
          <w:p>
            <w:pPr>
              <w:snapToGrid w:val="0"/>
              <w:spacing w:line="360" w:lineRule="auto"/>
              <w:ind w:firstLine="453" w:firstLineChars="196"/>
              <w:rPr>
                <w:rFonts w:hAnsi="宋体"/>
                <w:bCs/>
                <w:sz w:val="24"/>
                <w:u w:val="none" w:color="auto"/>
              </w:rPr>
            </w:pPr>
            <w:r>
              <w:rPr>
                <w:rFonts w:hint="eastAsia" w:hAnsi="宋体"/>
                <w:bCs/>
                <w:sz w:val="24"/>
                <w:u w:val="none" w:color="auto"/>
              </w:rPr>
              <w:t>湘阴县位于湘江尾闾，洞庭湖滨。湘阴地区江湖甚多，水域面积占总面积的42%左右，河流主要有湘江、资江和白水江等，其直流纵横，河网密布，湖泊星罗棋布。湘资两水在湘阴县内流经长度达250余公里，内江流经长度70余公里，计有外湖81个，内湖78个，塘堰3372个，水坝2249座，主要外湖有横岭湖、团林湖、淳湖和荷叶湖等，主要内湖有鹤龙湖、洋沙湖、范家坝、白洋湖和南湖垸哑河等。水域面积98.56万多亩，占全县总面积的41.56%以上，为养殖、捕捞、灌溉、航运、工业用水提供了十分充裕的水源。</w:t>
            </w:r>
          </w:p>
          <w:p>
            <w:pPr>
              <w:snapToGrid w:val="0"/>
              <w:spacing w:line="360" w:lineRule="auto"/>
              <w:ind w:firstLine="453" w:firstLineChars="196"/>
              <w:rPr>
                <w:rFonts w:hAnsi="宋体"/>
                <w:bCs/>
                <w:sz w:val="24"/>
                <w:u w:val="none" w:color="auto"/>
              </w:rPr>
            </w:pPr>
            <w:r>
              <w:rPr>
                <w:rFonts w:hint="eastAsia" w:hAnsi="宋体"/>
                <w:bCs/>
                <w:sz w:val="24"/>
                <w:u w:val="none" w:color="auto"/>
              </w:rPr>
              <w:t>湘阴县区域地表水发达，主要水系有洋沙湖、白水江、资江、湘江。湘江是我省的最大河流，其发源于湖南省永州市蓝山县紫良瑶族乡蓝山国家森林公园的野狗岭，流经湖南省永州市、衡阳市、株洲市、湘潭市、长沙市，至岳阳市的湘阴县注入长江水系的洞庭湖，于城陵矶入长江，全长856km。湘江江面宽500～1500m，一般水深6～15m，河床多砂砾石且坡度平缓，河水流速慢。其流量分平、洪、丰、枯四个水期，有明显的季节变化，洪水期多出现在5～7月，枯水期多出现在12～翌年2月。湘江是湘阴县的一条景观河流和主要供水水源，保护好湘江水环境质量，是保证湘阴县可持续发展战略的重要因素之一。</w:t>
            </w:r>
          </w:p>
          <w:p>
            <w:pPr>
              <w:snapToGrid w:val="0"/>
              <w:spacing w:line="360" w:lineRule="auto"/>
              <w:ind w:firstLine="453" w:firstLineChars="196"/>
              <w:rPr>
                <w:rFonts w:hAnsi="宋体"/>
                <w:bCs/>
                <w:sz w:val="24"/>
                <w:u w:val="none" w:color="auto"/>
              </w:rPr>
            </w:pPr>
            <w:r>
              <w:rPr>
                <w:rFonts w:hint="eastAsia" w:hAnsi="宋体"/>
                <w:bCs/>
                <w:sz w:val="24"/>
                <w:u w:val="none" w:color="auto"/>
              </w:rPr>
              <w:t>项目所在区域湘江主要水文参数如下：</w:t>
            </w:r>
          </w:p>
          <w:p>
            <w:pPr>
              <w:snapToGrid w:val="0"/>
              <w:spacing w:line="360" w:lineRule="auto"/>
              <w:ind w:firstLine="453" w:firstLineChars="196"/>
              <w:rPr>
                <w:rFonts w:hAnsi="宋体"/>
                <w:bCs/>
                <w:sz w:val="24"/>
                <w:u w:val="none" w:color="auto"/>
              </w:rPr>
            </w:pPr>
            <w:r>
              <w:rPr>
                <w:rFonts w:hint="eastAsia" w:hAnsi="宋体"/>
                <w:bCs/>
                <w:sz w:val="24"/>
                <w:u w:val="none" w:color="auto"/>
              </w:rPr>
              <w:t>年平均水位                    27.31m</w:t>
            </w:r>
          </w:p>
          <w:p>
            <w:pPr>
              <w:snapToGrid w:val="0"/>
              <w:spacing w:line="360" w:lineRule="auto"/>
              <w:ind w:firstLine="453" w:firstLineChars="196"/>
              <w:rPr>
                <w:rFonts w:hAnsi="宋体"/>
                <w:bCs/>
                <w:sz w:val="24"/>
                <w:u w:val="none" w:color="auto"/>
              </w:rPr>
            </w:pPr>
            <w:r>
              <w:rPr>
                <w:rFonts w:hint="eastAsia" w:hAnsi="宋体"/>
                <w:bCs/>
                <w:sz w:val="24"/>
                <w:u w:val="none" w:color="auto"/>
              </w:rPr>
              <w:t>平均最高水位                  36.65m</w:t>
            </w:r>
          </w:p>
          <w:p>
            <w:pPr>
              <w:snapToGrid w:val="0"/>
              <w:spacing w:line="360" w:lineRule="auto"/>
              <w:ind w:firstLine="453" w:firstLineChars="196"/>
              <w:rPr>
                <w:rFonts w:hAnsi="宋体"/>
                <w:bCs/>
                <w:sz w:val="24"/>
                <w:u w:val="none" w:color="auto"/>
              </w:rPr>
            </w:pPr>
            <w:r>
              <w:rPr>
                <w:rFonts w:hint="eastAsia" w:hAnsi="宋体"/>
                <w:bCs/>
                <w:sz w:val="24"/>
                <w:u w:val="none" w:color="auto"/>
              </w:rPr>
              <w:t>平均最低水位                  23.25m</w:t>
            </w:r>
          </w:p>
          <w:p>
            <w:pPr>
              <w:snapToGrid w:val="0"/>
              <w:spacing w:line="360" w:lineRule="auto"/>
              <w:ind w:firstLine="453" w:firstLineChars="196"/>
              <w:rPr>
                <w:rFonts w:hAnsi="宋体"/>
                <w:bCs/>
                <w:sz w:val="24"/>
                <w:u w:val="none" w:color="auto"/>
              </w:rPr>
            </w:pPr>
            <w:r>
              <w:rPr>
                <w:rFonts w:hint="eastAsia" w:hAnsi="宋体"/>
                <w:bCs/>
                <w:sz w:val="24"/>
                <w:u w:val="none" w:color="auto"/>
              </w:rPr>
              <w:t>历史最高洪峰水位              37.37m</w:t>
            </w:r>
          </w:p>
          <w:p>
            <w:pPr>
              <w:snapToGrid w:val="0"/>
              <w:spacing w:line="360" w:lineRule="auto"/>
              <w:ind w:firstLine="453" w:firstLineChars="196"/>
              <w:rPr>
                <w:rFonts w:hAnsi="宋体"/>
                <w:bCs/>
                <w:sz w:val="24"/>
                <w:u w:val="none" w:color="auto"/>
              </w:rPr>
            </w:pPr>
            <w:r>
              <w:rPr>
                <w:rFonts w:hint="eastAsia" w:hAnsi="宋体"/>
                <w:bCs/>
                <w:sz w:val="24"/>
                <w:u w:val="none" w:color="auto"/>
              </w:rPr>
              <w:t>平均径流深                    7.76m</w:t>
            </w:r>
          </w:p>
          <w:p>
            <w:pPr>
              <w:snapToGrid w:val="0"/>
              <w:spacing w:line="360" w:lineRule="auto"/>
              <w:ind w:firstLine="453" w:firstLineChars="196"/>
              <w:rPr>
                <w:rFonts w:hAnsi="宋体"/>
                <w:bCs/>
                <w:sz w:val="24"/>
                <w:u w:val="none" w:color="auto"/>
              </w:rPr>
            </w:pPr>
            <w:r>
              <w:rPr>
                <w:rFonts w:hint="eastAsia" w:hAnsi="宋体"/>
                <w:bCs/>
                <w:sz w:val="24"/>
                <w:u w:val="none" w:color="auto"/>
              </w:rPr>
              <w:t>年平均流量                    2131m</w:t>
            </w:r>
            <w:r>
              <w:rPr>
                <w:rFonts w:hint="eastAsia" w:hAnsi="宋体"/>
                <w:bCs/>
                <w:sz w:val="24"/>
                <w:u w:val="none" w:color="auto"/>
                <w:vertAlign w:val="superscript"/>
              </w:rPr>
              <w:t>3</w:t>
            </w:r>
            <w:r>
              <w:rPr>
                <w:rFonts w:hint="eastAsia" w:hAnsi="宋体"/>
                <w:bCs/>
                <w:sz w:val="24"/>
                <w:u w:val="none" w:color="auto"/>
              </w:rPr>
              <w:t>/s</w:t>
            </w:r>
          </w:p>
          <w:p>
            <w:pPr>
              <w:snapToGrid w:val="0"/>
              <w:spacing w:line="360" w:lineRule="auto"/>
              <w:ind w:firstLine="453" w:firstLineChars="196"/>
              <w:rPr>
                <w:rFonts w:hAnsi="宋体"/>
                <w:bCs/>
                <w:sz w:val="24"/>
                <w:u w:val="none" w:color="auto"/>
              </w:rPr>
            </w:pPr>
            <w:r>
              <w:rPr>
                <w:rFonts w:hint="eastAsia" w:hAnsi="宋体"/>
                <w:bCs/>
                <w:sz w:val="24"/>
                <w:u w:val="none" w:color="auto"/>
              </w:rPr>
              <w:t>平均最大流量                  12900m</w:t>
            </w:r>
            <w:r>
              <w:rPr>
                <w:rFonts w:hint="eastAsia" w:hAnsi="宋体"/>
                <w:bCs/>
                <w:sz w:val="24"/>
                <w:u w:val="none" w:color="auto"/>
                <w:vertAlign w:val="superscript"/>
              </w:rPr>
              <w:t>3</w:t>
            </w:r>
            <w:r>
              <w:rPr>
                <w:rFonts w:hint="eastAsia" w:hAnsi="宋体"/>
                <w:bCs/>
                <w:sz w:val="24"/>
                <w:u w:val="none" w:color="auto"/>
              </w:rPr>
              <w:t>/s</w:t>
            </w:r>
          </w:p>
          <w:p>
            <w:pPr>
              <w:snapToGrid w:val="0"/>
              <w:spacing w:line="360" w:lineRule="auto"/>
              <w:ind w:firstLine="453" w:firstLineChars="196"/>
              <w:rPr>
                <w:rFonts w:hAnsi="宋体"/>
                <w:bCs/>
                <w:sz w:val="24"/>
                <w:u w:val="none" w:color="auto"/>
              </w:rPr>
            </w:pPr>
            <w:r>
              <w:rPr>
                <w:rFonts w:hint="eastAsia" w:hAnsi="宋体"/>
                <w:bCs/>
                <w:sz w:val="24"/>
                <w:u w:val="none" w:color="auto"/>
              </w:rPr>
              <w:t>平均最小流量                  248m</w:t>
            </w:r>
            <w:r>
              <w:rPr>
                <w:rFonts w:hint="eastAsia" w:hAnsi="宋体"/>
                <w:bCs/>
                <w:sz w:val="24"/>
                <w:u w:val="none" w:color="auto"/>
                <w:vertAlign w:val="superscript"/>
              </w:rPr>
              <w:t>3</w:t>
            </w:r>
            <w:r>
              <w:rPr>
                <w:rFonts w:hint="eastAsia" w:hAnsi="宋体"/>
                <w:bCs/>
                <w:sz w:val="24"/>
                <w:u w:val="none" w:color="auto"/>
              </w:rPr>
              <w:t>/s</w:t>
            </w:r>
          </w:p>
          <w:p>
            <w:pPr>
              <w:snapToGrid w:val="0"/>
              <w:spacing w:line="360" w:lineRule="auto"/>
              <w:ind w:firstLine="453" w:firstLineChars="196"/>
              <w:rPr>
                <w:rFonts w:hAnsi="宋体"/>
                <w:bCs/>
                <w:sz w:val="24"/>
                <w:u w:val="none" w:color="auto"/>
              </w:rPr>
            </w:pPr>
            <w:r>
              <w:rPr>
                <w:rFonts w:hint="eastAsia" w:hAnsi="宋体"/>
                <w:bCs/>
                <w:sz w:val="24"/>
                <w:u w:val="none" w:color="auto"/>
              </w:rPr>
              <w:t>最大流速                      2.6m/s</w:t>
            </w:r>
          </w:p>
          <w:p>
            <w:pPr>
              <w:snapToGrid w:val="0"/>
              <w:spacing w:line="360" w:lineRule="auto"/>
              <w:ind w:firstLine="453" w:firstLineChars="196"/>
              <w:rPr>
                <w:rFonts w:hAnsi="宋体"/>
                <w:bCs/>
                <w:sz w:val="24"/>
                <w:u w:val="none" w:color="auto"/>
              </w:rPr>
            </w:pPr>
            <w:r>
              <w:rPr>
                <w:rFonts w:hint="eastAsia" w:hAnsi="宋体"/>
                <w:bCs/>
                <w:sz w:val="24"/>
                <w:u w:val="none" w:color="auto"/>
              </w:rPr>
              <w:t>年平均流速                    0.45m/s</w:t>
            </w:r>
          </w:p>
          <w:p>
            <w:pPr>
              <w:snapToGrid w:val="0"/>
              <w:spacing w:line="360" w:lineRule="auto"/>
              <w:ind w:firstLine="453" w:firstLineChars="196"/>
              <w:rPr>
                <w:rFonts w:hAnsi="宋体"/>
                <w:bCs/>
                <w:sz w:val="24"/>
                <w:u w:val="none" w:color="auto"/>
              </w:rPr>
            </w:pPr>
            <w:r>
              <w:rPr>
                <w:rFonts w:hint="eastAsia" w:hAnsi="宋体"/>
                <w:bCs/>
                <w:sz w:val="24"/>
                <w:u w:val="none" w:color="auto"/>
              </w:rPr>
              <w:t xml:space="preserve">枯水期平均流速              </w:t>
            </w:r>
            <w:r>
              <w:rPr>
                <w:rFonts w:hAnsi="宋体"/>
                <w:bCs/>
                <w:sz w:val="24"/>
                <w:u w:val="none" w:color="auto"/>
              </w:rPr>
              <w:t xml:space="preserve"> </w:t>
            </w:r>
            <w:r>
              <w:rPr>
                <w:rFonts w:hint="eastAsia" w:hAnsi="宋体"/>
                <w:bCs/>
                <w:sz w:val="24"/>
                <w:u w:val="none" w:color="auto"/>
              </w:rPr>
              <w:t xml:space="preserve"> 0.18m/s</w:t>
            </w:r>
          </w:p>
          <w:p>
            <w:pPr>
              <w:snapToGrid w:val="0"/>
              <w:spacing w:line="360" w:lineRule="auto"/>
              <w:ind w:firstLine="453" w:firstLineChars="196"/>
              <w:rPr>
                <w:rFonts w:hAnsi="宋体"/>
                <w:bCs/>
                <w:sz w:val="24"/>
                <w:u w:val="none" w:color="auto"/>
              </w:rPr>
            </w:pPr>
            <w:r>
              <w:rPr>
                <w:rFonts w:hint="eastAsia" w:hAnsi="宋体"/>
                <w:bCs/>
                <w:sz w:val="24"/>
                <w:u w:val="none" w:color="auto"/>
              </w:rPr>
              <w:t>按《湖南省主要水系地表水环境功能区划》（DB43/023—2005），从湘江长沙段下游至湘阴的水环境功能区划为：①沩水河北口端至湘阴樟树港的22.5km为渔业用水区，执行Ⅲ类水质标准。②樟树港至浩河口的7.4km为渔业用水区，执行Ⅲ类水质标准。③浩河口至洋沙湖上游1000m（东支）5.2km为二级水源保护区，执行Ⅲ类水质标准。④洋沙湖上游1000m至下游200m（东支）1.2km为湘阴县一级水源保护区，执行Ⅱ类水质标准。⑤洋沙湖下游200m至磊石（东支）62.7km为渔业用水区，执行Ⅲ类水质标准。</w:t>
            </w:r>
          </w:p>
          <w:p>
            <w:pPr>
              <w:adjustRightInd w:val="0"/>
              <w:snapToGrid w:val="0"/>
              <w:spacing w:line="360" w:lineRule="auto"/>
              <w:ind w:firstLine="462" w:firstLineChars="200"/>
              <w:rPr>
                <w:b/>
                <w:bCs/>
                <w:sz w:val="24"/>
                <w:szCs w:val="24"/>
                <w:u w:val="none" w:color="auto"/>
              </w:rPr>
            </w:pPr>
            <w:r>
              <w:rPr>
                <w:b/>
                <w:bCs/>
                <w:sz w:val="24"/>
                <w:szCs w:val="24"/>
                <w:u w:val="none" w:color="auto"/>
              </w:rPr>
              <w:t xml:space="preserve">5、植被与生物 </w:t>
            </w:r>
          </w:p>
          <w:p>
            <w:pPr>
              <w:snapToGrid w:val="0"/>
              <w:spacing w:line="360" w:lineRule="auto"/>
              <w:ind w:firstLine="453" w:firstLineChars="196"/>
              <w:rPr>
                <w:rFonts w:hAnsi="宋体"/>
                <w:bCs/>
                <w:sz w:val="24"/>
                <w:u w:val="none" w:color="auto"/>
              </w:rPr>
            </w:pPr>
            <w:r>
              <w:rPr>
                <w:rFonts w:hint="eastAsia" w:hAnsi="宋体"/>
                <w:bCs/>
                <w:sz w:val="24"/>
                <w:u w:val="none" w:color="auto"/>
              </w:rPr>
              <w:t>湘阴县农业生物资源极为丰富，全县有以水稻、红薯为主的11种粮食作物，有以茶叶、棉花、藠头为主的15种经济作物，有以芦苇、湘莲为主的10余种水生经济作物，有以松、杉、樟、柳为主的228个树种，有以青、草、鲢、鳙、鲤和湘去鲫(鲤)为主的114个鱼类品种，有以猪、牛、山羊、鸡、鸭、鹅为主的9个畜禽种类。</w:t>
            </w:r>
          </w:p>
          <w:p>
            <w:pPr>
              <w:snapToGrid w:val="0"/>
              <w:spacing w:line="360" w:lineRule="auto"/>
              <w:ind w:firstLine="453" w:firstLineChars="196"/>
              <w:rPr>
                <w:rFonts w:hAnsi="宋体"/>
                <w:bCs/>
                <w:sz w:val="24"/>
                <w:u w:val="none" w:color="auto"/>
              </w:rPr>
            </w:pPr>
            <w:r>
              <w:rPr>
                <w:rFonts w:hint="eastAsia" w:hAnsi="宋体"/>
                <w:bCs/>
                <w:sz w:val="24"/>
                <w:u w:val="none" w:color="auto"/>
              </w:rPr>
              <w:t>全县山林24万亩，林业用地占陆地面积的16%，森林覆盖率为12.5%，用林主要分布在东部低山岗地。其中杉木基地分布在界头铺、玉华、长康等乡镇的低山地带及六塘、石塘乡部分岗地。长康等乡镇部分岗地。防护林主要分布在西部平原。从外地引进的意大利杨和美国松分别植于北部湖洲上和东部山岗区，引进的树种生长茂盛，大有发展前途。境内多珍奇生物，珍稀树种有银杏、枫香、杜仲等30余种，珍禽异兽有鹿、獐、獾、锦鸡、鸳鸯等。珍贵的鱼有中华鲟、白鲟、银鱼、胭脂鱼、非洲鲫等，还有特种水产甲鱼、乌龟、泥蛙、龙虾、河蟹、贝类以及世界珍稀的白鳍豚。</w:t>
            </w:r>
          </w:p>
          <w:p>
            <w:pPr>
              <w:snapToGrid w:val="0"/>
              <w:spacing w:line="360" w:lineRule="auto"/>
              <w:ind w:firstLine="480"/>
              <w:rPr>
                <w:rFonts w:hAnsi="宋体"/>
                <w:sz w:val="24"/>
                <w:szCs w:val="24"/>
                <w:u w:val="none" w:color="auto"/>
              </w:rPr>
            </w:pPr>
            <w:r>
              <w:rPr>
                <w:rFonts w:hint="eastAsia" w:hAnsi="宋体"/>
                <w:sz w:val="24"/>
                <w:szCs w:val="24"/>
                <w:u w:val="none" w:color="auto"/>
              </w:rPr>
              <w:t>项目区受人类活动的影响较大，人为开发程度高，工程区土壤主要为板、页岩发育的红壤、黄壤；因人类活动，原始植被已遭破坏，残存仅有少数壳丰科及樟科的常绿阔叶林和次生马尾松林，被覆地表的主要是人造的用材林、经济林、及栽培农作物，如油茶林、果木林、杉木林等，林下植被有灌木及茅草等；陆生动物主要为一些小型的啮齿类动物、两栖类动物、昆虫及一些常见鸟类。</w:t>
            </w:r>
          </w:p>
          <w:p>
            <w:pPr>
              <w:snapToGrid w:val="0"/>
              <w:spacing w:line="360" w:lineRule="auto"/>
              <w:ind w:firstLine="462" w:firstLineChars="200"/>
              <w:jc w:val="left"/>
              <w:rPr>
                <w:rFonts w:hAnsi="宋体"/>
                <w:sz w:val="24"/>
                <w:szCs w:val="24"/>
                <w:u w:val="none" w:color="auto"/>
              </w:rPr>
            </w:pPr>
            <w:r>
              <w:rPr>
                <w:rFonts w:hint="eastAsia" w:hAnsi="宋体"/>
                <w:sz w:val="24"/>
                <w:szCs w:val="24"/>
                <w:u w:val="none" w:color="auto"/>
              </w:rPr>
              <w:t>根据实地调查，评价区域内无名胜古迹、风景名胜区、文物保护区等需要特殊保护的目标，无需特殊保护的珍稀动植物。</w:t>
            </w:r>
          </w:p>
          <w:p>
            <w:pPr>
              <w:adjustRightInd w:val="0"/>
              <w:snapToGrid w:val="0"/>
              <w:spacing w:line="360" w:lineRule="auto"/>
              <w:ind w:firstLine="462" w:firstLineChars="200"/>
              <w:rPr>
                <w:b/>
                <w:sz w:val="24"/>
                <w:u w:val="none" w:color="auto"/>
              </w:rPr>
            </w:pPr>
            <w:r>
              <w:rPr>
                <w:sz w:val="24"/>
                <w:u w:val="none" w:color="auto"/>
              </w:rPr>
              <w:t>本项目所在地环境功能属性见表</w:t>
            </w:r>
            <w:r>
              <w:rPr>
                <w:rFonts w:hint="eastAsia"/>
                <w:sz w:val="24"/>
                <w:u w:val="none" w:color="auto"/>
                <w:lang w:val="en-US" w:eastAsia="zh-CN"/>
              </w:rPr>
              <w:t>2-1</w:t>
            </w:r>
            <w:r>
              <w:rPr>
                <w:sz w:val="24"/>
                <w:u w:val="none" w:color="auto"/>
              </w:rPr>
              <w:t>：</w:t>
            </w:r>
          </w:p>
          <w:p>
            <w:pPr>
              <w:snapToGrid w:val="0"/>
              <w:spacing w:line="360" w:lineRule="auto"/>
              <w:ind w:firstLine="462" w:firstLineChars="200"/>
              <w:jc w:val="center"/>
              <w:rPr>
                <w:b/>
                <w:sz w:val="24"/>
                <w:u w:val="none" w:color="auto"/>
              </w:rPr>
            </w:pPr>
            <w:r>
              <w:rPr>
                <w:b/>
                <w:sz w:val="24"/>
                <w:u w:val="none" w:color="auto"/>
              </w:rPr>
              <w:t>表</w:t>
            </w:r>
            <w:r>
              <w:rPr>
                <w:rFonts w:hint="eastAsia"/>
                <w:b/>
                <w:sz w:val="24"/>
                <w:u w:val="none" w:color="auto"/>
                <w:lang w:val="en-US" w:eastAsia="zh-CN"/>
              </w:rPr>
              <w:t>2-1</w:t>
            </w:r>
            <w:r>
              <w:rPr>
                <w:b/>
                <w:sz w:val="24"/>
                <w:u w:val="none" w:color="auto"/>
              </w:rPr>
              <w:t xml:space="preserve"> 本区域环境功能区划</w:t>
            </w:r>
          </w:p>
          <w:tbl>
            <w:tblPr>
              <w:tblStyle w:val="39"/>
              <w:tblW w:w="907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62"/>
              <w:gridCol w:w="3167"/>
              <w:gridCol w:w="494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编号</w:t>
                  </w:r>
                </w:p>
              </w:tc>
              <w:tc>
                <w:tcPr>
                  <w:tcW w:w="3167" w:type="dxa"/>
                  <w:noWrap w:val="0"/>
                  <w:vAlign w:val="center"/>
                </w:tcPr>
                <w:p>
                  <w:pPr>
                    <w:adjustRightInd w:val="0"/>
                    <w:snapToGrid w:val="0"/>
                    <w:spacing w:line="360" w:lineRule="auto"/>
                    <w:jc w:val="center"/>
                    <w:rPr>
                      <w:szCs w:val="21"/>
                      <w:u w:val="none" w:color="auto"/>
                    </w:rPr>
                  </w:pPr>
                  <w:r>
                    <w:rPr>
                      <w:szCs w:val="21"/>
                      <w:u w:val="none" w:color="auto"/>
                    </w:rPr>
                    <w:t>项目</w:t>
                  </w:r>
                </w:p>
              </w:tc>
              <w:tc>
                <w:tcPr>
                  <w:tcW w:w="4949" w:type="dxa"/>
                  <w:noWrap w:val="0"/>
                  <w:vAlign w:val="center"/>
                </w:tcPr>
                <w:p>
                  <w:pPr>
                    <w:adjustRightInd w:val="0"/>
                    <w:snapToGrid w:val="0"/>
                    <w:spacing w:line="360" w:lineRule="auto"/>
                    <w:jc w:val="center"/>
                    <w:rPr>
                      <w:szCs w:val="21"/>
                      <w:u w:val="none" w:color="auto"/>
                    </w:rPr>
                  </w:pPr>
                  <w:r>
                    <w:rPr>
                      <w:szCs w:val="21"/>
                      <w:u w:val="none" w:color="auto"/>
                    </w:rPr>
                    <w:t>功能属性及执行标准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1</w:t>
                  </w:r>
                </w:p>
              </w:tc>
              <w:tc>
                <w:tcPr>
                  <w:tcW w:w="3167" w:type="dxa"/>
                  <w:noWrap w:val="0"/>
                  <w:vAlign w:val="center"/>
                </w:tcPr>
                <w:p>
                  <w:pPr>
                    <w:adjustRightInd w:val="0"/>
                    <w:snapToGrid w:val="0"/>
                    <w:spacing w:line="360" w:lineRule="auto"/>
                    <w:jc w:val="center"/>
                    <w:rPr>
                      <w:szCs w:val="21"/>
                      <w:u w:val="none" w:color="auto"/>
                    </w:rPr>
                  </w:pPr>
                  <w:r>
                    <w:rPr>
                      <w:szCs w:val="21"/>
                      <w:u w:val="none" w:color="auto"/>
                    </w:rPr>
                    <w:t>水环境功能区</w:t>
                  </w:r>
                </w:p>
              </w:tc>
              <w:tc>
                <w:tcPr>
                  <w:tcW w:w="4949" w:type="dxa"/>
                  <w:noWrap w:val="0"/>
                  <w:vAlign w:val="center"/>
                </w:tcPr>
                <w:p>
                  <w:pPr>
                    <w:adjustRightInd w:val="0"/>
                    <w:snapToGrid w:val="0"/>
                    <w:spacing w:line="360" w:lineRule="auto"/>
                    <w:jc w:val="center"/>
                    <w:rPr>
                      <w:szCs w:val="21"/>
                      <w:u w:val="none" w:color="auto"/>
                    </w:rPr>
                  </w:pPr>
                  <w:r>
                    <w:rPr>
                      <w:szCs w:val="21"/>
                      <w:u w:val="none" w:color="auto"/>
                    </w:rPr>
                    <w:t>执行《地表水环境质量标准》（Gb3838-2002）</w:t>
                  </w:r>
                </w:p>
                <w:p>
                  <w:pPr>
                    <w:adjustRightInd w:val="0"/>
                    <w:snapToGrid w:val="0"/>
                    <w:spacing w:line="360" w:lineRule="auto"/>
                    <w:jc w:val="center"/>
                    <w:rPr>
                      <w:szCs w:val="21"/>
                      <w:u w:val="none" w:color="auto"/>
                    </w:rPr>
                  </w:pPr>
                  <w:r>
                    <w:rPr>
                      <w:szCs w:val="21"/>
                      <w:u w:val="none" w:color="auto"/>
                    </w:rPr>
                    <w:t>Ⅲ类标准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2</w:t>
                  </w:r>
                </w:p>
              </w:tc>
              <w:tc>
                <w:tcPr>
                  <w:tcW w:w="3167" w:type="dxa"/>
                  <w:noWrap w:val="0"/>
                  <w:vAlign w:val="center"/>
                </w:tcPr>
                <w:p>
                  <w:pPr>
                    <w:adjustRightInd w:val="0"/>
                    <w:snapToGrid w:val="0"/>
                    <w:spacing w:line="360" w:lineRule="auto"/>
                    <w:jc w:val="center"/>
                    <w:rPr>
                      <w:szCs w:val="21"/>
                      <w:u w:val="none" w:color="auto"/>
                    </w:rPr>
                  </w:pPr>
                  <w:r>
                    <w:rPr>
                      <w:szCs w:val="21"/>
                      <w:u w:val="none" w:color="auto"/>
                    </w:rPr>
                    <w:t>环境空气质量功能区</w:t>
                  </w:r>
                </w:p>
              </w:tc>
              <w:tc>
                <w:tcPr>
                  <w:tcW w:w="4949" w:type="dxa"/>
                  <w:noWrap w:val="0"/>
                  <w:vAlign w:val="center"/>
                </w:tcPr>
                <w:p>
                  <w:pPr>
                    <w:adjustRightInd w:val="0"/>
                    <w:snapToGrid w:val="0"/>
                    <w:spacing w:line="360" w:lineRule="auto"/>
                    <w:jc w:val="center"/>
                    <w:rPr>
                      <w:szCs w:val="21"/>
                      <w:u w:val="none" w:color="auto"/>
                    </w:rPr>
                  </w:pPr>
                  <w:r>
                    <w:rPr>
                      <w:szCs w:val="21"/>
                      <w:u w:val="none" w:color="auto"/>
                    </w:rPr>
                    <w:t>二类区，环境空气质量执行《环境空气质量标准》</w:t>
                  </w:r>
                </w:p>
                <w:p>
                  <w:pPr>
                    <w:adjustRightInd w:val="0"/>
                    <w:snapToGrid w:val="0"/>
                    <w:spacing w:line="360" w:lineRule="auto"/>
                    <w:jc w:val="center"/>
                    <w:rPr>
                      <w:szCs w:val="21"/>
                      <w:u w:val="none" w:color="auto"/>
                    </w:rPr>
                  </w:pPr>
                  <w:r>
                    <w:rPr>
                      <w:szCs w:val="21"/>
                      <w:u w:val="none" w:color="auto"/>
                    </w:rPr>
                    <w:t>（GB3095-2012）中的二级标准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3</w:t>
                  </w:r>
                </w:p>
              </w:tc>
              <w:tc>
                <w:tcPr>
                  <w:tcW w:w="3167" w:type="dxa"/>
                  <w:noWrap w:val="0"/>
                  <w:vAlign w:val="center"/>
                </w:tcPr>
                <w:p>
                  <w:pPr>
                    <w:adjustRightInd w:val="0"/>
                    <w:snapToGrid w:val="0"/>
                    <w:spacing w:line="360" w:lineRule="auto"/>
                    <w:jc w:val="center"/>
                    <w:rPr>
                      <w:szCs w:val="21"/>
                      <w:u w:val="none" w:color="auto"/>
                    </w:rPr>
                  </w:pPr>
                  <w:r>
                    <w:rPr>
                      <w:szCs w:val="21"/>
                      <w:u w:val="none" w:color="auto"/>
                    </w:rPr>
                    <w:t>声环境功能区</w:t>
                  </w:r>
                </w:p>
              </w:tc>
              <w:tc>
                <w:tcPr>
                  <w:tcW w:w="4949" w:type="dxa"/>
                  <w:noWrap w:val="0"/>
                  <w:vAlign w:val="center"/>
                </w:tcPr>
                <w:p>
                  <w:pPr>
                    <w:adjustRightInd w:val="0"/>
                    <w:snapToGrid w:val="0"/>
                    <w:spacing w:line="360" w:lineRule="auto"/>
                    <w:jc w:val="center"/>
                    <w:rPr>
                      <w:szCs w:val="21"/>
                      <w:u w:val="none" w:color="auto"/>
                    </w:rPr>
                  </w:pPr>
                  <w:r>
                    <w:rPr>
                      <w:rFonts w:hint="eastAsia"/>
                      <w:szCs w:val="21"/>
                      <w:u w:val="none" w:color="auto"/>
                      <w:lang w:val="en-US" w:eastAsia="zh-CN"/>
                    </w:rPr>
                    <w:t>2</w:t>
                  </w:r>
                  <w:r>
                    <w:rPr>
                      <w:szCs w:val="21"/>
                      <w:u w:val="none" w:color="auto"/>
                    </w:rPr>
                    <w:t>类声环境区，执行《声环境质量标准》</w:t>
                  </w:r>
                </w:p>
                <w:p>
                  <w:pPr>
                    <w:adjustRightInd w:val="0"/>
                    <w:snapToGrid w:val="0"/>
                    <w:spacing w:line="360" w:lineRule="auto"/>
                    <w:jc w:val="center"/>
                    <w:rPr>
                      <w:szCs w:val="21"/>
                      <w:u w:val="none" w:color="auto"/>
                    </w:rPr>
                  </w:pPr>
                  <w:r>
                    <w:rPr>
                      <w:szCs w:val="21"/>
                      <w:u w:val="none" w:color="auto"/>
                    </w:rPr>
                    <w:t>（GB3096-2008）</w:t>
                  </w:r>
                  <w:r>
                    <w:rPr>
                      <w:rFonts w:hint="eastAsia"/>
                      <w:szCs w:val="21"/>
                      <w:u w:val="none" w:color="auto"/>
                      <w:lang w:val="en-US" w:eastAsia="zh-CN"/>
                    </w:rPr>
                    <w:t>2</w:t>
                  </w:r>
                  <w:r>
                    <w:rPr>
                      <w:szCs w:val="21"/>
                      <w:u w:val="none" w:color="auto"/>
                    </w:rPr>
                    <w:t>类环境噪声限值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4</w:t>
                  </w:r>
                </w:p>
              </w:tc>
              <w:tc>
                <w:tcPr>
                  <w:tcW w:w="3167" w:type="dxa"/>
                  <w:noWrap w:val="0"/>
                  <w:vAlign w:val="center"/>
                </w:tcPr>
                <w:p>
                  <w:pPr>
                    <w:adjustRightInd w:val="0"/>
                    <w:snapToGrid w:val="0"/>
                    <w:spacing w:line="360" w:lineRule="auto"/>
                    <w:jc w:val="center"/>
                    <w:rPr>
                      <w:szCs w:val="21"/>
                      <w:u w:val="none" w:color="auto"/>
                    </w:rPr>
                  </w:pPr>
                  <w:r>
                    <w:rPr>
                      <w:szCs w:val="21"/>
                      <w:u w:val="none" w:color="auto"/>
                    </w:rPr>
                    <w:t>是否基本农田保护区</w:t>
                  </w:r>
                </w:p>
              </w:tc>
              <w:tc>
                <w:tcPr>
                  <w:tcW w:w="4949" w:type="dxa"/>
                  <w:noWrap w:val="0"/>
                  <w:vAlign w:val="center"/>
                </w:tcPr>
                <w:p>
                  <w:pPr>
                    <w:adjustRightInd w:val="0"/>
                    <w:snapToGrid w:val="0"/>
                    <w:spacing w:line="360" w:lineRule="auto"/>
                    <w:jc w:val="center"/>
                    <w:rPr>
                      <w:szCs w:val="21"/>
                      <w:u w:val="none" w:color="auto"/>
                    </w:rPr>
                  </w:pPr>
                  <w:r>
                    <w:rPr>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5</w:t>
                  </w:r>
                </w:p>
              </w:tc>
              <w:tc>
                <w:tcPr>
                  <w:tcW w:w="3167" w:type="dxa"/>
                  <w:noWrap w:val="0"/>
                  <w:vAlign w:val="center"/>
                </w:tcPr>
                <w:p>
                  <w:pPr>
                    <w:adjustRightInd w:val="0"/>
                    <w:snapToGrid w:val="0"/>
                    <w:spacing w:line="360" w:lineRule="auto"/>
                    <w:jc w:val="center"/>
                    <w:rPr>
                      <w:szCs w:val="21"/>
                      <w:u w:val="none" w:color="auto"/>
                    </w:rPr>
                  </w:pPr>
                  <w:r>
                    <w:rPr>
                      <w:szCs w:val="21"/>
                      <w:u w:val="none" w:color="auto"/>
                    </w:rPr>
                    <w:t>是否森林公园</w:t>
                  </w:r>
                </w:p>
              </w:tc>
              <w:tc>
                <w:tcPr>
                  <w:tcW w:w="4949" w:type="dxa"/>
                  <w:noWrap w:val="0"/>
                  <w:vAlign w:val="center"/>
                </w:tcPr>
                <w:p>
                  <w:pPr>
                    <w:adjustRightInd w:val="0"/>
                    <w:snapToGrid w:val="0"/>
                    <w:spacing w:line="360" w:lineRule="auto"/>
                    <w:jc w:val="center"/>
                    <w:rPr>
                      <w:szCs w:val="21"/>
                      <w:u w:val="none" w:color="auto"/>
                    </w:rPr>
                  </w:pPr>
                  <w:r>
                    <w:rPr>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6</w:t>
                  </w:r>
                </w:p>
              </w:tc>
              <w:tc>
                <w:tcPr>
                  <w:tcW w:w="3167" w:type="dxa"/>
                  <w:noWrap w:val="0"/>
                  <w:vAlign w:val="center"/>
                </w:tcPr>
                <w:p>
                  <w:pPr>
                    <w:adjustRightInd w:val="0"/>
                    <w:snapToGrid w:val="0"/>
                    <w:spacing w:line="360" w:lineRule="auto"/>
                    <w:jc w:val="center"/>
                    <w:rPr>
                      <w:szCs w:val="21"/>
                      <w:u w:val="none" w:color="auto"/>
                    </w:rPr>
                  </w:pPr>
                  <w:r>
                    <w:rPr>
                      <w:szCs w:val="21"/>
                      <w:u w:val="none" w:color="auto"/>
                    </w:rPr>
                    <w:t>是否生态功能保护区</w:t>
                  </w:r>
                </w:p>
              </w:tc>
              <w:tc>
                <w:tcPr>
                  <w:tcW w:w="4949" w:type="dxa"/>
                  <w:noWrap w:val="0"/>
                  <w:vAlign w:val="center"/>
                </w:tcPr>
                <w:p>
                  <w:pPr>
                    <w:adjustRightInd w:val="0"/>
                    <w:snapToGrid w:val="0"/>
                    <w:spacing w:line="360" w:lineRule="auto"/>
                    <w:jc w:val="center"/>
                    <w:rPr>
                      <w:szCs w:val="21"/>
                      <w:u w:val="none" w:color="auto"/>
                    </w:rPr>
                  </w:pPr>
                  <w:r>
                    <w:rPr>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7</w:t>
                  </w:r>
                </w:p>
              </w:tc>
              <w:tc>
                <w:tcPr>
                  <w:tcW w:w="3167" w:type="dxa"/>
                  <w:noWrap w:val="0"/>
                  <w:vAlign w:val="center"/>
                </w:tcPr>
                <w:p>
                  <w:pPr>
                    <w:adjustRightInd w:val="0"/>
                    <w:snapToGrid w:val="0"/>
                    <w:spacing w:line="360" w:lineRule="auto"/>
                    <w:jc w:val="center"/>
                    <w:rPr>
                      <w:szCs w:val="21"/>
                      <w:u w:val="none" w:color="auto"/>
                    </w:rPr>
                  </w:pPr>
                  <w:r>
                    <w:rPr>
                      <w:szCs w:val="21"/>
                      <w:u w:val="none" w:color="auto"/>
                    </w:rPr>
                    <w:t>是否水土流失重点防治区</w:t>
                  </w:r>
                </w:p>
              </w:tc>
              <w:tc>
                <w:tcPr>
                  <w:tcW w:w="4949" w:type="dxa"/>
                  <w:noWrap w:val="0"/>
                  <w:vAlign w:val="center"/>
                </w:tcPr>
                <w:p>
                  <w:pPr>
                    <w:adjustRightInd w:val="0"/>
                    <w:snapToGrid w:val="0"/>
                    <w:spacing w:line="360" w:lineRule="auto"/>
                    <w:jc w:val="center"/>
                    <w:rPr>
                      <w:szCs w:val="21"/>
                      <w:u w:val="none" w:color="auto"/>
                    </w:rPr>
                  </w:pPr>
                  <w:r>
                    <w:rPr>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8</w:t>
                  </w:r>
                </w:p>
              </w:tc>
              <w:tc>
                <w:tcPr>
                  <w:tcW w:w="3167" w:type="dxa"/>
                  <w:noWrap w:val="0"/>
                  <w:vAlign w:val="center"/>
                </w:tcPr>
                <w:p>
                  <w:pPr>
                    <w:adjustRightInd w:val="0"/>
                    <w:snapToGrid w:val="0"/>
                    <w:spacing w:line="360" w:lineRule="auto"/>
                    <w:jc w:val="center"/>
                    <w:rPr>
                      <w:szCs w:val="21"/>
                      <w:u w:val="none" w:color="auto"/>
                    </w:rPr>
                  </w:pPr>
                  <w:r>
                    <w:rPr>
                      <w:szCs w:val="21"/>
                      <w:u w:val="none" w:color="auto"/>
                    </w:rPr>
                    <w:t>是否人口密集区</w:t>
                  </w:r>
                </w:p>
              </w:tc>
              <w:tc>
                <w:tcPr>
                  <w:tcW w:w="4949" w:type="dxa"/>
                  <w:noWrap w:val="0"/>
                  <w:vAlign w:val="center"/>
                </w:tcPr>
                <w:p>
                  <w:pPr>
                    <w:adjustRightInd w:val="0"/>
                    <w:snapToGrid w:val="0"/>
                    <w:spacing w:line="360" w:lineRule="auto"/>
                    <w:jc w:val="center"/>
                    <w:rPr>
                      <w:szCs w:val="21"/>
                      <w:u w:val="none" w:color="auto"/>
                    </w:rPr>
                  </w:pPr>
                  <w:r>
                    <w:rPr>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9</w:t>
                  </w:r>
                </w:p>
              </w:tc>
              <w:tc>
                <w:tcPr>
                  <w:tcW w:w="3167" w:type="dxa"/>
                  <w:noWrap w:val="0"/>
                  <w:vAlign w:val="center"/>
                </w:tcPr>
                <w:p>
                  <w:pPr>
                    <w:adjustRightInd w:val="0"/>
                    <w:snapToGrid w:val="0"/>
                    <w:spacing w:line="360" w:lineRule="auto"/>
                    <w:jc w:val="center"/>
                    <w:rPr>
                      <w:szCs w:val="21"/>
                      <w:u w:val="none" w:color="auto"/>
                    </w:rPr>
                  </w:pPr>
                  <w:r>
                    <w:rPr>
                      <w:szCs w:val="21"/>
                      <w:u w:val="none" w:color="auto"/>
                    </w:rPr>
                    <w:t>是否重点文物保护单位</w:t>
                  </w:r>
                </w:p>
              </w:tc>
              <w:tc>
                <w:tcPr>
                  <w:tcW w:w="4949" w:type="dxa"/>
                  <w:noWrap w:val="0"/>
                  <w:vAlign w:val="center"/>
                </w:tcPr>
                <w:p>
                  <w:pPr>
                    <w:adjustRightInd w:val="0"/>
                    <w:snapToGrid w:val="0"/>
                    <w:spacing w:line="360" w:lineRule="auto"/>
                    <w:jc w:val="center"/>
                    <w:rPr>
                      <w:szCs w:val="21"/>
                      <w:u w:val="none" w:color="auto"/>
                    </w:rPr>
                  </w:pPr>
                  <w:r>
                    <w:rPr>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10</w:t>
                  </w:r>
                </w:p>
              </w:tc>
              <w:tc>
                <w:tcPr>
                  <w:tcW w:w="3167" w:type="dxa"/>
                  <w:noWrap w:val="0"/>
                  <w:vAlign w:val="center"/>
                </w:tcPr>
                <w:p>
                  <w:pPr>
                    <w:adjustRightInd w:val="0"/>
                    <w:snapToGrid w:val="0"/>
                    <w:spacing w:line="360" w:lineRule="auto"/>
                    <w:jc w:val="center"/>
                    <w:rPr>
                      <w:szCs w:val="21"/>
                      <w:u w:val="none" w:color="auto"/>
                    </w:rPr>
                  </w:pPr>
                  <w:r>
                    <w:rPr>
                      <w:szCs w:val="21"/>
                      <w:u w:val="none" w:color="auto"/>
                    </w:rPr>
                    <w:t>是否三河、三湖、两控区</w:t>
                  </w:r>
                </w:p>
              </w:tc>
              <w:tc>
                <w:tcPr>
                  <w:tcW w:w="4949" w:type="dxa"/>
                  <w:noWrap w:val="0"/>
                  <w:vAlign w:val="center"/>
                </w:tcPr>
                <w:p>
                  <w:pPr>
                    <w:adjustRightInd w:val="0"/>
                    <w:snapToGrid w:val="0"/>
                    <w:spacing w:line="360" w:lineRule="auto"/>
                    <w:jc w:val="center"/>
                    <w:rPr>
                      <w:rFonts w:hint="eastAsia" w:eastAsia="宋体"/>
                      <w:szCs w:val="21"/>
                      <w:u w:val="none" w:color="auto"/>
                      <w:lang w:eastAsia="zh-CN"/>
                    </w:rPr>
                  </w:pPr>
                  <w:r>
                    <w:rPr>
                      <w:rFonts w:hint="eastAsia"/>
                      <w:szCs w:val="21"/>
                      <w:u w:val="none" w:color="auto"/>
                      <w:lang w:eastAsia="zh-CN"/>
                    </w:rPr>
                    <w:t>两控区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11</w:t>
                  </w:r>
                </w:p>
              </w:tc>
              <w:tc>
                <w:tcPr>
                  <w:tcW w:w="3167" w:type="dxa"/>
                  <w:noWrap w:val="0"/>
                  <w:vAlign w:val="center"/>
                </w:tcPr>
                <w:p>
                  <w:pPr>
                    <w:adjustRightInd w:val="0"/>
                    <w:snapToGrid w:val="0"/>
                    <w:spacing w:line="360" w:lineRule="auto"/>
                    <w:jc w:val="center"/>
                    <w:rPr>
                      <w:szCs w:val="21"/>
                      <w:u w:val="none" w:color="auto"/>
                    </w:rPr>
                  </w:pPr>
                  <w:r>
                    <w:rPr>
                      <w:szCs w:val="21"/>
                      <w:u w:val="none" w:color="auto"/>
                    </w:rPr>
                    <w:t>是否水库库区</w:t>
                  </w:r>
                </w:p>
              </w:tc>
              <w:tc>
                <w:tcPr>
                  <w:tcW w:w="4949" w:type="dxa"/>
                  <w:noWrap w:val="0"/>
                  <w:vAlign w:val="center"/>
                </w:tcPr>
                <w:p>
                  <w:pPr>
                    <w:adjustRightInd w:val="0"/>
                    <w:snapToGrid w:val="0"/>
                    <w:spacing w:line="360" w:lineRule="auto"/>
                    <w:jc w:val="center"/>
                    <w:rPr>
                      <w:szCs w:val="21"/>
                      <w:u w:val="none" w:color="auto"/>
                    </w:rPr>
                  </w:pPr>
                  <w:r>
                    <w:rPr>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12</w:t>
                  </w:r>
                </w:p>
              </w:tc>
              <w:tc>
                <w:tcPr>
                  <w:tcW w:w="3167" w:type="dxa"/>
                  <w:noWrap w:val="0"/>
                  <w:vAlign w:val="center"/>
                </w:tcPr>
                <w:p>
                  <w:pPr>
                    <w:adjustRightInd w:val="0"/>
                    <w:snapToGrid w:val="0"/>
                    <w:spacing w:line="360" w:lineRule="auto"/>
                    <w:jc w:val="center"/>
                    <w:rPr>
                      <w:szCs w:val="21"/>
                      <w:u w:val="none" w:color="auto"/>
                    </w:rPr>
                  </w:pPr>
                  <w:r>
                    <w:rPr>
                      <w:szCs w:val="21"/>
                      <w:u w:val="none" w:color="auto"/>
                    </w:rPr>
                    <w:t>是否污水处理厂集水范围</w:t>
                  </w:r>
                </w:p>
              </w:tc>
              <w:tc>
                <w:tcPr>
                  <w:tcW w:w="4949" w:type="dxa"/>
                  <w:noWrap w:val="0"/>
                  <w:vAlign w:val="center"/>
                </w:tcPr>
                <w:p>
                  <w:pPr>
                    <w:adjustRightInd w:val="0"/>
                    <w:snapToGrid w:val="0"/>
                    <w:spacing w:line="360" w:lineRule="auto"/>
                    <w:jc w:val="center"/>
                    <w:rPr>
                      <w:rFonts w:hint="eastAsia" w:eastAsia="宋体"/>
                      <w:szCs w:val="21"/>
                      <w:u w:val="none" w:color="auto"/>
                      <w:lang w:eastAsia="zh-CN"/>
                    </w:rPr>
                  </w:pPr>
                  <w:r>
                    <w:rPr>
                      <w:rFonts w:hint="eastAsia"/>
                      <w:szCs w:val="21"/>
                      <w:u w:val="none" w:color="auto"/>
                      <w:lang w:eastAsia="zh-CN"/>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13</w:t>
                  </w:r>
                </w:p>
              </w:tc>
              <w:tc>
                <w:tcPr>
                  <w:tcW w:w="3167" w:type="dxa"/>
                  <w:noWrap w:val="0"/>
                  <w:vAlign w:val="center"/>
                </w:tcPr>
                <w:p>
                  <w:pPr>
                    <w:adjustRightInd w:val="0"/>
                    <w:snapToGrid w:val="0"/>
                    <w:spacing w:line="360" w:lineRule="auto"/>
                    <w:jc w:val="center"/>
                    <w:rPr>
                      <w:szCs w:val="21"/>
                      <w:u w:val="none" w:color="auto"/>
                    </w:rPr>
                  </w:pPr>
                  <w:r>
                    <w:rPr>
                      <w:szCs w:val="21"/>
                      <w:u w:val="none" w:color="auto"/>
                    </w:rPr>
                    <w:t>是否属于生态敏感与脆弱区</w:t>
                  </w:r>
                </w:p>
              </w:tc>
              <w:tc>
                <w:tcPr>
                  <w:tcW w:w="4949" w:type="dxa"/>
                  <w:noWrap w:val="0"/>
                  <w:vAlign w:val="center"/>
                </w:tcPr>
                <w:p>
                  <w:pPr>
                    <w:adjustRightInd w:val="0"/>
                    <w:snapToGrid w:val="0"/>
                    <w:spacing w:line="360" w:lineRule="auto"/>
                    <w:jc w:val="center"/>
                    <w:rPr>
                      <w:szCs w:val="21"/>
                      <w:u w:val="none" w:color="auto"/>
                    </w:rPr>
                  </w:pPr>
                  <w:r>
                    <w:rPr>
                      <w:szCs w:val="21"/>
                      <w:u w:val="none" w:color="auto"/>
                    </w:rPr>
                    <w:t>否</w:t>
                  </w:r>
                </w:p>
              </w:tc>
            </w:tr>
          </w:tbl>
          <w:p>
            <w:pPr>
              <w:rPr>
                <w:u w:val="none" w:color="auto"/>
              </w:rPr>
            </w:pPr>
          </w:p>
        </w:tc>
      </w:tr>
    </w:tbl>
    <w:p>
      <w:pPr>
        <w:snapToGrid w:val="0"/>
        <w:textAlignment w:val="baseline"/>
        <w:outlineLvl w:val="0"/>
        <w:rPr>
          <w:rFonts w:eastAsia="黑体"/>
          <w:sz w:val="32"/>
          <w:u w:val="none" w:color="auto"/>
        </w:rPr>
      </w:pPr>
      <w:r>
        <w:rPr>
          <w:rFonts w:eastAsia="黑体"/>
          <w:sz w:val="32"/>
          <w:u w:val="none" w:color="auto"/>
        </w:rPr>
        <w:br w:type="page"/>
      </w:r>
      <w:bookmarkStart w:id="2" w:name="_Toc24291"/>
      <w:r>
        <w:rPr>
          <w:rFonts w:hint="eastAsia" w:eastAsia="黑体"/>
          <w:sz w:val="32"/>
          <w:u w:val="none" w:color="auto"/>
        </w:rPr>
        <w:t>三、</w:t>
      </w:r>
      <w:r>
        <w:rPr>
          <w:rFonts w:eastAsia="黑体"/>
          <w:sz w:val="32"/>
          <w:u w:val="none" w:color="auto"/>
        </w:rPr>
        <w:t>环境质量状况</w:t>
      </w:r>
      <w:bookmarkEnd w:id="2"/>
    </w:p>
    <w:tbl>
      <w:tblPr>
        <w:tblStyle w:val="39"/>
        <w:tblW w:w="92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9268" w:type="dxa"/>
            <w:vAlign w:val="center"/>
          </w:tcPr>
          <w:p>
            <w:pPr>
              <w:snapToGrid w:val="0"/>
              <w:spacing w:before="162" w:beforeLines="50" w:line="360" w:lineRule="auto"/>
              <w:rPr>
                <w:rFonts w:ascii="宋体" w:hAnsi="宋体"/>
                <w:b/>
                <w:bCs/>
                <w:sz w:val="24"/>
                <w:szCs w:val="24"/>
                <w:u w:val="none" w:color="auto"/>
              </w:rPr>
            </w:pPr>
            <w:r>
              <w:rPr>
                <w:rFonts w:hint="eastAsia" w:ascii="宋体" w:hAnsi="宋体"/>
                <w:b/>
                <w:bCs/>
                <w:sz w:val="24"/>
                <w:szCs w:val="24"/>
                <w:u w:val="none" w:color="auto"/>
              </w:rPr>
              <w:t>建设项目所在地区域环境质量现状及主要环境问题(环境空气、地</w:t>
            </w:r>
            <w:r>
              <w:rPr>
                <w:rFonts w:hint="eastAsia" w:ascii="宋体" w:hAnsi="宋体"/>
                <w:b/>
                <w:bCs/>
                <w:sz w:val="24"/>
                <w:szCs w:val="24"/>
                <w:u w:val="none" w:color="auto"/>
                <w:lang w:val="en-US" w:eastAsia="zh-CN"/>
              </w:rPr>
              <w:t>表</w:t>
            </w:r>
            <w:r>
              <w:rPr>
                <w:rFonts w:hint="eastAsia" w:ascii="宋体" w:hAnsi="宋体"/>
                <w:b/>
                <w:bCs/>
                <w:sz w:val="24"/>
                <w:szCs w:val="24"/>
                <w:u w:val="none" w:color="auto"/>
              </w:rPr>
              <w:t>水、声环境</w:t>
            </w:r>
            <w:r>
              <w:rPr>
                <w:rFonts w:hint="eastAsia" w:ascii="宋体" w:hAnsi="宋体"/>
                <w:b/>
                <w:bCs/>
                <w:sz w:val="24"/>
                <w:szCs w:val="24"/>
                <w:u w:val="none" w:color="auto"/>
                <w:lang w:eastAsia="zh-CN"/>
              </w:rPr>
              <w:t>、地下水</w:t>
            </w:r>
            <w:r>
              <w:rPr>
                <w:rFonts w:hint="eastAsia" w:ascii="宋体" w:hAnsi="宋体"/>
                <w:b/>
                <w:bCs/>
                <w:sz w:val="24"/>
                <w:szCs w:val="24"/>
                <w:u w:val="none" w:color="auto"/>
              </w:rPr>
              <w:t>、生态环境等)：</w:t>
            </w:r>
          </w:p>
          <w:p>
            <w:pPr>
              <w:spacing w:line="360" w:lineRule="auto"/>
              <w:ind w:firstLine="231" w:firstLineChars="100"/>
              <w:rPr>
                <w:rFonts w:hint="default"/>
                <w:u w:val="none" w:color="auto"/>
              </w:rPr>
            </w:pPr>
            <w:bookmarkStart w:id="3" w:name="OLE_LINK3"/>
            <w:r>
              <w:rPr>
                <w:rFonts w:hint="default" w:ascii="Times New Roman" w:hAnsi="Times New Roman" w:cs="Times New Roman"/>
                <w:b/>
                <w:bCs/>
                <w:color w:val="auto"/>
                <w:sz w:val="24"/>
                <w:szCs w:val="24"/>
                <w:u w:val="none" w:color="auto"/>
              </w:rPr>
              <w:t>3.1环境空气质量现状</w:t>
            </w:r>
          </w:p>
          <w:p>
            <w:pPr>
              <w:pStyle w:val="176"/>
              <w:spacing w:before="124" w:line="360" w:lineRule="auto"/>
              <w:ind w:right="77" w:firstLine="462" w:firstLineChars="200"/>
              <w:jc w:val="left"/>
              <w:rPr>
                <w:rFonts w:hint="eastAsia" w:cs="Times New Roman"/>
                <w:color w:val="auto"/>
                <w:kern w:val="0"/>
                <w:sz w:val="24"/>
                <w:szCs w:val="24"/>
                <w:u w:val="none" w:color="auto"/>
                <w:lang w:val="en-US" w:eastAsia="zh-CN" w:bidi="ar-SA"/>
              </w:rPr>
            </w:pPr>
            <w:r>
              <w:rPr>
                <w:rFonts w:hint="default" w:ascii="Times New Roman" w:hAnsi="Times New Roman" w:cs="Times New Roman"/>
                <w:color w:val="auto"/>
                <w:sz w:val="24"/>
                <w:szCs w:val="24"/>
                <w:u w:val="none" w:color="auto"/>
              </w:rPr>
              <w:t>项目所在区域执行《环境空气质量标准》（GB3095-2012）的二级标准。</w:t>
            </w:r>
            <w:r>
              <w:rPr>
                <w:rFonts w:hint="default" w:ascii="Times New Roman" w:hAnsi="Times New Roman" w:eastAsia="宋体" w:cs="Times New Roman"/>
                <w:color w:val="auto"/>
                <w:kern w:val="0"/>
                <w:sz w:val="24"/>
                <w:szCs w:val="24"/>
                <w:u w:val="none" w:color="auto"/>
                <w:lang w:val="en-US" w:eastAsia="en-US" w:bidi="ar-SA"/>
              </w:rPr>
              <w:t>根据《环境影响评价技术导则-大气环境》（HJ2.2-2018）中“6.2.1.1 项目所在区域达标判定，优先采用国家或生态环境主管部门发布的平均基准年环境质量公告或环境质量报告中的数据或结论”，基本因子采用</w:t>
            </w:r>
            <w:r>
              <w:rPr>
                <w:rFonts w:hint="eastAsia" w:ascii="Times New Roman" w:hAnsi="Times New Roman" w:cs="Times New Roman"/>
                <w:color w:val="auto"/>
                <w:kern w:val="0"/>
                <w:sz w:val="24"/>
                <w:szCs w:val="24"/>
                <w:u w:val="none" w:color="auto"/>
                <w:lang w:val="en-US" w:eastAsia="zh-CN" w:bidi="ar-SA"/>
              </w:rPr>
              <w:t>市生态环境局湘阴分局</w:t>
            </w:r>
            <w:r>
              <w:rPr>
                <w:rFonts w:hint="default" w:ascii="Times New Roman" w:hAnsi="Times New Roman" w:eastAsia="宋体" w:cs="Times New Roman"/>
                <w:color w:val="auto"/>
                <w:kern w:val="0"/>
                <w:sz w:val="24"/>
                <w:szCs w:val="24"/>
                <w:u w:val="none" w:color="auto"/>
                <w:lang w:val="en-US" w:eastAsia="en-US" w:bidi="ar-SA"/>
              </w:rPr>
              <w:t>发布的</w:t>
            </w:r>
            <w:r>
              <w:rPr>
                <w:rFonts w:hint="eastAsia" w:ascii="Times New Roman" w:hAnsi="Times New Roman" w:eastAsia="宋体" w:cs="Times New Roman"/>
                <w:color w:val="auto"/>
                <w:kern w:val="0"/>
                <w:sz w:val="24"/>
                <w:szCs w:val="24"/>
                <w:u w:val="none" w:color="auto"/>
                <w:lang w:val="en-US" w:eastAsia="zh-CN" w:bidi="ar-SA"/>
              </w:rPr>
              <w:t>湘阴县</w:t>
            </w:r>
            <w:r>
              <w:rPr>
                <w:rFonts w:hint="default" w:ascii="Times New Roman" w:hAnsi="Times New Roman" w:eastAsia="宋体" w:cs="Times New Roman"/>
                <w:color w:val="auto"/>
                <w:kern w:val="0"/>
                <w:sz w:val="24"/>
                <w:szCs w:val="24"/>
                <w:u w:val="none" w:color="auto"/>
                <w:lang w:val="en-US" w:eastAsia="en-US" w:bidi="ar-SA"/>
              </w:rPr>
              <w:t>环境空气质量情况进行评价</w:t>
            </w:r>
            <w:r>
              <w:rPr>
                <w:rFonts w:hint="eastAsia" w:ascii="Times New Roman" w:hAnsi="Times New Roman" w:cs="Times New Roman"/>
                <w:color w:val="auto"/>
                <w:kern w:val="0"/>
                <w:sz w:val="24"/>
                <w:szCs w:val="24"/>
                <w:u w:val="none" w:color="auto"/>
                <w:lang w:val="en-US" w:eastAsia="zh-CN" w:bidi="ar-SA"/>
              </w:rPr>
              <w:t>。</w:t>
            </w:r>
            <w:r>
              <w:rPr>
                <w:rFonts w:hint="eastAsia" w:cs="Times New Roman"/>
                <w:color w:val="auto"/>
                <w:kern w:val="0"/>
                <w:sz w:val="24"/>
                <w:szCs w:val="24"/>
                <w:u w:val="none" w:color="auto"/>
                <w:lang w:val="en-US" w:eastAsia="zh-CN" w:bidi="ar-SA"/>
              </w:rPr>
              <w:t xml:space="preserve">     </w:t>
            </w:r>
          </w:p>
          <w:bookmarkEnd w:id="3"/>
          <w:p>
            <w:pPr>
              <w:pStyle w:val="169"/>
              <w:spacing w:line="360" w:lineRule="auto"/>
              <w:ind w:firstLine="462" w:firstLineChars="200"/>
              <w:rPr>
                <w:rFonts w:hint="eastAsia"/>
                <w:color w:val="auto"/>
                <w:sz w:val="24"/>
                <w:szCs w:val="24"/>
                <w:u w:val="none" w:color="auto"/>
              </w:rPr>
            </w:pPr>
            <w:r>
              <w:rPr>
                <w:rFonts w:hint="eastAsia"/>
                <w:color w:val="auto"/>
                <w:sz w:val="24"/>
                <w:szCs w:val="24"/>
                <w:u w:val="none" w:color="auto"/>
                <w:lang w:eastAsia="zh-CN"/>
              </w:rPr>
              <w:t>根据</w:t>
            </w:r>
            <w:r>
              <w:rPr>
                <w:rFonts w:hint="eastAsia"/>
                <w:color w:val="auto"/>
                <w:sz w:val="24"/>
                <w:szCs w:val="24"/>
                <w:u w:val="none" w:color="auto"/>
                <w:lang w:val="en-US" w:eastAsia="zh-CN"/>
              </w:rPr>
              <w:t>2018年湘阴县环境空气质量公告中湘阴县环境空气质量数据（如下表所示），湘阴县</w:t>
            </w:r>
            <w:r>
              <w:rPr>
                <w:rFonts w:hint="default"/>
                <w:color w:val="auto"/>
                <w:sz w:val="24"/>
                <w:szCs w:val="24"/>
                <w:u w:val="none" w:color="auto"/>
              </w:rPr>
              <w:t>PM</w:t>
            </w:r>
            <w:r>
              <w:rPr>
                <w:rFonts w:hint="default"/>
                <w:color w:val="auto"/>
                <w:sz w:val="24"/>
                <w:szCs w:val="24"/>
                <w:u w:val="none" w:color="auto"/>
                <w:vertAlign w:val="subscript"/>
              </w:rPr>
              <w:t>10</w:t>
            </w:r>
            <w:r>
              <w:rPr>
                <w:rFonts w:hint="eastAsia"/>
                <w:color w:val="auto"/>
                <w:sz w:val="24"/>
                <w:szCs w:val="24"/>
                <w:u w:val="none" w:color="auto"/>
                <w:lang w:eastAsia="zh-CN"/>
              </w:rPr>
              <w:t>、</w:t>
            </w:r>
            <w:r>
              <w:rPr>
                <w:rFonts w:hint="default"/>
                <w:color w:val="auto"/>
                <w:sz w:val="24"/>
                <w:szCs w:val="24"/>
                <w:u w:val="none" w:color="auto"/>
              </w:rPr>
              <w:t>SO</w:t>
            </w:r>
            <w:r>
              <w:rPr>
                <w:rFonts w:hint="default"/>
                <w:color w:val="auto"/>
                <w:sz w:val="24"/>
                <w:szCs w:val="24"/>
                <w:u w:val="none" w:color="auto"/>
                <w:vertAlign w:val="subscript"/>
              </w:rPr>
              <w:t>2</w:t>
            </w:r>
            <w:r>
              <w:rPr>
                <w:rFonts w:hint="eastAsia"/>
                <w:color w:val="auto"/>
                <w:sz w:val="24"/>
                <w:szCs w:val="24"/>
                <w:u w:val="none" w:color="auto"/>
                <w:lang w:eastAsia="zh-CN"/>
              </w:rPr>
              <w:t>、</w:t>
            </w:r>
            <w:r>
              <w:rPr>
                <w:rFonts w:hint="default"/>
                <w:color w:val="auto"/>
                <w:sz w:val="24"/>
                <w:szCs w:val="24"/>
                <w:u w:val="none" w:color="auto"/>
              </w:rPr>
              <w:t>NO</w:t>
            </w:r>
            <w:r>
              <w:rPr>
                <w:rFonts w:hint="default"/>
                <w:color w:val="auto"/>
                <w:sz w:val="24"/>
                <w:szCs w:val="24"/>
                <w:u w:val="none" w:color="auto"/>
                <w:vertAlign w:val="subscript"/>
              </w:rPr>
              <w:t>2</w:t>
            </w:r>
            <w:r>
              <w:rPr>
                <w:rFonts w:hint="eastAsia"/>
                <w:color w:val="auto"/>
                <w:sz w:val="24"/>
                <w:szCs w:val="24"/>
                <w:u w:val="none" w:color="auto"/>
                <w:lang w:eastAsia="zh-CN"/>
              </w:rPr>
              <w:t>年平均质量浓度和</w:t>
            </w:r>
            <w:r>
              <w:rPr>
                <w:rFonts w:hint="eastAsia"/>
                <w:color w:val="auto"/>
                <w:sz w:val="24"/>
                <w:szCs w:val="24"/>
                <w:u w:val="none" w:color="auto"/>
                <w:lang w:val="en-US" w:eastAsia="zh-CN"/>
              </w:rPr>
              <w:t>C</w:t>
            </w:r>
            <w:r>
              <w:rPr>
                <w:rFonts w:hint="default"/>
                <w:color w:val="auto"/>
                <w:sz w:val="24"/>
                <w:szCs w:val="24"/>
                <w:u w:val="none" w:color="auto"/>
              </w:rPr>
              <w:t>O</w:t>
            </w:r>
            <w:r>
              <w:rPr>
                <w:rFonts w:hint="eastAsia"/>
                <w:color w:val="auto"/>
                <w:sz w:val="24"/>
                <w:szCs w:val="24"/>
                <w:u w:val="none" w:color="auto"/>
                <w:lang w:val="en-US" w:eastAsia="zh-CN"/>
              </w:rPr>
              <w:t>95百分位数</w:t>
            </w:r>
            <w:r>
              <w:rPr>
                <w:rFonts w:hint="eastAsia"/>
                <w:color w:val="auto"/>
                <w:sz w:val="24"/>
                <w:szCs w:val="24"/>
                <w:u w:val="none" w:color="auto"/>
                <w:lang w:eastAsia="zh-CN"/>
              </w:rPr>
              <w:t>日平均质量浓度、</w:t>
            </w:r>
            <w:r>
              <w:rPr>
                <w:rFonts w:hint="default"/>
                <w:color w:val="auto"/>
                <w:sz w:val="24"/>
                <w:szCs w:val="24"/>
                <w:u w:val="none" w:color="auto"/>
              </w:rPr>
              <w:t>O</w:t>
            </w:r>
            <w:r>
              <w:rPr>
                <w:rFonts w:hint="eastAsia"/>
                <w:color w:val="auto"/>
                <w:sz w:val="24"/>
                <w:szCs w:val="24"/>
                <w:u w:val="none" w:color="auto"/>
                <w:vertAlign w:val="subscript"/>
                <w:lang w:val="en-US" w:eastAsia="zh-CN"/>
              </w:rPr>
              <w:t>3</w:t>
            </w:r>
            <w:r>
              <w:rPr>
                <w:rFonts w:hint="eastAsia"/>
                <w:color w:val="auto"/>
                <w:sz w:val="24"/>
                <w:szCs w:val="24"/>
                <w:u w:val="none" w:color="auto"/>
                <w:lang w:val="en-US" w:eastAsia="zh-CN"/>
              </w:rPr>
              <w:t>90百分位数</w:t>
            </w:r>
            <w:r>
              <w:rPr>
                <w:rFonts w:hint="eastAsia"/>
                <w:color w:val="auto"/>
                <w:sz w:val="24"/>
                <w:szCs w:val="24"/>
                <w:u w:val="none" w:color="auto"/>
                <w:lang w:eastAsia="zh-CN"/>
              </w:rPr>
              <w:t>最大</w:t>
            </w:r>
            <w:r>
              <w:rPr>
                <w:rFonts w:hint="eastAsia"/>
                <w:color w:val="auto"/>
                <w:sz w:val="24"/>
                <w:szCs w:val="24"/>
                <w:u w:val="none" w:color="auto"/>
                <w:lang w:val="en-US" w:eastAsia="zh-CN"/>
              </w:rPr>
              <w:t>8小时平均质量浓度</w:t>
            </w:r>
            <w:r>
              <w:rPr>
                <w:rFonts w:hint="eastAsia"/>
                <w:color w:val="auto"/>
                <w:sz w:val="24"/>
                <w:szCs w:val="24"/>
                <w:u w:val="none" w:color="auto"/>
                <w:lang w:eastAsia="zh-CN"/>
              </w:rPr>
              <w:t>可达到</w:t>
            </w:r>
            <w:r>
              <w:rPr>
                <w:color w:val="auto"/>
                <w:sz w:val="24"/>
                <w:szCs w:val="24"/>
                <w:u w:val="none" w:color="auto"/>
              </w:rPr>
              <w:t>《环境空气质量标准》（GB3095-2012）中二级标准。</w:t>
            </w:r>
            <w:r>
              <w:rPr>
                <w:rFonts w:hint="default"/>
                <w:color w:val="auto"/>
                <w:sz w:val="24"/>
                <w:szCs w:val="24"/>
                <w:u w:val="none" w:color="auto"/>
              </w:rPr>
              <w:t>PM</w:t>
            </w:r>
            <w:r>
              <w:rPr>
                <w:rFonts w:hint="eastAsia"/>
                <w:color w:val="auto"/>
                <w:sz w:val="24"/>
                <w:szCs w:val="24"/>
                <w:u w:val="none" w:color="auto"/>
                <w:vertAlign w:val="subscript"/>
                <w:lang w:val="en-US" w:eastAsia="zh-CN"/>
              </w:rPr>
              <w:t>2.5</w:t>
            </w:r>
            <w:r>
              <w:rPr>
                <w:rFonts w:hint="eastAsia"/>
                <w:color w:val="auto"/>
                <w:sz w:val="24"/>
                <w:szCs w:val="24"/>
                <w:u w:val="none" w:color="auto"/>
                <w:lang w:eastAsia="zh-CN"/>
              </w:rPr>
              <w:t>年平均质量浓度尚未达到</w:t>
            </w:r>
            <w:r>
              <w:rPr>
                <w:color w:val="auto"/>
                <w:sz w:val="24"/>
                <w:szCs w:val="24"/>
                <w:u w:val="none" w:color="auto"/>
              </w:rPr>
              <w:t>《环境空气质量标准》（GB3095-2012）中二级标准。</w:t>
            </w:r>
          </w:p>
          <w:p>
            <w:pPr>
              <w:pStyle w:val="183"/>
              <w:rPr>
                <w:rFonts w:hint="eastAsia"/>
                <w:color w:val="auto"/>
                <w:u w:val="none" w:color="auto"/>
                <w:lang w:val="en-US" w:eastAsia="zh-CN"/>
              </w:rPr>
            </w:pPr>
            <w:r>
              <w:rPr>
                <w:rFonts w:hint="default"/>
                <w:color w:val="auto"/>
                <w:u w:val="none" w:color="auto"/>
              </w:rPr>
              <w:t>表</w:t>
            </w:r>
            <w:r>
              <w:rPr>
                <w:rFonts w:hint="eastAsia"/>
                <w:color w:val="auto"/>
                <w:u w:val="none" w:color="auto"/>
                <w:lang w:val="en-US" w:eastAsia="zh-CN"/>
              </w:rPr>
              <w:t>3-1</w:t>
            </w:r>
            <w:r>
              <w:rPr>
                <w:rFonts w:hint="default"/>
                <w:color w:val="auto"/>
                <w:u w:val="none" w:color="auto"/>
              </w:rPr>
              <w:t xml:space="preserve">  </w:t>
            </w:r>
            <w:r>
              <w:rPr>
                <w:rFonts w:hint="eastAsia"/>
                <w:color w:val="auto"/>
                <w:u w:val="none" w:color="auto"/>
                <w:lang w:val="en-US" w:eastAsia="zh-CN"/>
              </w:rPr>
              <w:t>2018年</w:t>
            </w:r>
            <w:r>
              <w:rPr>
                <w:rFonts w:hint="eastAsia"/>
                <w:color w:val="auto"/>
                <w:u w:val="none" w:color="auto"/>
                <w:lang w:eastAsia="zh-CN"/>
              </w:rPr>
              <w:t>区域空气质量现状评价</w:t>
            </w:r>
            <w:r>
              <w:rPr>
                <w:rFonts w:hint="default"/>
                <w:color w:val="auto"/>
                <w:u w:val="none" w:color="auto"/>
                <w:lang w:val="en-US" w:eastAsia="zh-CN"/>
              </w:rPr>
              <w:t>表</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123"/>
              <w:gridCol w:w="1917"/>
              <w:gridCol w:w="1405"/>
              <w:gridCol w:w="1293"/>
              <w:gridCol w:w="1209"/>
              <w:gridCol w:w="12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76" w:type="dxa"/>
                  <w:tcBorders>
                    <w:tl2br w:val="nil"/>
                    <w:tr2bl w:val="nil"/>
                  </w:tcBorders>
                  <w:noWrap w:val="0"/>
                  <w:vAlign w:val="center"/>
                </w:tcPr>
                <w:p>
                  <w:pPr>
                    <w:pStyle w:val="181"/>
                    <w:spacing w:line="360" w:lineRule="auto"/>
                    <w:rPr>
                      <w:rFonts w:hint="eastAsia"/>
                      <w:color w:val="auto"/>
                      <w:sz w:val="22"/>
                      <w:szCs w:val="22"/>
                      <w:u w:val="none" w:color="auto"/>
                      <w:lang w:eastAsia="zh-CN"/>
                    </w:rPr>
                  </w:pPr>
                  <w:r>
                    <w:rPr>
                      <w:rFonts w:hint="eastAsia"/>
                      <w:color w:val="auto"/>
                      <w:sz w:val="22"/>
                      <w:szCs w:val="22"/>
                      <w:u w:val="none" w:color="auto"/>
                      <w:lang w:eastAsia="zh-CN"/>
                    </w:rPr>
                    <w:t>所在</w:t>
                  </w:r>
                </w:p>
                <w:p>
                  <w:pPr>
                    <w:pStyle w:val="181"/>
                    <w:spacing w:line="360" w:lineRule="auto"/>
                    <w:rPr>
                      <w:rFonts w:hint="eastAsia"/>
                      <w:color w:val="auto"/>
                      <w:sz w:val="22"/>
                      <w:szCs w:val="22"/>
                      <w:u w:val="none" w:color="auto"/>
                      <w:lang w:eastAsia="zh-CN"/>
                    </w:rPr>
                  </w:pPr>
                  <w:r>
                    <w:rPr>
                      <w:rFonts w:hint="eastAsia"/>
                      <w:color w:val="auto"/>
                      <w:sz w:val="22"/>
                      <w:szCs w:val="22"/>
                      <w:u w:val="none" w:color="auto"/>
                      <w:lang w:eastAsia="zh-CN"/>
                    </w:rPr>
                    <w:t>区域</w:t>
                  </w:r>
                </w:p>
              </w:tc>
              <w:tc>
                <w:tcPr>
                  <w:tcW w:w="1128"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监测</w:t>
                  </w:r>
                </w:p>
                <w:p>
                  <w:pPr>
                    <w:pStyle w:val="181"/>
                    <w:spacing w:line="360" w:lineRule="auto"/>
                    <w:rPr>
                      <w:rFonts w:hint="default"/>
                      <w:color w:val="auto"/>
                      <w:sz w:val="22"/>
                      <w:szCs w:val="22"/>
                      <w:u w:val="none" w:color="auto"/>
                    </w:rPr>
                  </w:pPr>
                  <w:r>
                    <w:rPr>
                      <w:rFonts w:hint="default"/>
                      <w:color w:val="auto"/>
                      <w:sz w:val="22"/>
                      <w:szCs w:val="22"/>
                      <w:u w:val="none" w:color="auto"/>
                    </w:rPr>
                    <w:t>项目</w:t>
                  </w:r>
                </w:p>
              </w:tc>
              <w:tc>
                <w:tcPr>
                  <w:tcW w:w="1933" w:type="dxa"/>
                  <w:tcBorders>
                    <w:tl2br w:val="nil"/>
                    <w:tr2bl w:val="nil"/>
                  </w:tcBorders>
                  <w:noWrap w:val="0"/>
                  <w:vAlign w:val="center"/>
                </w:tcPr>
                <w:p>
                  <w:pPr>
                    <w:pStyle w:val="181"/>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年评价指标</w:t>
                  </w:r>
                </w:p>
              </w:tc>
              <w:tc>
                <w:tcPr>
                  <w:tcW w:w="1408" w:type="dxa"/>
                  <w:tcBorders>
                    <w:tl2br w:val="nil"/>
                    <w:tr2bl w:val="nil"/>
                  </w:tcBorders>
                  <w:noWrap w:val="0"/>
                  <w:vAlign w:val="center"/>
                </w:tcPr>
                <w:p>
                  <w:pPr>
                    <w:pStyle w:val="181"/>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现状浓度（u</w:t>
                  </w:r>
                  <w:r>
                    <w:rPr>
                      <w:rFonts w:hint="default"/>
                      <w:color w:val="auto"/>
                      <w:sz w:val="22"/>
                      <w:szCs w:val="22"/>
                      <w:u w:val="none" w:color="auto"/>
                    </w:rPr>
                    <w:t>g/m</w:t>
                  </w:r>
                  <w:r>
                    <w:rPr>
                      <w:rFonts w:hint="default"/>
                      <w:color w:val="auto"/>
                      <w:sz w:val="22"/>
                      <w:szCs w:val="22"/>
                      <w:u w:val="none" w:color="auto"/>
                      <w:vertAlign w:val="superscript"/>
                    </w:rPr>
                    <w:t>3</w:t>
                  </w:r>
                  <w:r>
                    <w:rPr>
                      <w:rFonts w:hint="eastAsia"/>
                      <w:color w:val="auto"/>
                      <w:sz w:val="22"/>
                      <w:szCs w:val="22"/>
                      <w:u w:val="none" w:color="auto"/>
                      <w:lang w:val="en-US" w:eastAsia="zh-CN"/>
                    </w:rPr>
                    <w:t>）</w:t>
                  </w:r>
                </w:p>
              </w:tc>
              <w:tc>
                <w:tcPr>
                  <w:tcW w:w="1294"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标准值</w:t>
                  </w:r>
                  <w:r>
                    <w:rPr>
                      <w:rFonts w:hint="eastAsia"/>
                      <w:color w:val="auto"/>
                      <w:sz w:val="22"/>
                      <w:szCs w:val="22"/>
                      <w:u w:val="none" w:color="auto"/>
                      <w:lang w:val="en-US" w:eastAsia="zh-CN"/>
                    </w:rPr>
                    <w:t>（u</w:t>
                  </w:r>
                  <w:r>
                    <w:rPr>
                      <w:rFonts w:hint="default"/>
                      <w:color w:val="auto"/>
                      <w:sz w:val="22"/>
                      <w:szCs w:val="22"/>
                      <w:u w:val="none" w:color="auto"/>
                    </w:rPr>
                    <w:t>g/m</w:t>
                  </w:r>
                  <w:r>
                    <w:rPr>
                      <w:rFonts w:hint="default"/>
                      <w:color w:val="auto"/>
                      <w:sz w:val="22"/>
                      <w:szCs w:val="22"/>
                      <w:u w:val="none" w:color="auto"/>
                      <w:vertAlign w:val="superscript"/>
                    </w:rPr>
                    <w:t>3</w:t>
                  </w:r>
                  <w:r>
                    <w:rPr>
                      <w:rFonts w:hint="eastAsia"/>
                      <w:color w:val="auto"/>
                      <w:sz w:val="22"/>
                      <w:szCs w:val="22"/>
                      <w:u w:val="none" w:color="auto"/>
                      <w:lang w:val="en-US" w:eastAsia="zh-CN"/>
                    </w:rPr>
                    <w:t>）</w:t>
                  </w:r>
                </w:p>
              </w:tc>
              <w:tc>
                <w:tcPr>
                  <w:tcW w:w="1216" w:type="dxa"/>
                  <w:tcBorders>
                    <w:tl2br w:val="nil"/>
                    <w:tr2bl w:val="nil"/>
                  </w:tcBorders>
                  <w:noWrap w:val="0"/>
                  <w:vAlign w:val="center"/>
                </w:tcPr>
                <w:p>
                  <w:pPr>
                    <w:pStyle w:val="181"/>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超标倍数</w:t>
                  </w:r>
                </w:p>
              </w:tc>
              <w:tc>
                <w:tcPr>
                  <w:tcW w:w="1216"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restart"/>
                  <w:tcBorders>
                    <w:tl2br w:val="nil"/>
                    <w:tr2bl w:val="nil"/>
                  </w:tcBorders>
                  <w:noWrap w:val="0"/>
                  <w:vAlign w:val="center"/>
                </w:tcPr>
                <w:p>
                  <w:pPr>
                    <w:pStyle w:val="181"/>
                    <w:spacing w:line="360" w:lineRule="auto"/>
                    <w:rPr>
                      <w:rFonts w:hint="eastAsia"/>
                      <w:color w:val="auto"/>
                      <w:sz w:val="22"/>
                      <w:szCs w:val="22"/>
                      <w:u w:val="none" w:color="auto"/>
                      <w:lang w:eastAsia="zh-CN"/>
                    </w:rPr>
                  </w:pPr>
                  <w:r>
                    <w:rPr>
                      <w:rFonts w:hint="eastAsia"/>
                      <w:color w:val="auto"/>
                      <w:sz w:val="22"/>
                      <w:szCs w:val="22"/>
                      <w:u w:val="none" w:color="auto"/>
                      <w:lang w:eastAsia="zh-CN"/>
                    </w:rPr>
                    <w:t>湘阴县</w:t>
                  </w:r>
                </w:p>
              </w:tc>
              <w:tc>
                <w:tcPr>
                  <w:tcW w:w="1128"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SO</w:t>
                  </w:r>
                  <w:r>
                    <w:rPr>
                      <w:rFonts w:hint="default"/>
                      <w:color w:val="auto"/>
                      <w:sz w:val="22"/>
                      <w:szCs w:val="22"/>
                      <w:u w:val="none" w:color="auto"/>
                      <w:vertAlign w:val="subscript"/>
                    </w:rPr>
                    <w:t>2</w:t>
                  </w:r>
                </w:p>
              </w:tc>
              <w:tc>
                <w:tcPr>
                  <w:tcW w:w="1933" w:type="dxa"/>
                  <w:tcBorders>
                    <w:tl2br w:val="nil"/>
                    <w:tr2bl w:val="nil"/>
                  </w:tcBorders>
                  <w:noWrap w:val="0"/>
                  <w:vAlign w:val="center"/>
                </w:tcPr>
                <w:p>
                  <w:pPr>
                    <w:pStyle w:val="181"/>
                    <w:spacing w:line="360" w:lineRule="auto"/>
                    <w:rPr>
                      <w:rFonts w:hint="eastAsia"/>
                      <w:color w:val="auto"/>
                      <w:sz w:val="22"/>
                      <w:szCs w:val="22"/>
                      <w:u w:val="none" w:color="auto"/>
                      <w:lang w:eastAsia="zh-CN"/>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1"/>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8.09</w:t>
                  </w:r>
                </w:p>
              </w:tc>
              <w:tc>
                <w:tcPr>
                  <w:tcW w:w="1294" w:type="dxa"/>
                  <w:tcBorders>
                    <w:tl2br w:val="nil"/>
                    <w:tr2bl w:val="nil"/>
                  </w:tcBorders>
                  <w:noWrap w:val="0"/>
                  <w:vAlign w:val="center"/>
                </w:tcPr>
                <w:p>
                  <w:pPr>
                    <w:pStyle w:val="181"/>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60</w:t>
                  </w:r>
                </w:p>
              </w:tc>
              <w:tc>
                <w:tcPr>
                  <w:tcW w:w="1216" w:type="dxa"/>
                  <w:tcBorders>
                    <w:tl2br w:val="nil"/>
                    <w:tr2bl w:val="nil"/>
                  </w:tcBorders>
                  <w:noWrap w:val="0"/>
                  <w:vAlign w:val="center"/>
                </w:tcPr>
                <w:p>
                  <w:pPr>
                    <w:pStyle w:val="181"/>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1"/>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NO</w:t>
                  </w:r>
                  <w:r>
                    <w:rPr>
                      <w:rFonts w:hint="default"/>
                      <w:color w:val="auto"/>
                      <w:sz w:val="22"/>
                      <w:szCs w:val="22"/>
                      <w:u w:val="none" w:color="auto"/>
                      <w:vertAlign w:val="subscript"/>
                    </w:rPr>
                    <w:t>2</w:t>
                  </w:r>
                </w:p>
              </w:tc>
              <w:tc>
                <w:tcPr>
                  <w:tcW w:w="1933" w:type="dxa"/>
                  <w:tcBorders>
                    <w:tl2br w:val="nil"/>
                    <w:tr2bl w:val="nil"/>
                  </w:tcBorders>
                  <w:noWrap w:val="0"/>
                  <w:vAlign w:val="center"/>
                </w:tcPr>
                <w:p>
                  <w:pPr>
                    <w:pStyle w:val="181"/>
                    <w:spacing w:line="360" w:lineRule="auto"/>
                    <w:rPr>
                      <w:rFonts w:hint="default"/>
                      <w:color w:val="auto"/>
                      <w:sz w:val="22"/>
                      <w:szCs w:val="22"/>
                      <w:u w:val="none" w:color="auto"/>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1"/>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19.09</w:t>
                  </w:r>
                </w:p>
              </w:tc>
              <w:tc>
                <w:tcPr>
                  <w:tcW w:w="1294" w:type="dxa"/>
                  <w:tcBorders>
                    <w:tl2br w:val="nil"/>
                    <w:tr2bl w:val="nil"/>
                  </w:tcBorders>
                  <w:noWrap w:val="0"/>
                  <w:vAlign w:val="center"/>
                </w:tcPr>
                <w:p>
                  <w:pPr>
                    <w:pStyle w:val="181"/>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40</w:t>
                  </w:r>
                </w:p>
              </w:tc>
              <w:tc>
                <w:tcPr>
                  <w:tcW w:w="1216" w:type="dxa"/>
                  <w:tcBorders>
                    <w:tl2br w:val="nil"/>
                    <w:tr2bl w:val="nil"/>
                  </w:tcBorders>
                  <w:noWrap w:val="0"/>
                  <w:vAlign w:val="center"/>
                </w:tcPr>
                <w:p>
                  <w:pPr>
                    <w:pStyle w:val="181"/>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1"/>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PM</w:t>
                  </w:r>
                  <w:r>
                    <w:rPr>
                      <w:rFonts w:hint="default"/>
                      <w:color w:val="auto"/>
                      <w:sz w:val="22"/>
                      <w:szCs w:val="22"/>
                      <w:u w:val="none" w:color="auto"/>
                      <w:vertAlign w:val="subscript"/>
                    </w:rPr>
                    <w:t>10</w:t>
                  </w:r>
                </w:p>
              </w:tc>
              <w:tc>
                <w:tcPr>
                  <w:tcW w:w="1933" w:type="dxa"/>
                  <w:tcBorders>
                    <w:tl2br w:val="nil"/>
                    <w:tr2bl w:val="nil"/>
                  </w:tcBorders>
                  <w:noWrap w:val="0"/>
                  <w:vAlign w:val="center"/>
                </w:tcPr>
                <w:p>
                  <w:pPr>
                    <w:pStyle w:val="181"/>
                    <w:spacing w:line="360" w:lineRule="auto"/>
                    <w:rPr>
                      <w:rFonts w:hint="default"/>
                      <w:color w:val="auto"/>
                      <w:sz w:val="22"/>
                      <w:szCs w:val="22"/>
                      <w:u w:val="none" w:color="auto"/>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1"/>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55.54</w:t>
                  </w:r>
                </w:p>
              </w:tc>
              <w:tc>
                <w:tcPr>
                  <w:tcW w:w="1294" w:type="dxa"/>
                  <w:tcBorders>
                    <w:tl2br w:val="nil"/>
                    <w:tr2bl w:val="nil"/>
                  </w:tcBorders>
                  <w:noWrap w:val="0"/>
                  <w:vAlign w:val="center"/>
                </w:tcPr>
                <w:p>
                  <w:pPr>
                    <w:pStyle w:val="181"/>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70</w:t>
                  </w:r>
                </w:p>
              </w:tc>
              <w:tc>
                <w:tcPr>
                  <w:tcW w:w="1216" w:type="dxa"/>
                  <w:tcBorders>
                    <w:tl2br w:val="nil"/>
                    <w:tr2bl w:val="nil"/>
                  </w:tcBorders>
                  <w:noWrap w:val="0"/>
                  <w:vAlign w:val="center"/>
                </w:tcPr>
                <w:p>
                  <w:pPr>
                    <w:pStyle w:val="181"/>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1"/>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1"/>
                    <w:spacing w:line="360" w:lineRule="auto"/>
                    <w:rPr>
                      <w:rFonts w:hint="eastAsia"/>
                      <w:color w:val="auto"/>
                      <w:sz w:val="22"/>
                      <w:szCs w:val="22"/>
                      <w:u w:val="none" w:color="auto"/>
                      <w:lang w:val="en-US" w:eastAsia="zh-CN"/>
                    </w:rPr>
                  </w:pPr>
                  <w:r>
                    <w:rPr>
                      <w:rFonts w:hint="default"/>
                      <w:color w:val="auto"/>
                      <w:sz w:val="22"/>
                      <w:szCs w:val="22"/>
                      <w:u w:val="none" w:color="auto"/>
                    </w:rPr>
                    <w:t>PM</w:t>
                  </w:r>
                  <w:r>
                    <w:rPr>
                      <w:rFonts w:hint="eastAsia"/>
                      <w:color w:val="auto"/>
                      <w:sz w:val="22"/>
                      <w:szCs w:val="22"/>
                      <w:u w:val="none" w:color="auto"/>
                      <w:vertAlign w:val="subscript"/>
                      <w:lang w:val="en-US" w:eastAsia="zh-CN"/>
                    </w:rPr>
                    <w:t>2.5</w:t>
                  </w:r>
                </w:p>
              </w:tc>
              <w:tc>
                <w:tcPr>
                  <w:tcW w:w="1933" w:type="dxa"/>
                  <w:tcBorders>
                    <w:tl2br w:val="nil"/>
                    <w:tr2bl w:val="nil"/>
                  </w:tcBorders>
                  <w:noWrap w:val="0"/>
                  <w:vAlign w:val="center"/>
                </w:tcPr>
                <w:p>
                  <w:pPr>
                    <w:pStyle w:val="181"/>
                    <w:spacing w:line="360" w:lineRule="auto"/>
                    <w:rPr>
                      <w:rFonts w:hint="default"/>
                      <w:color w:val="auto"/>
                      <w:sz w:val="22"/>
                      <w:szCs w:val="22"/>
                      <w:u w:val="none" w:color="auto"/>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1"/>
                    <w:spacing w:line="360" w:lineRule="auto"/>
                    <w:rPr>
                      <w:rFonts w:hint="default"/>
                      <w:b/>
                      <w:bCs/>
                      <w:color w:val="auto"/>
                      <w:sz w:val="22"/>
                      <w:szCs w:val="22"/>
                      <w:u w:val="none" w:color="auto"/>
                      <w:lang w:val="en-US" w:eastAsia="zh-CN"/>
                    </w:rPr>
                  </w:pPr>
                  <w:r>
                    <w:rPr>
                      <w:rFonts w:hint="eastAsia"/>
                      <w:b/>
                      <w:bCs/>
                      <w:color w:val="auto"/>
                      <w:sz w:val="22"/>
                      <w:szCs w:val="22"/>
                      <w:u w:val="none" w:color="auto"/>
                      <w:lang w:val="en-US" w:eastAsia="zh-CN"/>
                    </w:rPr>
                    <w:t>40.27</w:t>
                  </w:r>
                </w:p>
              </w:tc>
              <w:tc>
                <w:tcPr>
                  <w:tcW w:w="1294" w:type="dxa"/>
                  <w:tcBorders>
                    <w:tl2br w:val="nil"/>
                    <w:tr2bl w:val="nil"/>
                  </w:tcBorders>
                  <w:noWrap w:val="0"/>
                  <w:vAlign w:val="center"/>
                </w:tcPr>
                <w:p>
                  <w:pPr>
                    <w:pStyle w:val="181"/>
                    <w:spacing w:line="360" w:lineRule="auto"/>
                    <w:rPr>
                      <w:rFonts w:hint="default"/>
                      <w:b/>
                      <w:bCs/>
                      <w:color w:val="auto"/>
                      <w:sz w:val="22"/>
                      <w:szCs w:val="22"/>
                      <w:u w:val="none" w:color="auto"/>
                      <w:lang w:val="en-US" w:eastAsia="zh-CN"/>
                    </w:rPr>
                  </w:pPr>
                  <w:r>
                    <w:rPr>
                      <w:rFonts w:hint="eastAsia"/>
                      <w:b/>
                      <w:bCs/>
                      <w:color w:val="auto"/>
                      <w:sz w:val="22"/>
                      <w:szCs w:val="22"/>
                      <w:u w:val="none" w:color="auto"/>
                      <w:lang w:val="en-US" w:eastAsia="zh-CN"/>
                    </w:rPr>
                    <w:t>35</w:t>
                  </w:r>
                </w:p>
              </w:tc>
              <w:tc>
                <w:tcPr>
                  <w:tcW w:w="1216" w:type="dxa"/>
                  <w:tcBorders>
                    <w:tl2br w:val="nil"/>
                    <w:tr2bl w:val="nil"/>
                  </w:tcBorders>
                  <w:noWrap w:val="0"/>
                  <w:vAlign w:val="center"/>
                </w:tcPr>
                <w:p>
                  <w:pPr>
                    <w:pStyle w:val="181"/>
                    <w:spacing w:line="360" w:lineRule="auto"/>
                    <w:rPr>
                      <w:rFonts w:hint="default"/>
                      <w:b/>
                      <w:bCs/>
                      <w:color w:val="auto"/>
                      <w:sz w:val="22"/>
                      <w:szCs w:val="22"/>
                      <w:u w:val="none" w:color="auto"/>
                      <w:lang w:val="en-US" w:eastAsia="zh-CN"/>
                    </w:rPr>
                  </w:pPr>
                  <w:r>
                    <w:rPr>
                      <w:rFonts w:hint="eastAsia"/>
                      <w:b/>
                      <w:bCs/>
                      <w:color w:val="auto"/>
                      <w:sz w:val="22"/>
                      <w:szCs w:val="22"/>
                      <w:u w:val="none" w:color="auto"/>
                      <w:lang w:val="en-US" w:eastAsia="zh-CN"/>
                    </w:rPr>
                    <w:t>0.15</w:t>
                  </w:r>
                </w:p>
              </w:tc>
              <w:tc>
                <w:tcPr>
                  <w:tcW w:w="1216" w:type="dxa"/>
                  <w:tcBorders>
                    <w:tl2br w:val="nil"/>
                    <w:tr2bl w:val="nil"/>
                  </w:tcBorders>
                  <w:noWrap w:val="0"/>
                  <w:vAlign w:val="center"/>
                </w:tcPr>
                <w:p>
                  <w:pPr>
                    <w:pStyle w:val="181"/>
                    <w:spacing w:line="360" w:lineRule="auto"/>
                    <w:rPr>
                      <w:rFonts w:hint="default"/>
                      <w:b/>
                      <w:bCs/>
                      <w:color w:val="auto"/>
                      <w:sz w:val="22"/>
                      <w:szCs w:val="22"/>
                      <w:u w:val="none" w:color="auto"/>
                    </w:rPr>
                  </w:pPr>
                  <w:r>
                    <w:rPr>
                      <w:rFonts w:hint="eastAsia"/>
                      <w:b/>
                      <w:bCs/>
                      <w:color w:val="auto"/>
                      <w:sz w:val="22"/>
                      <w:szCs w:val="22"/>
                      <w:u w:val="none" w:color="auto"/>
                      <w:lang w:eastAsia="zh-CN"/>
                    </w:rPr>
                    <w:t>不</w:t>
                  </w:r>
                  <w:r>
                    <w:rPr>
                      <w:rFonts w:hint="default"/>
                      <w:b/>
                      <w:bCs/>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1"/>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1"/>
                    <w:spacing w:line="360" w:lineRule="auto"/>
                    <w:rPr>
                      <w:rFonts w:hint="default"/>
                      <w:color w:val="auto"/>
                      <w:sz w:val="22"/>
                      <w:szCs w:val="22"/>
                      <w:u w:val="none" w:color="auto"/>
                    </w:rPr>
                  </w:pPr>
                  <w:r>
                    <w:rPr>
                      <w:rFonts w:hint="eastAsia"/>
                      <w:color w:val="auto"/>
                      <w:sz w:val="22"/>
                      <w:szCs w:val="22"/>
                      <w:u w:val="none" w:color="auto"/>
                      <w:lang w:val="en-US" w:eastAsia="zh-CN"/>
                    </w:rPr>
                    <w:t>C</w:t>
                  </w:r>
                  <w:r>
                    <w:rPr>
                      <w:rFonts w:hint="default"/>
                      <w:color w:val="auto"/>
                      <w:sz w:val="22"/>
                      <w:szCs w:val="22"/>
                      <w:u w:val="none" w:color="auto"/>
                    </w:rPr>
                    <w:t>O</w:t>
                  </w:r>
                </w:p>
              </w:tc>
              <w:tc>
                <w:tcPr>
                  <w:tcW w:w="1933" w:type="dxa"/>
                  <w:tcBorders>
                    <w:tl2br w:val="nil"/>
                    <w:tr2bl w:val="nil"/>
                  </w:tcBorders>
                  <w:noWrap w:val="0"/>
                  <w:vAlign w:val="center"/>
                </w:tcPr>
                <w:p>
                  <w:pPr>
                    <w:pStyle w:val="181"/>
                    <w:spacing w:line="360" w:lineRule="auto"/>
                    <w:rPr>
                      <w:rFonts w:hint="eastAsia"/>
                      <w:color w:val="auto"/>
                      <w:sz w:val="22"/>
                      <w:szCs w:val="22"/>
                      <w:u w:val="none" w:color="auto"/>
                      <w:lang w:eastAsia="zh-CN"/>
                    </w:rPr>
                  </w:pPr>
                  <w:r>
                    <w:rPr>
                      <w:rFonts w:hint="eastAsia"/>
                      <w:color w:val="auto"/>
                      <w:sz w:val="22"/>
                      <w:szCs w:val="22"/>
                      <w:u w:val="none" w:color="auto"/>
                      <w:lang w:val="en-US" w:eastAsia="zh-CN"/>
                    </w:rPr>
                    <w:t>95百分位数</w:t>
                  </w:r>
                  <w:r>
                    <w:rPr>
                      <w:rFonts w:hint="eastAsia"/>
                      <w:color w:val="auto"/>
                      <w:sz w:val="22"/>
                      <w:szCs w:val="22"/>
                      <w:u w:val="none" w:color="auto"/>
                      <w:lang w:eastAsia="zh-CN"/>
                    </w:rPr>
                    <w:t>日平均质量浓度</w:t>
                  </w:r>
                </w:p>
              </w:tc>
              <w:tc>
                <w:tcPr>
                  <w:tcW w:w="1408" w:type="dxa"/>
                  <w:tcBorders>
                    <w:tl2br w:val="nil"/>
                    <w:tr2bl w:val="nil"/>
                  </w:tcBorders>
                  <w:noWrap w:val="0"/>
                  <w:vAlign w:val="center"/>
                </w:tcPr>
                <w:p>
                  <w:pPr>
                    <w:pStyle w:val="181"/>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0.93</w:t>
                  </w:r>
                </w:p>
              </w:tc>
              <w:tc>
                <w:tcPr>
                  <w:tcW w:w="1294" w:type="dxa"/>
                  <w:tcBorders>
                    <w:tl2br w:val="nil"/>
                    <w:tr2bl w:val="nil"/>
                  </w:tcBorders>
                  <w:noWrap w:val="0"/>
                  <w:vAlign w:val="center"/>
                </w:tcPr>
                <w:p>
                  <w:pPr>
                    <w:pStyle w:val="181"/>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4000</w:t>
                  </w:r>
                </w:p>
              </w:tc>
              <w:tc>
                <w:tcPr>
                  <w:tcW w:w="1216" w:type="dxa"/>
                  <w:tcBorders>
                    <w:tl2br w:val="nil"/>
                    <w:tr2bl w:val="nil"/>
                  </w:tcBorders>
                  <w:noWrap w:val="0"/>
                  <w:vAlign w:val="center"/>
                </w:tcPr>
                <w:p>
                  <w:pPr>
                    <w:pStyle w:val="181"/>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1"/>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1"/>
                    <w:spacing w:line="360" w:lineRule="auto"/>
                    <w:rPr>
                      <w:rFonts w:hint="eastAsia"/>
                      <w:color w:val="auto"/>
                      <w:sz w:val="22"/>
                      <w:szCs w:val="22"/>
                      <w:u w:val="none" w:color="auto"/>
                      <w:lang w:eastAsia="zh-CN"/>
                    </w:rPr>
                  </w:pPr>
                  <w:r>
                    <w:rPr>
                      <w:rFonts w:hint="default"/>
                      <w:color w:val="auto"/>
                      <w:sz w:val="22"/>
                      <w:szCs w:val="22"/>
                      <w:u w:val="none" w:color="auto"/>
                    </w:rPr>
                    <w:t>O</w:t>
                  </w:r>
                  <w:r>
                    <w:rPr>
                      <w:rFonts w:hint="eastAsia"/>
                      <w:color w:val="auto"/>
                      <w:sz w:val="22"/>
                      <w:szCs w:val="22"/>
                      <w:u w:val="none" w:color="auto"/>
                      <w:vertAlign w:val="subscript"/>
                      <w:lang w:val="en-US" w:eastAsia="zh-CN"/>
                    </w:rPr>
                    <w:t>3</w:t>
                  </w:r>
                </w:p>
              </w:tc>
              <w:tc>
                <w:tcPr>
                  <w:tcW w:w="1933" w:type="dxa"/>
                  <w:tcBorders>
                    <w:tl2br w:val="nil"/>
                    <w:tr2bl w:val="nil"/>
                  </w:tcBorders>
                  <w:noWrap w:val="0"/>
                  <w:vAlign w:val="center"/>
                </w:tcPr>
                <w:p>
                  <w:pPr>
                    <w:pStyle w:val="181"/>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90百分位数</w:t>
                  </w:r>
                  <w:r>
                    <w:rPr>
                      <w:rFonts w:hint="eastAsia"/>
                      <w:color w:val="auto"/>
                      <w:sz w:val="22"/>
                      <w:szCs w:val="22"/>
                      <w:u w:val="none" w:color="auto"/>
                      <w:lang w:eastAsia="zh-CN"/>
                    </w:rPr>
                    <w:t>最大</w:t>
                  </w:r>
                  <w:r>
                    <w:rPr>
                      <w:rFonts w:hint="eastAsia"/>
                      <w:color w:val="auto"/>
                      <w:sz w:val="22"/>
                      <w:szCs w:val="22"/>
                      <w:u w:val="none" w:color="auto"/>
                      <w:lang w:val="en-US" w:eastAsia="zh-CN"/>
                    </w:rPr>
                    <w:t>8小时平均质量浓度</w:t>
                  </w:r>
                </w:p>
              </w:tc>
              <w:tc>
                <w:tcPr>
                  <w:tcW w:w="1408" w:type="dxa"/>
                  <w:tcBorders>
                    <w:tl2br w:val="nil"/>
                    <w:tr2bl w:val="nil"/>
                  </w:tcBorders>
                  <w:noWrap w:val="0"/>
                  <w:vAlign w:val="center"/>
                </w:tcPr>
                <w:p>
                  <w:pPr>
                    <w:pStyle w:val="181"/>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89.18</w:t>
                  </w:r>
                </w:p>
              </w:tc>
              <w:tc>
                <w:tcPr>
                  <w:tcW w:w="1294" w:type="dxa"/>
                  <w:tcBorders>
                    <w:tl2br w:val="nil"/>
                    <w:tr2bl w:val="nil"/>
                  </w:tcBorders>
                  <w:noWrap w:val="0"/>
                  <w:vAlign w:val="center"/>
                </w:tcPr>
                <w:p>
                  <w:pPr>
                    <w:pStyle w:val="181"/>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160</w:t>
                  </w:r>
                </w:p>
              </w:tc>
              <w:tc>
                <w:tcPr>
                  <w:tcW w:w="1216" w:type="dxa"/>
                  <w:tcBorders>
                    <w:tl2br w:val="nil"/>
                    <w:tr2bl w:val="nil"/>
                  </w:tcBorders>
                  <w:noWrap w:val="0"/>
                  <w:vAlign w:val="center"/>
                </w:tcPr>
                <w:p>
                  <w:pPr>
                    <w:pStyle w:val="181"/>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达标</w:t>
                  </w:r>
                </w:p>
              </w:tc>
            </w:tr>
          </w:tbl>
          <w:p>
            <w:pPr>
              <w:pStyle w:val="169"/>
              <w:spacing w:line="360" w:lineRule="auto"/>
              <w:ind w:firstLine="462" w:firstLineChars="200"/>
              <w:rPr>
                <w:rFonts w:hint="eastAsia" w:eastAsia="宋体"/>
                <w:color w:val="auto"/>
                <w:sz w:val="24"/>
                <w:szCs w:val="24"/>
                <w:u w:val="none" w:color="auto"/>
                <w:lang w:val="en-US" w:eastAsia="zh-CN"/>
              </w:rPr>
            </w:pPr>
            <w:r>
              <w:rPr>
                <w:rFonts w:hint="eastAsia"/>
                <w:color w:val="auto"/>
                <w:sz w:val="24"/>
                <w:szCs w:val="24"/>
                <w:u w:val="none" w:color="auto"/>
                <w:lang w:eastAsia="zh-CN"/>
              </w:rPr>
              <w:t>根据</w:t>
            </w:r>
            <w:r>
              <w:rPr>
                <w:rFonts w:hint="eastAsia"/>
                <w:color w:val="auto"/>
                <w:sz w:val="24"/>
                <w:szCs w:val="24"/>
                <w:u w:val="none" w:color="auto"/>
                <w:lang w:val="en-US" w:eastAsia="zh-CN"/>
              </w:rPr>
              <w:t>2019年湘阴县环境空气质量公告中湘阴县环境空气质量数据（如下表所示），湘阴县</w:t>
            </w:r>
            <w:r>
              <w:rPr>
                <w:rFonts w:hint="default"/>
                <w:color w:val="auto"/>
                <w:sz w:val="24"/>
                <w:szCs w:val="24"/>
                <w:u w:val="none" w:color="auto"/>
              </w:rPr>
              <w:t>PM</w:t>
            </w:r>
            <w:r>
              <w:rPr>
                <w:rFonts w:hint="default"/>
                <w:color w:val="auto"/>
                <w:sz w:val="24"/>
                <w:szCs w:val="24"/>
                <w:u w:val="none" w:color="auto"/>
                <w:vertAlign w:val="subscript"/>
              </w:rPr>
              <w:t>10</w:t>
            </w:r>
            <w:r>
              <w:rPr>
                <w:rFonts w:hint="eastAsia"/>
                <w:color w:val="auto"/>
                <w:sz w:val="24"/>
                <w:szCs w:val="24"/>
                <w:u w:val="none" w:color="auto"/>
                <w:lang w:eastAsia="zh-CN"/>
              </w:rPr>
              <w:t>、</w:t>
            </w:r>
            <w:r>
              <w:rPr>
                <w:rFonts w:hint="default"/>
                <w:color w:val="auto"/>
                <w:sz w:val="24"/>
                <w:szCs w:val="24"/>
                <w:u w:val="none" w:color="auto"/>
              </w:rPr>
              <w:t>SO</w:t>
            </w:r>
            <w:r>
              <w:rPr>
                <w:rFonts w:hint="default"/>
                <w:color w:val="auto"/>
                <w:sz w:val="24"/>
                <w:szCs w:val="24"/>
                <w:u w:val="none" w:color="auto"/>
                <w:vertAlign w:val="subscript"/>
              </w:rPr>
              <w:t>2</w:t>
            </w:r>
            <w:r>
              <w:rPr>
                <w:rFonts w:hint="eastAsia"/>
                <w:color w:val="auto"/>
                <w:sz w:val="24"/>
                <w:szCs w:val="24"/>
                <w:u w:val="none" w:color="auto"/>
                <w:lang w:eastAsia="zh-CN"/>
              </w:rPr>
              <w:t>、</w:t>
            </w:r>
            <w:r>
              <w:rPr>
                <w:rFonts w:hint="default"/>
                <w:color w:val="auto"/>
                <w:sz w:val="24"/>
                <w:szCs w:val="24"/>
                <w:u w:val="none" w:color="auto"/>
              </w:rPr>
              <w:t>NO</w:t>
            </w:r>
            <w:r>
              <w:rPr>
                <w:rFonts w:hint="default"/>
                <w:color w:val="auto"/>
                <w:sz w:val="24"/>
                <w:szCs w:val="24"/>
                <w:u w:val="none" w:color="auto"/>
                <w:vertAlign w:val="subscript"/>
              </w:rPr>
              <w:t>2</w:t>
            </w:r>
            <w:r>
              <w:rPr>
                <w:rFonts w:hint="eastAsia"/>
                <w:color w:val="auto"/>
                <w:sz w:val="24"/>
                <w:szCs w:val="24"/>
                <w:u w:val="none" w:color="auto"/>
                <w:lang w:eastAsia="zh-CN"/>
              </w:rPr>
              <w:t>年平均质量浓度和</w:t>
            </w:r>
            <w:r>
              <w:rPr>
                <w:rFonts w:hint="eastAsia"/>
                <w:color w:val="auto"/>
                <w:sz w:val="24"/>
                <w:szCs w:val="24"/>
                <w:u w:val="none" w:color="auto"/>
                <w:lang w:val="en-US" w:eastAsia="zh-CN"/>
              </w:rPr>
              <w:t>C</w:t>
            </w:r>
            <w:r>
              <w:rPr>
                <w:rFonts w:hint="default"/>
                <w:color w:val="auto"/>
                <w:sz w:val="24"/>
                <w:szCs w:val="24"/>
                <w:u w:val="none" w:color="auto"/>
              </w:rPr>
              <w:t>O</w:t>
            </w:r>
            <w:r>
              <w:rPr>
                <w:rFonts w:hint="eastAsia"/>
                <w:color w:val="auto"/>
                <w:sz w:val="24"/>
                <w:szCs w:val="24"/>
                <w:u w:val="none" w:color="auto"/>
                <w:lang w:val="en-US" w:eastAsia="zh-CN"/>
              </w:rPr>
              <w:t>95百分位数</w:t>
            </w:r>
            <w:r>
              <w:rPr>
                <w:rFonts w:hint="eastAsia"/>
                <w:color w:val="auto"/>
                <w:sz w:val="24"/>
                <w:szCs w:val="24"/>
                <w:u w:val="none" w:color="auto"/>
                <w:lang w:eastAsia="zh-CN"/>
              </w:rPr>
              <w:t>日平均质量浓度、</w:t>
            </w:r>
            <w:r>
              <w:rPr>
                <w:rFonts w:hint="default"/>
                <w:color w:val="auto"/>
                <w:sz w:val="24"/>
                <w:szCs w:val="24"/>
                <w:u w:val="none" w:color="auto"/>
              </w:rPr>
              <w:t>O</w:t>
            </w:r>
            <w:r>
              <w:rPr>
                <w:rFonts w:hint="eastAsia"/>
                <w:color w:val="auto"/>
                <w:sz w:val="24"/>
                <w:szCs w:val="24"/>
                <w:u w:val="none" w:color="auto"/>
                <w:vertAlign w:val="subscript"/>
                <w:lang w:val="en-US" w:eastAsia="zh-CN"/>
              </w:rPr>
              <w:t>3</w:t>
            </w:r>
            <w:r>
              <w:rPr>
                <w:rFonts w:hint="eastAsia"/>
                <w:color w:val="auto"/>
                <w:sz w:val="24"/>
                <w:szCs w:val="24"/>
                <w:u w:val="none" w:color="auto"/>
                <w:lang w:val="en-US" w:eastAsia="zh-CN"/>
              </w:rPr>
              <w:t>90百分位数</w:t>
            </w:r>
            <w:r>
              <w:rPr>
                <w:rFonts w:hint="eastAsia"/>
                <w:color w:val="auto"/>
                <w:sz w:val="24"/>
                <w:szCs w:val="24"/>
                <w:u w:val="none" w:color="auto"/>
                <w:lang w:eastAsia="zh-CN"/>
              </w:rPr>
              <w:t>最大</w:t>
            </w:r>
            <w:r>
              <w:rPr>
                <w:rFonts w:hint="eastAsia"/>
                <w:color w:val="auto"/>
                <w:sz w:val="24"/>
                <w:szCs w:val="24"/>
                <w:u w:val="none" w:color="auto"/>
                <w:lang w:val="en-US" w:eastAsia="zh-CN"/>
              </w:rPr>
              <w:t>8小时平均质量浓度</w:t>
            </w:r>
            <w:r>
              <w:rPr>
                <w:rFonts w:hint="eastAsia"/>
                <w:color w:val="auto"/>
                <w:sz w:val="24"/>
                <w:szCs w:val="24"/>
                <w:u w:val="none" w:color="auto"/>
                <w:lang w:eastAsia="zh-CN"/>
              </w:rPr>
              <w:t>可达到</w:t>
            </w:r>
            <w:r>
              <w:rPr>
                <w:color w:val="auto"/>
                <w:sz w:val="24"/>
                <w:szCs w:val="24"/>
                <w:u w:val="none" w:color="auto"/>
              </w:rPr>
              <w:t>《环境空气质量标准》（GB3095-2012）中二级标准。</w:t>
            </w:r>
            <w:r>
              <w:rPr>
                <w:rFonts w:hint="default"/>
                <w:color w:val="auto"/>
                <w:sz w:val="24"/>
                <w:szCs w:val="24"/>
                <w:u w:val="none" w:color="auto"/>
              </w:rPr>
              <w:t>PM</w:t>
            </w:r>
            <w:r>
              <w:rPr>
                <w:rFonts w:hint="eastAsia"/>
                <w:color w:val="auto"/>
                <w:sz w:val="24"/>
                <w:szCs w:val="24"/>
                <w:u w:val="none" w:color="auto"/>
                <w:vertAlign w:val="subscript"/>
                <w:lang w:val="en-US" w:eastAsia="zh-CN"/>
              </w:rPr>
              <w:t>2.5</w:t>
            </w:r>
            <w:r>
              <w:rPr>
                <w:rFonts w:hint="eastAsia"/>
                <w:color w:val="auto"/>
                <w:sz w:val="24"/>
                <w:szCs w:val="24"/>
                <w:u w:val="none" w:color="auto"/>
                <w:lang w:eastAsia="zh-CN"/>
              </w:rPr>
              <w:t>年平均质量浓度尚未达到</w:t>
            </w:r>
            <w:r>
              <w:rPr>
                <w:color w:val="auto"/>
                <w:sz w:val="24"/>
                <w:szCs w:val="24"/>
                <w:u w:val="none" w:color="auto"/>
              </w:rPr>
              <w:t>《环境空气质量标准》（GB3095-2012）中二级标准。</w:t>
            </w:r>
            <w:r>
              <w:rPr>
                <w:rFonts w:hint="eastAsia"/>
                <w:color w:val="auto"/>
                <w:sz w:val="24"/>
                <w:szCs w:val="24"/>
                <w:u w:val="none" w:color="auto"/>
                <w:lang w:val="en-US" w:eastAsia="zh-CN"/>
              </w:rPr>
              <w:t xml:space="preserve"> </w:t>
            </w:r>
          </w:p>
          <w:p>
            <w:pPr>
              <w:pStyle w:val="183"/>
              <w:rPr>
                <w:rFonts w:hint="eastAsia"/>
                <w:color w:val="auto"/>
                <w:u w:val="none" w:color="auto"/>
                <w:lang w:val="en-US" w:eastAsia="zh-CN"/>
              </w:rPr>
            </w:pPr>
          </w:p>
          <w:p>
            <w:pPr>
              <w:pStyle w:val="183"/>
              <w:rPr>
                <w:rFonts w:hint="eastAsia"/>
                <w:color w:val="auto"/>
                <w:u w:val="none" w:color="auto"/>
                <w:lang w:val="en-US" w:eastAsia="zh-CN"/>
              </w:rPr>
            </w:pPr>
          </w:p>
          <w:p>
            <w:pPr>
              <w:pStyle w:val="183"/>
              <w:rPr>
                <w:rFonts w:hint="eastAsia"/>
                <w:color w:val="auto"/>
                <w:u w:val="none" w:color="auto"/>
                <w:lang w:val="en-US" w:eastAsia="zh-CN"/>
              </w:rPr>
            </w:pPr>
            <w:r>
              <w:rPr>
                <w:rFonts w:hint="eastAsia"/>
                <w:color w:val="auto"/>
                <w:u w:val="none" w:color="auto"/>
                <w:lang w:val="en-US" w:eastAsia="zh-CN"/>
              </w:rPr>
              <w:t xml:space="preserve">        </w:t>
            </w:r>
            <w:r>
              <w:rPr>
                <w:rFonts w:hint="default"/>
                <w:color w:val="auto"/>
                <w:u w:val="none" w:color="auto"/>
              </w:rPr>
              <w:t>表</w:t>
            </w:r>
            <w:r>
              <w:rPr>
                <w:rFonts w:hint="eastAsia"/>
                <w:color w:val="auto"/>
                <w:u w:val="none" w:color="auto"/>
                <w:lang w:val="en-US" w:eastAsia="zh-CN"/>
              </w:rPr>
              <w:t>3-2</w:t>
            </w:r>
            <w:r>
              <w:rPr>
                <w:rFonts w:hint="default"/>
                <w:color w:val="auto"/>
                <w:u w:val="none" w:color="auto"/>
              </w:rPr>
              <w:t xml:space="preserve">  </w:t>
            </w:r>
            <w:r>
              <w:rPr>
                <w:rFonts w:hint="eastAsia"/>
                <w:color w:val="auto"/>
                <w:u w:val="none" w:color="auto"/>
                <w:lang w:val="en-US" w:eastAsia="zh-CN"/>
              </w:rPr>
              <w:t>2019年</w:t>
            </w:r>
            <w:r>
              <w:rPr>
                <w:rFonts w:hint="eastAsia"/>
                <w:color w:val="auto"/>
                <w:u w:val="none" w:color="auto"/>
                <w:lang w:eastAsia="zh-CN"/>
              </w:rPr>
              <w:t>区域空气质量现状评价</w:t>
            </w:r>
            <w:r>
              <w:rPr>
                <w:rFonts w:hint="default"/>
                <w:color w:val="auto"/>
                <w:u w:val="none" w:color="auto"/>
                <w:lang w:val="en-US" w:eastAsia="zh-CN"/>
              </w:rPr>
              <w:t>表</w:t>
            </w:r>
            <w:r>
              <w:rPr>
                <w:rFonts w:hint="eastAsia"/>
                <w:color w:val="auto"/>
                <w:u w:val="none" w:color="auto"/>
                <w:lang w:val="en-US" w:eastAsia="zh-CN"/>
              </w:rPr>
              <w:t xml:space="preserve">           单位</w:t>
            </w:r>
            <w:r>
              <w:rPr>
                <w:rFonts w:hint="eastAsia"/>
                <w:color w:val="auto"/>
                <w:sz w:val="22"/>
                <w:szCs w:val="22"/>
                <w:u w:val="none" w:color="auto"/>
                <w:lang w:val="en-US" w:eastAsia="zh-CN"/>
              </w:rPr>
              <w:t>u</w:t>
            </w:r>
            <w:r>
              <w:rPr>
                <w:rFonts w:hint="default"/>
                <w:color w:val="auto"/>
                <w:sz w:val="22"/>
                <w:szCs w:val="22"/>
                <w:u w:val="none" w:color="auto"/>
              </w:rPr>
              <w:t>g/m</w:t>
            </w:r>
            <w:r>
              <w:rPr>
                <w:rFonts w:hint="default"/>
                <w:color w:val="auto"/>
                <w:sz w:val="22"/>
                <w:szCs w:val="22"/>
                <w:u w:val="none" w:color="auto"/>
                <w:vertAlign w:val="superscript"/>
              </w:rPr>
              <w:t>3</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123"/>
              <w:gridCol w:w="1916"/>
              <w:gridCol w:w="1405"/>
              <w:gridCol w:w="1293"/>
              <w:gridCol w:w="1210"/>
              <w:gridCol w:w="12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76" w:type="dxa"/>
                  <w:tcBorders>
                    <w:tl2br w:val="nil"/>
                    <w:tr2bl w:val="nil"/>
                  </w:tcBorders>
                  <w:noWrap w:val="0"/>
                  <w:vAlign w:val="center"/>
                </w:tcPr>
                <w:p>
                  <w:pPr>
                    <w:pStyle w:val="181"/>
                    <w:spacing w:line="360" w:lineRule="auto"/>
                    <w:rPr>
                      <w:rFonts w:hint="eastAsia"/>
                      <w:color w:val="auto"/>
                      <w:sz w:val="22"/>
                      <w:szCs w:val="22"/>
                      <w:u w:val="none" w:color="auto"/>
                      <w:lang w:eastAsia="zh-CN"/>
                    </w:rPr>
                  </w:pPr>
                  <w:r>
                    <w:rPr>
                      <w:rFonts w:hint="eastAsia"/>
                      <w:color w:val="auto"/>
                      <w:sz w:val="22"/>
                      <w:szCs w:val="22"/>
                      <w:u w:val="none" w:color="auto"/>
                      <w:lang w:eastAsia="zh-CN"/>
                    </w:rPr>
                    <w:t>所在</w:t>
                  </w:r>
                </w:p>
                <w:p>
                  <w:pPr>
                    <w:pStyle w:val="181"/>
                    <w:spacing w:line="360" w:lineRule="auto"/>
                    <w:rPr>
                      <w:rFonts w:hint="eastAsia"/>
                      <w:color w:val="auto"/>
                      <w:sz w:val="22"/>
                      <w:szCs w:val="22"/>
                      <w:u w:val="none" w:color="auto"/>
                      <w:lang w:eastAsia="zh-CN"/>
                    </w:rPr>
                  </w:pPr>
                  <w:r>
                    <w:rPr>
                      <w:rFonts w:hint="eastAsia"/>
                      <w:color w:val="auto"/>
                      <w:sz w:val="22"/>
                      <w:szCs w:val="22"/>
                      <w:u w:val="none" w:color="auto"/>
                      <w:lang w:eastAsia="zh-CN"/>
                    </w:rPr>
                    <w:t>区域</w:t>
                  </w:r>
                </w:p>
              </w:tc>
              <w:tc>
                <w:tcPr>
                  <w:tcW w:w="1128"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监测</w:t>
                  </w:r>
                </w:p>
                <w:p>
                  <w:pPr>
                    <w:pStyle w:val="181"/>
                    <w:spacing w:line="360" w:lineRule="auto"/>
                    <w:rPr>
                      <w:rFonts w:hint="default"/>
                      <w:color w:val="auto"/>
                      <w:sz w:val="22"/>
                      <w:szCs w:val="22"/>
                      <w:u w:val="none" w:color="auto"/>
                    </w:rPr>
                  </w:pPr>
                  <w:r>
                    <w:rPr>
                      <w:rFonts w:hint="default"/>
                      <w:color w:val="auto"/>
                      <w:sz w:val="22"/>
                      <w:szCs w:val="22"/>
                      <w:u w:val="none" w:color="auto"/>
                    </w:rPr>
                    <w:t>项目</w:t>
                  </w:r>
                </w:p>
              </w:tc>
              <w:tc>
                <w:tcPr>
                  <w:tcW w:w="1933" w:type="dxa"/>
                  <w:tcBorders>
                    <w:tl2br w:val="nil"/>
                    <w:tr2bl w:val="nil"/>
                  </w:tcBorders>
                  <w:noWrap w:val="0"/>
                  <w:vAlign w:val="center"/>
                </w:tcPr>
                <w:p>
                  <w:pPr>
                    <w:pStyle w:val="181"/>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年评价指标</w:t>
                  </w:r>
                </w:p>
              </w:tc>
              <w:tc>
                <w:tcPr>
                  <w:tcW w:w="1408" w:type="dxa"/>
                  <w:tcBorders>
                    <w:tl2br w:val="nil"/>
                    <w:tr2bl w:val="nil"/>
                  </w:tcBorders>
                  <w:noWrap w:val="0"/>
                  <w:vAlign w:val="center"/>
                </w:tcPr>
                <w:p>
                  <w:pPr>
                    <w:pStyle w:val="181"/>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现状浓度（u</w:t>
                  </w:r>
                  <w:r>
                    <w:rPr>
                      <w:rFonts w:hint="default"/>
                      <w:color w:val="auto"/>
                      <w:sz w:val="22"/>
                      <w:szCs w:val="22"/>
                      <w:u w:val="none" w:color="auto"/>
                    </w:rPr>
                    <w:t>g/m</w:t>
                  </w:r>
                  <w:r>
                    <w:rPr>
                      <w:rFonts w:hint="default"/>
                      <w:color w:val="auto"/>
                      <w:sz w:val="22"/>
                      <w:szCs w:val="22"/>
                      <w:u w:val="none" w:color="auto"/>
                      <w:vertAlign w:val="superscript"/>
                    </w:rPr>
                    <w:t>3</w:t>
                  </w:r>
                  <w:r>
                    <w:rPr>
                      <w:rFonts w:hint="eastAsia"/>
                      <w:color w:val="auto"/>
                      <w:sz w:val="22"/>
                      <w:szCs w:val="22"/>
                      <w:u w:val="none" w:color="auto"/>
                      <w:lang w:val="en-US" w:eastAsia="zh-CN"/>
                    </w:rPr>
                    <w:t>）</w:t>
                  </w:r>
                </w:p>
              </w:tc>
              <w:tc>
                <w:tcPr>
                  <w:tcW w:w="1294"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标准值</w:t>
                  </w:r>
                  <w:r>
                    <w:rPr>
                      <w:rFonts w:hint="eastAsia"/>
                      <w:color w:val="auto"/>
                      <w:sz w:val="22"/>
                      <w:szCs w:val="22"/>
                      <w:u w:val="none" w:color="auto"/>
                      <w:lang w:val="en-US" w:eastAsia="zh-CN"/>
                    </w:rPr>
                    <w:t>（u</w:t>
                  </w:r>
                  <w:r>
                    <w:rPr>
                      <w:rFonts w:hint="default"/>
                      <w:color w:val="auto"/>
                      <w:sz w:val="22"/>
                      <w:szCs w:val="22"/>
                      <w:u w:val="none" w:color="auto"/>
                    </w:rPr>
                    <w:t>g/m</w:t>
                  </w:r>
                  <w:r>
                    <w:rPr>
                      <w:rFonts w:hint="default"/>
                      <w:color w:val="auto"/>
                      <w:sz w:val="22"/>
                      <w:szCs w:val="22"/>
                      <w:u w:val="none" w:color="auto"/>
                      <w:vertAlign w:val="superscript"/>
                    </w:rPr>
                    <w:t>3</w:t>
                  </w:r>
                  <w:r>
                    <w:rPr>
                      <w:rFonts w:hint="eastAsia"/>
                      <w:color w:val="auto"/>
                      <w:sz w:val="22"/>
                      <w:szCs w:val="22"/>
                      <w:u w:val="none" w:color="auto"/>
                      <w:lang w:val="en-US" w:eastAsia="zh-CN"/>
                    </w:rPr>
                    <w:t>）</w:t>
                  </w:r>
                </w:p>
              </w:tc>
              <w:tc>
                <w:tcPr>
                  <w:tcW w:w="1216" w:type="dxa"/>
                  <w:tcBorders>
                    <w:tl2br w:val="nil"/>
                    <w:tr2bl w:val="nil"/>
                  </w:tcBorders>
                  <w:noWrap w:val="0"/>
                  <w:vAlign w:val="center"/>
                </w:tcPr>
                <w:p>
                  <w:pPr>
                    <w:pStyle w:val="181"/>
                    <w:spacing w:line="360" w:lineRule="auto"/>
                    <w:rPr>
                      <w:rFonts w:hint="default"/>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超标倍数%</w:t>
                  </w:r>
                </w:p>
              </w:tc>
              <w:tc>
                <w:tcPr>
                  <w:tcW w:w="1216"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restart"/>
                  <w:tcBorders>
                    <w:tl2br w:val="nil"/>
                    <w:tr2bl w:val="nil"/>
                  </w:tcBorders>
                  <w:noWrap w:val="0"/>
                  <w:vAlign w:val="center"/>
                </w:tcPr>
                <w:p>
                  <w:pPr>
                    <w:pStyle w:val="181"/>
                    <w:spacing w:line="360" w:lineRule="auto"/>
                    <w:rPr>
                      <w:rFonts w:hint="eastAsia"/>
                      <w:color w:val="auto"/>
                      <w:sz w:val="22"/>
                      <w:szCs w:val="22"/>
                      <w:u w:val="none" w:color="auto"/>
                      <w:lang w:eastAsia="zh-CN"/>
                    </w:rPr>
                  </w:pPr>
                  <w:r>
                    <w:rPr>
                      <w:rFonts w:hint="eastAsia"/>
                      <w:color w:val="auto"/>
                      <w:sz w:val="22"/>
                      <w:szCs w:val="22"/>
                      <w:u w:val="none" w:color="auto"/>
                      <w:lang w:eastAsia="zh-CN"/>
                    </w:rPr>
                    <w:t>湘阴县</w:t>
                  </w:r>
                </w:p>
              </w:tc>
              <w:tc>
                <w:tcPr>
                  <w:tcW w:w="1128"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SO</w:t>
                  </w:r>
                  <w:r>
                    <w:rPr>
                      <w:rFonts w:hint="default"/>
                      <w:color w:val="auto"/>
                      <w:sz w:val="22"/>
                      <w:szCs w:val="22"/>
                      <w:u w:val="none" w:color="auto"/>
                      <w:vertAlign w:val="subscript"/>
                    </w:rPr>
                    <w:t>2</w:t>
                  </w:r>
                </w:p>
              </w:tc>
              <w:tc>
                <w:tcPr>
                  <w:tcW w:w="1933" w:type="dxa"/>
                  <w:tcBorders>
                    <w:tl2br w:val="nil"/>
                    <w:tr2bl w:val="nil"/>
                  </w:tcBorders>
                  <w:noWrap w:val="0"/>
                  <w:vAlign w:val="center"/>
                </w:tcPr>
                <w:p>
                  <w:pPr>
                    <w:pStyle w:val="181"/>
                    <w:spacing w:line="360" w:lineRule="auto"/>
                    <w:rPr>
                      <w:rFonts w:hint="eastAsia"/>
                      <w:color w:val="auto"/>
                      <w:sz w:val="22"/>
                      <w:szCs w:val="22"/>
                      <w:u w:val="none" w:color="auto"/>
                      <w:lang w:eastAsia="zh-CN"/>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1"/>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5.67</w:t>
                  </w:r>
                </w:p>
              </w:tc>
              <w:tc>
                <w:tcPr>
                  <w:tcW w:w="1294" w:type="dxa"/>
                  <w:tcBorders>
                    <w:tl2br w:val="nil"/>
                    <w:tr2bl w:val="nil"/>
                  </w:tcBorders>
                  <w:noWrap w:val="0"/>
                  <w:vAlign w:val="center"/>
                </w:tcPr>
                <w:p>
                  <w:pPr>
                    <w:pStyle w:val="181"/>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60</w:t>
                  </w:r>
                </w:p>
              </w:tc>
              <w:tc>
                <w:tcPr>
                  <w:tcW w:w="1216" w:type="dxa"/>
                  <w:tcBorders>
                    <w:tl2br w:val="nil"/>
                    <w:tr2bl w:val="nil"/>
                  </w:tcBorders>
                  <w:noWrap w:val="0"/>
                  <w:vAlign w:val="center"/>
                </w:tcPr>
                <w:p>
                  <w:pPr>
                    <w:pStyle w:val="181"/>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1"/>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NO</w:t>
                  </w:r>
                  <w:r>
                    <w:rPr>
                      <w:rFonts w:hint="default"/>
                      <w:color w:val="auto"/>
                      <w:sz w:val="22"/>
                      <w:szCs w:val="22"/>
                      <w:u w:val="none" w:color="auto"/>
                      <w:vertAlign w:val="subscript"/>
                    </w:rPr>
                    <w:t>2</w:t>
                  </w:r>
                </w:p>
              </w:tc>
              <w:tc>
                <w:tcPr>
                  <w:tcW w:w="1933" w:type="dxa"/>
                  <w:tcBorders>
                    <w:tl2br w:val="nil"/>
                    <w:tr2bl w:val="nil"/>
                  </w:tcBorders>
                  <w:noWrap w:val="0"/>
                  <w:vAlign w:val="center"/>
                </w:tcPr>
                <w:p>
                  <w:pPr>
                    <w:pStyle w:val="181"/>
                    <w:spacing w:line="360" w:lineRule="auto"/>
                    <w:rPr>
                      <w:rFonts w:hint="default"/>
                      <w:color w:val="auto"/>
                      <w:sz w:val="22"/>
                      <w:szCs w:val="22"/>
                      <w:u w:val="none" w:color="auto"/>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1"/>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23.00</w:t>
                  </w:r>
                </w:p>
              </w:tc>
              <w:tc>
                <w:tcPr>
                  <w:tcW w:w="1294" w:type="dxa"/>
                  <w:tcBorders>
                    <w:tl2br w:val="nil"/>
                    <w:tr2bl w:val="nil"/>
                  </w:tcBorders>
                  <w:noWrap w:val="0"/>
                  <w:vAlign w:val="center"/>
                </w:tcPr>
                <w:p>
                  <w:pPr>
                    <w:pStyle w:val="181"/>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40</w:t>
                  </w:r>
                </w:p>
              </w:tc>
              <w:tc>
                <w:tcPr>
                  <w:tcW w:w="1216" w:type="dxa"/>
                  <w:tcBorders>
                    <w:tl2br w:val="nil"/>
                    <w:tr2bl w:val="nil"/>
                  </w:tcBorders>
                  <w:noWrap w:val="0"/>
                  <w:vAlign w:val="center"/>
                </w:tcPr>
                <w:p>
                  <w:pPr>
                    <w:pStyle w:val="181"/>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1"/>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PM</w:t>
                  </w:r>
                  <w:r>
                    <w:rPr>
                      <w:rFonts w:hint="default"/>
                      <w:color w:val="auto"/>
                      <w:sz w:val="22"/>
                      <w:szCs w:val="22"/>
                      <w:u w:val="none" w:color="auto"/>
                      <w:vertAlign w:val="subscript"/>
                    </w:rPr>
                    <w:t>10</w:t>
                  </w:r>
                </w:p>
              </w:tc>
              <w:tc>
                <w:tcPr>
                  <w:tcW w:w="1933" w:type="dxa"/>
                  <w:tcBorders>
                    <w:tl2br w:val="nil"/>
                    <w:tr2bl w:val="nil"/>
                  </w:tcBorders>
                  <w:noWrap w:val="0"/>
                  <w:vAlign w:val="center"/>
                </w:tcPr>
                <w:p>
                  <w:pPr>
                    <w:pStyle w:val="181"/>
                    <w:spacing w:line="360" w:lineRule="auto"/>
                    <w:rPr>
                      <w:rFonts w:hint="default"/>
                      <w:color w:val="auto"/>
                      <w:sz w:val="22"/>
                      <w:szCs w:val="22"/>
                      <w:u w:val="none" w:color="auto"/>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1"/>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51.42</w:t>
                  </w:r>
                </w:p>
              </w:tc>
              <w:tc>
                <w:tcPr>
                  <w:tcW w:w="1294" w:type="dxa"/>
                  <w:tcBorders>
                    <w:tl2br w:val="nil"/>
                    <w:tr2bl w:val="nil"/>
                  </w:tcBorders>
                  <w:noWrap w:val="0"/>
                  <w:vAlign w:val="center"/>
                </w:tcPr>
                <w:p>
                  <w:pPr>
                    <w:pStyle w:val="181"/>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70</w:t>
                  </w:r>
                </w:p>
              </w:tc>
              <w:tc>
                <w:tcPr>
                  <w:tcW w:w="1216" w:type="dxa"/>
                  <w:tcBorders>
                    <w:tl2br w:val="nil"/>
                    <w:tr2bl w:val="nil"/>
                  </w:tcBorders>
                  <w:noWrap w:val="0"/>
                  <w:vAlign w:val="center"/>
                </w:tcPr>
                <w:p>
                  <w:pPr>
                    <w:pStyle w:val="181"/>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1"/>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1"/>
                    <w:spacing w:line="360" w:lineRule="auto"/>
                    <w:rPr>
                      <w:rFonts w:hint="eastAsia"/>
                      <w:color w:val="auto"/>
                      <w:sz w:val="22"/>
                      <w:szCs w:val="22"/>
                      <w:u w:val="none" w:color="auto"/>
                      <w:lang w:val="en-US" w:eastAsia="zh-CN"/>
                    </w:rPr>
                  </w:pPr>
                  <w:r>
                    <w:rPr>
                      <w:rFonts w:hint="default"/>
                      <w:color w:val="auto"/>
                      <w:sz w:val="22"/>
                      <w:szCs w:val="22"/>
                      <w:u w:val="none" w:color="auto"/>
                    </w:rPr>
                    <w:t>PM</w:t>
                  </w:r>
                  <w:r>
                    <w:rPr>
                      <w:rFonts w:hint="eastAsia"/>
                      <w:color w:val="auto"/>
                      <w:sz w:val="22"/>
                      <w:szCs w:val="22"/>
                      <w:u w:val="none" w:color="auto"/>
                      <w:vertAlign w:val="subscript"/>
                      <w:lang w:val="en-US" w:eastAsia="zh-CN"/>
                    </w:rPr>
                    <w:t>2.5</w:t>
                  </w:r>
                </w:p>
              </w:tc>
              <w:tc>
                <w:tcPr>
                  <w:tcW w:w="1933" w:type="dxa"/>
                  <w:tcBorders>
                    <w:tl2br w:val="nil"/>
                    <w:tr2bl w:val="nil"/>
                  </w:tcBorders>
                  <w:noWrap w:val="0"/>
                  <w:vAlign w:val="center"/>
                </w:tcPr>
                <w:p>
                  <w:pPr>
                    <w:pStyle w:val="181"/>
                    <w:spacing w:line="360" w:lineRule="auto"/>
                    <w:rPr>
                      <w:rFonts w:hint="default"/>
                      <w:color w:val="auto"/>
                      <w:sz w:val="22"/>
                      <w:szCs w:val="22"/>
                      <w:u w:val="none" w:color="auto"/>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1"/>
                    <w:spacing w:line="360" w:lineRule="auto"/>
                    <w:rPr>
                      <w:rFonts w:hint="default"/>
                      <w:b/>
                      <w:bCs/>
                      <w:color w:val="auto"/>
                      <w:sz w:val="22"/>
                      <w:szCs w:val="22"/>
                      <w:u w:val="none" w:color="auto"/>
                      <w:lang w:val="en-US" w:eastAsia="zh-CN"/>
                    </w:rPr>
                  </w:pPr>
                  <w:r>
                    <w:rPr>
                      <w:rFonts w:hint="eastAsia"/>
                      <w:b/>
                      <w:bCs/>
                      <w:color w:val="auto"/>
                      <w:sz w:val="22"/>
                      <w:szCs w:val="22"/>
                      <w:u w:val="none" w:color="auto"/>
                      <w:lang w:val="en-US" w:eastAsia="zh-CN"/>
                    </w:rPr>
                    <w:t>39.33</w:t>
                  </w:r>
                </w:p>
              </w:tc>
              <w:tc>
                <w:tcPr>
                  <w:tcW w:w="1294" w:type="dxa"/>
                  <w:tcBorders>
                    <w:tl2br w:val="nil"/>
                    <w:tr2bl w:val="nil"/>
                  </w:tcBorders>
                  <w:noWrap w:val="0"/>
                  <w:vAlign w:val="center"/>
                </w:tcPr>
                <w:p>
                  <w:pPr>
                    <w:pStyle w:val="181"/>
                    <w:spacing w:line="360" w:lineRule="auto"/>
                    <w:rPr>
                      <w:rFonts w:hint="default"/>
                      <w:b/>
                      <w:bCs/>
                      <w:color w:val="auto"/>
                      <w:sz w:val="22"/>
                      <w:szCs w:val="22"/>
                      <w:u w:val="none" w:color="auto"/>
                      <w:lang w:val="en-US" w:eastAsia="zh-CN"/>
                    </w:rPr>
                  </w:pPr>
                  <w:r>
                    <w:rPr>
                      <w:rFonts w:hint="eastAsia"/>
                      <w:b/>
                      <w:bCs/>
                      <w:color w:val="auto"/>
                      <w:sz w:val="22"/>
                      <w:szCs w:val="22"/>
                      <w:u w:val="none" w:color="auto"/>
                      <w:lang w:val="en-US" w:eastAsia="zh-CN"/>
                    </w:rPr>
                    <w:t>35</w:t>
                  </w:r>
                </w:p>
              </w:tc>
              <w:tc>
                <w:tcPr>
                  <w:tcW w:w="1216" w:type="dxa"/>
                  <w:tcBorders>
                    <w:tl2br w:val="nil"/>
                    <w:tr2bl w:val="nil"/>
                  </w:tcBorders>
                  <w:noWrap w:val="0"/>
                  <w:vAlign w:val="center"/>
                </w:tcPr>
                <w:p>
                  <w:pPr>
                    <w:pStyle w:val="181"/>
                    <w:spacing w:line="360" w:lineRule="auto"/>
                    <w:rPr>
                      <w:rFonts w:hint="default"/>
                      <w:b/>
                      <w:bCs/>
                      <w:color w:val="auto"/>
                      <w:sz w:val="22"/>
                      <w:szCs w:val="22"/>
                      <w:u w:val="none" w:color="auto"/>
                      <w:lang w:val="en-US" w:eastAsia="zh-CN"/>
                    </w:rPr>
                  </w:pPr>
                  <w:r>
                    <w:rPr>
                      <w:rFonts w:hint="eastAsia"/>
                      <w:b/>
                      <w:bCs/>
                      <w:color w:val="auto"/>
                      <w:sz w:val="22"/>
                      <w:szCs w:val="22"/>
                      <w:u w:val="none" w:color="auto"/>
                      <w:lang w:val="en-US" w:eastAsia="zh-CN"/>
                    </w:rPr>
                    <w:t>0.12</w:t>
                  </w:r>
                </w:p>
              </w:tc>
              <w:tc>
                <w:tcPr>
                  <w:tcW w:w="1216" w:type="dxa"/>
                  <w:tcBorders>
                    <w:tl2br w:val="nil"/>
                    <w:tr2bl w:val="nil"/>
                  </w:tcBorders>
                  <w:noWrap w:val="0"/>
                  <w:vAlign w:val="center"/>
                </w:tcPr>
                <w:p>
                  <w:pPr>
                    <w:pStyle w:val="181"/>
                    <w:spacing w:line="360" w:lineRule="auto"/>
                    <w:rPr>
                      <w:rFonts w:hint="default"/>
                      <w:b/>
                      <w:bCs/>
                      <w:color w:val="auto"/>
                      <w:sz w:val="22"/>
                      <w:szCs w:val="22"/>
                      <w:u w:val="none" w:color="auto"/>
                    </w:rPr>
                  </w:pPr>
                  <w:r>
                    <w:rPr>
                      <w:rFonts w:hint="eastAsia"/>
                      <w:b/>
                      <w:bCs/>
                      <w:color w:val="auto"/>
                      <w:sz w:val="22"/>
                      <w:szCs w:val="22"/>
                      <w:u w:val="none" w:color="auto"/>
                      <w:lang w:eastAsia="zh-CN"/>
                    </w:rPr>
                    <w:t>不</w:t>
                  </w:r>
                  <w:r>
                    <w:rPr>
                      <w:rFonts w:hint="default"/>
                      <w:b/>
                      <w:bCs/>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1"/>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1"/>
                    <w:spacing w:line="360" w:lineRule="auto"/>
                    <w:rPr>
                      <w:rFonts w:hint="default"/>
                      <w:color w:val="auto"/>
                      <w:sz w:val="22"/>
                      <w:szCs w:val="22"/>
                      <w:u w:val="none" w:color="auto"/>
                    </w:rPr>
                  </w:pPr>
                  <w:r>
                    <w:rPr>
                      <w:rFonts w:hint="eastAsia"/>
                      <w:color w:val="auto"/>
                      <w:sz w:val="22"/>
                      <w:szCs w:val="22"/>
                      <w:u w:val="none" w:color="auto"/>
                      <w:lang w:val="en-US" w:eastAsia="zh-CN"/>
                    </w:rPr>
                    <w:t>C</w:t>
                  </w:r>
                  <w:r>
                    <w:rPr>
                      <w:rFonts w:hint="default"/>
                      <w:color w:val="auto"/>
                      <w:sz w:val="22"/>
                      <w:szCs w:val="22"/>
                      <w:u w:val="none" w:color="auto"/>
                    </w:rPr>
                    <w:t>O</w:t>
                  </w:r>
                </w:p>
              </w:tc>
              <w:tc>
                <w:tcPr>
                  <w:tcW w:w="1933" w:type="dxa"/>
                  <w:tcBorders>
                    <w:tl2br w:val="nil"/>
                    <w:tr2bl w:val="nil"/>
                  </w:tcBorders>
                  <w:noWrap w:val="0"/>
                  <w:vAlign w:val="center"/>
                </w:tcPr>
                <w:p>
                  <w:pPr>
                    <w:pStyle w:val="181"/>
                    <w:spacing w:line="360" w:lineRule="auto"/>
                    <w:rPr>
                      <w:rFonts w:hint="eastAsia"/>
                      <w:color w:val="auto"/>
                      <w:sz w:val="22"/>
                      <w:szCs w:val="22"/>
                      <w:u w:val="none" w:color="auto"/>
                      <w:lang w:eastAsia="zh-CN"/>
                    </w:rPr>
                  </w:pPr>
                  <w:r>
                    <w:rPr>
                      <w:rFonts w:hint="eastAsia"/>
                      <w:color w:val="auto"/>
                      <w:sz w:val="22"/>
                      <w:szCs w:val="22"/>
                      <w:u w:val="none" w:color="auto"/>
                      <w:lang w:val="en-US" w:eastAsia="zh-CN"/>
                    </w:rPr>
                    <w:t>95百分位数</w:t>
                  </w:r>
                  <w:r>
                    <w:rPr>
                      <w:rFonts w:hint="eastAsia"/>
                      <w:color w:val="auto"/>
                      <w:sz w:val="22"/>
                      <w:szCs w:val="22"/>
                      <w:u w:val="none" w:color="auto"/>
                      <w:lang w:eastAsia="zh-CN"/>
                    </w:rPr>
                    <w:t>日平均质量浓度</w:t>
                  </w:r>
                </w:p>
              </w:tc>
              <w:tc>
                <w:tcPr>
                  <w:tcW w:w="1408" w:type="dxa"/>
                  <w:tcBorders>
                    <w:tl2br w:val="nil"/>
                    <w:tr2bl w:val="nil"/>
                  </w:tcBorders>
                  <w:noWrap w:val="0"/>
                  <w:vAlign w:val="center"/>
                </w:tcPr>
                <w:p>
                  <w:pPr>
                    <w:pStyle w:val="181"/>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1.04</w:t>
                  </w:r>
                </w:p>
              </w:tc>
              <w:tc>
                <w:tcPr>
                  <w:tcW w:w="1294" w:type="dxa"/>
                  <w:tcBorders>
                    <w:tl2br w:val="nil"/>
                    <w:tr2bl w:val="nil"/>
                  </w:tcBorders>
                  <w:noWrap w:val="0"/>
                  <w:vAlign w:val="center"/>
                </w:tcPr>
                <w:p>
                  <w:pPr>
                    <w:pStyle w:val="181"/>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4000</w:t>
                  </w:r>
                </w:p>
              </w:tc>
              <w:tc>
                <w:tcPr>
                  <w:tcW w:w="1216" w:type="dxa"/>
                  <w:tcBorders>
                    <w:tl2br w:val="nil"/>
                    <w:tr2bl w:val="nil"/>
                  </w:tcBorders>
                  <w:noWrap w:val="0"/>
                  <w:vAlign w:val="center"/>
                </w:tcPr>
                <w:p>
                  <w:pPr>
                    <w:pStyle w:val="181"/>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1"/>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1"/>
                    <w:spacing w:line="360" w:lineRule="auto"/>
                    <w:rPr>
                      <w:rFonts w:hint="eastAsia"/>
                      <w:color w:val="auto"/>
                      <w:sz w:val="22"/>
                      <w:szCs w:val="22"/>
                      <w:u w:val="none" w:color="auto"/>
                      <w:lang w:eastAsia="zh-CN"/>
                    </w:rPr>
                  </w:pPr>
                  <w:r>
                    <w:rPr>
                      <w:rFonts w:hint="default"/>
                      <w:color w:val="auto"/>
                      <w:sz w:val="22"/>
                      <w:szCs w:val="22"/>
                      <w:u w:val="none" w:color="auto"/>
                    </w:rPr>
                    <w:t>O</w:t>
                  </w:r>
                  <w:r>
                    <w:rPr>
                      <w:rFonts w:hint="eastAsia"/>
                      <w:color w:val="auto"/>
                      <w:sz w:val="22"/>
                      <w:szCs w:val="22"/>
                      <w:u w:val="none" w:color="auto"/>
                      <w:vertAlign w:val="subscript"/>
                      <w:lang w:val="en-US" w:eastAsia="zh-CN"/>
                    </w:rPr>
                    <w:t>3</w:t>
                  </w:r>
                </w:p>
              </w:tc>
              <w:tc>
                <w:tcPr>
                  <w:tcW w:w="1933" w:type="dxa"/>
                  <w:tcBorders>
                    <w:tl2br w:val="nil"/>
                    <w:tr2bl w:val="nil"/>
                  </w:tcBorders>
                  <w:noWrap w:val="0"/>
                  <w:vAlign w:val="center"/>
                </w:tcPr>
                <w:p>
                  <w:pPr>
                    <w:pStyle w:val="181"/>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90百分位数</w:t>
                  </w:r>
                  <w:r>
                    <w:rPr>
                      <w:rFonts w:hint="eastAsia"/>
                      <w:color w:val="auto"/>
                      <w:sz w:val="22"/>
                      <w:szCs w:val="22"/>
                      <w:u w:val="none" w:color="auto"/>
                      <w:lang w:eastAsia="zh-CN"/>
                    </w:rPr>
                    <w:t>最大</w:t>
                  </w:r>
                  <w:r>
                    <w:rPr>
                      <w:rFonts w:hint="eastAsia"/>
                      <w:color w:val="auto"/>
                      <w:sz w:val="22"/>
                      <w:szCs w:val="22"/>
                      <w:u w:val="none" w:color="auto"/>
                      <w:lang w:val="en-US" w:eastAsia="zh-CN"/>
                    </w:rPr>
                    <w:t>8小时平均质量浓度</w:t>
                  </w:r>
                </w:p>
              </w:tc>
              <w:tc>
                <w:tcPr>
                  <w:tcW w:w="1408" w:type="dxa"/>
                  <w:tcBorders>
                    <w:tl2br w:val="nil"/>
                    <w:tr2bl w:val="nil"/>
                  </w:tcBorders>
                  <w:noWrap w:val="0"/>
                  <w:vAlign w:val="center"/>
                </w:tcPr>
                <w:p>
                  <w:pPr>
                    <w:pStyle w:val="181"/>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101.67</w:t>
                  </w:r>
                </w:p>
              </w:tc>
              <w:tc>
                <w:tcPr>
                  <w:tcW w:w="1294" w:type="dxa"/>
                  <w:tcBorders>
                    <w:tl2br w:val="nil"/>
                    <w:tr2bl w:val="nil"/>
                  </w:tcBorders>
                  <w:noWrap w:val="0"/>
                  <w:vAlign w:val="center"/>
                </w:tcPr>
                <w:p>
                  <w:pPr>
                    <w:pStyle w:val="181"/>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160</w:t>
                  </w:r>
                </w:p>
              </w:tc>
              <w:tc>
                <w:tcPr>
                  <w:tcW w:w="1216" w:type="dxa"/>
                  <w:tcBorders>
                    <w:tl2br w:val="nil"/>
                    <w:tr2bl w:val="nil"/>
                  </w:tcBorders>
                  <w:noWrap w:val="0"/>
                  <w:vAlign w:val="center"/>
                </w:tcPr>
                <w:p>
                  <w:pPr>
                    <w:pStyle w:val="181"/>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达标</w:t>
                  </w:r>
                </w:p>
              </w:tc>
            </w:tr>
          </w:tbl>
          <w:p>
            <w:pPr>
              <w:pStyle w:val="169"/>
              <w:spacing w:line="360" w:lineRule="auto"/>
              <w:ind w:firstLine="462"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eastAsia="zh-CN"/>
              </w:rPr>
              <w:t>由上表可知，湘阴县</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lang w:val="en-US" w:eastAsia="zh-CN"/>
              </w:rPr>
              <w:t>2.5</w:t>
            </w:r>
            <w:r>
              <w:rPr>
                <w:rFonts w:hint="default" w:ascii="Times New Roman" w:hAnsi="Times New Roman" w:cs="Times New Roman"/>
                <w:color w:val="auto"/>
                <w:sz w:val="24"/>
                <w:szCs w:val="24"/>
                <w:u w:val="none" w:color="auto"/>
                <w:lang w:val="en-US" w:eastAsia="zh-CN"/>
              </w:rPr>
              <w:t>出现超标，</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lang w:val="en-US" w:eastAsia="zh-CN"/>
              </w:rPr>
              <w:t>2.5</w:t>
            </w:r>
            <w:r>
              <w:rPr>
                <w:rFonts w:hint="default" w:ascii="Times New Roman" w:hAnsi="Times New Roman" w:cs="Times New Roman"/>
                <w:color w:val="auto"/>
                <w:sz w:val="24"/>
                <w:szCs w:val="24"/>
                <w:u w:val="none" w:color="auto"/>
                <w:lang w:val="en-US" w:eastAsia="zh-CN"/>
              </w:rPr>
              <w:t>的超标倍数为0.1</w:t>
            </w:r>
            <w:r>
              <w:rPr>
                <w:rFonts w:hint="eastAsia"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lang w:val="en-US" w:eastAsia="zh-CN"/>
              </w:rPr>
              <w:t>，项目所在区域为环境空气质量不达标区。</w:t>
            </w:r>
          </w:p>
          <w:p>
            <w:pPr>
              <w:pStyle w:val="35"/>
              <w:keepNext w:val="0"/>
              <w:keepLines w:val="0"/>
              <w:widowControl/>
              <w:suppressLineNumbers w:val="0"/>
              <w:spacing w:before="0" w:beforeAutospacing="0" w:after="0" w:afterAutospacing="0" w:line="360" w:lineRule="auto"/>
              <w:ind w:left="0" w:right="0" w:firstLine="420"/>
              <w:jc w:val="both"/>
              <w:rPr>
                <w:rFonts w:hint="eastAsia"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根据</w:t>
            </w:r>
            <w:r>
              <w:rPr>
                <w:rFonts w:hint="default" w:ascii="Times New Roman" w:hAnsi="Times New Roman" w:cs="Times New Roman"/>
                <w:color w:val="auto"/>
                <w:sz w:val="24"/>
                <w:szCs w:val="24"/>
                <w:u w:val="none" w:color="auto"/>
                <w:lang w:eastAsia="zh-CN"/>
              </w:rPr>
              <w:t>《湖南省污染防治攻坚战三年行动计划(2018—2020年)》、《岳阳市洞庭湖生态环境专项整治三年行动实施方案（2018—2020年）》及《湘阴县城镇（乡）黑臭水体治理三年行动（2018-2020年）初步实施计划》，湘阴县近期采取产业和能源结构调整措施、大气污染治理的措施等一系列措施，同时</w:t>
            </w:r>
            <w:r>
              <w:rPr>
                <w:rFonts w:hint="default" w:ascii="Times New Roman" w:hAnsi="Times New Roman" w:cs="Times New Roman"/>
                <w:color w:val="auto"/>
                <w:sz w:val="24"/>
                <w:szCs w:val="24"/>
                <w:u w:val="none" w:color="auto"/>
                <w:lang w:val="en-US" w:eastAsia="zh-CN"/>
              </w:rPr>
              <w:t>根据表3-1及3-2中201</w:t>
            </w:r>
            <w:r>
              <w:rPr>
                <w:rFonts w:hint="eastAsia" w:ascii="Times New Roman" w:hAnsi="Times New Roman" w:cs="Times New Roman"/>
                <w:color w:val="auto"/>
                <w:sz w:val="24"/>
                <w:szCs w:val="24"/>
                <w:u w:val="none" w:color="auto"/>
                <w:lang w:val="en-US" w:eastAsia="zh-CN"/>
              </w:rPr>
              <w:t>8</w:t>
            </w:r>
            <w:r>
              <w:rPr>
                <w:rFonts w:hint="default" w:ascii="Times New Roman" w:hAnsi="Times New Roman" w:cs="Times New Roman"/>
                <w:color w:val="auto"/>
                <w:sz w:val="24"/>
                <w:szCs w:val="24"/>
                <w:u w:val="none" w:color="auto"/>
                <w:lang w:val="en-US" w:eastAsia="zh-CN"/>
              </w:rPr>
              <w:t>年和201</w:t>
            </w:r>
            <w:r>
              <w:rPr>
                <w:rFonts w:hint="eastAsia" w:ascii="Times New Roman" w:hAnsi="Times New Roman" w:cs="Times New Roman"/>
                <w:color w:val="auto"/>
                <w:sz w:val="24"/>
                <w:szCs w:val="24"/>
                <w:u w:val="none" w:color="auto"/>
                <w:lang w:val="en-US" w:eastAsia="zh-CN"/>
              </w:rPr>
              <w:t>9</w:t>
            </w:r>
            <w:r>
              <w:rPr>
                <w:rFonts w:hint="default" w:ascii="Times New Roman" w:hAnsi="Times New Roman" w:cs="Times New Roman"/>
                <w:color w:val="auto"/>
                <w:sz w:val="24"/>
                <w:szCs w:val="24"/>
                <w:u w:val="none" w:color="auto"/>
                <w:lang w:val="en-US" w:eastAsia="zh-CN"/>
              </w:rPr>
              <w:t>年环境空气质量现状对比可知，</w:t>
            </w:r>
            <w:r>
              <w:rPr>
                <w:rFonts w:hint="default" w:ascii="Times New Roman" w:hAnsi="Times New Roman" w:cs="Times New Roman"/>
                <w:color w:val="auto"/>
                <w:sz w:val="24"/>
                <w:szCs w:val="24"/>
                <w:u w:val="none" w:color="auto"/>
                <w:lang w:eastAsia="zh-CN"/>
              </w:rPr>
              <w:t>湘阴县</w:t>
            </w:r>
            <w:r>
              <w:rPr>
                <w:rFonts w:hint="default" w:ascii="Times New Roman" w:hAnsi="Times New Roman" w:cs="Times New Roman"/>
                <w:color w:val="auto"/>
                <w:sz w:val="24"/>
                <w:szCs w:val="24"/>
                <w:u w:val="none" w:color="auto"/>
                <w:lang w:val="en-US" w:eastAsia="zh-CN"/>
              </w:rPr>
              <w:t>环境空气质量正在逐步改善</w:t>
            </w:r>
            <w:r>
              <w:rPr>
                <w:rFonts w:hint="eastAsia" w:ascii="Times New Roman" w:hAnsi="Times New Roman" w:cs="Times New Roman"/>
                <w:color w:val="auto"/>
                <w:sz w:val="24"/>
                <w:szCs w:val="24"/>
                <w:u w:val="none" w:color="auto"/>
                <w:lang w:val="en-US" w:eastAsia="zh-CN"/>
              </w:rPr>
              <w:t>。</w:t>
            </w:r>
          </w:p>
          <w:p>
            <w:pPr>
              <w:spacing w:line="360" w:lineRule="auto"/>
              <w:ind w:firstLine="462" w:firstLineChars="200"/>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为了进一步了解</w:t>
            </w:r>
            <w:r>
              <w:rPr>
                <w:rFonts w:hint="eastAsia" w:cs="Times New Roman"/>
                <w:color w:val="auto"/>
                <w:sz w:val="24"/>
                <w:szCs w:val="24"/>
                <w:u w:val="none" w:color="auto"/>
                <w:lang w:eastAsia="zh-CN"/>
              </w:rPr>
              <w:t>项目所在地</w:t>
            </w:r>
            <w:r>
              <w:rPr>
                <w:rFonts w:hint="default" w:ascii="Times New Roman" w:hAnsi="Times New Roman" w:cs="Times New Roman"/>
                <w:color w:val="auto"/>
                <w:sz w:val="24"/>
                <w:szCs w:val="24"/>
                <w:u w:val="none" w:color="auto"/>
                <w:lang w:eastAsia="zh-CN"/>
              </w:rPr>
              <w:t>环境空气质量（本项目特征污染物“</w:t>
            </w:r>
            <w:r>
              <w:rPr>
                <w:rFonts w:hint="default" w:ascii="Times New Roman" w:hAnsi="Times New Roman" w:cs="Times New Roman"/>
                <w:color w:val="auto"/>
                <w:sz w:val="24"/>
                <w:szCs w:val="24"/>
                <w:u w:val="none" w:color="auto"/>
                <w:lang w:val="en-US" w:eastAsia="zh-CN"/>
              </w:rPr>
              <w:t>TVOC</w:t>
            </w:r>
            <w:r>
              <w:rPr>
                <w:rFonts w:hint="default" w:ascii="Times New Roman" w:hAnsi="Times New Roman" w:cs="Times New Roman"/>
                <w:color w:val="auto"/>
                <w:sz w:val="24"/>
                <w:szCs w:val="24"/>
                <w:u w:val="none" w:color="auto"/>
                <w:lang w:eastAsia="zh-CN"/>
              </w:rPr>
              <w:t>”）的情况，本环评</w:t>
            </w:r>
            <w:r>
              <w:rPr>
                <w:rFonts w:hint="eastAsia" w:cs="Times New Roman"/>
                <w:color w:val="auto"/>
                <w:sz w:val="24"/>
                <w:szCs w:val="24"/>
                <w:u w:val="none" w:color="auto"/>
                <w:lang w:eastAsia="zh-CN"/>
              </w:rPr>
              <w:t>委托湖南精准通检测技术有限公司</w:t>
            </w:r>
            <w:r>
              <w:rPr>
                <w:rFonts w:hint="eastAsia" w:ascii="Times New Roman" w:hAnsi="Times New Roman" w:cs="Times New Roman"/>
                <w:color w:val="auto"/>
                <w:sz w:val="24"/>
                <w:szCs w:val="24"/>
                <w:u w:val="none" w:color="auto"/>
                <w:lang w:eastAsia="zh-CN"/>
              </w:rPr>
              <w:t>于20</w:t>
            </w:r>
            <w:r>
              <w:rPr>
                <w:rFonts w:hint="eastAsia" w:cs="Times New Roman"/>
                <w:color w:val="auto"/>
                <w:sz w:val="24"/>
                <w:szCs w:val="24"/>
                <w:u w:val="none" w:color="auto"/>
                <w:lang w:val="en-US" w:eastAsia="zh-CN"/>
              </w:rPr>
              <w:t>20</w:t>
            </w:r>
            <w:r>
              <w:rPr>
                <w:rFonts w:hint="eastAsia" w:ascii="Times New Roman" w:hAnsi="Times New Roman" w:cs="Times New Roman"/>
                <w:color w:val="auto"/>
                <w:sz w:val="24"/>
                <w:szCs w:val="24"/>
                <w:u w:val="none" w:color="auto"/>
                <w:lang w:eastAsia="zh-CN"/>
              </w:rPr>
              <w:t>年</w:t>
            </w:r>
            <w:r>
              <w:rPr>
                <w:rFonts w:hint="eastAsia" w:cs="Times New Roman"/>
                <w:color w:val="auto"/>
                <w:sz w:val="24"/>
                <w:szCs w:val="24"/>
                <w:u w:val="none" w:color="auto"/>
                <w:lang w:val="en-US" w:eastAsia="zh-CN"/>
              </w:rPr>
              <w:t>5</w:t>
            </w:r>
            <w:r>
              <w:rPr>
                <w:rFonts w:hint="eastAsia" w:ascii="Times New Roman" w:hAnsi="Times New Roman" w:cs="Times New Roman"/>
                <w:color w:val="auto"/>
                <w:sz w:val="24"/>
                <w:szCs w:val="24"/>
                <w:u w:val="none" w:color="auto"/>
                <w:lang w:eastAsia="zh-CN"/>
              </w:rPr>
              <w:t>月26日~</w:t>
            </w:r>
            <w:r>
              <w:rPr>
                <w:rFonts w:hint="eastAsia" w:cs="Times New Roman"/>
                <w:color w:val="auto"/>
                <w:sz w:val="24"/>
                <w:szCs w:val="24"/>
                <w:u w:val="none" w:color="auto"/>
                <w:lang w:val="en-US" w:eastAsia="zh-CN"/>
              </w:rPr>
              <w:t>5</w:t>
            </w:r>
            <w:r>
              <w:rPr>
                <w:rFonts w:hint="eastAsia" w:ascii="Times New Roman" w:hAnsi="Times New Roman" w:cs="Times New Roman"/>
                <w:color w:val="auto"/>
                <w:sz w:val="24"/>
                <w:szCs w:val="24"/>
                <w:u w:val="none" w:color="auto"/>
                <w:lang w:eastAsia="zh-CN"/>
              </w:rPr>
              <w:t>月</w:t>
            </w:r>
            <w:r>
              <w:rPr>
                <w:rFonts w:hint="eastAsia" w:cs="Times New Roman"/>
                <w:color w:val="auto"/>
                <w:sz w:val="24"/>
                <w:szCs w:val="24"/>
                <w:u w:val="none" w:color="auto"/>
                <w:lang w:val="en-US" w:eastAsia="zh-CN"/>
              </w:rPr>
              <w:t>27</w:t>
            </w:r>
            <w:r>
              <w:rPr>
                <w:rFonts w:hint="eastAsia" w:ascii="Times New Roman" w:hAnsi="Times New Roman" w:cs="Times New Roman"/>
                <w:color w:val="auto"/>
                <w:sz w:val="24"/>
                <w:szCs w:val="24"/>
                <w:u w:val="none" w:color="auto"/>
                <w:lang w:eastAsia="zh-CN"/>
              </w:rPr>
              <w:t>日</w:t>
            </w:r>
            <w:r>
              <w:rPr>
                <w:rFonts w:hint="default" w:ascii="Times New Roman" w:hAnsi="Times New Roman" w:cs="Times New Roman"/>
                <w:color w:val="auto"/>
                <w:sz w:val="24"/>
                <w:szCs w:val="24"/>
                <w:u w:val="none" w:color="auto"/>
                <w:lang w:eastAsia="zh-CN"/>
              </w:rPr>
              <w:t>对周边</w:t>
            </w:r>
            <w:r>
              <w:rPr>
                <w:rFonts w:hint="eastAsia" w:ascii="Times New Roman" w:hAnsi="Times New Roman" w:cs="Times New Roman"/>
                <w:color w:val="auto"/>
                <w:sz w:val="24"/>
                <w:szCs w:val="24"/>
                <w:u w:val="none" w:color="auto"/>
                <w:lang w:eastAsia="zh-CN"/>
              </w:rPr>
              <w:t>区域</w:t>
            </w:r>
            <w:r>
              <w:rPr>
                <w:rFonts w:hint="default" w:ascii="Times New Roman" w:hAnsi="Times New Roman" w:cs="Times New Roman"/>
                <w:color w:val="auto"/>
                <w:sz w:val="24"/>
                <w:szCs w:val="24"/>
                <w:u w:val="none" w:color="auto"/>
                <w:lang w:eastAsia="zh-CN"/>
              </w:rPr>
              <w:t>现状监测的数据</w:t>
            </w:r>
            <w:r>
              <w:rPr>
                <w:rFonts w:hint="eastAsia"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eastAsia="zh-CN"/>
              </w:rPr>
              <w:t>监测布点：</w:t>
            </w:r>
            <w:r>
              <w:rPr>
                <w:rFonts w:hint="eastAsia" w:ascii="Times New Roman" w:hAnsi="Times New Roman" w:cs="Times New Roman"/>
                <w:color w:val="auto"/>
                <w:sz w:val="24"/>
                <w:szCs w:val="24"/>
                <w:u w:val="none" w:color="auto"/>
                <w:lang w:eastAsia="zh-CN"/>
              </w:rPr>
              <w:t>监测点位G</w:t>
            </w:r>
            <w:r>
              <w:rPr>
                <w:rFonts w:hint="default" w:ascii="Times New Roman" w:hAnsi="Times New Roman" w:cs="Times New Roman"/>
                <w:color w:val="auto"/>
                <w:sz w:val="24"/>
                <w:szCs w:val="24"/>
                <w:u w:val="none" w:color="auto"/>
                <w:lang w:eastAsia="zh-CN"/>
              </w:rPr>
              <w:t>1</w:t>
            </w:r>
            <w:r>
              <w:rPr>
                <w:rFonts w:hint="eastAsia" w:ascii="Times New Roman" w:hAnsi="Times New Roman" w:cs="Times New Roman"/>
                <w:color w:val="auto"/>
                <w:sz w:val="24"/>
                <w:szCs w:val="24"/>
                <w:u w:val="none" w:color="auto"/>
                <w:lang w:eastAsia="zh-CN"/>
              </w:rPr>
              <w:t>项目所在地</w:t>
            </w:r>
            <w:r>
              <w:rPr>
                <w:rFonts w:hint="eastAsia" w:cs="Times New Roman"/>
                <w:color w:val="auto"/>
                <w:sz w:val="24"/>
                <w:szCs w:val="24"/>
                <w:u w:val="none" w:color="auto"/>
                <w:lang w:eastAsia="zh-CN"/>
              </w:rPr>
              <w:t>北面</w:t>
            </w:r>
            <w:r>
              <w:rPr>
                <w:rFonts w:hint="eastAsia" w:ascii="Times New Roman" w:hAnsi="Times New Roman" w:cs="Times New Roman"/>
                <w:color w:val="auto"/>
                <w:sz w:val="24"/>
                <w:szCs w:val="24"/>
                <w:u w:val="none" w:color="auto"/>
                <w:lang w:eastAsia="zh-CN"/>
              </w:rPr>
              <w:t>居民点</w:t>
            </w:r>
            <w:r>
              <w:rPr>
                <w:rFonts w:hint="default" w:ascii="Times New Roman" w:hAnsi="Times New Roman" w:cs="Times New Roman"/>
                <w:color w:val="auto"/>
                <w:sz w:val="24"/>
                <w:szCs w:val="24"/>
                <w:u w:val="none" w:color="auto"/>
                <w:lang w:eastAsia="zh-CN"/>
              </w:rPr>
              <w:t>；</w:t>
            </w:r>
            <w:r>
              <w:rPr>
                <w:rFonts w:hint="eastAsia" w:ascii="Times New Roman" w:hAnsi="Times New Roman" w:cs="Times New Roman"/>
                <w:color w:val="auto"/>
                <w:sz w:val="24"/>
                <w:szCs w:val="24"/>
                <w:u w:val="none" w:color="auto"/>
                <w:lang w:eastAsia="zh-CN"/>
              </w:rPr>
              <w:t>G</w:t>
            </w:r>
            <w:r>
              <w:rPr>
                <w:rFonts w:hint="default" w:ascii="Times New Roman" w:hAnsi="Times New Roman" w:cs="Times New Roman"/>
                <w:color w:val="auto"/>
                <w:sz w:val="24"/>
                <w:szCs w:val="24"/>
                <w:u w:val="none" w:color="auto"/>
                <w:lang w:eastAsia="zh-CN"/>
              </w:rPr>
              <w:t>2项目所在地</w:t>
            </w:r>
            <w:r>
              <w:rPr>
                <w:rFonts w:hint="eastAsia" w:cs="Times New Roman"/>
                <w:color w:val="auto"/>
                <w:sz w:val="24"/>
                <w:szCs w:val="24"/>
                <w:u w:val="none" w:color="auto"/>
                <w:lang w:eastAsia="zh-CN"/>
              </w:rPr>
              <w:t>西北面</w:t>
            </w:r>
            <w:r>
              <w:rPr>
                <w:rFonts w:hint="eastAsia" w:ascii="Times New Roman" w:hAnsi="Times New Roman" w:cs="Times New Roman"/>
                <w:color w:val="auto"/>
                <w:sz w:val="24"/>
                <w:szCs w:val="24"/>
                <w:u w:val="none" w:color="auto"/>
                <w:lang w:eastAsia="zh-CN"/>
              </w:rPr>
              <w:t>居民点）</w:t>
            </w:r>
            <w:r>
              <w:rPr>
                <w:rFonts w:hint="default" w:ascii="Times New Roman" w:hAnsi="Times New Roman" w:cs="Times New Roman"/>
                <w:color w:val="auto"/>
                <w:sz w:val="24"/>
                <w:szCs w:val="24"/>
                <w:u w:val="none" w:color="auto"/>
                <w:lang w:eastAsia="zh-CN"/>
              </w:rPr>
              <w:t>，监测结果见下表</w:t>
            </w:r>
            <w:r>
              <w:rPr>
                <w:rFonts w:hint="eastAsia" w:ascii="Times New Roman" w:hAnsi="Times New Roman" w:cs="Times New Roman"/>
                <w:color w:val="auto"/>
                <w:sz w:val="24"/>
                <w:szCs w:val="24"/>
                <w:u w:val="none" w:color="auto"/>
                <w:lang w:val="en-US" w:eastAsia="zh-CN"/>
              </w:rPr>
              <w:t>3-</w:t>
            </w:r>
            <w:r>
              <w:rPr>
                <w:rFonts w:hint="eastAsia"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lang w:eastAsia="zh-CN"/>
              </w:rPr>
              <w:t>。</w:t>
            </w:r>
          </w:p>
          <w:p>
            <w:pPr>
              <w:spacing w:line="360" w:lineRule="auto"/>
              <w:jc w:val="center"/>
              <w:rPr>
                <w:rFonts w:hint="default" w:ascii="Times New Roman" w:hAnsi="Times New Roman" w:cs="Times New Roman"/>
                <w:b/>
                <w:color w:val="auto"/>
                <w:szCs w:val="21"/>
                <w:u w:val="none" w:color="auto"/>
              </w:rPr>
            </w:pPr>
            <w:r>
              <w:rPr>
                <w:rFonts w:hint="default" w:ascii="Times New Roman" w:hAnsi="Times New Roman" w:cs="Times New Roman"/>
                <w:b/>
                <w:color w:val="auto"/>
                <w:szCs w:val="21"/>
                <w:u w:val="none" w:color="auto"/>
              </w:rPr>
              <w:t>表</w:t>
            </w:r>
            <w:r>
              <w:rPr>
                <w:rFonts w:hint="eastAsia" w:ascii="Times New Roman" w:hAnsi="Times New Roman" w:cs="Times New Roman"/>
                <w:b/>
                <w:color w:val="auto"/>
                <w:szCs w:val="21"/>
                <w:u w:val="none" w:color="auto"/>
                <w:lang w:val="en-US" w:eastAsia="zh-CN"/>
              </w:rPr>
              <w:t>3-</w:t>
            </w:r>
            <w:r>
              <w:rPr>
                <w:rFonts w:hint="eastAsia" w:cs="Times New Roman"/>
                <w:b/>
                <w:color w:val="auto"/>
                <w:szCs w:val="21"/>
                <w:u w:val="none" w:color="auto"/>
                <w:lang w:val="en-US" w:eastAsia="zh-CN"/>
              </w:rPr>
              <w:t>3</w:t>
            </w:r>
            <w:r>
              <w:rPr>
                <w:rFonts w:hint="default" w:ascii="Times New Roman" w:hAnsi="Times New Roman" w:cs="Times New Roman"/>
                <w:b/>
                <w:color w:val="auto"/>
                <w:szCs w:val="21"/>
                <w:u w:val="none" w:color="auto"/>
              </w:rPr>
              <w:t xml:space="preserve">    环境空气污染物分指数统计</w:t>
            </w:r>
          </w:p>
          <w:tbl>
            <w:tblPr>
              <w:tblStyle w:val="4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3382"/>
              <w:gridCol w:w="37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63" w:type="pct"/>
                  <w:noWrap w:val="0"/>
                  <w:vAlign w:val="center"/>
                </w:tcPr>
                <w:p>
                  <w:pPr>
                    <w:pStyle w:val="181"/>
                    <w:spacing w:line="360" w:lineRule="auto"/>
                    <w:rPr>
                      <w:color w:val="auto"/>
                      <w:sz w:val="22"/>
                      <w:szCs w:val="22"/>
                      <w:u w:val="none" w:color="auto"/>
                    </w:rPr>
                  </w:pPr>
                  <w:r>
                    <w:rPr>
                      <w:color w:val="auto"/>
                      <w:sz w:val="22"/>
                      <w:szCs w:val="22"/>
                      <w:u w:val="none" w:color="auto"/>
                    </w:rPr>
                    <w:t>监测点</w:t>
                  </w:r>
                </w:p>
              </w:tc>
              <w:tc>
                <w:tcPr>
                  <w:tcW w:w="1873" w:type="pct"/>
                  <w:noWrap w:val="0"/>
                  <w:vAlign w:val="center"/>
                </w:tcPr>
                <w:p>
                  <w:pPr>
                    <w:pStyle w:val="181"/>
                    <w:spacing w:line="360" w:lineRule="auto"/>
                    <w:rPr>
                      <w:color w:val="auto"/>
                      <w:sz w:val="22"/>
                      <w:szCs w:val="22"/>
                      <w:u w:val="none" w:color="auto"/>
                    </w:rPr>
                  </w:pPr>
                  <w:r>
                    <w:rPr>
                      <w:color w:val="auto"/>
                      <w:sz w:val="22"/>
                      <w:szCs w:val="22"/>
                      <w:u w:val="none" w:color="auto"/>
                    </w:rPr>
                    <w:t>项目</w:t>
                  </w:r>
                </w:p>
              </w:tc>
              <w:tc>
                <w:tcPr>
                  <w:tcW w:w="2062" w:type="pct"/>
                  <w:noWrap w:val="0"/>
                  <w:vAlign w:val="center"/>
                </w:tcPr>
                <w:p>
                  <w:pPr>
                    <w:pStyle w:val="181"/>
                    <w:spacing w:line="360" w:lineRule="auto"/>
                    <w:rPr>
                      <w:rFonts w:hint="eastAsia"/>
                      <w:color w:val="auto"/>
                      <w:sz w:val="22"/>
                      <w:szCs w:val="22"/>
                      <w:u w:val="none" w:color="auto"/>
                    </w:rPr>
                  </w:pPr>
                  <w:r>
                    <w:rPr>
                      <w:rFonts w:hint="eastAsia"/>
                      <w:color w:val="auto"/>
                      <w:sz w:val="22"/>
                      <w:szCs w:val="22"/>
                      <w:u w:val="none" w:color="auto"/>
                    </w:rPr>
                    <w:t>TVOC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63" w:type="pct"/>
                  <w:vMerge w:val="restart"/>
                  <w:noWrap w:val="0"/>
                  <w:vAlign w:val="center"/>
                </w:tcPr>
                <w:p>
                  <w:pPr>
                    <w:pStyle w:val="181"/>
                    <w:spacing w:line="360" w:lineRule="auto"/>
                    <w:rPr>
                      <w:color w:val="auto"/>
                      <w:sz w:val="22"/>
                      <w:szCs w:val="22"/>
                      <w:u w:val="none" w:color="auto"/>
                    </w:rPr>
                  </w:pPr>
                  <w:r>
                    <w:rPr>
                      <w:rFonts w:hint="eastAsia"/>
                      <w:color w:val="auto"/>
                      <w:sz w:val="22"/>
                      <w:szCs w:val="22"/>
                      <w:u w:val="none" w:color="auto"/>
                    </w:rPr>
                    <w:t>G</w:t>
                  </w:r>
                  <w:r>
                    <w:rPr>
                      <w:color w:val="auto"/>
                      <w:sz w:val="22"/>
                      <w:szCs w:val="22"/>
                      <w:u w:val="none" w:color="auto"/>
                    </w:rPr>
                    <w:t>1</w:t>
                  </w:r>
                </w:p>
                <w:p>
                  <w:pPr>
                    <w:pStyle w:val="181"/>
                    <w:spacing w:line="360" w:lineRule="auto"/>
                    <w:rPr>
                      <w:rFonts w:hint="eastAsia" w:eastAsia="宋体"/>
                      <w:color w:val="auto"/>
                      <w:sz w:val="22"/>
                      <w:szCs w:val="22"/>
                      <w:u w:val="none" w:color="auto"/>
                      <w:lang w:eastAsia="zh-CN"/>
                    </w:rPr>
                  </w:pPr>
                  <w:r>
                    <w:rPr>
                      <w:rFonts w:hint="eastAsia"/>
                      <w:color w:val="auto"/>
                      <w:sz w:val="22"/>
                      <w:szCs w:val="22"/>
                      <w:u w:val="none" w:color="auto"/>
                      <w:lang w:eastAsia="zh-CN"/>
                    </w:rPr>
                    <w:t>（北面居民点）</w:t>
                  </w:r>
                </w:p>
              </w:tc>
              <w:tc>
                <w:tcPr>
                  <w:tcW w:w="1873" w:type="pct"/>
                  <w:noWrap w:val="0"/>
                  <w:vAlign w:val="center"/>
                </w:tcPr>
                <w:p>
                  <w:pPr>
                    <w:pStyle w:val="181"/>
                    <w:spacing w:line="360" w:lineRule="auto"/>
                    <w:rPr>
                      <w:color w:val="auto"/>
                      <w:sz w:val="22"/>
                      <w:szCs w:val="22"/>
                      <w:u w:val="none" w:color="auto"/>
                    </w:rPr>
                  </w:pPr>
                  <w:r>
                    <w:rPr>
                      <w:color w:val="auto"/>
                      <w:sz w:val="22"/>
                      <w:szCs w:val="22"/>
                      <w:u w:val="none" w:color="auto"/>
                    </w:rPr>
                    <w:t>浓度范围</w:t>
                  </w:r>
                </w:p>
              </w:tc>
              <w:tc>
                <w:tcPr>
                  <w:tcW w:w="2062" w:type="pct"/>
                  <w:noWrap w:val="0"/>
                  <w:vAlign w:val="center"/>
                </w:tcPr>
                <w:p>
                  <w:pPr>
                    <w:pStyle w:val="181"/>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0.3391-0.3758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63" w:type="pct"/>
                  <w:vMerge w:val="continue"/>
                  <w:noWrap w:val="0"/>
                  <w:vAlign w:val="center"/>
                </w:tcPr>
                <w:p>
                  <w:pPr>
                    <w:pStyle w:val="181"/>
                    <w:spacing w:line="360" w:lineRule="auto"/>
                    <w:rPr>
                      <w:color w:val="auto"/>
                      <w:sz w:val="22"/>
                      <w:szCs w:val="22"/>
                      <w:u w:val="none" w:color="auto"/>
                    </w:rPr>
                  </w:pPr>
                </w:p>
              </w:tc>
              <w:tc>
                <w:tcPr>
                  <w:tcW w:w="1873" w:type="pct"/>
                  <w:noWrap w:val="0"/>
                  <w:vAlign w:val="center"/>
                </w:tcPr>
                <w:p>
                  <w:pPr>
                    <w:pStyle w:val="181"/>
                    <w:spacing w:line="360" w:lineRule="auto"/>
                    <w:rPr>
                      <w:color w:val="auto"/>
                      <w:sz w:val="22"/>
                      <w:szCs w:val="22"/>
                      <w:u w:val="none" w:color="auto"/>
                    </w:rPr>
                  </w:pPr>
                  <w:r>
                    <w:rPr>
                      <w:color w:val="auto"/>
                      <w:sz w:val="22"/>
                      <w:szCs w:val="22"/>
                      <w:u w:val="none" w:color="auto"/>
                    </w:rPr>
                    <w:t>超标率（%）</w:t>
                  </w:r>
                </w:p>
              </w:tc>
              <w:tc>
                <w:tcPr>
                  <w:tcW w:w="2062" w:type="pct"/>
                  <w:noWrap w:val="0"/>
                  <w:vAlign w:val="center"/>
                </w:tcPr>
                <w:p>
                  <w:pPr>
                    <w:pStyle w:val="181"/>
                    <w:spacing w:line="360" w:lineRule="auto"/>
                    <w:rPr>
                      <w:rFonts w:hint="eastAsia"/>
                      <w:color w:val="auto"/>
                      <w:sz w:val="22"/>
                      <w:szCs w:val="22"/>
                      <w:u w:val="none" w:color="auto"/>
                    </w:rPr>
                  </w:pPr>
                  <w:r>
                    <w:rPr>
                      <w:rFonts w:hint="eastAsia"/>
                      <w:color w:val="auto"/>
                      <w:sz w:val="22"/>
                      <w:szCs w:val="22"/>
                      <w:u w:val="none" w:color="auto"/>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3" w:type="pct"/>
                  <w:vMerge w:val="continue"/>
                  <w:noWrap w:val="0"/>
                  <w:vAlign w:val="center"/>
                </w:tcPr>
                <w:p>
                  <w:pPr>
                    <w:pStyle w:val="181"/>
                    <w:spacing w:line="360" w:lineRule="auto"/>
                    <w:rPr>
                      <w:color w:val="auto"/>
                      <w:sz w:val="22"/>
                      <w:szCs w:val="22"/>
                      <w:u w:val="none" w:color="auto"/>
                    </w:rPr>
                  </w:pPr>
                </w:p>
              </w:tc>
              <w:tc>
                <w:tcPr>
                  <w:tcW w:w="1873" w:type="pct"/>
                  <w:noWrap w:val="0"/>
                  <w:vAlign w:val="center"/>
                </w:tcPr>
                <w:p>
                  <w:pPr>
                    <w:pStyle w:val="181"/>
                    <w:spacing w:line="360" w:lineRule="auto"/>
                    <w:rPr>
                      <w:color w:val="auto"/>
                      <w:sz w:val="22"/>
                      <w:szCs w:val="22"/>
                      <w:u w:val="none" w:color="auto"/>
                    </w:rPr>
                  </w:pPr>
                  <w:r>
                    <w:rPr>
                      <w:color w:val="auto"/>
                      <w:sz w:val="22"/>
                      <w:szCs w:val="22"/>
                      <w:u w:val="none" w:color="auto"/>
                    </w:rPr>
                    <w:t>最大超标倍数</w:t>
                  </w:r>
                </w:p>
              </w:tc>
              <w:tc>
                <w:tcPr>
                  <w:tcW w:w="2062" w:type="pct"/>
                  <w:noWrap w:val="0"/>
                  <w:vAlign w:val="center"/>
                </w:tcPr>
                <w:p>
                  <w:pPr>
                    <w:pStyle w:val="181"/>
                    <w:spacing w:line="360" w:lineRule="auto"/>
                    <w:rPr>
                      <w:rFonts w:hint="eastAsia"/>
                      <w:color w:val="auto"/>
                      <w:sz w:val="22"/>
                      <w:szCs w:val="22"/>
                      <w:u w:val="none" w:color="auto"/>
                    </w:rPr>
                  </w:pPr>
                  <w:r>
                    <w:rPr>
                      <w:rFonts w:hint="eastAsia"/>
                      <w:color w:val="auto"/>
                      <w:sz w:val="22"/>
                      <w:szCs w:val="22"/>
                      <w:u w:val="none" w:color="auto"/>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3" w:type="pct"/>
                  <w:vMerge w:val="restart"/>
                  <w:noWrap w:val="0"/>
                  <w:vAlign w:val="center"/>
                </w:tcPr>
                <w:p>
                  <w:pPr>
                    <w:pStyle w:val="181"/>
                    <w:spacing w:line="360" w:lineRule="auto"/>
                    <w:rPr>
                      <w:color w:val="auto"/>
                      <w:sz w:val="22"/>
                      <w:szCs w:val="22"/>
                      <w:u w:val="none" w:color="auto"/>
                    </w:rPr>
                  </w:pPr>
                  <w:r>
                    <w:rPr>
                      <w:rFonts w:hint="eastAsia"/>
                      <w:color w:val="auto"/>
                      <w:sz w:val="22"/>
                      <w:szCs w:val="22"/>
                      <w:u w:val="none" w:color="auto"/>
                    </w:rPr>
                    <w:t>G</w:t>
                  </w:r>
                  <w:r>
                    <w:rPr>
                      <w:color w:val="auto"/>
                      <w:sz w:val="22"/>
                      <w:szCs w:val="22"/>
                      <w:u w:val="none" w:color="auto"/>
                    </w:rPr>
                    <w:t>2</w:t>
                  </w:r>
                </w:p>
                <w:p>
                  <w:pPr>
                    <w:pStyle w:val="181"/>
                    <w:spacing w:line="360" w:lineRule="auto"/>
                    <w:rPr>
                      <w:rFonts w:hint="eastAsia" w:eastAsia="宋体"/>
                      <w:color w:val="auto"/>
                      <w:sz w:val="22"/>
                      <w:szCs w:val="22"/>
                      <w:u w:val="none" w:color="auto"/>
                      <w:lang w:eastAsia="zh-CN"/>
                    </w:rPr>
                  </w:pPr>
                  <w:r>
                    <w:rPr>
                      <w:rFonts w:hint="eastAsia"/>
                      <w:color w:val="auto"/>
                      <w:sz w:val="22"/>
                      <w:szCs w:val="22"/>
                      <w:u w:val="none" w:color="auto"/>
                      <w:lang w:eastAsia="zh-CN"/>
                    </w:rPr>
                    <w:t>（西北面居民点）</w:t>
                  </w:r>
                </w:p>
              </w:tc>
              <w:tc>
                <w:tcPr>
                  <w:tcW w:w="1873" w:type="pct"/>
                  <w:noWrap w:val="0"/>
                  <w:vAlign w:val="center"/>
                </w:tcPr>
                <w:p>
                  <w:pPr>
                    <w:pStyle w:val="181"/>
                    <w:spacing w:line="360" w:lineRule="auto"/>
                    <w:rPr>
                      <w:color w:val="auto"/>
                      <w:sz w:val="22"/>
                      <w:szCs w:val="22"/>
                      <w:u w:val="none" w:color="auto"/>
                    </w:rPr>
                  </w:pPr>
                  <w:r>
                    <w:rPr>
                      <w:color w:val="auto"/>
                      <w:sz w:val="22"/>
                      <w:szCs w:val="22"/>
                      <w:u w:val="none" w:color="auto"/>
                    </w:rPr>
                    <w:t>浓度范围</w:t>
                  </w:r>
                </w:p>
              </w:tc>
              <w:tc>
                <w:tcPr>
                  <w:tcW w:w="2062" w:type="pct"/>
                  <w:noWrap w:val="0"/>
                  <w:vAlign w:val="center"/>
                </w:tcPr>
                <w:p>
                  <w:pPr>
                    <w:pStyle w:val="181"/>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0.3088-0.3291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3" w:type="pct"/>
                  <w:vMerge w:val="continue"/>
                  <w:noWrap w:val="0"/>
                  <w:vAlign w:val="center"/>
                </w:tcPr>
                <w:p>
                  <w:pPr>
                    <w:pStyle w:val="181"/>
                    <w:spacing w:line="360" w:lineRule="auto"/>
                    <w:rPr>
                      <w:color w:val="auto"/>
                      <w:sz w:val="22"/>
                      <w:szCs w:val="22"/>
                      <w:u w:val="none" w:color="auto"/>
                    </w:rPr>
                  </w:pPr>
                </w:p>
              </w:tc>
              <w:tc>
                <w:tcPr>
                  <w:tcW w:w="1873" w:type="pct"/>
                  <w:noWrap w:val="0"/>
                  <w:vAlign w:val="center"/>
                </w:tcPr>
                <w:p>
                  <w:pPr>
                    <w:pStyle w:val="181"/>
                    <w:spacing w:line="360" w:lineRule="auto"/>
                    <w:rPr>
                      <w:color w:val="auto"/>
                      <w:sz w:val="22"/>
                      <w:szCs w:val="22"/>
                      <w:u w:val="none" w:color="auto"/>
                    </w:rPr>
                  </w:pPr>
                  <w:r>
                    <w:rPr>
                      <w:color w:val="auto"/>
                      <w:sz w:val="22"/>
                      <w:szCs w:val="22"/>
                      <w:u w:val="none" w:color="auto"/>
                    </w:rPr>
                    <w:t>超标率（%）</w:t>
                  </w:r>
                </w:p>
              </w:tc>
              <w:tc>
                <w:tcPr>
                  <w:tcW w:w="2062" w:type="pct"/>
                  <w:noWrap w:val="0"/>
                  <w:vAlign w:val="center"/>
                </w:tcPr>
                <w:p>
                  <w:pPr>
                    <w:pStyle w:val="181"/>
                    <w:spacing w:line="360" w:lineRule="auto"/>
                    <w:rPr>
                      <w:rFonts w:hint="eastAsia"/>
                      <w:color w:val="auto"/>
                      <w:sz w:val="22"/>
                      <w:szCs w:val="22"/>
                      <w:u w:val="none" w:color="auto"/>
                    </w:rPr>
                  </w:pPr>
                  <w:r>
                    <w:rPr>
                      <w:rFonts w:hint="eastAsia"/>
                      <w:color w:val="auto"/>
                      <w:sz w:val="22"/>
                      <w:szCs w:val="22"/>
                      <w:u w:val="none" w:color="auto"/>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3" w:type="pct"/>
                  <w:vMerge w:val="continue"/>
                  <w:noWrap w:val="0"/>
                  <w:vAlign w:val="center"/>
                </w:tcPr>
                <w:p>
                  <w:pPr>
                    <w:pStyle w:val="181"/>
                    <w:spacing w:line="360" w:lineRule="auto"/>
                    <w:rPr>
                      <w:color w:val="auto"/>
                      <w:sz w:val="22"/>
                      <w:szCs w:val="22"/>
                      <w:u w:val="none" w:color="auto"/>
                    </w:rPr>
                  </w:pPr>
                </w:p>
              </w:tc>
              <w:tc>
                <w:tcPr>
                  <w:tcW w:w="1873" w:type="pct"/>
                  <w:noWrap w:val="0"/>
                  <w:vAlign w:val="center"/>
                </w:tcPr>
                <w:p>
                  <w:pPr>
                    <w:pStyle w:val="181"/>
                    <w:spacing w:line="360" w:lineRule="auto"/>
                    <w:rPr>
                      <w:color w:val="auto"/>
                      <w:sz w:val="22"/>
                      <w:szCs w:val="22"/>
                      <w:u w:val="none" w:color="auto"/>
                    </w:rPr>
                  </w:pPr>
                  <w:r>
                    <w:rPr>
                      <w:color w:val="auto"/>
                      <w:sz w:val="22"/>
                      <w:szCs w:val="22"/>
                      <w:u w:val="none" w:color="auto"/>
                    </w:rPr>
                    <w:t>最大超标倍数</w:t>
                  </w:r>
                </w:p>
              </w:tc>
              <w:tc>
                <w:tcPr>
                  <w:tcW w:w="2062" w:type="pct"/>
                  <w:noWrap w:val="0"/>
                  <w:vAlign w:val="center"/>
                </w:tcPr>
                <w:p>
                  <w:pPr>
                    <w:pStyle w:val="181"/>
                    <w:spacing w:line="360" w:lineRule="auto"/>
                    <w:rPr>
                      <w:rFonts w:hint="eastAsia"/>
                      <w:color w:val="auto"/>
                      <w:sz w:val="22"/>
                      <w:szCs w:val="22"/>
                      <w:u w:val="none" w:color="auto"/>
                    </w:rPr>
                  </w:pPr>
                  <w:r>
                    <w:rPr>
                      <w:rFonts w:hint="eastAsia"/>
                      <w:color w:val="auto"/>
                      <w:sz w:val="22"/>
                      <w:szCs w:val="22"/>
                      <w:u w:val="none" w:color="auto"/>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7" w:type="pct"/>
                  <w:gridSpan w:val="2"/>
                  <w:noWrap w:val="0"/>
                  <w:vAlign w:val="center"/>
                </w:tcPr>
                <w:p>
                  <w:pPr>
                    <w:pStyle w:val="181"/>
                    <w:spacing w:line="360" w:lineRule="auto"/>
                    <w:rPr>
                      <w:color w:val="auto"/>
                      <w:sz w:val="22"/>
                      <w:szCs w:val="22"/>
                      <w:u w:val="none" w:color="auto"/>
                    </w:rPr>
                  </w:pPr>
                  <w:r>
                    <w:rPr>
                      <w:color w:val="auto"/>
                      <w:sz w:val="22"/>
                      <w:szCs w:val="22"/>
                      <w:u w:val="none" w:color="auto"/>
                    </w:rPr>
                    <w:t>标准值</w:t>
                  </w:r>
                </w:p>
              </w:tc>
              <w:tc>
                <w:tcPr>
                  <w:tcW w:w="2062" w:type="pct"/>
                  <w:noWrap w:val="0"/>
                  <w:vAlign w:val="center"/>
                </w:tcPr>
                <w:p>
                  <w:pPr>
                    <w:pStyle w:val="181"/>
                    <w:spacing w:line="360" w:lineRule="auto"/>
                    <w:rPr>
                      <w:rFonts w:hint="eastAsia"/>
                      <w:color w:val="auto"/>
                      <w:sz w:val="22"/>
                      <w:szCs w:val="22"/>
                      <w:u w:val="none" w:color="auto"/>
                    </w:rPr>
                  </w:pPr>
                  <w:r>
                    <w:rPr>
                      <w:rFonts w:hint="eastAsia"/>
                      <w:color w:val="auto"/>
                      <w:sz w:val="22"/>
                      <w:szCs w:val="22"/>
                      <w:u w:val="none" w:color="auto"/>
                    </w:rPr>
                    <w:t>0.6</w:t>
                  </w:r>
                </w:p>
              </w:tc>
            </w:tr>
          </w:tbl>
          <w:p>
            <w:pPr>
              <w:pStyle w:val="35"/>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b/>
                <w:bCs/>
                <w:color w:val="auto"/>
                <w:sz w:val="24"/>
                <w:szCs w:val="24"/>
                <w:u w:val="none" w:color="auto"/>
              </w:rPr>
            </w:pPr>
            <w:r>
              <w:rPr>
                <w:rFonts w:hint="default" w:ascii="Times New Roman" w:hAnsi="Times New Roman" w:cs="Times New Roman"/>
                <w:color w:val="auto"/>
                <w:sz w:val="24"/>
                <w:szCs w:val="24"/>
                <w:u w:val="none" w:color="auto"/>
              </w:rPr>
              <w:t>根据上</w:t>
            </w:r>
            <w:r>
              <w:rPr>
                <w:rFonts w:hint="eastAsia" w:cs="Times New Roman"/>
                <w:color w:val="auto"/>
                <w:sz w:val="24"/>
                <w:szCs w:val="24"/>
                <w:u w:val="none" w:color="auto"/>
                <w:lang w:eastAsia="zh-CN"/>
              </w:rPr>
              <w:t>表</w:t>
            </w:r>
            <w:r>
              <w:rPr>
                <w:rFonts w:hint="default" w:ascii="Times New Roman" w:hAnsi="Times New Roman" w:cs="Times New Roman"/>
                <w:color w:val="auto"/>
                <w:sz w:val="24"/>
                <w:szCs w:val="24"/>
                <w:u w:val="none" w:color="auto"/>
              </w:rPr>
              <w:t>的监测结果表明，各监测点TVOC均符合《环境影响评价技术导则（HJ2.3-2018）》（大气环境附录D)中标准要求</w:t>
            </w:r>
            <w:r>
              <w:rPr>
                <w:rFonts w:hint="eastAsia" w:ascii="Times New Roman" w:hAnsi="Times New Roman" w:cs="Times New Roman"/>
                <w:sz w:val="24"/>
                <w:szCs w:val="24"/>
                <w:u w:val="none" w:color="auto"/>
                <w:lang w:eastAsia="zh-CN"/>
              </w:rPr>
              <w:t>。</w:t>
            </w:r>
          </w:p>
          <w:p>
            <w:pPr>
              <w:spacing w:line="360" w:lineRule="auto"/>
              <w:rPr>
                <w:rFonts w:hint="default" w:ascii="Times New Roman" w:hAnsi="Times New Roman" w:cs="Times New Roman"/>
                <w:b/>
                <w:bCs/>
                <w:color w:val="auto"/>
                <w:sz w:val="24"/>
                <w:szCs w:val="24"/>
                <w:u w:val="single" w:color="auto"/>
              </w:rPr>
            </w:pPr>
            <w:r>
              <w:rPr>
                <w:rFonts w:hint="default" w:ascii="Times New Roman" w:hAnsi="Times New Roman" w:cs="Times New Roman"/>
                <w:b/>
                <w:bCs/>
                <w:color w:val="auto"/>
                <w:sz w:val="24"/>
                <w:szCs w:val="24"/>
                <w:u w:val="single" w:color="auto"/>
              </w:rPr>
              <w:t>3.2地表水环境质量现状</w:t>
            </w:r>
          </w:p>
          <w:p>
            <w:pPr>
              <w:adjustRightInd w:val="0"/>
              <w:snapToGrid w:val="0"/>
              <w:spacing w:line="360" w:lineRule="auto"/>
              <w:ind w:firstLine="462" w:firstLineChars="200"/>
              <w:rPr>
                <w:rFonts w:eastAsia="宋体"/>
                <w:sz w:val="24"/>
                <w:u w:val="single" w:color="auto"/>
              </w:rPr>
            </w:pPr>
            <w:r>
              <w:rPr>
                <w:rFonts w:hint="eastAsia" w:cs="Times New Roman"/>
                <w:color w:val="auto"/>
                <w:sz w:val="24"/>
                <w:szCs w:val="24"/>
                <w:u w:val="single" w:color="auto"/>
                <w:lang w:eastAsia="zh-CN"/>
              </w:rPr>
              <w:t>本项目无水废水外排，</w:t>
            </w:r>
            <w:r>
              <w:rPr>
                <w:rFonts w:hint="default" w:ascii="Times New Roman" w:hAnsi="Times New Roman" w:cs="Times New Roman"/>
                <w:color w:val="auto"/>
                <w:sz w:val="24"/>
                <w:szCs w:val="24"/>
                <w:u w:val="single" w:color="auto"/>
              </w:rPr>
              <w:t>为了解建设项目所在地的地表水环境状况</w:t>
            </w:r>
            <w:r>
              <w:rPr>
                <w:rFonts w:hint="eastAsia" w:cs="Times New Roman"/>
                <w:color w:val="auto"/>
                <w:sz w:val="24"/>
                <w:szCs w:val="24"/>
                <w:u w:val="single" w:color="auto"/>
                <w:lang w:eastAsia="zh-CN"/>
              </w:rPr>
              <w:t>，本次环评引用《</w:t>
            </w:r>
            <w:r>
              <w:rPr>
                <w:rFonts w:eastAsia="宋体"/>
                <w:sz w:val="24"/>
                <w:szCs w:val="24"/>
                <w:u w:val="single" w:color="auto"/>
              </w:rPr>
              <w:t>湖南中承材料有限责任公司年生产</w:t>
            </w:r>
            <w:r>
              <w:rPr>
                <w:rFonts w:hint="eastAsia" w:eastAsia="宋体"/>
                <w:sz w:val="24"/>
                <w:szCs w:val="24"/>
                <w:u w:val="single" w:color="auto"/>
              </w:rPr>
              <w:t>一亿</w:t>
            </w:r>
            <w:r>
              <w:rPr>
                <w:rFonts w:eastAsia="宋体"/>
                <w:sz w:val="24"/>
                <w:szCs w:val="24"/>
                <w:u w:val="single" w:color="auto"/>
              </w:rPr>
              <w:t>块页岩标砖建设项目</w:t>
            </w:r>
            <w:r>
              <w:rPr>
                <w:rFonts w:hint="eastAsia" w:cs="Times New Roman"/>
                <w:color w:val="auto"/>
                <w:sz w:val="24"/>
                <w:szCs w:val="24"/>
                <w:u w:val="single" w:color="auto"/>
                <w:lang w:eastAsia="zh-CN"/>
              </w:rPr>
              <w:t>环境影响评价报告</w:t>
            </w:r>
            <w:r>
              <w:rPr>
                <w:rFonts w:hint="eastAsia" w:cs="Times New Roman"/>
                <w:color w:val="auto"/>
                <w:sz w:val="24"/>
                <w:szCs w:val="24"/>
                <w:u w:val="single" w:color="auto"/>
                <w:lang w:val="en-US" w:eastAsia="zh-CN"/>
              </w:rPr>
              <w:t>表</w:t>
            </w:r>
            <w:r>
              <w:rPr>
                <w:rFonts w:hint="eastAsia" w:cs="Times New Roman"/>
                <w:color w:val="auto"/>
                <w:sz w:val="24"/>
                <w:szCs w:val="24"/>
                <w:u w:val="single" w:color="auto"/>
                <w:lang w:eastAsia="zh-CN"/>
              </w:rPr>
              <w:t>》中</w:t>
            </w:r>
            <w:r>
              <w:rPr>
                <w:rFonts w:eastAsia="宋体"/>
                <w:bCs/>
                <w:sz w:val="24"/>
                <w:szCs w:val="24"/>
                <w:u w:val="single" w:color="auto"/>
              </w:rPr>
              <w:t>湖南永蓝检测技术股份有限公司</w:t>
            </w:r>
            <w:r>
              <w:rPr>
                <w:rFonts w:eastAsia="宋体"/>
                <w:bCs/>
                <w:sz w:val="24"/>
                <w:u w:val="single" w:color="auto"/>
              </w:rPr>
              <w:t>于2018年6月11-13日</w:t>
            </w:r>
            <w:r>
              <w:rPr>
                <w:rFonts w:eastAsia="宋体"/>
                <w:sz w:val="24"/>
                <w:szCs w:val="24"/>
                <w:u w:val="single" w:color="auto"/>
              </w:rPr>
              <w:t>对</w:t>
            </w:r>
            <w:r>
              <w:rPr>
                <w:rFonts w:eastAsia="宋体"/>
                <w:sz w:val="24"/>
                <w:u w:val="single" w:color="auto"/>
              </w:rPr>
              <w:t>项目地西南侧100m水塘</w:t>
            </w:r>
            <w:r>
              <w:rPr>
                <w:rFonts w:eastAsia="宋体"/>
                <w:sz w:val="24"/>
                <w:szCs w:val="24"/>
                <w:u w:val="single" w:color="auto"/>
              </w:rPr>
              <w:t>地表水环境进行监测</w:t>
            </w:r>
            <w:r>
              <w:rPr>
                <w:rFonts w:eastAsia="宋体"/>
                <w:sz w:val="24"/>
                <w:u w:val="single" w:color="auto"/>
              </w:rPr>
              <w:t>。</w:t>
            </w:r>
          </w:p>
          <w:p>
            <w:pPr>
              <w:numPr>
                <w:ilvl w:val="0"/>
                <w:numId w:val="4"/>
              </w:numPr>
              <w:snapToGrid w:val="0"/>
              <w:spacing w:line="360" w:lineRule="auto"/>
              <w:ind w:firstLine="462" w:firstLineChars="200"/>
              <w:jc w:val="left"/>
              <w:rPr>
                <w:rFonts w:eastAsia="宋体"/>
                <w:sz w:val="24"/>
                <w:u w:val="single" w:color="auto"/>
              </w:rPr>
            </w:pPr>
            <w:r>
              <w:rPr>
                <w:rFonts w:eastAsia="宋体"/>
                <w:sz w:val="24"/>
                <w:u w:val="single" w:color="auto"/>
              </w:rPr>
              <w:t>监测断面： W2项目地西南侧100m水塘断面</w:t>
            </w:r>
            <w:r>
              <w:rPr>
                <w:rFonts w:hint="eastAsia" w:eastAsia="宋体"/>
                <w:sz w:val="24"/>
                <w:u w:val="single" w:color="auto"/>
                <w:lang w:eastAsia="zh-CN"/>
              </w:rPr>
              <w:t>（</w:t>
            </w:r>
            <w:r>
              <w:rPr>
                <w:rFonts w:hint="eastAsia" w:eastAsia="宋体"/>
                <w:sz w:val="24"/>
                <w:u w:val="single" w:color="auto"/>
                <w:lang w:val="en-US" w:eastAsia="zh-CN"/>
              </w:rPr>
              <w:t>位于本项目东北侧800m处</w:t>
            </w:r>
            <w:r>
              <w:rPr>
                <w:rFonts w:hint="eastAsia" w:eastAsia="宋体"/>
                <w:sz w:val="24"/>
                <w:u w:val="single" w:color="auto"/>
                <w:lang w:eastAsia="zh-CN"/>
              </w:rPr>
              <w:t>）</w:t>
            </w:r>
          </w:p>
          <w:p>
            <w:pPr>
              <w:snapToGrid w:val="0"/>
              <w:spacing w:line="360" w:lineRule="auto"/>
              <w:jc w:val="left"/>
              <w:rPr>
                <w:rFonts w:eastAsia="宋体"/>
                <w:sz w:val="24"/>
                <w:u w:val="single" w:color="auto"/>
              </w:rPr>
            </w:pPr>
            <w:r>
              <w:rPr>
                <w:rFonts w:eastAsia="宋体"/>
                <w:sz w:val="24"/>
                <w:u w:val="single" w:color="auto"/>
              </w:rPr>
              <w:t xml:space="preserve">    （2）监测时间：</w:t>
            </w:r>
            <w:r>
              <w:rPr>
                <w:rFonts w:eastAsia="宋体"/>
                <w:bCs/>
                <w:sz w:val="24"/>
                <w:u w:val="single" w:color="auto"/>
              </w:rPr>
              <w:t>2018年6月11-13日</w:t>
            </w:r>
            <w:r>
              <w:rPr>
                <w:rFonts w:eastAsia="宋体"/>
                <w:sz w:val="24"/>
                <w:u w:val="single" w:color="auto"/>
              </w:rPr>
              <w:t xml:space="preserve"> </w:t>
            </w:r>
          </w:p>
          <w:p>
            <w:pPr>
              <w:spacing w:line="360" w:lineRule="auto"/>
              <w:ind w:firstLine="462" w:firstLineChars="200"/>
              <w:textAlignment w:val="baseline"/>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具体监测情况详见下表。</w:t>
            </w:r>
          </w:p>
          <w:p>
            <w:pPr>
              <w:spacing w:line="360" w:lineRule="auto"/>
              <w:jc w:val="center"/>
              <w:rPr>
                <w:rFonts w:hint="default" w:ascii="Times New Roman" w:hAnsi="Times New Roman" w:cs="Times New Roman"/>
                <w:color w:val="auto"/>
                <w:sz w:val="20"/>
                <w:szCs w:val="20"/>
                <w:u w:val="single" w:color="auto"/>
              </w:rPr>
            </w:pPr>
            <w:r>
              <w:rPr>
                <w:rFonts w:hint="default" w:ascii="Times New Roman" w:hAnsi="Times New Roman" w:cs="Times New Roman"/>
                <w:color w:val="auto"/>
                <w:sz w:val="24"/>
                <w:szCs w:val="24"/>
                <w:u w:val="single" w:color="auto"/>
              </w:rPr>
              <w:t>表3-</w:t>
            </w:r>
            <w:r>
              <w:rPr>
                <w:rFonts w:hint="eastAsia" w:cs="Times New Roman"/>
                <w:color w:val="auto"/>
                <w:sz w:val="24"/>
                <w:szCs w:val="24"/>
                <w:u w:val="single" w:color="auto"/>
                <w:lang w:val="en-US" w:eastAsia="zh-CN"/>
              </w:rPr>
              <w:t>4</w:t>
            </w:r>
            <w:r>
              <w:rPr>
                <w:rFonts w:hint="default" w:ascii="Times New Roman" w:hAnsi="Times New Roman" w:cs="Times New Roman"/>
                <w:color w:val="auto"/>
                <w:sz w:val="24"/>
                <w:szCs w:val="24"/>
                <w:u w:val="single" w:color="auto"/>
              </w:rPr>
              <w:t xml:space="preserve">  地表水环境质量现状监测结果</w:t>
            </w:r>
            <w:r>
              <w:rPr>
                <w:rFonts w:hint="default" w:ascii="Times New Roman" w:hAnsi="Times New Roman" w:cs="Times New Roman"/>
                <w:color w:val="auto"/>
                <w:sz w:val="24"/>
                <w:szCs w:val="24"/>
                <w:u w:val="single" w:color="auto"/>
                <w:lang w:val="en-US" w:eastAsia="zh-CN"/>
              </w:rPr>
              <w:t xml:space="preserve"> </w:t>
            </w:r>
          </w:p>
          <w:tbl>
            <w:tblPr>
              <w:tblStyle w:val="39"/>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1479"/>
              <w:gridCol w:w="1039"/>
              <w:gridCol w:w="1104"/>
              <w:gridCol w:w="1101"/>
              <w:gridCol w:w="1095"/>
              <w:gridCol w:w="1083"/>
              <w:gridCol w:w="10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atLeast"/>
                <w:jc w:val="center"/>
              </w:trPr>
              <w:tc>
                <w:tcPr>
                  <w:tcW w:w="574" w:type="pct"/>
                  <w:vMerge w:val="restart"/>
                  <w:noWrap w:val="0"/>
                  <w:vAlign w:val="center"/>
                </w:tcPr>
                <w:p>
                  <w:pPr>
                    <w:jc w:val="center"/>
                    <w:rPr>
                      <w:rFonts w:eastAsia="宋体"/>
                      <w:sz w:val="22"/>
                      <w:szCs w:val="22"/>
                      <w:u w:val="single" w:color="auto"/>
                    </w:rPr>
                  </w:pPr>
                  <w:r>
                    <w:rPr>
                      <w:rFonts w:eastAsia="宋体"/>
                      <w:sz w:val="22"/>
                      <w:szCs w:val="22"/>
                      <w:u w:val="single" w:color="auto"/>
                    </w:rPr>
                    <w:t>采样位置</w:t>
                  </w:r>
                </w:p>
              </w:tc>
              <w:tc>
                <w:tcPr>
                  <w:tcW w:w="820" w:type="pct"/>
                  <w:vMerge w:val="restart"/>
                  <w:noWrap w:val="0"/>
                  <w:vAlign w:val="center"/>
                </w:tcPr>
                <w:p>
                  <w:pPr>
                    <w:jc w:val="center"/>
                    <w:rPr>
                      <w:rFonts w:eastAsia="宋体"/>
                      <w:sz w:val="22"/>
                      <w:szCs w:val="22"/>
                      <w:u w:val="single" w:color="auto"/>
                    </w:rPr>
                  </w:pPr>
                  <w:r>
                    <w:rPr>
                      <w:rFonts w:eastAsia="宋体"/>
                      <w:sz w:val="22"/>
                      <w:szCs w:val="22"/>
                      <w:u w:val="single" w:color="auto"/>
                    </w:rPr>
                    <w:t>检测项目</w:t>
                  </w:r>
                </w:p>
              </w:tc>
              <w:tc>
                <w:tcPr>
                  <w:tcW w:w="576" w:type="pct"/>
                  <w:vMerge w:val="restart"/>
                  <w:noWrap w:val="0"/>
                  <w:vAlign w:val="center"/>
                </w:tcPr>
                <w:p>
                  <w:pPr>
                    <w:jc w:val="center"/>
                    <w:rPr>
                      <w:rFonts w:eastAsia="宋体"/>
                      <w:sz w:val="22"/>
                      <w:szCs w:val="22"/>
                      <w:u w:val="single" w:color="auto"/>
                    </w:rPr>
                  </w:pPr>
                  <w:r>
                    <w:rPr>
                      <w:rFonts w:eastAsia="宋体"/>
                      <w:sz w:val="22"/>
                      <w:szCs w:val="22"/>
                      <w:u w:val="single" w:color="auto"/>
                    </w:rPr>
                    <w:t>单位</w:t>
                  </w:r>
                </w:p>
              </w:tc>
              <w:tc>
                <w:tcPr>
                  <w:tcW w:w="1829" w:type="pct"/>
                  <w:gridSpan w:val="3"/>
                  <w:noWrap w:val="0"/>
                  <w:vAlign w:val="center"/>
                </w:tcPr>
                <w:p>
                  <w:pPr>
                    <w:jc w:val="center"/>
                    <w:rPr>
                      <w:rFonts w:eastAsia="宋体"/>
                      <w:sz w:val="22"/>
                      <w:szCs w:val="22"/>
                      <w:u w:val="single" w:color="auto"/>
                    </w:rPr>
                  </w:pPr>
                  <w:r>
                    <w:rPr>
                      <w:rFonts w:eastAsia="宋体"/>
                      <w:sz w:val="22"/>
                      <w:szCs w:val="22"/>
                      <w:u w:val="single" w:color="auto"/>
                    </w:rPr>
                    <w:t>检测结果</w:t>
                  </w:r>
                </w:p>
              </w:tc>
              <w:tc>
                <w:tcPr>
                  <w:tcW w:w="600" w:type="pct"/>
                  <w:vMerge w:val="restart"/>
                  <w:noWrap w:val="0"/>
                  <w:vAlign w:val="center"/>
                </w:tcPr>
                <w:p>
                  <w:pPr>
                    <w:jc w:val="center"/>
                    <w:rPr>
                      <w:rFonts w:eastAsia="宋体"/>
                      <w:sz w:val="22"/>
                      <w:szCs w:val="22"/>
                      <w:u w:val="single" w:color="auto"/>
                    </w:rPr>
                  </w:pPr>
                  <w:r>
                    <w:rPr>
                      <w:rFonts w:eastAsia="宋体"/>
                      <w:sz w:val="22"/>
                      <w:szCs w:val="22"/>
                      <w:u w:val="single" w:color="auto"/>
                    </w:rPr>
                    <w:t>超标率</w:t>
                  </w:r>
                </w:p>
              </w:tc>
              <w:tc>
                <w:tcPr>
                  <w:tcW w:w="599" w:type="pct"/>
                  <w:vMerge w:val="restart"/>
                  <w:noWrap w:val="0"/>
                  <w:vAlign w:val="center"/>
                </w:tcPr>
                <w:p>
                  <w:pPr>
                    <w:jc w:val="center"/>
                    <w:rPr>
                      <w:rFonts w:eastAsia="宋体"/>
                      <w:sz w:val="22"/>
                      <w:szCs w:val="22"/>
                      <w:u w:val="single" w:color="auto"/>
                    </w:rPr>
                  </w:pPr>
                  <w:r>
                    <w:rPr>
                      <w:rFonts w:eastAsia="宋体"/>
                      <w:sz w:val="22"/>
                      <w:szCs w:val="22"/>
                      <w:u w:val="single" w:color="auto"/>
                    </w:rPr>
                    <w:t>标准值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4" w:type="pct"/>
                  <w:vMerge w:val="continue"/>
                  <w:noWrap w:val="0"/>
                  <w:vAlign w:val="center"/>
                </w:tcPr>
                <w:p>
                  <w:pPr>
                    <w:jc w:val="center"/>
                    <w:rPr>
                      <w:rFonts w:eastAsia="宋体"/>
                      <w:sz w:val="22"/>
                      <w:szCs w:val="22"/>
                      <w:u w:val="single" w:color="auto"/>
                    </w:rPr>
                  </w:pPr>
                </w:p>
              </w:tc>
              <w:tc>
                <w:tcPr>
                  <w:tcW w:w="820" w:type="pct"/>
                  <w:vMerge w:val="continue"/>
                  <w:noWrap w:val="0"/>
                  <w:vAlign w:val="center"/>
                </w:tcPr>
                <w:p>
                  <w:pPr>
                    <w:jc w:val="center"/>
                    <w:rPr>
                      <w:rFonts w:eastAsia="宋体"/>
                      <w:sz w:val="22"/>
                      <w:szCs w:val="22"/>
                      <w:u w:val="single" w:color="auto"/>
                    </w:rPr>
                  </w:pPr>
                </w:p>
              </w:tc>
              <w:tc>
                <w:tcPr>
                  <w:tcW w:w="576" w:type="pct"/>
                  <w:vMerge w:val="continue"/>
                  <w:noWrap w:val="0"/>
                  <w:vAlign w:val="center"/>
                </w:tcPr>
                <w:p>
                  <w:pPr>
                    <w:jc w:val="center"/>
                    <w:rPr>
                      <w:rFonts w:eastAsia="宋体"/>
                      <w:sz w:val="22"/>
                      <w:szCs w:val="22"/>
                      <w:u w:val="single" w:color="auto"/>
                    </w:rPr>
                  </w:pPr>
                </w:p>
              </w:tc>
              <w:tc>
                <w:tcPr>
                  <w:tcW w:w="612" w:type="pct"/>
                  <w:noWrap w:val="0"/>
                  <w:vAlign w:val="center"/>
                </w:tcPr>
                <w:p>
                  <w:pPr>
                    <w:jc w:val="center"/>
                    <w:rPr>
                      <w:rFonts w:eastAsia="宋体"/>
                      <w:color w:val="FF0000"/>
                      <w:sz w:val="22"/>
                      <w:szCs w:val="22"/>
                      <w:u w:val="single" w:color="auto"/>
                    </w:rPr>
                  </w:pPr>
                  <w:r>
                    <w:rPr>
                      <w:rFonts w:eastAsia="宋体"/>
                      <w:sz w:val="22"/>
                      <w:szCs w:val="22"/>
                      <w:u w:val="single" w:color="auto"/>
                    </w:rPr>
                    <w:t>6.11</w:t>
                  </w:r>
                </w:p>
              </w:tc>
              <w:tc>
                <w:tcPr>
                  <w:tcW w:w="610" w:type="pct"/>
                  <w:noWrap w:val="0"/>
                  <w:vAlign w:val="center"/>
                </w:tcPr>
                <w:p>
                  <w:pPr>
                    <w:jc w:val="center"/>
                    <w:rPr>
                      <w:rFonts w:eastAsia="宋体"/>
                      <w:color w:val="FF0000"/>
                      <w:sz w:val="22"/>
                      <w:szCs w:val="22"/>
                      <w:u w:val="single" w:color="auto"/>
                    </w:rPr>
                  </w:pPr>
                  <w:r>
                    <w:rPr>
                      <w:rFonts w:eastAsia="宋体"/>
                      <w:sz w:val="22"/>
                      <w:szCs w:val="22"/>
                      <w:u w:val="single" w:color="auto"/>
                    </w:rPr>
                    <w:t>6.12</w:t>
                  </w:r>
                </w:p>
              </w:tc>
              <w:tc>
                <w:tcPr>
                  <w:tcW w:w="605" w:type="pct"/>
                  <w:noWrap w:val="0"/>
                  <w:vAlign w:val="center"/>
                </w:tcPr>
                <w:p>
                  <w:pPr>
                    <w:jc w:val="center"/>
                    <w:rPr>
                      <w:rFonts w:eastAsia="宋体"/>
                      <w:color w:val="FF0000"/>
                      <w:sz w:val="22"/>
                      <w:szCs w:val="22"/>
                      <w:u w:val="single" w:color="auto"/>
                    </w:rPr>
                  </w:pPr>
                  <w:r>
                    <w:rPr>
                      <w:rFonts w:eastAsia="宋体"/>
                      <w:sz w:val="22"/>
                      <w:szCs w:val="22"/>
                      <w:u w:val="single" w:color="auto"/>
                    </w:rPr>
                    <w:t>6.12</w:t>
                  </w:r>
                </w:p>
              </w:tc>
              <w:tc>
                <w:tcPr>
                  <w:tcW w:w="600" w:type="pct"/>
                  <w:vMerge w:val="continue"/>
                  <w:noWrap w:val="0"/>
                  <w:vAlign w:val="center"/>
                </w:tcPr>
                <w:p>
                  <w:pPr>
                    <w:jc w:val="center"/>
                    <w:rPr>
                      <w:rFonts w:eastAsia="宋体"/>
                      <w:sz w:val="22"/>
                      <w:szCs w:val="22"/>
                      <w:u w:val="single" w:color="auto"/>
                    </w:rPr>
                  </w:pPr>
                </w:p>
              </w:tc>
              <w:tc>
                <w:tcPr>
                  <w:tcW w:w="599" w:type="pct"/>
                  <w:vMerge w:val="continue"/>
                  <w:noWrap w:val="0"/>
                  <w:vAlign w:val="center"/>
                </w:tcPr>
                <w:p>
                  <w:pPr>
                    <w:jc w:val="center"/>
                    <w:rPr>
                      <w:rFonts w:eastAsia="宋体"/>
                      <w:sz w:val="22"/>
                      <w:szCs w:val="22"/>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4" w:type="pct"/>
                  <w:vMerge w:val="restart"/>
                  <w:shd w:val="clear" w:color="auto" w:fill="FFFFFF"/>
                  <w:noWrap w:val="0"/>
                  <w:vAlign w:val="center"/>
                </w:tcPr>
                <w:p>
                  <w:pPr>
                    <w:jc w:val="center"/>
                    <w:rPr>
                      <w:rFonts w:eastAsia="宋体"/>
                      <w:sz w:val="22"/>
                      <w:szCs w:val="22"/>
                      <w:u w:val="single" w:color="auto"/>
                    </w:rPr>
                  </w:pPr>
                  <w:r>
                    <w:rPr>
                      <w:rFonts w:eastAsia="宋体"/>
                      <w:sz w:val="22"/>
                      <w:szCs w:val="22"/>
                      <w:u w:val="single" w:color="auto"/>
                    </w:rPr>
                    <w:t>项目地西南侧100m水塘断面</w:t>
                  </w:r>
                </w:p>
              </w:tc>
              <w:tc>
                <w:tcPr>
                  <w:tcW w:w="820" w:type="pct"/>
                  <w:shd w:val="clear" w:color="auto" w:fill="FFFFFF"/>
                  <w:noWrap w:val="0"/>
                  <w:vAlign w:val="center"/>
                </w:tcPr>
                <w:p>
                  <w:pPr>
                    <w:jc w:val="center"/>
                    <w:rPr>
                      <w:rFonts w:eastAsia="宋体"/>
                      <w:sz w:val="22"/>
                      <w:szCs w:val="22"/>
                      <w:u w:val="single" w:color="auto"/>
                    </w:rPr>
                  </w:pPr>
                  <w:r>
                    <w:rPr>
                      <w:rFonts w:eastAsia="宋体"/>
                      <w:sz w:val="22"/>
                      <w:szCs w:val="22"/>
                      <w:u w:val="single" w:color="auto"/>
                    </w:rPr>
                    <w:t>pH</w:t>
                  </w:r>
                </w:p>
              </w:tc>
              <w:tc>
                <w:tcPr>
                  <w:tcW w:w="576" w:type="pct"/>
                  <w:noWrap w:val="0"/>
                  <w:vAlign w:val="center"/>
                </w:tcPr>
                <w:p>
                  <w:pPr>
                    <w:jc w:val="center"/>
                    <w:rPr>
                      <w:rFonts w:eastAsia="宋体"/>
                      <w:sz w:val="22"/>
                      <w:szCs w:val="22"/>
                      <w:u w:val="single" w:color="auto"/>
                    </w:rPr>
                  </w:pPr>
                  <w:r>
                    <w:rPr>
                      <w:rFonts w:eastAsia="宋体"/>
                      <w:sz w:val="22"/>
                      <w:szCs w:val="22"/>
                      <w:u w:val="single" w:color="auto"/>
                    </w:rPr>
                    <w:t>无量纲</w:t>
                  </w:r>
                </w:p>
              </w:tc>
              <w:tc>
                <w:tcPr>
                  <w:tcW w:w="612" w:type="pct"/>
                  <w:noWrap w:val="0"/>
                  <w:vAlign w:val="center"/>
                </w:tcPr>
                <w:p>
                  <w:pPr>
                    <w:widowControl/>
                    <w:jc w:val="center"/>
                    <w:textAlignment w:val="center"/>
                    <w:rPr>
                      <w:rFonts w:eastAsia="宋体"/>
                      <w:sz w:val="22"/>
                      <w:szCs w:val="22"/>
                      <w:u w:val="single" w:color="auto"/>
                    </w:rPr>
                  </w:pPr>
                  <w:r>
                    <w:rPr>
                      <w:rFonts w:eastAsia="宋体"/>
                      <w:sz w:val="22"/>
                      <w:szCs w:val="22"/>
                      <w:u w:val="single" w:color="auto"/>
                    </w:rPr>
                    <w:t>7.27</w:t>
                  </w:r>
                </w:p>
              </w:tc>
              <w:tc>
                <w:tcPr>
                  <w:tcW w:w="610" w:type="pct"/>
                  <w:noWrap w:val="0"/>
                  <w:vAlign w:val="center"/>
                </w:tcPr>
                <w:p>
                  <w:pPr>
                    <w:widowControl/>
                    <w:jc w:val="center"/>
                    <w:textAlignment w:val="center"/>
                    <w:rPr>
                      <w:rFonts w:eastAsia="宋体"/>
                      <w:sz w:val="22"/>
                      <w:szCs w:val="22"/>
                      <w:u w:val="single" w:color="auto"/>
                    </w:rPr>
                  </w:pPr>
                  <w:r>
                    <w:rPr>
                      <w:rFonts w:eastAsia="宋体"/>
                      <w:sz w:val="22"/>
                      <w:szCs w:val="22"/>
                      <w:u w:val="single" w:color="auto"/>
                    </w:rPr>
                    <w:t>7.30</w:t>
                  </w:r>
                </w:p>
              </w:tc>
              <w:tc>
                <w:tcPr>
                  <w:tcW w:w="605" w:type="pct"/>
                  <w:noWrap w:val="0"/>
                  <w:vAlign w:val="center"/>
                </w:tcPr>
                <w:p>
                  <w:pPr>
                    <w:widowControl/>
                    <w:jc w:val="center"/>
                    <w:textAlignment w:val="center"/>
                    <w:rPr>
                      <w:rFonts w:eastAsia="宋体"/>
                      <w:sz w:val="22"/>
                      <w:szCs w:val="22"/>
                      <w:u w:val="single" w:color="auto"/>
                    </w:rPr>
                  </w:pPr>
                  <w:r>
                    <w:rPr>
                      <w:rFonts w:eastAsia="宋体"/>
                      <w:sz w:val="22"/>
                      <w:szCs w:val="22"/>
                      <w:u w:val="single" w:color="auto"/>
                    </w:rPr>
                    <w:t>7.28</w:t>
                  </w:r>
                </w:p>
              </w:tc>
              <w:tc>
                <w:tcPr>
                  <w:tcW w:w="600" w:type="pct"/>
                  <w:noWrap w:val="0"/>
                  <w:vAlign w:val="center"/>
                </w:tcPr>
                <w:p>
                  <w:pPr>
                    <w:widowControl/>
                    <w:jc w:val="center"/>
                    <w:textAlignment w:val="center"/>
                    <w:rPr>
                      <w:rFonts w:hint="eastAsia" w:eastAsia="宋体"/>
                      <w:sz w:val="22"/>
                      <w:szCs w:val="22"/>
                      <w:u w:val="single" w:color="auto"/>
                      <w:lang w:eastAsia="zh-CN"/>
                    </w:rPr>
                  </w:pPr>
                  <w:r>
                    <w:rPr>
                      <w:rFonts w:hint="eastAsia"/>
                      <w:sz w:val="22"/>
                      <w:szCs w:val="22"/>
                      <w:u w:val="single" w:color="auto"/>
                      <w:lang w:val="en-US" w:eastAsia="zh-CN"/>
                    </w:rPr>
                    <w:t>0</w:t>
                  </w:r>
                </w:p>
              </w:tc>
              <w:tc>
                <w:tcPr>
                  <w:tcW w:w="599" w:type="pct"/>
                  <w:noWrap w:val="0"/>
                  <w:vAlign w:val="center"/>
                </w:tcPr>
                <w:p>
                  <w:pPr>
                    <w:pStyle w:val="2"/>
                    <w:jc w:val="center"/>
                    <w:rPr>
                      <w:rFonts w:eastAsia="宋体"/>
                      <w:sz w:val="22"/>
                      <w:szCs w:val="22"/>
                      <w:u w:val="single" w:color="auto"/>
                    </w:rPr>
                  </w:pPr>
                  <w:r>
                    <w:rPr>
                      <w:rFonts w:eastAsia="宋体"/>
                      <w:sz w:val="22"/>
                      <w:szCs w:val="22"/>
                      <w:u w:val="single" w:color="auto"/>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4" w:type="pct"/>
                  <w:vMerge w:val="continue"/>
                  <w:shd w:val="clear" w:color="auto" w:fill="FFFFFF"/>
                  <w:noWrap w:val="0"/>
                  <w:vAlign w:val="center"/>
                </w:tcPr>
                <w:p>
                  <w:pPr>
                    <w:jc w:val="center"/>
                    <w:rPr>
                      <w:rFonts w:eastAsia="宋体"/>
                      <w:sz w:val="22"/>
                      <w:szCs w:val="22"/>
                      <w:u w:val="single" w:color="auto"/>
                    </w:rPr>
                  </w:pPr>
                </w:p>
              </w:tc>
              <w:tc>
                <w:tcPr>
                  <w:tcW w:w="820" w:type="pct"/>
                  <w:shd w:val="clear" w:color="auto" w:fill="FFFFFF"/>
                  <w:noWrap w:val="0"/>
                  <w:vAlign w:val="center"/>
                </w:tcPr>
                <w:p>
                  <w:pPr>
                    <w:jc w:val="center"/>
                    <w:rPr>
                      <w:rFonts w:eastAsia="宋体"/>
                      <w:sz w:val="22"/>
                      <w:szCs w:val="22"/>
                      <w:u w:val="single" w:color="auto"/>
                    </w:rPr>
                  </w:pPr>
                  <w:r>
                    <w:rPr>
                      <w:rFonts w:eastAsia="宋体"/>
                      <w:sz w:val="22"/>
                      <w:szCs w:val="22"/>
                      <w:u w:val="single" w:color="auto"/>
                    </w:rPr>
                    <w:t>化学需氧量</w:t>
                  </w:r>
                </w:p>
              </w:tc>
              <w:tc>
                <w:tcPr>
                  <w:tcW w:w="576" w:type="pct"/>
                  <w:noWrap w:val="0"/>
                  <w:vAlign w:val="center"/>
                </w:tcPr>
                <w:p>
                  <w:pPr>
                    <w:jc w:val="center"/>
                    <w:rPr>
                      <w:rFonts w:eastAsia="宋体"/>
                      <w:sz w:val="22"/>
                      <w:szCs w:val="22"/>
                      <w:u w:val="single" w:color="auto"/>
                    </w:rPr>
                  </w:pPr>
                  <w:r>
                    <w:rPr>
                      <w:rFonts w:eastAsia="宋体"/>
                      <w:sz w:val="22"/>
                      <w:szCs w:val="22"/>
                      <w:u w:val="single" w:color="auto"/>
                    </w:rPr>
                    <w:t>mg/L</w:t>
                  </w:r>
                </w:p>
              </w:tc>
              <w:tc>
                <w:tcPr>
                  <w:tcW w:w="612" w:type="pct"/>
                  <w:noWrap w:val="0"/>
                  <w:vAlign w:val="center"/>
                </w:tcPr>
                <w:p>
                  <w:pPr>
                    <w:pStyle w:val="2"/>
                    <w:jc w:val="center"/>
                    <w:rPr>
                      <w:rFonts w:eastAsia="宋体"/>
                      <w:sz w:val="22"/>
                      <w:szCs w:val="22"/>
                      <w:u w:val="single" w:color="auto"/>
                    </w:rPr>
                  </w:pPr>
                  <w:r>
                    <w:rPr>
                      <w:rFonts w:eastAsia="宋体"/>
                      <w:sz w:val="22"/>
                      <w:szCs w:val="22"/>
                      <w:u w:val="single" w:color="auto"/>
                    </w:rPr>
                    <w:t>18</w:t>
                  </w:r>
                </w:p>
              </w:tc>
              <w:tc>
                <w:tcPr>
                  <w:tcW w:w="610" w:type="pct"/>
                  <w:noWrap w:val="0"/>
                  <w:vAlign w:val="center"/>
                </w:tcPr>
                <w:p>
                  <w:pPr>
                    <w:widowControl/>
                    <w:jc w:val="center"/>
                    <w:textAlignment w:val="center"/>
                    <w:rPr>
                      <w:rFonts w:eastAsia="宋体"/>
                      <w:sz w:val="22"/>
                      <w:szCs w:val="22"/>
                      <w:u w:val="single" w:color="auto"/>
                    </w:rPr>
                  </w:pPr>
                  <w:r>
                    <w:rPr>
                      <w:rFonts w:eastAsia="宋体"/>
                      <w:sz w:val="22"/>
                      <w:szCs w:val="22"/>
                      <w:u w:val="single" w:color="auto"/>
                    </w:rPr>
                    <w:t>19</w:t>
                  </w:r>
                </w:p>
              </w:tc>
              <w:tc>
                <w:tcPr>
                  <w:tcW w:w="605" w:type="pct"/>
                  <w:noWrap w:val="0"/>
                  <w:vAlign w:val="center"/>
                </w:tcPr>
                <w:p>
                  <w:pPr>
                    <w:widowControl/>
                    <w:jc w:val="center"/>
                    <w:textAlignment w:val="center"/>
                    <w:rPr>
                      <w:rFonts w:eastAsia="宋体"/>
                      <w:sz w:val="22"/>
                      <w:szCs w:val="22"/>
                      <w:u w:val="single" w:color="auto"/>
                    </w:rPr>
                  </w:pPr>
                  <w:r>
                    <w:rPr>
                      <w:rFonts w:eastAsia="宋体"/>
                      <w:sz w:val="22"/>
                      <w:szCs w:val="22"/>
                      <w:u w:val="single" w:color="auto"/>
                    </w:rPr>
                    <w:t>19</w:t>
                  </w:r>
                </w:p>
              </w:tc>
              <w:tc>
                <w:tcPr>
                  <w:tcW w:w="600" w:type="pct"/>
                  <w:noWrap w:val="0"/>
                  <w:vAlign w:val="center"/>
                </w:tcPr>
                <w:p>
                  <w:pPr>
                    <w:jc w:val="center"/>
                    <w:rPr>
                      <w:rFonts w:eastAsia="宋体"/>
                      <w:sz w:val="22"/>
                      <w:szCs w:val="22"/>
                      <w:u w:val="single" w:color="auto"/>
                    </w:rPr>
                  </w:pPr>
                  <w:r>
                    <w:rPr>
                      <w:rFonts w:hint="eastAsia"/>
                      <w:sz w:val="22"/>
                      <w:szCs w:val="22"/>
                      <w:u w:val="single" w:color="auto"/>
                      <w:lang w:val="en-US" w:eastAsia="zh-CN"/>
                    </w:rPr>
                    <w:t>0</w:t>
                  </w:r>
                </w:p>
              </w:tc>
              <w:tc>
                <w:tcPr>
                  <w:tcW w:w="599" w:type="pct"/>
                  <w:noWrap w:val="0"/>
                  <w:vAlign w:val="center"/>
                </w:tcPr>
                <w:p>
                  <w:pPr>
                    <w:widowControl/>
                    <w:jc w:val="center"/>
                    <w:textAlignment w:val="center"/>
                    <w:rPr>
                      <w:rFonts w:eastAsia="宋体"/>
                      <w:sz w:val="22"/>
                      <w:szCs w:val="22"/>
                      <w:u w:val="single" w:color="auto"/>
                    </w:rPr>
                  </w:pPr>
                  <w:r>
                    <w:rPr>
                      <w:rFonts w:eastAsia="宋体"/>
                      <w:kern w:val="0"/>
                      <w:sz w:val="22"/>
                      <w:szCs w:val="22"/>
                      <w:u w:val="single" w:color="auto"/>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4" w:type="pct"/>
                  <w:vMerge w:val="continue"/>
                  <w:shd w:val="clear" w:color="auto" w:fill="FFFFFF"/>
                  <w:noWrap w:val="0"/>
                  <w:vAlign w:val="center"/>
                </w:tcPr>
                <w:p>
                  <w:pPr>
                    <w:jc w:val="center"/>
                    <w:rPr>
                      <w:rFonts w:eastAsia="宋体"/>
                      <w:sz w:val="22"/>
                      <w:szCs w:val="22"/>
                      <w:u w:val="single" w:color="auto"/>
                    </w:rPr>
                  </w:pPr>
                </w:p>
              </w:tc>
              <w:tc>
                <w:tcPr>
                  <w:tcW w:w="820" w:type="pct"/>
                  <w:shd w:val="clear" w:color="auto" w:fill="FFFFFF"/>
                  <w:noWrap w:val="0"/>
                  <w:vAlign w:val="center"/>
                </w:tcPr>
                <w:p>
                  <w:pPr>
                    <w:jc w:val="center"/>
                    <w:rPr>
                      <w:rFonts w:eastAsia="宋体"/>
                      <w:sz w:val="22"/>
                      <w:szCs w:val="22"/>
                      <w:u w:val="single" w:color="auto"/>
                    </w:rPr>
                  </w:pPr>
                  <w:r>
                    <w:rPr>
                      <w:rFonts w:eastAsia="宋体"/>
                      <w:sz w:val="22"/>
                      <w:szCs w:val="22"/>
                      <w:u w:val="single" w:color="auto"/>
                    </w:rPr>
                    <w:t>五日生化需氧量</w:t>
                  </w:r>
                </w:p>
              </w:tc>
              <w:tc>
                <w:tcPr>
                  <w:tcW w:w="576" w:type="pct"/>
                  <w:noWrap w:val="0"/>
                  <w:vAlign w:val="center"/>
                </w:tcPr>
                <w:p>
                  <w:pPr>
                    <w:jc w:val="center"/>
                    <w:rPr>
                      <w:rFonts w:eastAsia="宋体"/>
                      <w:sz w:val="22"/>
                      <w:szCs w:val="22"/>
                      <w:u w:val="single" w:color="auto"/>
                    </w:rPr>
                  </w:pPr>
                  <w:r>
                    <w:rPr>
                      <w:rFonts w:eastAsia="宋体"/>
                      <w:sz w:val="22"/>
                      <w:szCs w:val="22"/>
                      <w:u w:val="single" w:color="auto"/>
                    </w:rPr>
                    <w:t>mg/L</w:t>
                  </w:r>
                </w:p>
              </w:tc>
              <w:tc>
                <w:tcPr>
                  <w:tcW w:w="612" w:type="pct"/>
                  <w:noWrap w:val="0"/>
                  <w:vAlign w:val="center"/>
                </w:tcPr>
                <w:p>
                  <w:pPr>
                    <w:widowControl/>
                    <w:jc w:val="center"/>
                    <w:textAlignment w:val="center"/>
                    <w:rPr>
                      <w:rFonts w:eastAsia="宋体"/>
                      <w:sz w:val="22"/>
                      <w:szCs w:val="22"/>
                      <w:u w:val="single" w:color="auto"/>
                    </w:rPr>
                  </w:pPr>
                  <w:r>
                    <w:rPr>
                      <w:rFonts w:eastAsia="宋体"/>
                      <w:sz w:val="22"/>
                      <w:szCs w:val="22"/>
                      <w:u w:val="single" w:color="auto"/>
                    </w:rPr>
                    <w:t>3.6</w:t>
                  </w:r>
                </w:p>
              </w:tc>
              <w:tc>
                <w:tcPr>
                  <w:tcW w:w="610" w:type="pct"/>
                  <w:noWrap w:val="0"/>
                  <w:vAlign w:val="center"/>
                </w:tcPr>
                <w:p>
                  <w:pPr>
                    <w:widowControl/>
                    <w:jc w:val="center"/>
                    <w:textAlignment w:val="center"/>
                    <w:rPr>
                      <w:rFonts w:eastAsia="宋体"/>
                      <w:sz w:val="22"/>
                      <w:szCs w:val="22"/>
                      <w:u w:val="single" w:color="auto"/>
                    </w:rPr>
                  </w:pPr>
                  <w:r>
                    <w:rPr>
                      <w:rFonts w:eastAsia="宋体"/>
                      <w:sz w:val="22"/>
                      <w:szCs w:val="22"/>
                      <w:u w:val="single" w:color="auto"/>
                    </w:rPr>
                    <w:t>3.8</w:t>
                  </w:r>
                </w:p>
              </w:tc>
              <w:tc>
                <w:tcPr>
                  <w:tcW w:w="605" w:type="pct"/>
                  <w:noWrap w:val="0"/>
                  <w:vAlign w:val="center"/>
                </w:tcPr>
                <w:p>
                  <w:pPr>
                    <w:widowControl/>
                    <w:jc w:val="center"/>
                    <w:textAlignment w:val="center"/>
                    <w:rPr>
                      <w:rFonts w:eastAsia="宋体"/>
                      <w:sz w:val="22"/>
                      <w:szCs w:val="22"/>
                      <w:u w:val="single" w:color="auto"/>
                    </w:rPr>
                  </w:pPr>
                  <w:r>
                    <w:rPr>
                      <w:rFonts w:eastAsia="宋体"/>
                      <w:sz w:val="22"/>
                      <w:szCs w:val="22"/>
                      <w:u w:val="single" w:color="auto"/>
                    </w:rPr>
                    <w:t>3.9</w:t>
                  </w:r>
                </w:p>
              </w:tc>
              <w:tc>
                <w:tcPr>
                  <w:tcW w:w="600" w:type="pct"/>
                  <w:noWrap w:val="0"/>
                  <w:vAlign w:val="center"/>
                </w:tcPr>
                <w:p>
                  <w:pPr>
                    <w:widowControl/>
                    <w:jc w:val="center"/>
                    <w:textAlignment w:val="center"/>
                    <w:rPr>
                      <w:rFonts w:eastAsia="宋体"/>
                      <w:sz w:val="22"/>
                      <w:szCs w:val="22"/>
                      <w:u w:val="single" w:color="auto"/>
                    </w:rPr>
                  </w:pPr>
                  <w:r>
                    <w:rPr>
                      <w:rFonts w:hint="eastAsia"/>
                      <w:sz w:val="22"/>
                      <w:szCs w:val="22"/>
                      <w:u w:val="single" w:color="auto"/>
                      <w:lang w:val="en-US" w:eastAsia="zh-CN"/>
                    </w:rPr>
                    <w:t>0</w:t>
                  </w:r>
                </w:p>
              </w:tc>
              <w:tc>
                <w:tcPr>
                  <w:tcW w:w="599" w:type="pct"/>
                  <w:noWrap w:val="0"/>
                  <w:vAlign w:val="center"/>
                </w:tcPr>
                <w:p>
                  <w:pPr>
                    <w:widowControl/>
                    <w:jc w:val="center"/>
                    <w:textAlignment w:val="center"/>
                    <w:rPr>
                      <w:rFonts w:eastAsia="宋体"/>
                      <w:sz w:val="22"/>
                      <w:szCs w:val="22"/>
                      <w:u w:val="single" w:color="auto"/>
                    </w:rPr>
                  </w:pPr>
                  <w:r>
                    <w:rPr>
                      <w:rFonts w:eastAsia="宋体"/>
                      <w:kern w:val="0"/>
                      <w:sz w:val="22"/>
                      <w:szCs w:val="22"/>
                      <w:u w:val="single" w:color="auto"/>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atLeast"/>
                <w:jc w:val="center"/>
              </w:trPr>
              <w:tc>
                <w:tcPr>
                  <w:tcW w:w="574" w:type="pct"/>
                  <w:vMerge w:val="continue"/>
                  <w:shd w:val="clear" w:color="auto" w:fill="FFFFFF"/>
                  <w:noWrap w:val="0"/>
                  <w:vAlign w:val="center"/>
                </w:tcPr>
                <w:p>
                  <w:pPr>
                    <w:jc w:val="center"/>
                    <w:rPr>
                      <w:rFonts w:eastAsia="宋体"/>
                      <w:sz w:val="22"/>
                      <w:szCs w:val="22"/>
                      <w:u w:val="single" w:color="auto"/>
                    </w:rPr>
                  </w:pPr>
                </w:p>
              </w:tc>
              <w:tc>
                <w:tcPr>
                  <w:tcW w:w="820" w:type="pct"/>
                  <w:shd w:val="clear" w:color="auto" w:fill="FFFFFF"/>
                  <w:noWrap w:val="0"/>
                  <w:vAlign w:val="center"/>
                </w:tcPr>
                <w:p>
                  <w:pPr>
                    <w:jc w:val="center"/>
                    <w:rPr>
                      <w:rFonts w:eastAsia="宋体"/>
                      <w:sz w:val="22"/>
                      <w:szCs w:val="22"/>
                      <w:u w:val="single" w:color="auto"/>
                    </w:rPr>
                  </w:pPr>
                  <w:r>
                    <w:rPr>
                      <w:rFonts w:eastAsia="宋体"/>
                      <w:sz w:val="22"/>
                      <w:szCs w:val="22"/>
                      <w:u w:val="single" w:color="auto"/>
                    </w:rPr>
                    <w:t>溶解氧</w:t>
                  </w:r>
                </w:p>
              </w:tc>
              <w:tc>
                <w:tcPr>
                  <w:tcW w:w="576" w:type="pct"/>
                  <w:noWrap w:val="0"/>
                  <w:vAlign w:val="center"/>
                </w:tcPr>
                <w:p>
                  <w:pPr>
                    <w:jc w:val="center"/>
                    <w:rPr>
                      <w:rFonts w:eastAsia="宋体"/>
                      <w:sz w:val="22"/>
                      <w:szCs w:val="22"/>
                      <w:u w:val="single" w:color="auto"/>
                    </w:rPr>
                  </w:pPr>
                  <w:r>
                    <w:rPr>
                      <w:rFonts w:eastAsia="宋体"/>
                      <w:sz w:val="22"/>
                      <w:szCs w:val="22"/>
                      <w:u w:val="single" w:color="auto"/>
                    </w:rPr>
                    <w:t>mg/L</w:t>
                  </w:r>
                </w:p>
              </w:tc>
              <w:tc>
                <w:tcPr>
                  <w:tcW w:w="612" w:type="pct"/>
                  <w:noWrap w:val="0"/>
                  <w:vAlign w:val="center"/>
                </w:tcPr>
                <w:p>
                  <w:pPr>
                    <w:widowControl/>
                    <w:jc w:val="center"/>
                    <w:textAlignment w:val="center"/>
                    <w:rPr>
                      <w:rFonts w:eastAsia="宋体"/>
                      <w:sz w:val="22"/>
                      <w:szCs w:val="22"/>
                      <w:u w:val="single" w:color="auto"/>
                    </w:rPr>
                  </w:pPr>
                  <w:r>
                    <w:rPr>
                      <w:rFonts w:eastAsia="宋体"/>
                      <w:sz w:val="22"/>
                      <w:szCs w:val="22"/>
                      <w:u w:val="single" w:color="auto"/>
                    </w:rPr>
                    <w:t>5.8</w:t>
                  </w:r>
                </w:p>
              </w:tc>
              <w:tc>
                <w:tcPr>
                  <w:tcW w:w="610" w:type="pct"/>
                  <w:noWrap w:val="0"/>
                  <w:vAlign w:val="center"/>
                </w:tcPr>
                <w:p>
                  <w:pPr>
                    <w:widowControl/>
                    <w:jc w:val="center"/>
                    <w:textAlignment w:val="center"/>
                    <w:rPr>
                      <w:rFonts w:eastAsia="宋体"/>
                      <w:sz w:val="22"/>
                      <w:szCs w:val="22"/>
                      <w:u w:val="single" w:color="auto"/>
                    </w:rPr>
                  </w:pPr>
                  <w:r>
                    <w:rPr>
                      <w:rFonts w:eastAsia="宋体"/>
                      <w:sz w:val="22"/>
                      <w:szCs w:val="22"/>
                      <w:u w:val="single" w:color="auto"/>
                    </w:rPr>
                    <w:t>5.6</w:t>
                  </w:r>
                </w:p>
              </w:tc>
              <w:tc>
                <w:tcPr>
                  <w:tcW w:w="605" w:type="pct"/>
                  <w:noWrap w:val="0"/>
                  <w:vAlign w:val="center"/>
                </w:tcPr>
                <w:p>
                  <w:pPr>
                    <w:widowControl/>
                    <w:jc w:val="center"/>
                    <w:textAlignment w:val="center"/>
                    <w:rPr>
                      <w:rFonts w:eastAsia="宋体"/>
                      <w:sz w:val="22"/>
                      <w:szCs w:val="22"/>
                      <w:u w:val="single" w:color="auto"/>
                    </w:rPr>
                  </w:pPr>
                  <w:r>
                    <w:rPr>
                      <w:rFonts w:eastAsia="宋体"/>
                      <w:sz w:val="22"/>
                      <w:szCs w:val="22"/>
                      <w:u w:val="single" w:color="auto"/>
                    </w:rPr>
                    <w:t>5.6</w:t>
                  </w:r>
                </w:p>
              </w:tc>
              <w:tc>
                <w:tcPr>
                  <w:tcW w:w="600" w:type="pct"/>
                  <w:noWrap w:val="0"/>
                  <w:vAlign w:val="center"/>
                </w:tcPr>
                <w:p>
                  <w:pPr>
                    <w:widowControl/>
                    <w:jc w:val="center"/>
                    <w:textAlignment w:val="center"/>
                    <w:rPr>
                      <w:rFonts w:eastAsia="宋体"/>
                      <w:sz w:val="22"/>
                      <w:szCs w:val="22"/>
                      <w:u w:val="single" w:color="auto"/>
                    </w:rPr>
                  </w:pPr>
                  <w:r>
                    <w:rPr>
                      <w:rFonts w:hint="eastAsia"/>
                      <w:sz w:val="22"/>
                      <w:szCs w:val="22"/>
                      <w:u w:val="single" w:color="auto"/>
                      <w:lang w:val="en-US" w:eastAsia="zh-CN"/>
                    </w:rPr>
                    <w:t>0</w:t>
                  </w:r>
                </w:p>
              </w:tc>
              <w:tc>
                <w:tcPr>
                  <w:tcW w:w="599" w:type="pct"/>
                  <w:noWrap w:val="0"/>
                  <w:vAlign w:val="center"/>
                </w:tcPr>
                <w:p>
                  <w:pPr>
                    <w:widowControl/>
                    <w:jc w:val="center"/>
                    <w:textAlignment w:val="center"/>
                    <w:rPr>
                      <w:rFonts w:eastAsia="宋体"/>
                      <w:sz w:val="22"/>
                      <w:szCs w:val="22"/>
                      <w:u w:val="single" w:color="auto"/>
                    </w:rPr>
                  </w:pPr>
                  <w:r>
                    <w:rPr>
                      <w:rFonts w:eastAsia="宋体"/>
                      <w:kern w:val="0"/>
                      <w:sz w:val="22"/>
                      <w:szCs w:val="22"/>
                      <w:u w:val="single" w:color="auto"/>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4" w:type="pct"/>
                  <w:vMerge w:val="continue"/>
                  <w:shd w:val="clear" w:color="auto" w:fill="FFFFFF"/>
                  <w:noWrap w:val="0"/>
                  <w:vAlign w:val="center"/>
                </w:tcPr>
                <w:p>
                  <w:pPr>
                    <w:jc w:val="center"/>
                    <w:rPr>
                      <w:rFonts w:eastAsia="宋体"/>
                      <w:sz w:val="22"/>
                      <w:szCs w:val="22"/>
                      <w:u w:val="single" w:color="auto"/>
                    </w:rPr>
                  </w:pPr>
                </w:p>
              </w:tc>
              <w:tc>
                <w:tcPr>
                  <w:tcW w:w="820" w:type="pct"/>
                  <w:shd w:val="clear" w:color="auto" w:fill="FFFFFF"/>
                  <w:noWrap w:val="0"/>
                  <w:vAlign w:val="center"/>
                </w:tcPr>
                <w:p>
                  <w:pPr>
                    <w:jc w:val="center"/>
                    <w:rPr>
                      <w:rFonts w:eastAsia="宋体"/>
                      <w:sz w:val="22"/>
                      <w:szCs w:val="22"/>
                      <w:u w:val="single" w:color="auto"/>
                    </w:rPr>
                  </w:pPr>
                  <w:r>
                    <w:rPr>
                      <w:rFonts w:eastAsia="宋体"/>
                      <w:sz w:val="22"/>
                      <w:szCs w:val="22"/>
                      <w:u w:val="single" w:color="auto"/>
                    </w:rPr>
                    <w:t>氨氮</w:t>
                  </w:r>
                </w:p>
              </w:tc>
              <w:tc>
                <w:tcPr>
                  <w:tcW w:w="576" w:type="pct"/>
                  <w:noWrap w:val="0"/>
                  <w:vAlign w:val="center"/>
                </w:tcPr>
                <w:p>
                  <w:pPr>
                    <w:jc w:val="center"/>
                    <w:rPr>
                      <w:rFonts w:eastAsia="宋体"/>
                      <w:sz w:val="22"/>
                      <w:szCs w:val="22"/>
                      <w:u w:val="single" w:color="auto"/>
                    </w:rPr>
                  </w:pPr>
                  <w:r>
                    <w:rPr>
                      <w:rFonts w:eastAsia="宋体"/>
                      <w:sz w:val="22"/>
                      <w:szCs w:val="22"/>
                      <w:u w:val="single" w:color="auto"/>
                    </w:rPr>
                    <w:t>mg/L</w:t>
                  </w:r>
                </w:p>
              </w:tc>
              <w:tc>
                <w:tcPr>
                  <w:tcW w:w="612" w:type="pct"/>
                  <w:noWrap w:val="0"/>
                  <w:vAlign w:val="center"/>
                </w:tcPr>
                <w:p>
                  <w:pPr>
                    <w:widowControl/>
                    <w:jc w:val="center"/>
                    <w:textAlignment w:val="center"/>
                    <w:rPr>
                      <w:rFonts w:eastAsia="宋体"/>
                      <w:sz w:val="22"/>
                      <w:szCs w:val="22"/>
                      <w:u w:val="single" w:color="auto"/>
                    </w:rPr>
                  </w:pPr>
                  <w:r>
                    <w:rPr>
                      <w:rFonts w:eastAsia="宋体"/>
                      <w:sz w:val="22"/>
                      <w:szCs w:val="22"/>
                      <w:u w:val="single" w:color="auto"/>
                    </w:rPr>
                    <w:t>0.582</w:t>
                  </w:r>
                </w:p>
              </w:tc>
              <w:tc>
                <w:tcPr>
                  <w:tcW w:w="610" w:type="pct"/>
                  <w:noWrap w:val="0"/>
                  <w:vAlign w:val="center"/>
                </w:tcPr>
                <w:p>
                  <w:pPr>
                    <w:widowControl/>
                    <w:jc w:val="center"/>
                    <w:textAlignment w:val="center"/>
                    <w:rPr>
                      <w:rFonts w:eastAsia="宋体"/>
                      <w:sz w:val="22"/>
                      <w:szCs w:val="22"/>
                      <w:u w:val="single" w:color="auto"/>
                    </w:rPr>
                  </w:pPr>
                  <w:r>
                    <w:rPr>
                      <w:rFonts w:eastAsia="宋体"/>
                      <w:sz w:val="22"/>
                      <w:szCs w:val="22"/>
                      <w:u w:val="single" w:color="auto"/>
                    </w:rPr>
                    <w:t>0.569</w:t>
                  </w:r>
                </w:p>
              </w:tc>
              <w:tc>
                <w:tcPr>
                  <w:tcW w:w="605" w:type="pct"/>
                  <w:noWrap w:val="0"/>
                  <w:vAlign w:val="center"/>
                </w:tcPr>
                <w:p>
                  <w:pPr>
                    <w:widowControl/>
                    <w:jc w:val="center"/>
                    <w:textAlignment w:val="center"/>
                    <w:rPr>
                      <w:rFonts w:eastAsia="宋体"/>
                      <w:sz w:val="22"/>
                      <w:szCs w:val="22"/>
                      <w:u w:val="single" w:color="auto"/>
                    </w:rPr>
                  </w:pPr>
                  <w:r>
                    <w:rPr>
                      <w:rFonts w:eastAsia="宋体"/>
                      <w:sz w:val="22"/>
                      <w:szCs w:val="22"/>
                      <w:u w:val="single" w:color="auto"/>
                    </w:rPr>
                    <w:t>0.590</w:t>
                  </w:r>
                </w:p>
              </w:tc>
              <w:tc>
                <w:tcPr>
                  <w:tcW w:w="600" w:type="pct"/>
                  <w:noWrap w:val="0"/>
                  <w:vAlign w:val="center"/>
                </w:tcPr>
                <w:p>
                  <w:pPr>
                    <w:jc w:val="center"/>
                    <w:rPr>
                      <w:rFonts w:eastAsia="宋体"/>
                      <w:sz w:val="22"/>
                      <w:szCs w:val="22"/>
                      <w:u w:val="single" w:color="auto"/>
                    </w:rPr>
                  </w:pPr>
                  <w:r>
                    <w:rPr>
                      <w:rFonts w:hint="eastAsia"/>
                      <w:sz w:val="22"/>
                      <w:szCs w:val="22"/>
                      <w:u w:val="single" w:color="auto"/>
                      <w:lang w:val="en-US" w:eastAsia="zh-CN"/>
                    </w:rPr>
                    <w:t>0</w:t>
                  </w:r>
                </w:p>
              </w:tc>
              <w:tc>
                <w:tcPr>
                  <w:tcW w:w="599" w:type="pct"/>
                  <w:noWrap w:val="0"/>
                  <w:vAlign w:val="center"/>
                </w:tcPr>
                <w:p>
                  <w:pPr>
                    <w:widowControl/>
                    <w:jc w:val="center"/>
                    <w:textAlignment w:val="center"/>
                    <w:rPr>
                      <w:rFonts w:eastAsia="宋体"/>
                      <w:sz w:val="22"/>
                      <w:szCs w:val="22"/>
                      <w:u w:val="single" w:color="auto"/>
                    </w:rPr>
                  </w:pPr>
                  <w:r>
                    <w:rPr>
                      <w:rFonts w:eastAsia="宋体"/>
                      <w:kern w:val="0"/>
                      <w:sz w:val="22"/>
                      <w:szCs w:val="22"/>
                      <w:u w:val="single" w:color="auto"/>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4" w:type="pct"/>
                  <w:vMerge w:val="continue"/>
                  <w:shd w:val="clear" w:color="auto" w:fill="FFFFFF"/>
                  <w:noWrap w:val="0"/>
                  <w:vAlign w:val="center"/>
                </w:tcPr>
                <w:p>
                  <w:pPr>
                    <w:jc w:val="center"/>
                    <w:rPr>
                      <w:rFonts w:eastAsia="宋体"/>
                      <w:sz w:val="22"/>
                      <w:szCs w:val="22"/>
                      <w:u w:val="single" w:color="auto"/>
                    </w:rPr>
                  </w:pPr>
                </w:p>
              </w:tc>
              <w:tc>
                <w:tcPr>
                  <w:tcW w:w="820" w:type="pct"/>
                  <w:shd w:val="clear" w:color="auto" w:fill="FFFFFF"/>
                  <w:noWrap w:val="0"/>
                  <w:vAlign w:val="center"/>
                </w:tcPr>
                <w:p>
                  <w:pPr>
                    <w:jc w:val="center"/>
                    <w:rPr>
                      <w:rFonts w:eastAsia="宋体"/>
                      <w:sz w:val="22"/>
                      <w:szCs w:val="22"/>
                      <w:u w:val="single" w:color="auto"/>
                    </w:rPr>
                  </w:pPr>
                  <w:r>
                    <w:rPr>
                      <w:rFonts w:eastAsia="宋体"/>
                      <w:sz w:val="22"/>
                      <w:szCs w:val="22"/>
                      <w:u w:val="single" w:color="auto"/>
                    </w:rPr>
                    <w:t>总磷</w:t>
                  </w:r>
                </w:p>
              </w:tc>
              <w:tc>
                <w:tcPr>
                  <w:tcW w:w="576" w:type="pct"/>
                  <w:noWrap w:val="0"/>
                  <w:vAlign w:val="center"/>
                </w:tcPr>
                <w:p>
                  <w:pPr>
                    <w:jc w:val="center"/>
                    <w:rPr>
                      <w:rFonts w:eastAsia="宋体"/>
                      <w:sz w:val="22"/>
                      <w:szCs w:val="22"/>
                      <w:u w:val="single" w:color="auto"/>
                    </w:rPr>
                  </w:pPr>
                  <w:r>
                    <w:rPr>
                      <w:rFonts w:eastAsia="宋体"/>
                      <w:sz w:val="22"/>
                      <w:szCs w:val="22"/>
                      <w:u w:val="single" w:color="auto"/>
                    </w:rPr>
                    <w:t>mg/L</w:t>
                  </w:r>
                </w:p>
              </w:tc>
              <w:tc>
                <w:tcPr>
                  <w:tcW w:w="612" w:type="pct"/>
                  <w:noWrap w:val="0"/>
                  <w:vAlign w:val="center"/>
                </w:tcPr>
                <w:p>
                  <w:pPr>
                    <w:widowControl/>
                    <w:jc w:val="center"/>
                    <w:textAlignment w:val="center"/>
                    <w:rPr>
                      <w:rFonts w:eastAsia="宋体"/>
                      <w:sz w:val="22"/>
                      <w:szCs w:val="22"/>
                      <w:u w:val="single" w:color="auto"/>
                    </w:rPr>
                  </w:pPr>
                  <w:r>
                    <w:rPr>
                      <w:rFonts w:eastAsia="宋体"/>
                      <w:sz w:val="22"/>
                      <w:szCs w:val="22"/>
                      <w:u w:val="single" w:color="auto"/>
                    </w:rPr>
                    <w:t>0.09</w:t>
                  </w:r>
                </w:p>
              </w:tc>
              <w:tc>
                <w:tcPr>
                  <w:tcW w:w="610" w:type="pct"/>
                  <w:noWrap w:val="0"/>
                  <w:vAlign w:val="center"/>
                </w:tcPr>
                <w:p>
                  <w:pPr>
                    <w:widowControl/>
                    <w:jc w:val="center"/>
                    <w:textAlignment w:val="center"/>
                    <w:rPr>
                      <w:rFonts w:eastAsia="宋体"/>
                      <w:sz w:val="22"/>
                      <w:szCs w:val="22"/>
                      <w:u w:val="single" w:color="auto"/>
                    </w:rPr>
                  </w:pPr>
                  <w:r>
                    <w:rPr>
                      <w:rFonts w:eastAsia="宋体"/>
                      <w:sz w:val="22"/>
                      <w:szCs w:val="22"/>
                      <w:u w:val="single" w:color="auto"/>
                    </w:rPr>
                    <w:t>0.13</w:t>
                  </w:r>
                </w:p>
              </w:tc>
              <w:tc>
                <w:tcPr>
                  <w:tcW w:w="605" w:type="pct"/>
                  <w:noWrap w:val="0"/>
                  <w:vAlign w:val="center"/>
                </w:tcPr>
                <w:p>
                  <w:pPr>
                    <w:widowControl/>
                    <w:jc w:val="center"/>
                    <w:textAlignment w:val="center"/>
                    <w:rPr>
                      <w:rFonts w:eastAsia="宋体"/>
                      <w:sz w:val="22"/>
                      <w:szCs w:val="22"/>
                      <w:u w:val="single" w:color="auto"/>
                    </w:rPr>
                  </w:pPr>
                  <w:r>
                    <w:rPr>
                      <w:rFonts w:eastAsia="宋体"/>
                      <w:sz w:val="22"/>
                      <w:szCs w:val="22"/>
                      <w:u w:val="single" w:color="auto"/>
                    </w:rPr>
                    <w:t>0.12</w:t>
                  </w:r>
                </w:p>
              </w:tc>
              <w:tc>
                <w:tcPr>
                  <w:tcW w:w="600" w:type="pct"/>
                  <w:noWrap w:val="0"/>
                  <w:vAlign w:val="center"/>
                </w:tcPr>
                <w:p>
                  <w:pPr>
                    <w:widowControl/>
                    <w:jc w:val="center"/>
                    <w:textAlignment w:val="center"/>
                    <w:rPr>
                      <w:rFonts w:eastAsia="宋体"/>
                      <w:sz w:val="22"/>
                      <w:szCs w:val="22"/>
                      <w:u w:val="single" w:color="auto"/>
                    </w:rPr>
                  </w:pPr>
                  <w:r>
                    <w:rPr>
                      <w:rFonts w:hint="eastAsia"/>
                      <w:sz w:val="22"/>
                      <w:szCs w:val="22"/>
                      <w:u w:val="single" w:color="auto"/>
                      <w:lang w:val="en-US" w:eastAsia="zh-CN"/>
                    </w:rPr>
                    <w:t>0</w:t>
                  </w:r>
                </w:p>
              </w:tc>
              <w:tc>
                <w:tcPr>
                  <w:tcW w:w="599" w:type="pct"/>
                  <w:noWrap w:val="0"/>
                  <w:vAlign w:val="center"/>
                </w:tcPr>
                <w:p>
                  <w:pPr>
                    <w:widowControl/>
                    <w:jc w:val="center"/>
                    <w:textAlignment w:val="center"/>
                    <w:rPr>
                      <w:rFonts w:eastAsia="宋体"/>
                      <w:sz w:val="22"/>
                      <w:szCs w:val="22"/>
                      <w:u w:val="single" w:color="auto"/>
                    </w:rPr>
                  </w:pPr>
                  <w:r>
                    <w:rPr>
                      <w:rFonts w:eastAsia="宋体"/>
                      <w:bCs/>
                      <w:sz w:val="22"/>
                      <w:szCs w:val="22"/>
                      <w:u w:val="single" w:color="auto"/>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4" w:type="pct"/>
                  <w:vMerge w:val="continue"/>
                  <w:shd w:val="clear" w:color="auto" w:fill="FFFFFF"/>
                  <w:noWrap w:val="0"/>
                  <w:vAlign w:val="center"/>
                </w:tcPr>
                <w:p>
                  <w:pPr>
                    <w:jc w:val="center"/>
                    <w:rPr>
                      <w:rFonts w:eastAsia="宋体"/>
                      <w:sz w:val="22"/>
                      <w:szCs w:val="22"/>
                      <w:u w:val="single" w:color="auto"/>
                    </w:rPr>
                  </w:pPr>
                </w:p>
              </w:tc>
              <w:tc>
                <w:tcPr>
                  <w:tcW w:w="820" w:type="pct"/>
                  <w:shd w:val="clear" w:color="auto" w:fill="FFFFFF"/>
                  <w:noWrap w:val="0"/>
                  <w:vAlign w:val="center"/>
                </w:tcPr>
                <w:p>
                  <w:pPr>
                    <w:jc w:val="center"/>
                    <w:rPr>
                      <w:rFonts w:eastAsia="宋体"/>
                      <w:sz w:val="22"/>
                      <w:szCs w:val="22"/>
                      <w:u w:val="single" w:color="auto"/>
                    </w:rPr>
                  </w:pPr>
                  <w:r>
                    <w:rPr>
                      <w:rFonts w:eastAsia="宋体"/>
                      <w:sz w:val="22"/>
                      <w:szCs w:val="22"/>
                      <w:u w:val="single" w:color="auto"/>
                    </w:rPr>
                    <w:t>挥发酚</w:t>
                  </w:r>
                </w:p>
              </w:tc>
              <w:tc>
                <w:tcPr>
                  <w:tcW w:w="576" w:type="pct"/>
                  <w:noWrap w:val="0"/>
                  <w:vAlign w:val="center"/>
                </w:tcPr>
                <w:p>
                  <w:pPr>
                    <w:jc w:val="center"/>
                    <w:rPr>
                      <w:rFonts w:eastAsia="宋体"/>
                      <w:sz w:val="22"/>
                      <w:szCs w:val="22"/>
                      <w:u w:val="single" w:color="auto"/>
                    </w:rPr>
                  </w:pPr>
                  <w:r>
                    <w:rPr>
                      <w:rFonts w:eastAsia="宋体"/>
                      <w:sz w:val="22"/>
                      <w:szCs w:val="22"/>
                      <w:u w:val="single" w:color="auto"/>
                    </w:rPr>
                    <w:t>mg/L</w:t>
                  </w:r>
                </w:p>
              </w:tc>
              <w:tc>
                <w:tcPr>
                  <w:tcW w:w="612" w:type="pct"/>
                  <w:noWrap w:val="0"/>
                  <w:vAlign w:val="center"/>
                </w:tcPr>
                <w:p>
                  <w:pPr>
                    <w:widowControl/>
                    <w:jc w:val="center"/>
                    <w:textAlignment w:val="center"/>
                    <w:rPr>
                      <w:rFonts w:eastAsia="宋体"/>
                      <w:sz w:val="22"/>
                      <w:szCs w:val="22"/>
                      <w:u w:val="single" w:color="auto"/>
                    </w:rPr>
                  </w:pPr>
                  <w:r>
                    <w:rPr>
                      <w:rFonts w:eastAsia="宋体"/>
                      <w:sz w:val="22"/>
                      <w:szCs w:val="22"/>
                      <w:u w:val="single" w:color="auto"/>
                    </w:rPr>
                    <w:t>0.0006</w:t>
                  </w:r>
                </w:p>
              </w:tc>
              <w:tc>
                <w:tcPr>
                  <w:tcW w:w="610" w:type="pct"/>
                  <w:noWrap w:val="0"/>
                  <w:vAlign w:val="center"/>
                </w:tcPr>
                <w:p>
                  <w:pPr>
                    <w:widowControl/>
                    <w:jc w:val="center"/>
                    <w:textAlignment w:val="center"/>
                    <w:rPr>
                      <w:rFonts w:eastAsia="宋体"/>
                      <w:sz w:val="22"/>
                      <w:szCs w:val="22"/>
                      <w:u w:val="single" w:color="auto"/>
                    </w:rPr>
                  </w:pPr>
                  <w:r>
                    <w:rPr>
                      <w:rFonts w:eastAsia="宋体"/>
                      <w:sz w:val="22"/>
                      <w:szCs w:val="22"/>
                      <w:u w:val="single" w:color="auto"/>
                    </w:rPr>
                    <w:t>0.0005</w:t>
                  </w:r>
                </w:p>
              </w:tc>
              <w:tc>
                <w:tcPr>
                  <w:tcW w:w="605" w:type="pct"/>
                  <w:noWrap w:val="0"/>
                  <w:vAlign w:val="center"/>
                </w:tcPr>
                <w:p>
                  <w:pPr>
                    <w:widowControl/>
                    <w:jc w:val="center"/>
                    <w:textAlignment w:val="center"/>
                    <w:rPr>
                      <w:rFonts w:eastAsia="宋体"/>
                      <w:sz w:val="22"/>
                      <w:szCs w:val="22"/>
                      <w:u w:val="single" w:color="auto"/>
                    </w:rPr>
                  </w:pPr>
                  <w:r>
                    <w:rPr>
                      <w:rFonts w:eastAsia="宋体"/>
                      <w:sz w:val="22"/>
                      <w:szCs w:val="22"/>
                      <w:u w:val="single" w:color="auto"/>
                    </w:rPr>
                    <w:t>0.0006</w:t>
                  </w:r>
                </w:p>
              </w:tc>
              <w:tc>
                <w:tcPr>
                  <w:tcW w:w="600" w:type="pct"/>
                  <w:noWrap w:val="0"/>
                  <w:vAlign w:val="center"/>
                </w:tcPr>
                <w:p>
                  <w:pPr>
                    <w:widowControl/>
                    <w:jc w:val="center"/>
                    <w:textAlignment w:val="center"/>
                    <w:rPr>
                      <w:rFonts w:eastAsia="宋体"/>
                      <w:sz w:val="22"/>
                      <w:szCs w:val="22"/>
                      <w:u w:val="single" w:color="auto"/>
                    </w:rPr>
                  </w:pPr>
                  <w:r>
                    <w:rPr>
                      <w:rFonts w:hint="eastAsia"/>
                      <w:sz w:val="22"/>
                      <w:szCs w:val="22"/>
                      <w:u w:val="single" w:color="auto"/>
                      <w:lang w:val="en-US" w:eastAsia="zh-CN"/>
                    </w:rPr>
                    <w:t>0</w:t>
                  </w:r>
                </w:p>
              </w:tc>
              <w:tc>
                <w:tcPr>
                  <w:tcW w:w="599" w:type="pct"/>
                  <w:noWrap w:val="0"/>
                  <w:vAlign w:val="center"/>
                </w:tcPr>
                <w:p>
                  <w:pPr>
                    <w:widowControl/>
                    <w:jc w:val="center"/>
                    <w:textAlignment w:val="center"/>
                    <w:rPr>
                      <w:rFonts w:eastAsia="宋体"/>
                      <w:sz w:val="22"/>
                      <w:szCs w:val="22"/>
                      <w:u w:val="single" w:color="auto"/>
                    </w:rPr>
                  </w:pPr>
                  <w:r>
                    <w:rPr>
                      <w:rFonts w:eastAsia="宋体"/>
                      <w:kern w:val="0"/>
                      <w:sz w:val="22"/>
                      <w:szCs w:val="22"/>
                      <w:u w:val="single" w:color="auto"/>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4" w:type="pct"/>
                  <w:vMerge w:val="continue"/>
                  <w:shd w:val="clear" w:color="auto" w:fill="FFFFFF"/>
                  <w:noWrap w:val="0"/>
                  <w:vAlign w:val="center"/>
                </w:tcPr>
                <w:p>
                  <w:pPr>
                    <w:jc w:val="center"/>
                    <w:rPr>
                      <w:rFonts w:eastAsia="宋体"/>
                      <w:sz w:val="22"/>
                      <w:szCs w:val="22"/>
                      <w:u w:val="single" w:color="auto"/>
                    </w:rPr>
                  </w:pPr>
                </w:p>
              </w:tc>
              <w:tc>
                <w:tcPr>
                  <w:tcW w:w="820" w:type="pct"/>
                  <w:shd w:val="clear" w:color="auto" w:fill="FFFFFF"/>
                  <w:noWrap w:val="0"/>
                  <w:vAlign w:val="center"/>
                </w:tcPr>
                <w:p>
                  <w:pPr>
                    <w:jc w:val="center"/>
                    <w:rPr>
                      <w:rFonts w:eastAsia="宋体"/>
                      <w:sz w:val="22"/>
                      <w:szCs w:val="22"/>
                      <w:u w:val="single" w:color="auto"/>
                    </w:rPr>
                  </w:pPr>
                  <w:r>
                    <w:rPr>
                      <w:rFonts w:eastAsia="宋体"/>
                      <w:sz w:val="22"/>
                      <w:szCs w:val="22"/>
                      <w:u w:val="single" w:color="auto"/>
                    </w:rPr>
                    <w:t>石油类</w:t>
                  </w:r>
                </w:p>
              </w:tc>
              <w:tc>
                <w:tcPr>
                  <w:tcW w:w="576" w:type="pct"/>
                  <w:noWrap w:val="0"/>
                  <w:vAlign w:val="center"/>
                </w:tcPr>
                <w:p>
                  <w:pPr>
                    <w:jc w:val="center"/>
                    <w:rPr>
                      <w:rFonts w:eastAsia="宋体"/>
                      <w:sz w:val="22"/>
                      <w:szCs w:val="22"/>
                      <w:u w:val="single" w:color="auto"/>
                    </w:rPr>
                  </w:pPr>
                  <w:r>
                    <w:rPr>
                      <w:rFonts w:eastAsia="宋体"/>
                      <w:sz w:val="22"/>
                      <w:szCs w:val="22"/>
                      <w:u w:val="single" w:color="auto"/>
                    </w:rPr>
                    <w:t>mg/L</w:t>
                  </w:r>
                </w:p>
              </w:tc>
              <w:tc>
                <w:tcPr>
                  <w:tcW w:w="612" w:type="pct"/>
                  <w:noWrap w:val="0"/>
                  <w:vAlign w:val="center"/>
                </w:tcPr>
                <w:p>
                  <w:pPr>
                    <w:widowControl/>
                    <w:jc w:val="center"/>
                    <w:textAlignment w:val="center"/>
                    <w:rPr>
                      <w:rFonts w:eastAsia="宋体"/>
                      <w:sz w:val="22"/>
                      <w:szCs w:val="22"/>
                      <w:u w:val="single" w:color="auto"/>
                    </w:rPr>
                  </w:pPr>
                  <w:r>
                    <w:rPr>
                      <w:rFonts w:eastAsia="宋体"/>
                      <w:sz w:val="22"/>
                      <w:szCs w:val="22"/>
                      <w:u w:val="single" w:color="auto"/>
                    </w:rPr>
                    <w:t>ND</w:t>
                  </w:r>
                </w:p>
              </w:tc>
              <w:tc>
                <w:tcPr>
                  <w:tcW w:w="610" w:type="pct"/>
                  <w:noWrap w:val="0"/>
                  <w:vAlign w:val="center"/>
                </w:tcPr>
                <w:p>
                  <w:pPr>
                    <w:widowControl/>
                    <w:jc w:val="center"/>
                    <w:textAlignment w:val="center"/>
                    <w:rPr>
                      <w:rFonts w:eastAsia="宋体"/>
                      <w:sz w:val="22"/>
                      <w:szCs w:val="22"/>
                      <w:u w:val="single" w:color="auto"/>
                    </w:rPr>
                  </w:pPr>
                  <w:r>
                    <w:rPr>
                      <w:rFonts w:eastAsia="宋体"/>
                      <w:sz w:val="22"/>
                      <w:szCs w:val="22"/>
                      <w:u w:val="single" w:color="auto"/>
                    </w:rPr>
                    <w:t>ND</w:t>
                  </w:r>
                </w:p>
              </w:tc>
              <w:tc>
                <w:tcPr>
                  <w:tcW w:w="605" w:type="pct"/>
                  <w:noWrap w:val="0"/>
                  <w:vAlign w:val="center"/>
                </w:tcPr>
                <w:p>
                  <w:pPr>
                    <w:widowControl/>
                    <w:jc w:val="center"/>
                    <w:textAlignment w:val="center"/>
                    <w:rPr>
                      <w:rFonts w:eastAsia="宋体"/>
                      <w:sz w:val="22"/>
                      <w:szCs w:val="22"/>
                      <w:u w:val="single" w:color="auto"/>
                    </w:rPr>
                  </w:pPr>
                  <w:r>
                    <w:rPr>
                      <w:rFonts w:eastAsia="宋体"/>
                      <w:sz w:val="22"/>
                      <w:szCs w:val="22"/>
                      <w:u w:val="single" w:color="auto"/>
                    </w:rPr>
                    <w:t>ND</w:t>
                  </w:r>
                </w:p>
              </w:tc>
              <w:tc>
                <w:tcPr>
                  <w:tcW w:w="600" w:type="pct"/>
                  <w:noWrap w:val="0"/>
                  <w:vAlign w:val="center"/>
                </w:tcPr>
                <w:p>
                  <w:pPr>
                    <w:jc w:val="center"/>
                    <w:rPr>
                      <w:rFonts w:eastAsia="宋体"/>
                      <w:sz w:val="22"/>
                      <w:szCs w:val="22"/>
                      <w:u w:val="single" w:color="auto"/>
                    </w:rPr>
                  </w:pPr>
                  <w:r>
                    <w:rPr>
                      <w:rFonts w:hint="eastAsia"/>
                      <w:sz w:val="22"/>
                      <w:szCs w:val="22"/>
                      <w:u w:val="single" w:color="auto"/>
                      <w:lang w:val="en-US" w:eastAsia="zh-CN"/>
                    </w:rPr>
                    <w:t>0</w:t>
                  </w:r>
                </w:p>
              </w:tc>
              <w:tc>
                <w:tcPr>
                  <w:tcW w:w="599" w:type="pct"/>
                  <w:noWrap w:val="0"/>
                  <w:vAlign w:val="center"/>
                </w:tcPr>
                <w:p>
                  <w:pPr>
                    <w:widowControl/>
                    <w:jc w:val="center"/>
                    <w:textAlignment w:val="center"/>
                    <w:rPr>
                      <w:rFonts w:eastAsia="宋体"/>
                      <w:sz w:val="22"/>
                      <w:szCs w:val="22"/>
                      <w:u w:val="single" w:color="auto"/>
                    </w:rPr>
                  </w:pPr>
                  <w:r>
                    <w:rPr>
                      <w:rFonts w:eastAsia="宋体"/>
                      <w:kern w:val="0"/>
                      <w:sz w:val="22"/>
                      <w:szCs w:val="22"/>
                      <w:u w:val="single" w:color="auto"/>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8"/>
                  <w:noWrap w:val="0"/>
                  <w:vAlign w:val="center"/>
                </w:tcPr>
                <w:p>
                  <w:pPr>
                    <w:rPr>
                      <w:rFonts w:eastAsia="宋体"/>
                      <w:sz w:val="22"/>
                      <w:szCs w:val="22"/>
                      <w:u w:val="single" w:color="auto"/>
                    </w:rPr>
                  </w:pPr>
                  <w:r>
                    <w:rPr>
                      <w:rFonts w:eastAsia="宋体"/>
                      <w:sz w:val="22"/>
                      <w:szCs w:val="22"/>
                      <w:u w:val="single" w:color="auto"/>
                    </w:rPr>
                    <w:t>备注：1、ND表示低于该方法检出限；</w:t>
                  </w:r>
                </w:p>
                <w:p>
                  <w:pPr>
                    <w:rPr>
                      <w:rFonts w:eastAsia="宋体"/>
                      <w:sz w:val="22"/>
                      <w:szCs w:val="22"/>
                      <w:u w:val="single" w:color="auto"/>
                    </w:rPr>
                  </w:pPr>
                  <w:r>
                    <w:rPr>
                      <w:rFonts w:eastAsia="宋体"/>
                      <w:sz w:val="22"/>
                      <w:szCs w:val="22"/>
                      <w:u w:val="single" w:color="auto"/>
                    </w:rPr>
                    <w:t>2、该检测结果仅对本次采样样品负责。</w:t>
                  </w:r>
                </w:p>
              </w:tc>
            </w:tr>
          </w:tbl>
          <w:p>
            <w:pPr>
              <w:spacing w:line="360" w:lineRule="auto"/>
              <w:ind w:firstLine="462" w:firstLineChars="200"/>
              <w:rPr>
                <w:rFonts w:hint="eastAsia"/>
                <w:color w:val="auto"/>
                <w:u w:val="single" w:color="auto"/>
                <w:lang w:val="en-US" w:eastAsia="zh-CN"/>
              </w:rPr>
            </w:pPr>
            <w:r>
              <w:rPr>
                <w:bCs/>
                <w:sz w:val="24"/>
                <w:u w:val="single" w:color="auto"/>
              </w:rPr>
              <w:t>由表可知，</w:t>
            </w:r>
            <w:r>
              <w:rPr>
                <w:rFonts w:hint="eastAsia"/>
                <w:bCs/>
                <w:sz w:val="24"/>
                <w:u w:val="single" w:color="auto"/>
                <w:lang w:eastAsia="zh-CN"/>
              </w:rPr>
              <w:t>水塘</w:t>
            </w:r>
            <w:r>
              <w:rPr>
                <w:bCs/>
                <w:sz w:val="24"/>
                <w:u w:val="single" w:color="auto"/>
              </w:rPr>
              <w:t>水质各项指标均达到《地表水环境质量标准》（GB3838-2002）中Ⅲ类标准，区域水质状况良好</w:t>
            </w:r>
            <w:r>
              <w:rPr>
                <w:rFonts w:hint="eastAsia"/>
                <w:bCs/>
                <w:sz w:val="24"/>
                <w:u w:val="single" w:color="auto"/>
                <w:lang w:eastAsia="zh-CN"/>
              </w:rPr>
              <w:t>。</w:t>
            </w:r>
          </w:p>
          <w:p>
            <w:pPr>
              <w:pStyle w:val="182"/>
              <w:numPr>
                <w:ilvl w:val="0"/>
                <w:numId w:val="0"/>
              </w:numPr>
              <w:rPr>
                <w:rFonts w:hint="eastAsia"/>
                <w:color w:val="auto"/>
                <w:u w:val="single" w:color="auto"/>
              </w:rPr>
            </w:pPr>
            <w:r>
              <w:rPr>
                <w:rFonts w:hint="eastAsia"/>
                <w:color w:val="auto"/>
                <w:u w:val="single" w:color="auto"/>
                <w:lang w:val="en-US" w:eastAsia="zh-CN"/>
              </w:rPr>
              <w:t>3.3</w:t>
            </w:r>
            <w:r>
              <w:rPr>
                <w:rFonts w:hint="eastAsia"/>
                <w:color w:val="auto"/>
                <w:u w:val="single" w:color="auto"/>
              </w:rPr>
              <w:t>地下水环境现状调查与评价</w:t>
            </w:r>
          </w:p>
          <w:p>
            <w:pPr>
              <w:spacing w:line="360" w:lineRule="auto"/>
              <w:ind w:firstLine="462" w:firstLineChars="200"/>
              <w:rPr>
                <w:rFonts w:hint="default" w:ascii="Times New Roman" w:hAnsi="Times New Roman" w:cs="Times New Roman"/>
                <w:b/>
                <w:bCs/>
                <w:color w:val="auto"/>
                <w:sz w:val="24"/>
                <w:szCs w:val="24"/>
                <w:u w:val="single" w:color="auto"/>
              </w:rPr>
            </w:pPr>
            <w:r>
              <w:rPr>
                <w:rFonts w:hint="eastAsia"/>
                <w:color w:val="auto"/>
                <w:sz w:val="24"/>
                <w:szCs w:val="24"/>
                <w:u w:val="single" w:color="auto"/>
                <w:lang w:eastAsia="zh-CN"/>
              </w:rPr>
              <w:t>根据《环境影响评价技术导则</w:t>
            </w:r>
            <w:r>
              <w:rPr>
                <w:rFonts w:hint="eastAsia"/>
                <w:color w:val="auto"/>
                <w:sz w:val="24"/>
                <w:szCs w:val="24"/>
                <w:u w:val="single" w:color="auto"/>
                <w:lang w:val="en-US" w:eastAsia="zh-CN"/>
              </w:rPr>
              <w:t>-地下水环境</w:t>
            </w:r>
            <w:r>
              <w:rPr>
                <w:rFonts w:hint="eastAsia"/>
                <w:color w:val="auto"/>
                <w:sz w:val="24"/>
                <w:szCs w:val="24"/>
                <w:u w:val="single" w:color="auto"/>
                <w:lang w:eastAsia="zh-CN"/>
              </w:rPr>
              <w:t>》中附录</w:t>
            </w:r>
            <w:r>
              <w:rPr>
                <w:rFonts w:hint="eastAsia"/>
                <w:color w:val="auto"/>
                <w:sz w:val="24"/>
                <w:szCs w:val="24"/>
                <w:u w:val="single" w:color="auto"/>
                <w:lang w:val="en-US" w:eastAsia="zh-CN"/>
              </w:rPr>
              <w:t>A（规范性目录）地下水环境影响行业分类表中可知，本项目为“109、锯材、木片加工、家具制造”中的“其他”，则地下水环境影响评价项目类别为Ⅳ类，Ⅳ类建设项目不开展地下水环境影响评价。因此且本项目不进行地下水评价</w:t>
            </w:r>
            <w:r>
              <w:rPr>
                <w:rFonts w:hint="eastAsia"/>
                <w:color w:val="auto"/>
                <w:sz w:val="24"/>
                <w:szCs w:val="24"/>
                <w:u w:val="single" w:color="auto"/>
                <w:lang w:eastAsia="zh-CN"/>
              </w:rPr>
              <w:t>。</w:t>
            </w:r>
          </w:p>
          <w:p>
            <w:pPr>
              <w:spacing w:line="360" w:lineRule="auto"/>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3.</w:t>
            </w:r>
            <w:r>
              <w:rPr>
                <w:rFonts w:hint="eastAsia" w:cs="Times New Roman"/>
                <w:b/>
                <w:bCs/>
                <w:color w:val="auto"/>
                <w:sz w:val="24"/>
                <w:szCs w:val="24"/>
                <w:u w:val="none" w:color="auto"/>
                <w:lang w:val="en-US" w:eastAsia="zh-CN"/>
              </w:rPr>
              <w:t>4</w:t>
            </w:r>
            <w:r>
              <w:rPr>
                <w:rFonts w:hint="default" w:ascii="Times New Roman" w:hAnsi="Times New Roman" w:cs="Times New Roman"/>
                <w:b/>
                <w:bCs/>
                <w:color w:val="auto"/>
                <w:sz w:val="24"/>
                <w:szCs w:val="24"/>
                <w:u w:val="none" w:color="auto"/>
              </w:rPr>
              <w:t>声环境质量现状</w:t>
            </w:r>
          </w:p>
          <w:p>
            <w:pPr>
              <w:spacing w:line="360" w:lineRule="auto"/>
              <w:ind w:firstLine="462"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为了解项目所在地声环境质量现状，本环评特委托湖南</w:t>
            </w:r>
            <w:r>
              <w:rPr>
                <w:rFonts w:hint="default" w:ascii="Times New Roman" w:hAnsi="Times New Roman" w:cs="Times New Roman"/>
                <w:color w:val="auto"/>
                <w:sz w:val="24"/>
                <w:szCs w:val="24"/>
                <w:u w:val="none" w:color="auto"/>
                <w:lang w:eastAsia="zh-CN"/>
              </w:rPr>
              <w:t>精准通</w:t>
            </w:r>
            <w:r>
              <w:rPr>
                <w:rFonts w:hint="default" w:ascii="Times New Roman" w:hAnsi="Times New Roman" w:cs="Times New Roman"/>
                <w:color w:val="auto"/>
                <w:sz w:val="24"/>
                <w:szCs w:val="24"/>
                <w:u w:val="none" w:color="auto"/>
              </w:rPr>
              <w:t>检测技术有限公司于20</w:t>
            </w:r>
            <w:r>
              <w:rPr>
                <w:rFonts w:hint="eastAsia" w:cs="Times New Roman"/>
                <w:color w:val="auto"/>
                <w:sz w:val="24"/>
                <w:szCs w:val="24"/>
                <w:u w:val="none" w:color="auto"/>
                <w:lang w:val="en-US" w:eastAsia="zh-CN"/>
              </w:rPr>
              <w:t>20</w:t>
            </w:r>
            <w:r>
              <w:rPr>
                <w:rFonts w:hint="default" w:ascii="Times New Roman" w:hAnsi="Times New Roman" w:cs="Times New Roman"/>
                <w:color w:val="auto"/>
                <w:sz w:val="24"/>
                <w:szCs w:val="24"/>
                <w:u w:val="none" w:color="auto"/>
              </w:rPr>
              <w:t>年</w:t>
            </w:r>
            <w:r>
              <w:rPr>
                <w:rFonts w:hint="eastAsia"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rPr>
              <w:t>月</w:t>
            </w:r>
            <w:r>
              <w:rPr>
                <w:rFonts w:hint="eastAsia" w:cs="Times New Roman"/>
                <w:color w:val="auto"/>
                <w:sz w:val="24"/>
                <w:szCs w:val="24"/>
                <w:u w:val="none" w:color="auto"/>
                <w:lang w:val="en-US" w:eastAsia="zh-CN"/>
              </w:rPr>
              <w:t>26-27</w:t>
            </w:r>
            <w:r>
              <w:rPr>
                <w:rFonts w:hint="default" w:ascii="Times New Roman" w:hAnsi="Times New Roman" w:cs="Times New Roman"/>
                <w:color w:val="auto"/>
                <w:sz w:val="24"/>
                <w:szCs w:val="24"/>
                <w:u w:val="none" w:color="auto"/>
              </w:rPr>
              <w:t>日在项目地东、南、西、北厂界外1m各布设1个监测，昼、夜间各监测一次。</w:t>
            </w: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表3-</w:t>
            </w:r>
            <w:r>
              <w:rPr>
                <w:rFonts w:hint="eastAsia"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rPr>
              <w:t xml:space="preserve">  声</w:t>
            </w:r>
            <w:r>
              <w:rPr>
                <w:rFonts w:hint="eastAsia" w:cs="Times New Roman"/>
                <w:color w:val="auto"/>
                <w:sz w:val="24"/>
                <w:szCs w:val="24"/>
                <w:u w:val="none" w:color="auto"/>
                <w:lang w:val="en-US" w:eastAsia="zh-CN"/>
              </w:rPr>
              <w:t>环境</w:t>
            </w:r>
            <w:r>
              <w:rPr>
                <w:rFonts w:hint="default" w:ascii="Times New Roman" w:hAnsi="Times New Roman" w:cs="Times New Roman"/>
                <w:color w:val="auto"/>
                <w:sz w:val="24"/>
                <w:szCs w:val="24"/>
                <w:u w:val="none" w:color="auto"/>
              </w:rPr>
              <w:t>质量现状监测与评价统计表    单位：dB(A)</w:t>
            </w:r>
          </w:p>
          <w:tbl>
            <w:tblPr>
              <w:tblStyle w:val="39"/>
              <w:tblW w:w="905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848"/>
              <w:gridCol w:w="1369"/>
              <w:gridCol w:w="972"/>
              <w:gridCol w:w="973"/>
              <w:gridCol w:w="974"/>
              <w:gridCol w:w="973"/>
              <w:gridCol w:w="975"/>
              <w:gridCol w:w="9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1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监测点</w:t>
                  </w:r>
                </w:p>
              </w:tc>
              <w:tc>
                <w:tcPr>
                  <w:tcW w:w="1369"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监测日期</w:t>
                  </w:r>
                </w:p>
              </w:tc>
              <w:tc>
                <w:tcPr>
                  <w:tcW w:w="2919"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昼间</w:t>
                  </w:r>
                </w:p>
              </w:tc>
              <w:tc>
                <w:tcPr>
                  <w:tcW w:w="2920"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055"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东</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sz w:val="22"/>
                      <w:szCs w:val="22"/>
                      <w:u w:val="none" w:color="auto"/>
                      <w:lang w:val="en-US" w:eastAsia="zh-CN"/>
                    </w:rPr>
                    <w:t>5月26日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52.4</w:t>
                  </w:r>
                </w:p>
              </w:tc>
              <w:tc>
                <w:tcPr>
                  <w:tcW w:w="973"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37.0</w:t>
                  </w:r>
                </w:p>
              </w:tc>
              <w:tc>
                <w:tcPr>
                  <w:tcW w:w="975"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sz w:val="22"/>
                      <w:szCs w:val="22"/>
                      <w:u w:val="none" w:color="auto"/>
                      <w:lang w:val="en-US" w:eastAsia="zh-CN"/>
                    </w:rPr>
                    <w:t>5月27日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54.8</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u w:val="none" w:color="auto"/>
                      <w:lang w:val="en-US" w:eastAsia="zh-CN"/>
                    </w:rPr>
                  </w:pPr>
                  <w:r>
                    <w:rPr>
                      <w:rFonts w:hint="eastAsia"/>
                      <w:u w:val="none" w:color="auto"/>
                      <w:lang w:val="en-US" w:eastAsia="zh-CN"/>
                    </w:rPr>
                    <w:t>38.7</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南</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sz w:val="22"/>
                      <w:szCs w:val="22"/>
                      <w:u w:val="none" w:color="auto"/>
                      <w:lang w:val="en-US" w:eastAsia="zh-CN"/>
                    </w:rPr>
                    <w:t>5月26日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55.2</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39.5</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sz w:val="22"/>
                      <w:szCs w:val="22"/>
                      <w:u w:val="none" w:color="auto"/>
                      <w:lang w:val="en-US" w:eastAsia="zh-CN"/>
                    </w:rPr>
                    <w:t>5月27日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52.4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40.5</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西</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sz w:val="22"/>
                      <w:szCs w:val="22"/>
                      <w:u w:val="none" w:color="auto"/>
                      <w:lang w:val="en-US" w:eastAsia="zh-CN"/>
                    </w:rPr>
                    <w:t>5月26日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54.3</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40.3</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sz w:val="22"/>
                      <w:szCs w:val="22"/>
                      <w:u w:val="none" w:color="auto"/>
                      <w:lang w:val="en-US" w:eastAsia="zh-CN"/>
                    </w:rPr>
                    <w:t>5月27日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55.4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37.0</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北</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sz w:val="22"/>
                      <w:szCs w:val="22"/>
                      <w:u w:val="none" w:color="auto"/>
                      <w:lang w:val="en-US" w:eastAsia="zh-CN"/>
                    </w:rPr>
                    <w:t>5月26日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58.2</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41.0</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sz w:val="22"/>
                      <w:szCs w:val="22"/>
                      <w:u w:val="none" w:color="auto"/>
                      <w:lang w:val="en-US" w:eastAsia="zh-CN"/>
                    </w:rPr>
                    <w:t>5月27日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57.8</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42.4</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1848" w:type="dxa"/>
                  <w:vMerge w:val="restart"/>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eastAsia="zh-CN"/>
                    </w:rPr>
                    <w:t>居民敏感点</w:t>
                  </w:r>
                </w:p>
              </w:tc>
              <w:tc>
                <w:tcPr>
                  <w:tcW w:w="1369" w:type="dxa"/>
                  <w:tcBorders>
                    <w:tl2br w:val="nil"/>
                    <w:tr2bl w:val="nil"/>
                  </w:tcBorders>
                  <w:noWrap w:val="0"/>
                  <w:vAlign w:val="center"/>
                </w:tcPr>
                <w:p>
                  <w:pPr>
                    <w:spacing w:line="360" w:lineRule="auto"/>
                    <w:jc w:val="center"/>
                    <w:rPr>
                      <w:rFonts w:hint="eastAsia" w:cs="Times New Roman"/>
                      <w:color w:val="auto"/>
                      <w:sz w:val="22"/>
                      <w:szCs w:val="22"/>
                      <w:u w:val="none" w:color="auto"/>
                      <w:lang w:val="en-US" w:eastAsia="zh-CN"/>
                    </w:rPr>
                  </w:pPr>
                  <w:r>
                    <w:rPr>
                      <w:rFonts w:hint="eastAsia" w:cs="Times New Roman"/>
                      <w:sz w:val="22"/>
                      <w:szCs w:val="22"/>
                      <w:u w:val="none" w:color="auto"/>
                      <w:lang w:val="en-US" w:eastAsia="zh-CN"/>
                    </w:rPr>
                    <w:t>5月26日</w:t>
                  </w:r>
                </w:p>
              </w:tc>
              <w:tc>
                <w:tcPr>
                  <w:tcW w:w="972" w:type="dxa"/>
                  <w:tcBorders>
                    <w:tl2br w:val="nil"/>
                    <w:tr2bl w:val="nil"/>
                  </w:tcBorders>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50.7</w:t>
                  </w:r>
                </w:p>
              </w:tc>
              <w:tc>
                <w:tcPr>
                  <w:tcW w:w="973" w:type="dxa"/>
                  <w:tcBorders>
                    <w:tl2br w:val="nil"/>
                    <w:tr2bl w:val="nil"/>
                  </w:tcBorders>
                  <w:noWrap w:val="0"/>
                  <w:vAlign w:val="center"/>
                </w:tcPr>
                <w:p>
                  <w:pPr>
                    <w:spacing w:line="360" w:lineRule="auto"/>
                    <w:jc w:val="center"/>
                    <w:rPr>
                      <w:rFonts w:hint="eastAsia" w:cs="Times New Roman"/>
                      <w:color w:val="auto"/>
                      <w:sz w:val="22"/>
                      <w:szCs w:val="22"/>
                      <w:u w:val="none" w:color="auto"/>
                      <w:lang w:val="en-US" w:eastAsia="zh-CN"/>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37.0</w:t>
                  </w:r>
                </w:p>
              </w:tc>
              <w:tc>
                <w:tcPr>
                  <w:tcW w:w="975" w:type="dxa"/>
                  <w:tcBorders>
                    <w:tl2br w:val="nil"/>
                    <w:tr2bl w:val="nil"/>
                  </w:tcBorders>
                  <w:noWrap w:val="0"/>
                  <w:vAlign w:val="center"/>
                </w:tcPr>
                <w:p>
                  <w:pPr>
                    <w:spacing w:line="360" w:lineRule="auto"/>
                    <w:jc w:val="center"/>
                    <w:rPr>
                      <w:rFonts w:hint="eastAsia" w:cs="Times New Roman"/>
                      <w:color w:val="auto"/>
                      <w:sz w:val="22"/>
                      <w:szCs w:val="22"/>
                      <w:u w:val="none" w:color="auto"/>
                      <w:lang w:val="en-US" w:eastAsia="zh-CN"/>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eastAsia" w:cs="Times New Roman"/>
                      <w:color w:val="auto"/>
                      <w:sz w:val="22"/>
                      <w:szCs w:val="22"/>
                      <w:u w:val="none" w:color="auto"/>
                      <w:lang w:val="en-US" w:eastAsia="zh-CN"/>
                    </w:rPr>
                  </w:pPr>
                  <w:r>
                    <w:rPr>
                      <w:rFonts w:hint="eastAsia" w:cs="Times New Roman"/>
                      <w:sz w:val="22"/>
                      <w:szCs w:val="22"/>
                      <w:u w:val="none" w:color="auto"/>
                      <w:lang w:val="en-US" w:eastAsia="zh-CN"/>
                    </w:rPr>
                    <w:t>5月27日</w:t>
                  </w:r>
                </w:p>
              </w:tc>
              <w:tc>
                <w:tcPr>
                  <w:tcW w:w="972" w:type="dxa"/>
                  <w:tcBorders>
                    <w:tl2br w:val="nil"/>
                    <w:tr2bl w:val="nil"/>
                  </w:tcBorders>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52.4</w:t>
                  </w:r>
                </w:p>
              </w:tc>
              <w:tc>
                <w:tcPr>
                  <w:tcW w:w="973" w:type="dxa"/>
                  <w:tcBorders>
                    <w:tl2br w:val="nil"/>
                    <w:tr2bl w:val="nil"/>
                  </w:tcBorders>
                  <w:noWrap w:val="0"/>
                  <w:vAlign w:val="center"/>
                </w:tcPr>
                <w:p>
                  <w:pPr>
                    <w:spacing w:line="360" w:lineRule="auto"/>
                    <w:jc w:val="center"/>
                    <w:rPr>
                      <w:rFonts w:hint="eastAsia" w:cs="Times New Roman"/>
                      <w:color w:val="auto"/>
                      <w:sz w:val="22"/>
                      <w:szCs w:val="22"/>
                      <w:u w:val="none" w:color="auto"/>
                      <w:lang w:val="en-US" w:eastAsia="zh-CN"/>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39.0</w:t>
                  </w:r>
                </w:p>
              </w:tc>
              <w:tc>
                <w:tcPr>
                  <w:tcW w:w="975" w:type="dxa"/>
                  <w:tcBorders>
                    <w:tl2br w:val="nil"/>
                    <w:tr2bl w:val="nil"/>
                  </w:tcBorders>
                  <w:noWrap w:val="0"/>
                  <w:vAlign w:val="center"/>
                </w:tcPr>
                <w:p>
                  <w:pPr>
                    <w:spacing w:line="360" w:lineRule="auto"/>
                    <w:jc w:val="center"/>
                    <w:rPr>
                      <w:rFonts w:hint="eastAsia" w:cs="Times New Roman"/>
                      <w:color w:val="auto"/>
                      <w:sz w:val="22"/>
                      <w:szCs w:val="22"/>
                      <w:u w:val="none" w:color="auto"/>
                      <w:lang w:val="en-US" w:eastAsia="zh-CN"/>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bl>
          <w:p>
            <w:pPr>
              <w:spacing w:line="360" w:lineRule="auto"/>
              <w:ind w:firstLine="462"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本项目所在地声环境质量现状满足《声环境质量标准》（GB3096-2008）中</w:t>
            </w:r>
            <w:r>
              <w:rPr>
                <w:rFonts w:hint="eastAsia"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rPr>
              <w:t>类区标准要求。因此，本项目所在区域声环境质量现状较好。</w:t>
            </w:r>
          </w:p>
          <w:p>
            <w:pPr>
              <w:spacing w:line="360" w:lineRule="auto"/>
              <w:rPr>
                <w:rFonts w:hint="eastAsia" w:cs="Times New Roman"/>
                <w:b/>
                <w:bCs/>
                <w:color w:val="auto"/>
                <w:sz w:val="24"/>
                <w:szCs w:val="24"/>
                <w:u w:val="none" w:color="auto"/>
                <w:lang w:val="en-US" w:eastAsia="zh-CN"/>
              </w:rPr>
            </w:pPr>
          </w:p>
          <w:p>
            <w:pPr>
              <w:spacing w:line="360" w:lineRule="auto"/>
              <w:rPr>
                <w:rFonts w:hint="default" w:ascii="Times New Roman" w:hAnsi="Times New Roman" w:cs="Times New Roman"/>
                <w:b/>
                <w:bCs/>
                <w:color w:val="auto"/>
                <w:sz w:val="24"/>
                <w:szCs w:val="24"/>
                <w:u w:val="none" w:color="auto"/>
              </w:rPr>
            </w:pPr>
            <w:r>
              <w:rPr>
                <w:rFonts w:hint="eastAsia" w:cs="Times New Roman"/>
                <w:b/>
                <w:bCs/>
                <w:color w:val="auto"/>
                <w:sz w:val="24"/>
                <w:szCs w:val="24"/>
                <w:u w:val="none" w:color="auto"/>
                <w:lang w:val="en-US" w:eastAsia="zh-CN"/>
              </w:rPr>
              <w:t>3.5</w:t>
            </w:r>
            <w:r>
              <w:rPr>
                <w:rFonts w:hint="default" w:ascii="Times New Roman" w:hAnsi="Times New Roman" w:cs="Times New Roman"/>
                <w:b/>
                <w:bCs/>
                <w:color w:val="auto"/>
                <w:sz w:val="24"/>
                <w:szCs w:val="24"/>
                <w:u w:val="none" w:color="auto"/>
              </w:rPr>
              <w:t>、生态环境</w:t>
            </w:r>
          </w:p>
          <w:p>
            <w:pPr>
              <w:snapToGrid w:val="0"/>
              <w:spacing w:line="360" w:lineRule="auto"/>
              <w:ind w:firstLine="453" w:firstLineChars="196"/>
              <w:rPr>
                <w:rFonts w:hAnsi="宋体"/>
                <w:bCs/>
                <w:sz w:val="24"/>
                <w:u w:val="none" w:color="auto"/>
              </w:rPr>
            </w:pPr>
            <w:r>
              <w:rPr>
                <w:rFonts w:hint="default" w:ascii="Times New Roman" w:hAnsi="Times New Roman" w:cs="Times New Roman"/>
                <w:color w:val="auto"/>
                <w:sz w:val="24"/>
                <w:szCs w:val="24"/>
                <w:u w:val="none" w:color="auto"/>
              </w:rPr>
              <w:t>项目所在区域植被有城市绿化的樟、灌木丛、花卉等，项目区域内植被以人工绿化苗木为主，植物种类单一，主要有樟树、桂花、柳树等，并伴有少量野生杉、桃、</w:t>
            </w:r>
            <w:r>
              <w:rPr>
                <w:rFonts w:hint="default" w:ascii="Times New Roman" w:hAnsi="Times New Roman" w:cs="Times New Roman"/>
                <w:color w:val="auto"/>
                <w:spacing w:val="-11"/>
                <w:sz w:val="24"/>
                <w:szCs w:val="24"/>
                <w:u w:val="none" w:color="auto"/>
              </w:rPr>
              <w:t xml:space="preserve">梨等；生态环境一般。本区域及其周边为典型的城市生态环境，目前植被覆盖率较低， </w:t>
            </w:r>
            <w:r>
              <w:rPr>
                <w:rFonts w:hint="default" w:ascii="Times New Roman" w:hAnsi="Times New Roman" w:cs="Times New Roman"/>
                <w:color w:val="auto"/>
                <w:sz w:val="24"/>
                <w:szCs w:val="24"/>
                <w:u w:val="none" w:color="auto"/>
              </w:rPr>
              <w:t>主要为人工草皮及较少灌木，物种较为单一，生态稳定性较差。根据现场踏勘，本项目区域内未发现野生珍稀动植物物种</w:t>
            </w:r>
            <w:r>
              <w:rPr>
                <w:rFonts w:hint="eastAsia" w:hAnsi="宋体"/>
                <w:bCs/>
                <w:sz w:val="24"/>
                <w:u w:val="none" w:color="auto"/>
              </w:rPr>
              <w:t>。</w:t>
            </w:r>
          </w:p>
          <w:p>
            <w:pPr>
              <w:pStyle w:val="32"/>
              <w:adjustRightInd w:val="0"/>
              <w:snapToGrid w:val="0"/>
              <w:spacing w:line="360" w:lineRule="auto"/>
              <w:ind w:left="0" w:leftChars="0" w:firstLine="0" w:firstLineChars="0"/>
              <w:rPr>
                <w:b/>
                <w:u w:val="single" w:color="auto"/>
              </w:rPr>
            </w:pPr>
            <w:r>
              <w:rPr>
                <w:rFonts w:hint="eastAsia"/>
                <w:b/>
                <w:sz w:val="24"/>
                <w:u w:val="single" w:color="auto"/>
                <w:lang w:val="en-US" w:eastAsia="zh-CN"/>
              </w:rPr>
              <w:t>3.6</w:t>
            </w:r>
            <w:r>
              <w:rPr>
                <w:rFonts w:hint="eastAsia"/>
                <w:b/>
                <w:sz w:val="24"/>
                <w:u w:val="single" w:color="auto"/>
              </w:rPr>
              <w:t>、</w:t>
            </w:r>
            <w:r>
              <w:rPr>
                <w:b/>
                <w:sz w:val="24"/>
                <w:u w:val="single" w:color="auto"/>
              </w:rPr>
              <w:t>主要环境保护目标</w:t>
            </w:r>
          </w:p>
          <w:p>
            <w:pPr>
              <w:autoSpaceDE w:val="0"/>
              <w:autoSpaceDN w:val="0"/>
              <w:adjustRightInd w:val="0"/>
              <w:spacing w:line="360" w:lineRule="auto"/>
              <w:ind w:firstLine="462" w:firstLineChars="200"/>
              <w:rPr>
                <w:rFonts w:hint="default" w:ascii="Times New Roman" w:hAnsi="Times New Roman" w:eastAsia="宋体" w:cs="Times New Roman"/>
                <w:snapToGrid w:val="0"/>
                <w:color w:val="auto"/>
                <w:kern w:val="0"/>
                <w:sz w:val="24"/>
                <w:u w:val="single" w:color="auto"/>
                <w:lang w:val="en-US" w:eastAsia="zh-CN"/>
              </w:rPr>
            </w:pPr>
            <w:r>
              <w:rPr>
                <w:rFonts w:hint="default" w:ascii="Times New Roman" w:hAnsi="Times New Roman" w:eastAsia="宋体" w:cs="Times New Roman"/>
                <w:b w:val="0"/>
                <w:bCs/>
                <w:color w:val="auto"/>
                <w:sz w:val="24"/>
                <w:highlight w:val="none"/>
                <w:u w:val="single" w:color="auto"/>
                <w:shd w:val="clear" w:color="auto" w:fill="auto"/>
              </w:rPr>
              <w:t>评价区内无风景名胜点，没有征占基本农田，周围无需要特别保护的文物古迹、风景名胜地、水源地，未发现国家重点保护的野生动植物资源和古树名木。</w:t>
            </w:r>
            <w:r>
              <w:rPr>
                <w:rFonts w:hint="default" w:ascii="Times New Roman" w:hAnsi="Times New Roman" w:eastAsia="宋体" w:cs="Times New Roman"/>
                <w:snapToGrid w:val="0"/>
                <w:color w:val="auto"/>
                <w:kern w:val="0"/>
                <w:sz w:val="24"/>
                <w:u w:val="single" w:color="auto"/>
                <w:lang w:val="en-US" w:eastAsia="zh-CN"/>
              </w:rPr>
              <w:t>项目周边</w:t>
            </w:r>
            <w:r>
              <w:rPr>
                <w:rFonts w:hint="eastAsia" w:cs="Times New Roman"/>
                <w:snapToGrid w:val="0"/>
                <w:color w:val="auto"/>
                <w:kern w:val="0"/>
                <w:sz w:val="24"/>
                <w:u w:val="single" w:color="auto"/>
                <w:lang w:val="en-US" w:eastAsia="zh-CN"/>
              </w:rPr>
              <w:t>均使用</w:t>
            </w:r>
            <w:r>
              <w:rPr>
                <w:rFonts w:hint="default" w:ascii="Times New Roman" w:hAnsi="Times New Roman" w:eastAsia="宋体" w:cs="Times New Roman"/>
                <w:snapToGrid w:val="0"/>
                <w:color w:val="auto"/>
                <w:kern w:val="0"/>
                <w:sz w:val="24"/>
                <w:u w:val="single" w:color="auto"/>
                <w:lang w:val="en-US" w:eastAsia="zh-CN"/>
              </w:rPr>
              <w:t>自来水。</w:t>
            </w:r>
          </w:p>
          <w:p>
            <w:pPr>
              <w:pStyle w:val="146"/>
              <w:keepNext w:val="0"/>
              <w:keepLines w:val="0"/>
              <w:pageBreakBefore w:val="0"/>
              <w:widowControl w:val="0"/>
              <w:kinsoku/>
              <w:wordWrap/>
              <w:overflowPunct/>
              <w:topLinePunct w:val="0"/>
              <w:autoSpaceDE/>
              <w:autoSpaceDN/>
              <w:bidi w:val="0"/>
              <w:adjustRightInd w:val="0"/>
              <w:snapToGrid w:val="0"/>
              <w:spacing w:line="480" w:lineRule="exact"/>
              <w:ind w:firstLine="482"/>
              <w:jc w:val="both"/>
              <w:textAlignment w:val="auto"/>
              <w:rPr>
                <w:rFonts w:hint="default" w:ascii="Times New Roman" w:hAnsi="Times New Roman" w:eastAsia="宋体" w:cs="Times New Roman"/>
                <w:b/>
                <w:snapToGrid w:val="0"/>
                <w:color w:val="auto"/>
                <w:spacing w:val="0"/>
                <w:sz w:val="21"/>
                <w:szCs w:val="21"/>
                <w:u w:val="single" w:color="auto"/>
                <w:lang w:val="en-US" w:eastAsia="zh-CN"/>
              </w:rPr>
            </w:pPr>
            <w:r>
              <w:rPr>
                <w:rFonts w:hint="default" w:ascii="Times New Roman" w:hAnsi="Times New Roman" w:eastAsia="宋体" w:cs="Times New Roman"/>
                <w:b w:val="0"/>
                <w:bCs/>
                <w:color w:val="auto"/>
                <w:sz w:val="24"/>
                <w:highlight w:val="none"/>
                <w:u w:val="single" w:color="auto"/>
                <w:shd w:val="clear" w:color="auto" w:fill="auto"/>
              </w:rPr>
              <w:t>本项目的主要环境保护目标分布情况见表</w:t>
            </w:r>
            <w:r>
              <w:rPr>
                <w:rFonts w:hint="default" w:ascii="Times New Roman" w:hAnsi="Times New Roman" w:eastAsia="宋体" w:cs="Times New Roman"/>
                <w:b w:val="0"/>
                <w:bCs/>
                <w:color w:val="auto"/>
                <w:sz w:val="24"/>
                <w:highlight w:val="none"/>
                <w:u w:val="single" w:color="auto"/>
                <w:shd w:val="clear" w:color="auto" w:fill="auto"/>
                <w:lang w:val="en-US" w:eastAsia="zh-CN"/>
              </w:rPr>
              <w:t>3-</w:t>
            </w:r>
            <w:r>
              <w:rPr>
                <w:rFonts w:hint="eastAsia" w:cs="Times New Roman"/>
                <w:b w:val="0"/>
                <w:bCs/>
                <w:color w:val="auto"/>
                <w:sz w:val="24"/>
                <w:highlight w:val="none"/>
                <w:u w:val="single" w:color="auto"/>
                <w:shd w:val="clear" w:color="auto" w:fill="auto"/>
                <w:lang w:val="en-US" w:eastAsia="zh-CN"/>
              </w:rPr>
              <w:t>6。</w:t>
            </w:r>
          </w:p>
          <w:p>
            <w:pPr>
              <w:pStyle w:val="146"/>
              <w:keepNext w:val="0"/>
              <w:keepLines w:val="0"/>
              <w:pageBreakBefore w:val="0"/>
              <w:widowControl w:val="0"/>
              <w:kinsoku/>
              <w:wordWrap/>
              <w:overflowPunct/>
              <w:topLinePunct w:val="0"/>
              <w:autoSpaceDE/>
              <w:autoSpaceDN/>
              <w:bidi w:val="0"/>
              <w:adjustRightInd w:val="0"/>
              <w:snapToGrid w:val="0"/>
              <w:spacing w:line="480" w:lineRule="exact"/>
              <w:ind w:firstLine="482"/>
              <w:textAlignment w:val="auto"/>
              <w:rPr>
                <w:rFonts w:hint="default" w:ascii="Times New Roman" w:hAnsi="Times New Roman" w:eastAsia="宋体" w:cs="Times New Roman"/>
                <w:b/>
                <w:snapToGrid w:val="0"/>
                <w:color w:val="auto"/>
                <w:spacing w:val="0"/>
                <w:sz w:val="21"/>
                <w:szCs w:val="21"/>
                <w:u w:val="single" w:color="auto"/>
              </w:rPr>
            </w:pPr>
            <w:r>
              <w:rPr>
                <w:rFonts w:hint="default" w:ascii="Times New Roman" w:hAnsi="Times New Roman" w:eastAsia="宋体" w:cs="Times New Roman"/>
                <w:b/>
                <w:snapToGrid w:val="0"/>
                <w:color w:val="auto"/>
                <w:spacing w:val="0"/>
                <w:sz w:val="21"/>
                <w:szCs w:val="21"/>
                <w:u w:val="single" w:color="auto"/>
                <w:lang w:val="en-US" w:eastAsia="zh-CN"/>
              </w:rPr>
              <w:t>3-</w:t>
            </w:r>
            <w:r>
              <w:rPr>
                <w:rFonts w:hint="eastAsia" w:cs="Times New Roman"/>
                <w:b/>
                <w:snapToGrid w:val="0"/>
                <w:color w:val="auto"/>
                <w:spacing w:val="0"/>
                <w:sz w:val="21"/>
                <w:szCs w:val="21"/>
                <w:u w:val="single" w:color="auto"/>
                <w:lang w:val="en-US" w:eastAsia="zh-CN"/>
              </w:rPr>
              <w:t>6</w:t>
            </w:r>
            <w:r>
              <w:rPr>
                <w:rFonts w:hint="default" w:ascii="Times New Roman" w:hAnsi="Times New Roman" w:eastAsia="宋体" w:cs="Times New Roman"/>
                <w:b/>
                <w:snapToGrid w:val="0"/>
                <w:color w:val="auto"/>
                <w:spacing w:val="0"/>
                <w:sz w:val="21"/>
                <w:szCs w:val="21"/>
                <w:u w:val="single" w:color="auto"/>
              </w:rPr>
              <w:t xml:space="preserve"> 本项目环境空气环境保护目标一览表</w:t>
            </w:r>
          </w:p>
          <w:tbl>
            <w:tblPr>
              <w:tblStyle w:val="3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1038"/>
              <w:gridCol w:w="1938"/>
              <w:gridCol w:w="873"/>
              <w:gridCol w:w="1540"/>
              <w:gridCol w:w="1551"/>
              <w:gridCol w:w="2100"/>
              <w:gridCol w:w="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73" w:type="pct"/>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环境</w:t>
                  </w:r>
                </w:p>
                <w:p>
                  <w:pPr>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要素</w:t>
                  </w:r>
                </w:p>
              </w:tc>
              <w:tc>
                <w:tcPr>
                  <w:tcW w:w="1070" w:type="pct"/>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目标名称</w:t>
                  </w:r>
                </w:p>
              </w:tc>
              <w:tc>
                <w:tcPr>
                  <w:tcW w:w="482" w:type="pct"/>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方位</w:t>
                  </w:r>
                </w:p>
              </w:tc>
              <w:tc>
                <w:tcPr>
                  <w:tcW w:w="850" w:type="pct"/>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厂界最近</w:t>
                  </w:r>
                </w:p>
                <w:p>
                  <w:pPr>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距离</w:t>
                  </w:r>
                </w:p>
              </w:tc>
              <w:tc>
                <w:tcPr>
                  <w:tcW w:w="856" w:type="pct"/>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规模</w:t>
                  </w:r>
                </w:p>
              </w:tc>
              <w:tc>
                <w:tcPr>
                  <w:tcW w:w="1168" w:type="pct"/>
                  <w:gridSpan w:val="2"/>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保护级别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573" w:type="pct"/>
                  <w:vMerge w:val="restart"/>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空气</w:t>
                  </w:r>
                </w:p>
                <w:p>
                  <w:pPr>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环境</w:t>
                  </w:r>
                </w:p>
              </w:tc>
              <w:tc>
                <w:tcPr>
                  <w:tcW w:w="1070" w:type="pct"/>
                  <w:tcBorders>
                    <w:tl2br w:val="nil"/>
                    <w:tr2bl w:val="nil"/>
                  </w:tcBorders>
                  <w:noWrap w:val="0"/>
                  <w:vAlign w:val="center"/>
                </w:tcPr>
                <w:p>
                  <w:pPr>
                    <w:spacing w:line="360" w:lineRule="auto"/>
                    <w:ind w:firstLine="0" w:firstLineChars="0"/>
                    <w:jc w:val="center"/>
                    <w:rPr>
                      <w:rFonts w:hint="default" w:ascii="Times New Roman" w:hAnsi="Times New Roman" w:eastAsia="Calibri" w:cs="Times New Roman"/>
                      <w:color w:val="auto"/>
                      <w:sz w:val="22"/>
                      <w:szCs w:val="22"/>
                      <w:u w:val="single" w:color="auto"/>
                      <w:lang w:eastAsia="zh-CN"/>
                    </w:rPr>
                  </w:pPr>
                  <w:r>
                    <w:rPr>
                      <w:rFonts w:hint="eastAsia" w:cs="Times New Roman"/>
                      <w:sz w:val="24"/>
                      <w:u w:val="single" w:color="auto"/>
                      <w:lang w:eastAsia="zh-CN"/>
                    </w:rPr>
                    <w:t>红星组</w:t>
                  </w:r>
                  <w:r>
                    <w:rPr>
                      <w:rFonts w:hint="eastAsia" w:cs="Times New Roman"/>
                      <w:sz w:val="24"/>
                      <w:u w:val="single" w:color="auto"/>
                      <w:lang w:val="en-US" w:eastAsia="zh-CN"/>
                    </w:rPr>
                    <w:t>1#</w:t>
                  </w:r>
                  <w:r>
                    <w:rPr>
                      <w:rFonts w:hint="default" w:ascii="Times New Roman" w:hAnsi="Times New Roman" w:cs="Times New Roman"/>
                      <w:color w:val="auto"/>
                      <w:spacing w:val="8"/>
                      <w:sz w:val="22"/>
                      <w:szCs w:val="22"/>
                      <w:u w:val="single" w:color="auto"/>
                      <w:lang w:eastAsia="zh-CN"/>
                    </w:rPr>
                    <w:t>（东经：112.930293，北纬：28.717657）</w:t>
                  </w:r>
                </w:p>
              </w:tc>
              <w:tc>
                <w:tcPr>
                  <w:tcW w:w="482" w:type="pct"/>
                  <w:tcBorders>
                    <w:tl2br w:val="nil"/>
                    <w:tr2bl w:val="nil"/>
                  </w:tcBorders>
                  <w:noWrap w:val="0"/>
                  <w:vAlign w:val="center"/>
                </w:tcPr>
                <w:p>
                  <w:pPr>
                    <w:spacing w:line="360" w:lineRule="auto"/>
                    <w:ind w:firstLine="0" w:firstLineChars="0"/>
                    <w:jc w:val="center"/>
                    <w:rPr>
                      <w:rFonts w:hint="default" w:ascii="Times New Roman" w:hAnsi="Times New Roman" w:eastAsia="Calibri" w:cs="Times New Roman"/>
                      <w:color w:val="auto"/>
                      <w:sz w:val="22"/>
                      <w:szCs w:val="22"/>
                      <w:u w:val="single" w:color="auto"/>
                      <w:lang w:eastAsia="zh-CN"/>
                    </w:rPr>
                  </w:pPr>
                  <w:r>
                    <w:rPr>
                      <w:rFonts w:hint="eastAsia" w:eastAsia="Calibri" w:cs="Times New Roman"/>
                      <w:color w:val="auto"/>
                      <w:sz w:val="22"/>
                      <w:szCs w:val="22"/>
                      <w:u w:val="single" w:color="auto"/>
                      <w:lang w:eastAsia="zh-CN"/>
                    </w:rPr>
                    <w:t>北</w:t>
                  </w:r>
                </w:p>
              </w:tc>
              <w:tc>
                <w:tcPr>
                  <w:tcW w:w="850" w:type="pct"/>
                  <w:tcBorders>
                    <w:tl2br w:val="nil"/>
                    <w:tr2bl w:val="nil"/>
                  </w:tcBorders>
                  <w:noWrap w:val="0"/>
                  <w:vAlign w:val="center"/>
                </w:tcPr>
                <w:p>
                  <w:pPr>
                    <w:spacing w:line="360" w:lineRule="auto"/>
                    <w:ind w:firstLine="0" w:firstLineChars="0"/>
                    <w:jc w:val="center"/>
                    <w:rPr>
                      <w:rFonts w:hint="default" w:ascii="Times New Roman" w:hAnsi="Times New Roman" w:eastAsia="Calibri" w:cs="Times New Roman"/>
                      <w:color w:val="auto"/>
                      <w:sz w:val="22"/>
                      <w:szCs w:val="22"/>
                      <w:u w:val="single" w:color="auto"/>
                      <w:lang w:val="en-US" w:eastAsia="zh-CN"/>
                    </w:rPr>
                  </w:pPr>
                  <w:r>
                    <w:rPr>
                      <w:rFonts w:hint="eastAsia" w:cs="Times New Roman"/>
                      <w:color w:val="auto"/>
                      <w:sz w:val="22"/>
                      <w:szCs w:val="22"/>
                      <w:u w:val="single" w:color="auto"/>
                      <w:lang w:val="en-US" w:eastAsia="zh-CN"/>
                    </w:rPr>
                    <w:t>1-50</w:t>
                  </w:r>
                  <w:r>
                    <w:rPr>
                      <w:rFonts w:hint="default" w:ascii="Times New Roman" w:hAnsi="Times New Roman" w:cs="Times New Roman"/>
                      <w:color w:val="auto"/>
                      <w:sz w:val="22"/>
                      <w:szCs w:val="22"/>
                      <w:u w:val="single" w:color="auto"/>
                      <w:lang w:val="en-US" w:eastAsia="zh-CN"/>
                    </w:rPr>
                    <w:t>m</w:t>
                  </w:r>
                </w:p>
              </w:tc>
              <w:tc>
                <w:tcPr>
                  <w:tcW w:w="856" w:type="pct"/>
                  <w:tcBorders>
                    <w:tl2br w:val="nil"/>
                    <w:tr2bl w:val="nil"/>
                  </w:tcBorders>
                  <w:noWrap w:val="0"/>
                  <w:vAlign w:val="center"/>
                </w:tcPr>
                <w:p>
                  <w:pPr>
                    <w:spacing w:line="360" w:lineRule="auto"/>
                    <w:ind w:firstLine="0" w:firstLineChars="0"/>
                    <w:jc w:val="center"/>
                    <w:rPr>
                      <w:rFonts w:hint="default" w:ascii="Times New Roman" w:hAnsi="Times New Roman" w:eastAsia="Calibri" w:cs="Times New Roman"/>
                      <w:color w:val="auto"/>
                      <w:sz w:val="22"/>
                      <w:szCs w:val="22"/>
                      <w:u w:val="single" w:color="auto"/>
                      <w:lang w:val="en-US" w:eastAsia="zh-CN"/>
                    </w:rPr>
                  </w:pPr>
                  <w:r>
                    <w:rPr>
                      <w:rFonts w:hint="eastAsia" w:eastAsia="Calibri" w:cs="Times New Roman"/>
                      <w:color w:val="auto"/>
                      <w:sz w:val="22"/>
                      <w:szCs w:val="22"/>
                      <w:u w:val="single" w:color="auto"/>
                      <w:lang w:val="en-US" w:eastAsia="zh-CN"/>
                    </w:rPr>
                    <w:t>约10户</w:t>
                  </w:r>
                </w:p>
              </w:tc>
              <w:tc>
                <w:tcPr>
                  <w:tcW w:w="1168" w:type="pct"/>
                  <w:gridSpan w:val="2"/>
                  <w:vMerge w:val="restart"/>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《环境空气质量标准》（GB3095-2012）二级标准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73" w:type="pct"/>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p>
              </w:tc>
              <w:tc>
                <w:tcPr>
                  <w:tcW w:w="1070" w:type="pct"/>
                  <w:tcBorders>
                    <w:tl2br w:val="nil"/>
                    <w:tr2bl w:val="nil"/>
                  </w:tcBorders>
                  <w:noWrap w:val="0"/>
                  <w:vAlign w:val="center"/>
                </w:tcPr>
                <w:p>
                  <w:pPr>
                    <w:spacing w:line="360" w:lineRule="auto"/>
                    <w:ind w:firstLine="0" w:firstLineChars="0"/>
                    <w:jc w:val="center"/>
                    <w:rPr>
                      <w:rFonts w:hint="default" w:ascii="Times New Roman" w:hAnsi="Times New Roman" w:eastAsia="Calibri" w:cs="Times New Roman"/>
                      <w:color w:val="auto"/>
                      <w:sz w:val="22"/>
                      <w:szCs w:val="22"/>
                      <w:u w:val="single" w:color="auto"/>
                      <w:lang w:eastAsia="zh-CN"/>
                    </w:rPr>
                  </w:pPr>
                  <w:r>
                    <w:rPr>
                      <w:rFonts w:hint="eastAsia" w:cs="Times New Roman"/>
                      <w:sz w:val="24"/>
                      <w:u w:val="single" w:color="auto"/>
                      <w:lang w:eastAsia="zh-CN"/>
                    </w:rPr>
                    <w:t>红星组</w:t>
                  </w:r>
                  <w:r>
                    <w:rPr>
                      <w:rFonts w:hint="eastAsia" w:cs="Times New Roman"/>
                      <w:sz w:val="24"/>
                      <w:u w:val="single" w:color="auto"/>
                      <w:lang w:val="en-US" w:eastAsia="zh-CN"/>
                    </w:rPr>
                    <w:t>2#</w:t>
                  </w:r>
                  <w:r>
                    <w:rPr>
                      <w:rFonts w:hint="default" w:ascii="Times New Roman" w:hAnsi="Times New Roman" w:cs="Times New Roman"/>
                      <w:color w:val="auto"/>
                      <w:spacing w:val="8"/>
                      <w:sz w:val="22"/>
                      <w:szCs w:val="22"/>
                      <w:u w:val="single" w:color="auto"/>
                      <w:lang w:eastAsia="zh-CN"/>
                    </w:rPr>
                    <w:t>（东经：112.930776，北纬：28.717374）</w:t>
                  </w:r>
                </w:p>
              </w:tc>
              <w:tc>
                <w:tcPr>
                  <w:tcW w:w="482" w:type="pct"/>
                  <w:tcBorders>
                    <w:tl2br w:val="nil"/>
                    <w:tr2bl w:val="nil"/>
                  </w:tcBorders>
                  <w:noWrap w:val="0"/>
                  <w:vAlign w:val="center"/>
                </w:tcPr>
                <w:p>
                  <w:pPr>
                    <w:spacing w:line="360" w:lineRule="auto"/>
                    <w:ind w:firstLine="0" w:firstLineChars="0"/>
                    <w:jc w:val="center"/>
                    <w:rPr>
                      <w:rFonts w:hint="default" w:ascii="Times New Roman" w:hAnsi="Times New Roman" w:eastAsia="Calibri" w:cs="Times New Roman"/>
                      <w:color w:val="auto"/>
                      <w:sz w:val="22"/>
                      <w:szCs w:val="22"/>
                      <w:u w:val="single" w:color="auto"/>
                      <w:lang w:eastAsia="zh-CN"/>
                    </w:rPr>
                  </w:pPr>
                  <w:r>
                    <w:rPr>
                      <w:rFonts w:hint="eastAsia" w:cs="Times New Roman"/>
                      <w:color w:val="auto"/>
                      <w:sz w:val="22"/>
                      <w:szCs w:val="22"/>
                      <w:u w:val="single" w:color="auto"/>
                      <w:lang w:eastAsia="zh-CN"/>
                    </w:rPr>
                    <w:t>东</w:t>
                  </w:r>
                </w:p>
              </w:tc>
              <w:tc>
                <w:tcPr>
                  <w:tcW w:w="850" w:type="pct"/>
                  <w:tcBorders>
                    <w:tl2br w:val="nil"/>
                    <w:tr2bl w:val="nil"/>
                  </w:tcBorders>
                  <w:noWrap w:val="0"/>
                  <w:vAlign w:val="center"/>
                </w:tcPr>
                <w:p>
                  <w:pPr>
                    <w:spacing w:line="360" w:lineRule="auto"/>
                    <w:ind w:firstLine="0" w:firstLineChars="0"/>
                    <w:jc w:val="center"/>
                    <w:rPr>
                      <w:rFonts w:hint="default" w:ascii="Times New Roman" w:hAnsi="Times New Roman" w:eastAsia="Calibri" w:cs="Times New Roman"/>
                      <w:color w:val="auto"/>
                      <w:sz w:val="22"/>
                      <w:szCs w:val="22"/>
                      <w:u w:val="single" w:color="auto"/>
                      <w:lang w:val="en-US" w:eastAsia="zh-CN"/>
                    </w:rPr>
                  </w:pPr>
                  <w:r>
                    <w:rPr>
                      <w:rFonts w:hint="eastAsia" w:cs="Times New Roman"/>
                      <w:color w:val="auto"/>
                      <w:sz w:val="22"/>
                      <w:szCs w:val="22"/>
                      <w:u w:val="single" w:color="auto"/>
                      <w:lang w:val="en-US" w:eastAsia="zh-CN"/>
                    </w:rPr>
                    <w:t>2-47</w:t>
                  </w:r>
                  <w:r>
                    <w:rPr>
                      <w:rFonts w:hint="default" w:ascii="Times New Roman" w:hAnsi="Times New Roman" w:cs="Times New Roman"/>
                      <w:color w:val="auto"/>
                      <w:sz w:val="22"/>
                      <w:szCs w:val="22"/>
                      <w:u w:val="single" w:color="auto"/>
                      <w:lang w:val="en-US" w:eastAsia="zh-CN"/>
                    </w:rPr>
                    <w:t>m</w:t>
                  </w:r>
                </w:p>
              </w:tc>
              <w:tc>
                <w:tcPr>
                  <w:tcW w:w="856" w:type="pct"/>
                  <w:tcBorders>
                    <w:tl2br w:val="nil"/>
                    <w:tr2bl w:val="nil"/>
                  </w:tcBorders>
                  <w:noWrap w:val="0"/>
                  <w:vAlign w:val="center"/>
                </w:tcPr>
                <w:p>
                  <w:pPr>
                    <w:spacing w:line="360" w:lineRule="auto"/>
                    <w:ind w:firstLine="0" w:firstLineChars="0"/>
                    <w:jc w:val="center"/>
                    <w:rPr>
                      <w:rFonts w:hint="default" w:ascii="Times New Roman" w:hAnsi="Times New Roman" w:eastAsia="Calibri" w:cs="Times New Roman"/>
                      <w:color w:val="auto"/>
                      <w:sz w:val="22"/>
                      <w:szCs w:val="22"/>
                      <w:u w:val="single" w:color="auto"/>
                      <w:lang w:val="en-US" w:eastAsia="zh-CN"/>
                    </w:rPr>
                  </w:pPr>
                  <w:r>
                    <w:rPr>
                      <w:rFonts w:hint="eastAsia" w:eastAsia="Calibri" w:cs="Times New Roman"/>
                      <w:color w:val="auto"/>
                      <w:sz w:val="22"/>
                      <w:szCs w:val="22"/>
                      <w:u w:val="single" w:color="auto"/>
                      <w:lang w:val="en-US" w:eastAsia="zh-CN"/>
                    </w:rPr>
                    <w:t>约3户</w:t>
                  </w:r>
                </w:p>
              </w:tc>
              <w:tc>
                <w:tcPr>
                  <w:tcW w:w="1168" w:type="pct"/>
                  <w:gridSpan w:val="2"/>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73" w:type="pct"/>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p>
              </w:tc>
              <w:tc>
                <w:tcPr>
                  <w:tcW w:w="1070" w:type="pct"/>
                  <w:tcBorders>
                    <w:tl2br w:val="nil"/>
                    <w:tr2bl w:val="nil"/>
                  </w:tcBorders>
                  <w:noWrap w:val="0"/>
                  <w:vAlign w:val="center"/>
                </w:tcPr>
                <w:p>
                  <w:pPr>
                    <w:spacing w:line="360" w:lineRule="auto"/>
                    <w:ind w:firstLine="0" w:firstLineChars="0"/>
                    <w:jc w:val="center"/>
                    <w:rPr>
                      <w:rFonts w:hint="default" w:ascii="Times New Roman" w:hAnsi="Times New Roman" w:eastAsia="Calibri" w:cs="Times New Roman"/>
                      <w:color w:val="auto"/>
                      <w:sz w:val="22"/>
                      <w:szCs w:val="22"/>
                      <w:u w:val="single" w:color="auto"/>
                      <w:lang w:eastAsia="zh-CN"/>
                    </w:rPr>
                  </w:pPr>
                  <w:r>
                    <w:rPr>
                      <w:rFonts w:hint="eastAsia" w:cs="Times New Roman"/>
                      <w:sz w:val="24"/>
                      <w:u w:val="single" w:color="auto"/>
                      <w:lang w:eastAsia="zh-CN"/>
                    </w:rPr>
                    <w:t>红星组</w:t>
                  </w:r>
                  <w:r>
                    <w:rPr>
                      <w:rFonts w:hint="eastAsia" w:cs="Times New Roman"/>
                      <w:sz w:val="24"/>
                      <w:u w:val="single" w:color="auto"/>
                      <w:lang w:val="en-US" w:eastAsia="zh-CN"/>
                    </w:rPr>
                    <w:t>3#</w:t>
                  </w:r>
                  <w:r>
                    <w:rPr>
                      <w:rFonts w:hint="default" w:ascii="Times New Roman" w:hAnsi="Times New Roman" w:cs="Times New Roman"/>
                      <w:color w:val="auto"/>
                      <w:spacing w:val="8"/>
                      <w:sz w:val="22"/>
                      <w:szCs w:val="22"/>
                      <w:u w:val="single" w:color="auto"/>
                      <w:lang w:eastAsia="zh-CN"/>
                    </w:rPr>
                    <w:t>（东经：112.929733，北纬：28.717551）</w:t>
                  </w:r>
                </w:p>
              </w:tc>
              <w:tc>
                <w:tcPr>
                  <w:tcW w:w="482" w:type="pct"/>
                  <w:tcBorders>
                    <w:tl2br w:val="nil"/>
                    <w:tr2bl w:val="nil"/>
                  </w:tcBorders>
                  <w:noWrap w:val="0"/>
                  <w:vAlign w:val="center"/>
                </w:tcPr>
                <w:p>
                  <w:pPr>
                    <w:spacing w:line="360" w:lineRule="auto"/>
                    <w:ind w:firstLine="0" w:firstLineChars="0"/>
                    <w:jc w:val="center"/>
                    <w:rPr>
                      <w:rFonts w:hint="default" w:ascii="Times New Roman" w:hAnsi="Times New Roman" w:eastAsia="Calibri" w:cs="Times New Roman"/>
                      <w:color w:val="auto"/>
                      <w:sz w:val="22"/>
                      <w:szCs w:val="22"/>
                      <w:u w:val="single" w:color="auto"/>
                      <w:lang w:eastAsia="zh-CN"/>
                    </w:rPr>
                  </w:pPr>
                  <w:r>
                    <w:rPr>
                      <w:rFonts w:hint="eastAsia" w:cs="Times New Roman"/>
                      <w:color w:val="auto"/>
                      <w:sz w:val="22"/>
                      <w:szCs w:val="22"/>
                      <w:u w:val="single" w:color="auto"/>
                      <w:lang w:eastAsia="zh-CN"/>
                    </w:rPr>
                    <w:t>西北</w:t>
                  </w:r>
                </w:p>
              </w:tc>
              <w:tc>
                <w:tcPr>
                  <w:tcW w:w="850" w:type="pct"/>
                  <w:tcBorders>
                    <w:tl2br w:val="nil"/>
                    <w:tr2bl w:val="nil"/>
                  </w:tcBorders>
                  <w:noWrap w:val="0"/>
                  <w:vAlign w:val="center"/>
                </w:tcPr>
                <w:p>
                  <w:pPr>
                    <w:spacing w:line="360" w:lineRule="auto"/>
                    <w:ind w:firstLine="0" w:firstLineChars="0"/>
                    <w:jc w:val="center"/>
                    <w:rPr>
                      <w:rFonts w:hint="default" w:ascii="Times New Roman" w:hAnsi="Times New Roman" w:eastAsia="Calibri" w:cs="Times New Roman"/>
                      <w:color w:val="auto"/>
                      <w:sz w:val="22"/>
                      <w:szCs w:val="22"/>
                      <w:u w:val="single" w:color="auto"/>
                      <w:lang w:val="en-US" w:eastAsia="zh-CN"/>
                    </w:rPr>
                  </w:pPr>
                  <w:r>
                    <w:rPr>
                      <w:rFonts w:hint="eastAsia" w:cs="Times New Roman"/>
                      <w:color w:val="auto"/>
                      <w:sz w:val="22"/>
                      <w:szCs w:val="22"/>
                      <w:u w:val="single" w:color="auto"/>
                      <w:lang w:val="en-US" w:eastAsia="zh-CN"/>
                    </w:rPr>
                    <w:t>40-60</w:t>
                  </w:r>
                  <w:r>
                    <w:rPr>
                      <w:rFonts w:hint="default" w:ascii="Times New Roman" w:hAnsi="Times New Roman" w:cs="Times New Roman"/>
                      <w:color w:val="auto"/>
                      <w:sz w:val="22"/>
                      <w:szCs w:val="22"/>
                      <w:u w:val="single" w:color="auto"/>
                      <w:lang w:val="en-US" w:eastAsia="zh-CN"/>
                    </w:rPr>
                    <w:t>m</w:t>
                  </w:r>
                </w:p>
              </w:tc>
              <w:tc>
                <w:tcPr>
                  <w:tcW w:w="856" w:type="pc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single" w:color="auto"/>
                    </w:rPr>
                  </w:pPr>
                  <w:r>
                    <w:rPr>
                      <w:rFonts w:hint="eastAsia" w:eastAsia="Calibri" w:cs="Times New Roman"/>
                      <w:color w:val="auto"/>
                      <w:sz w:val="22"/>
                      <w:szCs w:val="22"/>
                      <w:u w:val="single" w:color="auto"/>
                      <w:lang w:val="en-US" w:eastAsia="zh-CN"/>
                    </w:rPr>
                    <w:t>约3户</w:t>
                  </w:r>
                </w:p>
              </w:tc>
              <w:tc>
                <w:tcPr>
                  <w:tcW w:w="1168" w:type="pct"/>
                  <w:gridSpan w:val="2"/>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275" w:hRule="atLeast"/>
                <w:jc w:val="center"/>
              </w:trPr>
              <w:tc>
                <w:tcPr>
                  <w:tcW w:w="573" w:type="pct"/>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p>
              </w:tc>
              <w:tc>
                <w:tcPr>
                  <w:tcW w:w="1070" w:type="pct"/>
                  <w:tcBorders>
                    <w:tl2br w:val="nil"/>
                    <w:tr2bl w:val="nil"/>
                  </w:tcBorders>
                  <w:noWrap w:val="0"/>
                  <w:vAlign w:val="center"/>
                </w:tcPr>
                <w:p>
                  <w:pPr>
                    <w:spacing w:line="360" w:lineRule="auto"/>
                    <w:ind w:firstLine="0" w:firstLineChars="0"/>
                    <w:jc w:val="center"/>
                    <w:rPr>
                      <w:rFonts w:hint="default" w:ascii="Times New Roman" w:hAnsi="Times New Roman" w:eastAsia="Calibri" w:cs="Times New Roman"/>
                      <w:color w:val="auto"/>
                      <w:sz w:val="22"/>
                      <w:szCs w:val="22"/>
                      <w:u w:val="single" w:color="auto"/>
                      <w:lang w:eastAsia="zh-CN"/>
                    </w:rPr>
                  </w:pPr>
                  <w:r>
                    <w:rPr>
                      <w:rFonts w:hint="eastAsia" w:cs="Times New Roman"/>
                      <w:sz w:val="24"/>
                      <w:u w:val="single" w:color="auto"/>
                      <w:lang w:eastAsia="zh-CN"/>
                    </w:rPr>
                    <w:t>红星组</w:t>
                  </w:r>
                  <w:r>
                    <w:rPr>
                      <w:rFonts w:hint="eastAsia" w:cs="Times New Roman"/>
                      <w:sz w:val="24"/>
                      <w:u w:val="single" w:color="auto"/>
                      <w:lang w:val="en-US" w:eastAsia="zh-CN"/>
                    </w:rPr>
                    <w:t>4#</w:t>
                  </w:r>
                  <w:r>
                    <w:rPr>
                      <w:rFonts w:hint="default" w:ascii="Times New Roman" w:hAnsi="Times New Roman" w:cs="Times New Roman"/>
                      <w:color w:val="auto"/>
                      <w:spacing w:val="8"/>
                      <w:sz w:val="22"/>
                      <w:szCs w:val="22"/>
                      <w:u w:val="single" w:color="auto"/>
                      <w:lang w:eastAsia="zh-CN"/>
                    </w:rPr>
                    <w:t>（东经：112.930975，北纬：28.716709）</w:t>
                  </w:r>
                </w:p>
              </w:tc>
              <w:tc>
                <w:tcPr>
                  <w:tcW w:w="482" w:type="pct"/>
                  <w:tcBorders>
                    <w:tl2br w:val="nil"/>
                    <w:tr2bl w:val="nil"/>
                  </w:tcBorders>
                  <w:noWrap w:val="0"/>
                  <w:vAlign w:val="center"/>
                </w:tcPr>
                <w:p>
                  <w:pPr>
                    <w:spacing w:line="360" w:lineRule="auto"/>
                    <w:ind w:firstLine="0" w:firstLineChars="0"/>
                    <w:jc w:val="center"/>
                    <w:rPr>
                      <w:rFonts w:hint="default" w:ascii="Times New Roman" w:hAnsi="Times New Roman" w:eastAsia="Calibri" w:cs="Times New Roman"/>
                      <w:color w:val="auto"/>
                      <w:sz w:val="22"/>
                      <w:szCs w:val="22"/>
                      <w:u w:val="single" w:color="auto"/>
                      <w:lang w:eastAsia="zh-CN"/>
                    </w:rPr>
                  </w:pPr>
                  <w:r>
                    <w:rPr>
                      <w:rFonts w:hint="eastAsia" w:cs="Times New Roman"/>
                      <w:color w:val="auto"/>
                      <w:sz w:val="22"/>
                      <w:szCs w:val="22"/>
                      <w:u w:val="single" w:color="auto"/>
                      <w:lang w:eastAsia="zh-CN"/>
                    </w:rPr>
                    <w:t>东南</w:t>
                  </w:r>
                </w:p>
              </w:tc>
              <w:tc>
                <w:tcPr>
                  <w:tcW w:w="850" w:type="pct"/>
                  <w:tcBorders>
                    <w:tl2br w:val="nil"/>
                    <w:tr2bl w:val="nil"/>
                  </w:tcBorders>
                  <w:noWrap w:val="0"/>
                  <w:vAlign w:val="center"/>
                </w:tcPr>
                <w:p>
                  <w:pPr>
                    <w:spacing w:line="360" w:lineRule="auto"/>
                    <w:ind w:firstLine="0" w:firstLineChars="0"/>
                    <w:jc w:val="center"/>
                    <w:rPr>
                      <w:rFonts w:hint="default" w:ascii="Times New Roman" w:hAnsi="Times New Roman" w:eastAsia="Calibri" w:cs="Times New Roman"/>
                      <w:color w:val="auto"/>
                      <w:sz w:val="22"/>
                      <w:szCs w:val="22"/>
                      <w:u w:val="single" w:color="auto"/>
                      <w:lang w:val="en-US" w:eastAsia="zh-CN"/>
                    </w:rPr>
                  </w:pPr>
                  <w:r>
                    <w:rPr>
                      <w:rFonts w:hint="eastAsia" w:cs="Times New Roman"/>
                      <w:color w:val="auto"/>
                      <w:sz w:val="22"/>
                      <w:szCs w:val="22"/>
                      <w:u w:val="single" w:color="auto"/>
                      <w:lang w:val="en-US" w:eastAsia="zh-CN"/>
                    </w:rPr>
                    <w:t>44-67</w:t>
                  </w:r>
                  <w:r>
                    <w:rPr>
                      <w:rFonts w:hint="default" w:ascii="Times New Roman" w:hAnsi="Times New Roman" w:cs="Times New Roman"/>
                      <w:color w:val="auto"/>
                      <w:sz w:val="22"/>
                      <w:szCs w:val="22"/>
                      <w:u w:val="single" w:color="auto"/>
                      <w:lang w:val="en-US" w:eastAsia="zh-CN"/>
                    </w:rPr>
                    <w:t>m</w:t>
                  </w:r>
                </w:p>
              </w:tc>
              <w:tc>
                <w:tcPr>
                  <w:tcW w:w="856" w:type="pc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single" w:color="auto"/>
                    </w:rPr>
                  </w:pPr>
                  <w:r>
                    <w:rPr>
                      <w:rFonts w:hint="eastAsia" w:eastAsia="Calibri" w:cs="Times New Roman"/>
                      <w:color w:val="auto"/>
                      <w:sz w:val="22"/>
                      <w:szCs w:val="22"/>
                      <w:u w:val="single" w:color="auto"/>
                      <w:lang w:val="en-US" w:eastAsia="zh-CN"/>
                    </w:rPr>
                    <w:t>约4户</w:t>
                  </w:r>
                </w:p>
              </w:tc>
              <w:tc>
                <w:tcPr>
                  <w:tcW w:w="1168" w:type="pct"/>
                  <w:gridSpan w:val="2"/>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628" w:hRule="atLeast"/>
                <w:jc w:val="center"/>
              </w:trPr>
              <w:tc>
                <w:tcPr>
                  <w:tcW w:w="573" w:type="pct"/>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p>
              </w:tc>
              <w:tc>
                <w:tcPr>
                  <w:tcW w:w="1070" w:type="pct"/>
                  <w:tcBorders>
                    <w:tl2br w:val="nil"/>
                    <w:tr2bl w:val="nil"/>
                  </w:tcBorders>
                  <w:noWrap w:val="0"/>
                  <w:vAlign w:val="center"/>
                </w:tcPr>
                <w:p>
                  <w:pPr>
                    <w:spacing w:line="360" w:lineRule="auto"/>
                    <w:ind w:firstLine="0" w:firstLineChars="0"/>
                    <w:jc w:val="center"/>
                    <w:rPr>
                      <w:rFonts w:hint="eastAsia" w:cs="Times New Roman"/>
                      <w:sz w:val="24"/>
                      <w:u w:val="single" w:color="auto"/>
                      <w:lang w:eastAsia="zh-CN"/>
                    </w:rPr>
                  </w:pPr>
                  <w:r>
                    <w:rPr>
                      <w:rFonts w:hint="eastAsia" w:cs="Times New Roman"/>
                      <w:sz w:val="24"/>
                      <w:u w:val="single" w:color="auto"/>
                      <w:lang w:eastAsia="zh-CN"/>
                    </w:rPr>
                    <w:t>红星组</w:t>
                  </w:r>
                  <w:r>
                    <w:rPr>
                      <w:rFonts w:hint="eastAsia" w:cs="Times New Roman"/>
                      <w:sz w:val="24"/>
                      <w:u w:val="single" w:color="auto"/>
                      <w:lang w:val="en-US" w:eastAsia="zh-CN"/>
                    </w:rPr>
                    <w:t>5#</w:t>
                  </w:r>
                  <w:r>
                    <w:rPr>
                      <w:rFonts w:hint="default" w:ascii="Times New Roman" w:hAnsi="Times New Roman" w:cs="Times New Roman"/>
                      <w:color w:val="auto"/>
                      <w:spacing w:val="8"/>
                      <w:sz w:val="22"/>
                      <w:szCs w:val="22"/>
                      <w:u w:val="single" w:color="auto"/>
                      <w:lang w:eastAsia="zh-CN"/>
                    </w:rPr>
                    <w:t>（东经：112.931170，北纬：28.718141）</w:t>
                  </w:r>
                </w:p>
              </w:tc>
              <w:tc>
                <w:tcPr>
                  <w:tcW w:w="482" w:type="pct"/>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eastAsia="zh-CN"/>
                    </w:rPr>
                  </w:pPr>
                  <w:r>
                    <w:rPr>
                      <w:rFonts w:hint="eastAsia" w:cs="Times New Roman"/>
                      <w:color w:val="auto"/>
                      <w:sz w:val="22"/>
                      <w:szCs w:val="22"/>
                      <w:u w:val="single" w:color="auto"/>
                      <w:lang w:eastAsia="zh-CN"/>
                    </w:rPr>
                    <w:t>东北</w:t>
                  </w:r>
                </w:p>
              </w:tc>
              <w:tc>
                <w:tcPr>
                  <w:tcW w:w="850" w:type="pct"/>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val="en-US" w:eastAsia="zh-CN"/>
                    </w:rPr>
                    <w:t>50-320</w:t>
                  </w:r>
                  <w:r>
                    <w:rPr>
                      <w:rFonts w:hint="default" w:ascii="Times New Roman" w:hAnsi="Times New Roman" w:cs="Times New Roman"/>
                      <w:color w:val="auto"/>
                      <w:sz w:val="22"/>
                      <w:szCs w:val="22"/>
                      <w:u w:val="single" w:color="auto"/>
                      <w:lang w:val="en-US" w:eastAsia="zh-CN"/>
                    </w:rPr>
                    <w:t>m</w:t>
                  </w:r>
                </w:p>
              </w:tc>
              <w:tc>
                <w:tcPr>
                  <w:tcW w:w="856" w:type="pct"/>
                  <w:tcBorders>
                    <w:tl2br w:val="nil"/>
                    <w:tr2bl w:val="nil"/>
                  </w:tcBorders>
                  <w:noWrap w:val="0"/>
                  <w:vAlign w:val="center"/>
                </w:tcPr>
                <w:p>
                  <w:pPr>
                    <w:spacing w:line="360" w:lineRule="auto"/>
                    <w:ind w:left="0" w:leftChars="0" w:firstLine="0" w:firstLineChars="0"/>
                    <w:jc w:val="center"/>
                    <w:rPr>
                      <w:rFonts w:hint="eastAsia" w:eastAsia="Calibri" w:cs="Times New Roman"/>
                      <w:color w:val="auto"/>
                      <w:sz w:val="22"/>
                      <w:szCs w:val="22"/>
                      <w:u w:val="single" w:color="auto"/>
                      <w:lang w:val="en-US" w:eastAsia="zh-CN"/>
                    </w:rPr>
                  </w:pPr>
                  <w:r>
                    <w:rPr>
                      <w:rFonts w:hint="eastAsia" w:eastAsia="Calibri" w:cs="Times New Roman"/>
                      <w:color w:val="auto"/>
                      <w:sz w:val="22"/>
                      <w:szCs w:val="22"/>
                      <w:u w:val="single" w:color="auto"/>
                      <w:lang w:val="en-US" w:eastAsia="zh-CN"/>
                    </w:rPr>
                    <w:t>约28户</w:t>
                  </w:r>
                </w:p>
              </w:tc>
              <w:tc>
                <w:tcPr>
                  <w:tcW w:w="1168" w:type="pct"/>
                  <w:gridSpan w:val="2"/>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598" w:hRule="atLeast"/>
                <w:jc w:val="center"/>
              </w:trPr>
              <w:tc>
                <w:tcPr>
                  <w:tcW w:w="573" w:type="pct"/>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p>
              </w:tc>
              <w:tc>
                <w:tcPr>
                  <w:tcW w:w="1070" w:type="pct"/>
                  <w:tcBorders>
                    <w:tl2br w:val="nil"/>
                    <w:tr2bl w:val="nil"/>
                  </w:tcBorders>
                  <w:noWrap w:val="0"/>
                  <w:vAlign w:val="center"/>
                </w:tcPr>
                <w:p>
                  <w:pPr>
                    <w:spacing w:line="360" w:lineRule="auto"/>
                    <w:ind w:firstLine="0" w:firstLineChars="0"/>
                    <w:jc w:val="center"/>
                    <w:rPr>
                      <w:rFonts w:hint="default" w:ascii="Times New Roman" w:hAnsi="Times New Roman" w:eastAsia="Calibri" w:cs="Times New Roman"/>
                      <w:color w:val="auto"/>
                      <w:sz w:val="22"/>
                      <w:szCs w:val="22"/>
                      <w:u w:val="single" w:color="auto"/>
                      <w:lang w:eastAsia="zh-CN"/>
                    </w:rPr>
                  </w:pPr>
                  <w:r>
                    <w:rPr>
                      <w:rFonts w:hint="eastAsia" w:cs="Times New Roman"/>
                      <w:sz w:val="24"/>
                      <w:u w:val="single" w:color="auto"/>
                      <w:lang w:eastAsia="zh-CN"/>
                    </w:rPr>
                    <w:t>高山村</w:t>
                  </w:r>
                  <w:r>
                    <w:rPr>
                      <w:rFonts w:hint="eastAsia" w:cs="Times New Roman"/>
                      <w:sz w:val="24"/>
                      <w:u w:val="single" w:color="auto"/>
                      <w:lang w:val="en-US" w:eastAsia="zh-CN"/>
                    </w:rPr>
                    <w:t>1#</w:t>
                  </w:r>
                  <w:r>
                    <w:rPr>
                      <w:rFonts w:hint="default" w:ascii="Times New Roman" w:hAnsi="Times New Roman" w:cs="Times New Roman"/>
                      <w:color w:val="auto"/>
                      <w:spacing w:val="8"/>
                      <w:sz w:val="22"/>
                      <w:szCs w:val="22"/>
                      <w:u w:val="single" w:color="auto"/>
                      <w:lang w:eastAsia="zh-CN"/>
                    </w:rPr>
                    <w:t>（东经：112.929041，北纬：28.717398）</w:t>
                  </w:r>
                </w:p>
              </w:tc>
              <w:tc>
                <w:tcPr>
                  <w:tcW w:w="482" w:type="pct"/>
                  <w:tcBorders>
                    <w:tl2br w:val="nil"/>
                    <w:tr2bl w:val="nil"/>
                  </w:tcBorders>
                  <w:noWrap w:val="0"/>
                  <w:vAlign w:val="center"/>
                </w:tcPr>
                <w:p>
                  <w:pPr>
                    <w:spacing w:line="360" w:lineRule="auto"/>
                    <w:ind w:firstLine="0" w:firstLineChars="0"/>
                    <w:jc w:val="center"/>
                    <w:rPr>
                      <w:rFonts w:hint="default" w:ascii="Times New Roman" w:hAnsi="Times New Roman" w:eastAsia="Calibri" w:cs="Times New Roman"/>
                      <w:color w:val="auto"/>
                      <w:sz w:val="22"/>
                      <w:szCs w:val="22"/>
                      <w:u w:val="single" w:color="auto"/>
                      <w:lang w:eastAsia="zh-CN"/>
                    </w:rPr>
                  </w:pPr>
                  <w:r>
                    <w:rPr>
                      <w:rFonts w:hint="eastAsia" w:cs="Times New Roman"/>
                      <w:color w:val="auto"/>
                      <w:sz w:val="22"/>
                      <w:szCs w:val="22"/>
                      <w:u w:val="single" w:color="auto"/>
                      <w:lang w:eastAsia="zh-CN"/>
                    </w:rPr>
                    <w:t>西北</w:t>
                  </w:r>
                </w:p>
              </w:tc>
              <w:tc>
                <w:tcPr>
                  <w:tcW w:w="850" w:type="pct"/>
                  <w:tcBorders>
                    <w:tl2br w:val="nil"/>
                    <w:tr2bl w:val="nil"/>
                  </w:tcBorders>
                  <w:noWrap w:val="0"/>
                  <w:vAlign w:val="center"/>
                </w:tcPr>
                <w:p>
                  <w:pPr>
                    <w:spacing w:line="360" w:lineRule="auto"/>
                    <w:ind w:firstLine="0" w:firstLineChars="0"/>
                    <w:jc w:val="center"/>
                    <w:rPr>
                      <w:rFonts w:hint="default" w:ascii="Times New Roman" w:hAnsi="Times New Roman" w:eastAsia="Calibri" w:cs="Times New Roman"/>
                      <w:color w:val="auto"/>
                      <w:sz w:val="22"/>
                      <w:szCs w:val="22"/>
                      <w:u w:val="single" w:color="auto"/>
                      <w:lang w:val="en-US" w:eastAsia="zh-CN"/>
                    </w:rPr>
                  </w:pPr>
                  <w:r>
                    <w:rPr>
                      <w:rFonts w:hint="eastAsia" w:cs="Times New Roman"/>
                      <w:color w:val="auto"/>
                      <w:sz w:val="22"/>
                      <w:szCs w:val="22"/>
                      <w:u w:val="single" w:color="auto"/>
                      <w:lang w:val="en-US" w:eastAsia="zh-CN"/>
                    </w:rPr>
                    <w:t>75-200</w:t>
                  </w:r>
                  <w:r>
                    <w:rPr>
                      <w:rFonts w:hint="default" w:ascii="Times New Roman" w:hAnsi="Times New Roman" w:cs="Times New Roman"/>
                      <w:color w:val="auto"/>
                      <w:sz w:val="22"/>
                      <w:szCs w:val="22"/>
                      <w:u w:val="single" w:color="auto"/>
                      <w:lang w:val="en-US" w:eastAsia="zh-CN"/>
                    </w:rPr>
                    <w:t>m</w:t>
                  </w:r>
                </w:p>
              </w:tc>
              <w:tc>
                <w:tcPr>
                  <w:tcW w:w="856" w:type="pc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single" w:color="auto"/>
                    </w:rPr>
                  </w:pPr>
                  <w:r>
                    <w:rPr>
                      <w:rFonts w:hint="eastAsia" w:eastAsia="Calibri" w:cs="Times New Roman"/>
                      <w:color w:val="auto"/>
                      <w:sz w:val="22"/>
                      <w:szCs w:val="22"/>
                      <w:u w:val="single" w:color="auto"/>
                      <w:lang w:val="en-US" w:eastAsia="zh-CN"/>
                    </w:rPr>
                    <w:t>约10户</w:t>
                  </w:r>
                </w:p>
              </w:tc>
              <w:tc>
                <w:tcPr>
                  <w:tcW w:w="1168" w:type="pct"/>
                  <w:gridSpan w:val="2"/>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32" w:hRule="atLeast"/>
                <w:jc w:val="center"/>
              </w:trPr>
              <w:tc>
                <w:tcPr>
                  <w:tcW w:w="573" w:type="pct"/>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p>
              </w:tc>
              <w:tc>
                <w:tcPr>
                  <w:tcW w:w="1070" w:type="pct"/>
                  <w:tcBorders>
                    <w:tl2br w:val="nil"/>
                    <w:tr2bl w:val="nil"/>
                  </w:tcBorders>
                  <w:noWrap w:val="0"/>
                  <w:vAlign w:val="center"/>
                </w:tcPr>
                <w:p>
                  <w:pPr>
                    <w:spacing w:line="360" w:lineRule="auto"/>
                    <w:ind w:firstLine="0" w:firstLineChars="0"/>
                    <w:jc w:val="center"/>
                    <w:rPr>
                      <w:rFonts w:hint="default" w:ascii="Times New Roman" w:hAnsi="Times New Roman" w:eastAsia="Calibri" w:cs="Times New Roman"/>
                      <w:color w:val="auto"/>
                      <w:sz w:val="22"/>
                      <w:szCs w:val="22"/>
                      <w:u w:val="single" w:color="auto"/>
                      <w:lang w:eastAsia="zh-CN"/>
                    </w:rPr>
                  </w:pPr>
                  <w:r>
                    <w:rPr>
                      <w:rFonts w:hint="eastAsia" w:cs="Times New Roman"/>
                      <w:sz w:val="24"/>
                      <w:u w:val="single" w:color="auto"/>
                      <w:lang w:eastAsia="zh-CN"/>
                    </w:rPr>
                    <w:t>高山村</w:t>
                  </w:r>
                  <w:r>
                    <w:rPr>
                      <w:rFonts w:hint="eastAsia" w:cs="Times New Roman"/>
                      <w:sz w:val="24"/>
                      <w:u w:val="single" w:color="auto"/>
                      <w:lang w:val="en-US" w:eastAsia="zh-CN"/>
                    </w:rPr>
                    <w:t>2#</w:t>
                  </w:r>
                  <w:r>
                    <w:rPr>
                      <w:rFonts w:hint="default" w:ascii="Times New Roman" w:hAnsi="Times New Roman" w:cs="Times New Roman"/>
                      <w:color w:val="auto"/>
                      <w:spacing w:val="8"/>
                      <w:sz w:val="22"/>
                      <w:szCs w:val="22"/>
                      <w:u w:val="single" w:color="auto"/>
                      <w:lang w:eastAsia="zh-CN"/>
                    </w:rPr>
                    <w:t>（东经：112.926546，北纬：28.715921）</w:t>
                  </w:r>
                </w:p>
              </w:tc>
              <w:tc>
                <w:tcPr>
                  <w:tcW w:w="482" w:type="pct"/>
                  <w:tcBorders>
                    <w:tl2br w:val="nil"/>
                    <w:tr2bl w:val="nil"/>
                  </w:tcBorders>
                  <w:noWrap w:val="0"/>
                  <w:vAlign w:val="center"/>
                </w:tcPr>
                <w:p>
                  <w:pPr>
                    <w:spacing w:line="360" w:lineRule="auto"/>
                    <w:ind w:firstLine="0" w:firstLineChars="0"/>
                    <w:jc w:val="center"/>
                    <w:rPr>
                      <w:rFonts w:hint="default" w:ascii="Times New Roman" w:hAnsi="Times New Roman" w:eastAsia="Calibri" w:cs="Times New Roman"/>
                      <w:color w:val="auto"/>
                      <w:sz w:val="22"/>
                      <w:szCs w:val="22"/>
                      <w:u w:val="single" w:color="auto"/>
                      <w:lang w:eastAsia="zh-CN"/>
                    </w:rPr>
                  </w:pPr>
                  <w:r>
                    <w:rPr>
                      <w:rFonts w:hint="eastAsia" w:cs="Times New Roman"/>
                      <w:color w:val="auto"/>
                      <w:sz w:val="22"/>
                      <w:szCs w:val="22"/>
                      <w:u w:val="single" w:color="auto"/>
                      <w:lang w:eastAsia="zh-CN"/>
                    </w:rPr>
                    <w:t>西</w:t>
                  </w:r>
                </w:p>
              </w:tc>
              <w:tc>
                <w:tcPr>
                  <w:tcW w:w="850" w:type="pct"/>
                  <w:tcBorders>
                    <w:tl2br w:val="nil"/>
                    <w:tr2bl w:val="nil"/>
                  </w:tcBorders>
                  <w:noWrap w:val="0"/>
                  <w:vAlign w:val="center"/>
                </w:tcPr>
                <w:p>
                  <w:pPr>
                    <w:spacing w:line="360" w:lineRule="auto"/>
                    <w:ind w:firstLine="0" w:firstLineChars="0"/>
                    <w:jc w:val="center"/>
                    <w:rPr>
                      <w:rFonts w:hint="default" w:ascii="Times New Roman" w:hAnsi="Times New Roman" w:eastAsia="Calibri" w:cs="Times New Roman"/>
                      <w:color w:val="auto"/>
                      <w:sz w:val="22"/>
                      <w:szCs w:val="22"/>
                      <w:u w:val="single" w:color="auto"/>
                      <w:lang w:val="en-US" w:eastAsia="zh-CN"/>
                    </w:rPr>
                  </w:pPr>
                  <w:r>
                    <w:rPr>
                      <w:rFonts w:hint="eastAsia" w:cs="Times New Roman"/>
                      <w:color w:val="auto"/>
                      <w:sz w:val="22"/>
                      <w:szCs w:val="22"/>
                      <w:u w:val="single" w:color="auto"/>
                      <w:lang w:val="en-US" w:eastAsia="zh-CN"/>
                    </w:rPr>
                    <w:t>200-780</w:t>
                  </w:r>
                  <w:r>
                    <w:rPr>
                      <w:rFonts w:hint="default" w:ascii="Times New Roman" w:hAnsi="Times New Roman" w:cs="Times New Roman"/>
                      <w:color w:val="auto"/>
                      <w:sz w:val="22"/>
                      <w:szCs w:val="22"/>
                      <w:u w:val="single" w:color="auto"/>
                      <w:lang w:val="en-US" w:eastAsia="zh-CN"/>
                    </w:rPr>
                    <w:t>m</w:t>
                  </w:r>
                </w:p>
              </w:tc>
              <w:tc>
                <w:tcPr>
                  <w:tcW w:w="856" w:type="pc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single" w:color="auto"/>
                    </w:rPr>
                  </w:pPr>
                  <w:r>
                    <w:rPr>
                      <w:rFonts w:hint="eastAsia" w:eastAsia="Calibri" w:cs="Times New Roman"/>
                      <w:color w:val="auto"/>
                      <w:sz w:val="22"/>
                      <w:szCs w:val="22"/>
                      <w:u w:val="single" w:color="auto"/>
                      <w:lang w:val="en-US" w:eastAsia="zh-CN"/>
                    </w:rPr>
                    <w:t>约35户</w:t>
                  </w:r>
                </w:p>
              </w:tc>
              <w:tc>
                <w:tcPr>
                  <w:tcW w:w="1168" w:type="pct"/>
                  <w:gridSpan w:val="2"/>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26" w:hRule="atLeast"/>
                <w:jc w:val="center"/>
              </w:trPr>
              <w:tc>
                <w:tcPr>
                  <w:tcW w:w="573" w:type="pct"/>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p>
              </w:tc>
              <w:tc>
                <w:tcPr>
                  <w:tcW w:w="1070" w:type="pct"/>
                  <w:tcBorders>
                    <w:tl2br w:val="nil"/>
                    <w:tr2bl w:val="nil"/>
                  </w:tcBorders>
                  <w:noWrap w:val="0"/>
                  <w:vAlign w:val="center"/>
                </w:tcPr>
                <w:p>
                  <w:pPr>
                    <w:spacing w:line="360" w:lineRule="auto"/>
                    <w:ind w:firstLine="0" w:firstLineChars="0"/>
                    <w:jc w:val="center"/>
                    <w:rPr>
                      <w:rFonts w:hint="eastAsia" w:cs="Times New Roman"/>
                      <w:sz w:val="24"/>
                      <w:u w:val="single" w:color="auto"/>
                      <w:lang w:eastAsia="zh-CN"/>
                    </w:rPr>
                  </w:pPr>
                  <w:r>
                    <w:rPr>
                      <w:rFonts w:hint="eastAsia" w:cs="Times New Roman"/>
                      <w:sz w:val="24"/>
                      <w:u w:val="single" w:color="auto"/>
                      <w:lang w:eastAsia="zh-CN"/>
                    </w:rPr>
                    <w:t>高山村</w:t>
                  </w:r>
                  <w:r>
                    <w:rPr>
                      <w:rFonts w:hint="eastAsia" w:cs="Times New Roman"/>
                      <w:sz w:val="24"/>
                      <w:u w:val="single" w:color="auto"/>
                      <w:lang w:val="en-US" w:eastAsia="zh-CN"/>
                    </w:rPr>
                    <w:t>3#</w:t>
                  </w:r>
                  <w:r>
                    <w:rPr>
                      <w:rFonts w:hint="default" w:ascii="Times New Roman" w:hAnsi="Times New Roman" w:cs="Times New Roman"/>
                      <w:color w:val="auto"/>
                      <w:spacing w:val="8"/>
                      <w:sz w:val="22"/>
                      <w:szCs w:val="22"/>
                      <w:u w:val="single" w:color="auto"/>
                      <w:lang w:eastAsia="zh-CN"/>
                    </w:rPr>
                    <w:t>（东经：112.931546，北纬：28.721538）</w:t>
                  </w:r>
                </w:p>
              </w:tc>
              <w:tc>
                <w:tcPr>
                  <w:tcW w:w="482" w:type="pct"/>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eastAsia="zh-CN"/>
                    </w:rPr>
                  </w:pPr>
                  <w:r>
                    <w:rPr>
                      <w:rFonts w:hint="eastAsia" w:cs="Times New Roman"/>
                      <w:color w:val="auto"/>
                      <w:sz w:val="22"/>
                      <w:szCs w:val="22"/>
                      <w:u w:val="single" w:color="auto"/>
                      <w:lang w:eastAsia="zh-CN"/>
                    </w:rPr>
                    <w:t>东北</w:t>
                  </w:r>
                </w:p>
              </w:tc>
              <w:tc>
                <w:tcPr>
                  <w:tcW w:w="850" w:type="pct"/>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val="en-US" w:eastAsia="zh-CN"/>
                    </w:rPr>
                    <w:t>330-500</w:t>
                  </w:r>
                  <w:r>
                    <w:rPr>
                      <w:rFonts w:hint="default" w:ascii="Times New Roman" w:hAnsi="Times New Roman" w:cs="Times New Roman"/>
                      <w:color w:val="auto"/>
                      <w:sz w:val="22"/>
                      <w:szCs w:val="22"/>
                      <w:u w:val="single" w:color="auto"/>
                      <w:lang w:val="en-US" w:eastAsia="zh-CN"/>
                    </w:rPr>
                    <w:t>m</w:t>
                  </w:r>
                </w:p>
              </w:tc>
              <w:tc>
                <w:tcPr>
                  <w:tcW w:w="856" w:type="pct"/>
                  <w:tcBorders>
                    <w:tl2br w:val="nil"/>
                    <w:tr2bl w:val="nil"/>
                  </w:tcBorders>
                  <w:noWrap w:val="0"/>
                  <w:vAlign w:val="center"/>
                </w:tcPr>
                <w:p>
                  <w:pPr>
                    <w:spacing w:line="360" w:lineRule="auto"/>
                    <w:ind w:left="0" w:leftChars="0" w:firstLine="0" w:firstLineChars="0"/>
                    <w:jc w:val="center"/>
                    <w:rPr>
                      <w:rFonts w:hint="eastAsia" w:eastAsia="Calibri" w:cs="Times New Roman"/>
                      <w:color w:val="auto"/>
                      <w:sz w:val="22"/>
                      <w:szCs w:val="22"/>
                      <w:u w:val="single" w:color="auto"/>
                      <w:lang w:val="en-US" w:eastAsia="zh-CN"/>
                    </w:rPr>
                  </w:pPr>
                  <w:r>
                    <w:rPr>
                      <w:rFonts w:hint="eastAsia" w:eastAsia="Calibri" w:cs="Times New Roman"/>
                      <w:color w:val="auto"/>
                      <w:sz w:val="22"/>
                      <w:szCs w:val="22"/>
                      <w:u w:val="single" w:color="auto"/>
                      <w:lang w:val="en-US" w:eastAsia="zh-CN"/>
                    </w:rPr>
                    <w:t>约19户</w:t>
                  </w:r>
                </w:p>
              </w:tc>
              <w:tc>
                <w:tcPr>
                  <w:tcW w:w="1168" w:type="pct"/>
                  <w:gridSpan w:val="2"/>
                  <w:vMerge w:val="restart"/>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73" w:type="pct"/>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p>
              </w:tc>
              <w:tc>
                <w:tcPr>
                  <w:tcW w:w="1070" w:type="pct"/>
                  <w:tcBorders>
                    <w:tl2br w:val="nil"/>
                    <w:tr2bl w:val="nil"/>
                  </w:tcBorders>
                  <w:noWrap w:val="0"/>
                  <w:vAlign w:val="center"/>
                </w:tcPr>
                <w:p>
                  <w:pPr>
                    <w:spacing w:line="360" w:lineRule="auto"/>
                    <w:ind w:firstLine="0" w:firstLineChars="0"/>
                    <w:jc w:val="center"/>
                    <w:rPr>
                      <w:rFonts w:hint="eastAsia" w:cs="Times New Roman"/>
                      <w:sz w:val="24"/>
                      <w:u w:val="single" w:color="auto"/>
                      <w:lang w:eastAsia="zh-CN"/>
                    </w:rPr>
                  </w:pPr>
                  <w:r>
                    <w:rPr>
                      <w:rFonts w:hint="eastAsia" w:cs="Times New Roman"/>
                      <w:sz w:val="24"/>
                      <w:u w:val="single" w:color="auto"/>
                      <w:lang w:eastAsia="zh-CN"/>
                    </w:rPr>
                    <w:t>张家老屋</w:t>
                  </w:r>
                  <w:r>
                    <w:rPr>
                      <w:rFonts w:hint="eastAsia" w:cs="Times New Roman"/>
                      <w:sz w:val="24"/>
                      <w:u w:val="single" w:color="auto"/>
                      <w:lang w:val="en-US" w:eastAsia="zh-CN"/>
                    </w:rPr>
                    <w:t>1#</w:t>
                  </w:r>
                  <w:r>
                    <w:rPr>
                      <w:rFonts w:hint="default" w:ascii="Times New Roman" w:hAnsi="Times New Roman" w:cs="Times New Roman"/>
                      <w:color w:val="auto"/>
                      <w:spacing w:val="8"/>
                      <w:sz w:val="22"/>
                      <w:szCs w:val="22"/>
                      <w:u w:val="single" w:color="auto"/>
                      <w:lang w:eastAsia="zh-CN"/>
                    </w:rPr>
                    <w:t>（东经：112.935483，北纬：28.719176）</w:t>
                  </w:r>
                </w:p>
              </w:tc>
              <w:tc>
                <w:tcPr>
                  <w:tcW w:w="482" w:type="pct"/>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eastAsia="zh-CN"/>
                    </w:rPr>
                  </w:pPr>
                  <w:r>
                    <w:rPr>
                      <w:rFonts w:hint="eastAsia" w:cs="Times New Roman"/>
                      <w:color w:val="auto"/>
                      <w:sz w:val="22"/>
                      <w:szCs w:val="22"/>
                      <w:u w:val="single" w:color="auto"/>
                      <w:lang w:eastAsia="zh-CN"/>
                    </w:rPr>
                    <w:t>东北</w:t>
                  </w:r>
                </w:p>
              </w:tc>
              <w:tc>
                <w:tcPr>
                  <w:tcW w:w="850" w:type="pct"/>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val="en-US" w:eastAsia="zh-CN"/>
                    </w:rPr>
                    <w:t>460-730</w:t>
                  </w:r>
                  <w:r>
                    <w:rPr>
                      <w:rFonts w:hint="default" w:ascii="Times New Roman" w:hAnsi="Times New Roman" w:cs="Times New Roman"/>
                      <w:color w:val="auto"/>
                      <w:sz w:val="22"/>
                      <w:szCs w:val="22"/>
                      <w:u w:val="single" w:color="auto"/>
                      <w:lang w:val="en-US" w:eastAsia="zh-CN"/>
                    </w:rPr>
                    <w:t>m</w:t>
                  </w:r>
                </w:p>
              </w:tc>
              <w:tc>
                <w:tcPr>
                  <w:tcW w:w="856" w:type="pct"/>
                  <w:tcBorders>
                    <w:tl2br w:val="nil"/>
                    <w:tr2bl w:val="nil"/>
                  </w:tcBorders>
                  <w:noWrap w:val="0"/>
                  <w:vAlign w:val="center"/>
                </w:tcPr>
                <w:p>
                  <w:pPr>
                    <w:spacing w:line="360" w:lineRule="auto"/>
                    <w:ind w:left="0" w:leftChars="0" w:firstLine="0" w:firstLineChars="0"/>
                    <w:jc w:val="center"/>
                    <w:rPr>
                      <w:rFonts w:hint="eastAsia" w:eastAsia="Calibri" w:cs="Times New Roman"/>
                      <w:color w:val="auto"/>
                      <w:sz w:val="22"/>
                      <w:szCs w:val="22"/>
                      <w:u w:val="single" w:color="auto"/>
                      <w:lang w:val="en-US" w:eastAsia="zh-CN"/>
                    </w:rPr>
                  </w:pPr>
                  <w:r>
                    <w:rPr>
                      <w:rFonts w:hint="eastAsia" w:eastAsia="Calibri" w:cs="Times New Roman"/>
                      <w:color w:val="auto"/>
                      <w:sz w:val="22"/>
                      <w:szCs w:val="22"/>
                      <w:u w:val="single" w:color="auto"/>
                      <w:lang w:val="en-US" w:eastAsia="zh-CN"/>
                    </w:rPr>
                    <w:t>约11户</w:t>
                  </w:r>
                </w:p>
              </w:tc>
              <w:tc>
                <w:tcPr>
                  <w:tcW w:w="1168" w:type="pct"/>
                  <w:gridSpan w:val="2"/>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40" w:hRule="atLeast"/>
                <w:jc w:val="center"/>
              </w:trPr>
              <w:tc>
                <w:tcPr>
                  <w:tcW w:w="573" w:type="pct"/>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p>
              </w:tc>
              <w:tc>
                <w:tcPr>
                  <w:tcW w:w="1070" w:type="pct"/>
                  <w:tcBorders>
                    <w:tl2br w:val="nil"/>
                    <w:tr2bl w:val="nil"/>
                  </w:tcBorders>
                  <w:noWrap w:val="0"/>
                  <w:vAlign w:val="center"/>
                </w:tcPr>
                <w:p>
                  <w:pPr>
                    <w:spacing w:line="360" w:lineRule="auto"/>
                    <w:ind w:firstLine="0" w:firstLineChars="0"/>
                    <w:jc w:val="center"/>
                    <w:rPr>
                      <w:rFonts w:hint="eastAsia" w:cs="Times New Roman"/>
                      <w:sz w:val="24"/>
                      <w:u w:val="single" w:color="auto"/>
                      <w:lang w:eastAsia="zh-CN"/>
                    </w:rPr>
                  </w:pPr>
                  <w:r>
                    <w:rPr>
                      <w:rFonts w:hint="eastAsia" w:cs="Times New Roman"/>
                      <w:sz w:val="24"/>
                      <w:u w:val="single" w:color="auto"/>
                      <w:lang w:eastAsia="zh-CN"/>
                    </w:rPr>
                    <w:t>张家老屋</w:t>
                  </w:r>
                  <w:r>
                    <w:rPr>
                      <w:rFonts w:hint="eastAsia" w:cs="Times New Roman"/>
                      <w:sz w:val="24"/>
                      <w:u w:val="single" w:color="auto"/>
                      <w:lang w:val="en-US" w:eastAsia="zh-CN"/>
                    </w:rPr>
                    <w:t>1#</w:t>
                  </w:r>
                  <w:r>
                    <w:rPr>
                      <w:rFonts w:hint="default" w:ascii="Times New Roman" w:hAnsi="Times New Roman" w:cs="Times New Roman"/>
                      <w:color w:val="auto"/>
                      <w:spacing w:val="8"/>
                      <w:sz w:val="22"/>
                      <w:szCs w:val="22"/>
                      <w:u w:val="single" w:color="auto"/>
                      <w:lang w:eastAsia="zh-CN"/>
                    </w:rPr>
                    <w:t>（东经：112.937071，北纬：28.717699）</w:t>
                  </w:r>
                </w:p>
              </w:tc>
              <w:tc>
                <w:tcPr>
                  <w:tcW w:w="482" w:type="pct"/>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eastAsia="zh-CN"/>
                    </w:rPr>
                  </w:pPr>
                  <w:r>
                    <w:rPr>
                      <w:rFonts w:hint="eastAsia" w:cs="Times New Roman"/>
                      <w:color w:val="auto"/>
                      <w:sz w:val="22"/>
                      <w:szCs w:val="22"/>
                      <w:u w:val="single" w:color="auto"/>
                      <w:lang w:eastAsia="zh-CN"/>
                    </w:rPr>
                    <w:t>东</w:t>
                  </w:r>
                </w:p>
              </w:tc>
              <w:tc>
                <w:tcPr>
                  <w:tcW w:w="850" w:type="pct"/>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val="en-US" w:eastAsia="zh-CN"/>
                    </w:rPr>
                    <w:t>600-700</w:t>
                  </w:r>
                  <w:r>
                    <w:rPr>
                      <w:rFonts w:hint="default" w:ascii="Times New Roman" w:hAnsi="Times New Roman" w:cs="Times New Roman"/>
                      <w:color w:val="auto"/>
                      <w:sz w:val="22"/>
                      <w:szCs w:val="22"/>
                      <w:u w:val="single" w:color="auto"/>
                      <w:lang w:val="en-US" w:eastAsia="zh-CN"/>
                    </w:rPr>
                    <w:t>m</w:t>
                  </w:r>
                </w:p>
              </w:tc>
              <w:tc>
                <w:tcPr>
                  <w:tcW w:w="856" w:type="pct"/>
                  <w:tcBorders>
                    <w:tl2br w:val="nil"/>
                    <w:tr2bl w:val="nil"/>
                  </w:tcBorders>
                  <w:noWrap w:val="0"/>
                  <w:vAlign w:val="center"/>
                </w:tcPr>
                <w:p>
                  <w:pPr>
                    <w:spacing w:line="360" w:lineRule="auto"/>
                    <w:ind w:left="0" w:leftChars="0" w:firstLine="0" w:firstLineChars="0"/>
                    <w:jc w:val="center"/>
                    <w:rPr>
                      <w:rFonts w:hint="eastAsia" w:eastAsia="Calibri" w:cs="Times New Roman"/>
                      <w:color w:val="auto"/>
                      <w:sz w:val="22"/>
                      <w:szCs w:val="22"/>
                      <w:u w:val="single" w:color="auto"/>
                      <w:lang w:val="en-US" w:eastAsia="zh-CN"/>
                    </w:rPr>
                  </w:pPr>
                  <w:r>
                    <w:rPr>
                      <w:rFonts w:hint="eastAsia" w:eastAsia="Calibri" w:cs="Times New Roman"/>
                      <w:color w:val="auto"/>
                      <w:sz w:val="22"/>
                      <w:szCs w:val="22"/>
                      <w:u w:val="single" w:color="auto"/>
                      <w:lang w:val="en-US" w:eastAsia="zh-CN"/>
                    </w:rPr>
                    <w:t>约13户</w:t>
                  </w:r>
                </w:p>
              </w:tc>
              <w:tc>
                <w:tcPr>
                  <w:tcW w:w="1168" w:type="pct"/>
                  <w:gridSpan w:val="2"/>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768" w:hRule="atLeast"/>
                <w:jc w:val="center"/>
              </w:trPr>
              <w:tc>
                <w:tcPr>
                  <w:tcW w:w="573" w:type="pct"/>
                  <w:vMerge w:val="restart"/>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地表水</w:t>
                  </w:r>
                </w:p>
              </w:tc>
              <w:tc>
                <w:tcPr>
                  <w:tcW w:w="1070" w:type="pct"/>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lang w:val="en-US" w:eastAsia="zh-CN"/>
                    </w:rPr>
                  </w:pPr>
                  <w:r>
                    <w:rPr>
                      <w:rFonts w:hint="eastAsia" w:cs="Times New Roman"/>
                      <w:color w:val="auto"/>
                      <w:sz w:val="21"/>
                      <w:szCs w:val="21"/>
                      <w:u w:val="single" w:color="auto"/>
                      <w:lang w:eastAsia="zh-CN"/>
                    </w:rPr>
                    <w:t>水塘</w:t>
                  </w:r>
                  <w:r>
                    <w:rPr>
                      <w:rFonts w:hint="eastAsia" w:cs="Times New Roman"/>
                      <w:color w:val="auto"/>
                      <w:sz w:val="21"/>
                      <w:szCs w:val="21"/>
                      <w:u w:val="single" w:color="auto"/>
                      <w:lang w:val="en-US" w:eastAsia="zh-CN"/>
                    </w:rPr>
                    <w:t>1#</w:t>
                  </w:r>
                </w:p>
              </w:tc>
              <w:tc>
                <w:tcPr>
                  <w:tcW w:w="482" w:type="pct"/>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lang w:val="en-US" w:eastAsia="zh-CN"/>
                    </w:rPr>
                  </w:pPr>
                  <w:r>
                    <w:rPr>
                      <w:rFonts w:hint="eastAsia" w:cs="Times New Roman"/>
                      <w:color w:val="auto"/>
                      <w:sz w:val="22"/>
                      <w:szCs w:val="22"/>
                      <w:u w:val="single" w:color="auto"/>
                      <w:lang w:val="en-US" w:eastAsia="zh-CN"/>
                    </w:rPr>
                    <w:t>南面</w:t>
                  </w:r>
                </w:p>
              </w:tc>
              <w:tc>
                <w:tcPr>
                  <w:tcW w:w="850" w:type="pct"/>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lang w:val="en-US" w:eastAsia="zh-CN"/>
                    </w:rPr>
                  </w:pPr>
                  <w:r>
                    <w:rPr>
                      <w:rFonts w:hint="eastAsia" w:cs="Times New Roman"/>
                      <w:color w:val="auto"/>
                      <w:sz w:val="22"/>
                      <w:szCs w:val="22"/>
                      <w:u w:val="single" w:color="auto"/>
                      <w:lang w:val="en-US" w:eastAsia="zh-CN"/>
                    </w:rPr>
                    <w:t>5</w:t>
                  </w:r>
                  <w:r>
                    <w:rPr>
                      <w:rFonts w:hint="default" w:ascii="Times New Roman" w:hAnsi="Times New Roman" w:cs="Times New Roman"/>
                      <w:color w:val="auto"/>
                      <w:sz w:val="22"/>
                      <w:szCs w:val="22"/>
                      <w:u w:val="single" w:color="auto"/>
                      <w:lang w:val="en-US" w:eastAsia="zh-CN"/>
                    </w:rPr>
                    <w:t>m</w:t>
                  </w:r>
                </w:p>
              </w:tc>
              <w:tc>
                <w:tcPr>
                  <w:tcW w:w="856" w:type="pct"/>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lang w:eastAsia="zh-CN"/>
                    </w:rPr>
                  </w:pPr>
                  <w:r>
                    <w:rPr>
                      <w:rFonts w:hint="eastAsia" w:cs="Times New Roman"/>
                      <w:color w:val="auto"/>
                      <w:sz w:val="22"/>
                      <w:szCs w:val="22"/>
                      <w:u w:val="single" w:color="auto"/>
                      <w:lang w:eastAsia="zh-CN"/>
                    </w:rPr>
                    <w:t>渔业</w:t>
                  </w:r>
                  <w:r>
                    <w:rPr>
                      <w:rFonts w:hint="default" w:ascii="Times New Roman" w:hAnsi="Times New Roman" w:cs="Times New Roman"/>
                      <w:color w:val="auto"/>
                      <w:sz w:val="22"/>
                      <w:szCs w:val="22"/>
                      <w:u w:val="single" w:color="auto"/>
                      <w:lang w:eastAsia="zh-CN"/>
                    </w:rPr>
                    <w:t>用水</w:t>
                  </w:r>
                </w:p>
              </w:tc>
              <w:tc>
                <w:tcPr>
                  <w:tcW w:w="1168" w:type="pct"/>
                  <w:gridSpan w:val="2"/>
                  <w:vMerge w:val="restart"/>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《地表水环境质量标准》（GB3838-2002）Ⅲ类标准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805" w:hRule="atLeast"/>
                <w:jc w:val="center"/>
              </w:trPr>
              <w:tc>
                <w:tcPr>
                  <w:tcW w:w="573" w:type="pct"/>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lang w:eastAsia="zh-CN"/>
                    </w:rPr>
                  </w:pPr>
                </w:p>
              </w:tc>
              <w:tc>
                <w:tcPr>
                  <w:tcW w:w="1070" w:type="pct"/>
                  <w:tcBorders>
                    <w:tl2br w:val="nil"/>
                    <w:tr2bl w:val="nil"/>
                  </w:tcBorders>
                  <w:noWrap w:val="0"/>
                  <w:vAlign w:val="center"/>
                </w:tcPr>
                <w:p>
                  <w:pPr>
                    <w:spacing w:line="360" w:lineRule="auto"/>
                    <w:ind w:firstLine="0" w:firstLineChars="0"/>
                    <w:jc w:val="center"/>
                    <w:rPr>
                      <w:rFonts w:hint="default" w:cs="Times New Roman"/>
                      <w:color w:val="auto"/>
                      <w:sz w:val="21"/>
                      <w:szCs w:val="21"/>
                      <w:u w:val="single" w:color="auto"/>
                      <w:lang w:val="en-US" w:eastAsia="zh-CN"/>
                    </w:rPr>
                  </w:pPr>
                  <w:r>
                    <w:rPr>
                      <w:rFonts w:hint="eastAsia" w:cs="Times New Roman"/>
                      <w:color w:val="auto"/>
                      <w:sz w:val="21"/>
                      <w:szCs w:val="21"/>
                      <w:u w:val="single" w:color="auto"/>
                      <w:lang w:eastAsia="zh-CN"/>
                    </w:rPr>
                    <w:t>水塘</w:t>
                  </w:r>
                  <w:r>
                    <w:rPr>
                      <w:rFonts w:hint="eastAsia" w:cs="Times New Roman"/>
                      <w:color w:val="auto"/>
                      <w:sz w:val="21"/>
                      <w:szCs w:val="21"/>
                      <w:u w:val="single" w:color="auto"/>
                      <w:lang w:val="en-US" w:eastAsia="zh-CN"/>
                    </w:rPr>
                    <w:t>2#</w:t>
                  </w:r>
                </w:p>
              </w:tc>
              <w:tc>
                <w:tcPr>
                  <w:tcW w:w="482" w:type="pct"/>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val="en-US" w:eastAsia="zh-CN"/>
                    </w:rPr>
                    <w:t>西面</w:t>
                  </w:r>
                </w:p>
              </w:tc>
              <w:tc>
                <w:tcPr>
                  <w:tcW w:w="850" w:type="pct"/>
                  <w:tcBorders>
                    <w:tl2br w:val="nil"/>
                    <w:tr2bl w:val="nil"/>
                  </w:tcBorders>
                  <w:noWrap w:val="0"/>
                  <w:vAlign w:val="center"/>
                </w:tcPr>
                <w:p>
                  <w:pPr>
                    <w:spacing w:line="360" w:lineRule="auto"/>
                    <w:ind w:firstLine="0" w:firstLineChars="0"/>
                    <w:jc w:val="center"/>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56m</w:t>
                  </w:r>
                </w:p>
              </w:tc>
              <w:tc>
                <w:tcPr>
                  <w:tcW w:w="856" w:type="pct"/>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eastAsia="zh-CN"/>
                    </w:rPr>
                  </w:pPr>
                  <w:r>
                    <w:rPr>
                      <w:rFonts w:hint="eastAsia" w:cs="Times New Roman"/>
                      <w:color w:val="auto"/>
                      <w:sz w:val="22"/>
                      <w:szCs w:val="22"/>
                      <w:u w:val="single" w:color="auto"/>
                      <w:lang w:eastAsia="zh-CN"/>
                    </w:rPr>
                    <w:t>渔业用水</w:t>
                  </w:r>
                </w:p>
              </w:tc>
              <w:tc>
                <w:tcPr>
                  <w:tcW w:w="1168" w:type="pct"/>
                  <w:gridSpan w:val="2"/>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573" w:type="pct"/>
                  <w:vMerge w:val="restart"/>
                  <w:tcBorders>
                    <w:tl2br w:val="nil"/>
                    <w:tr2bl w:val="nil"/>
                  </w:tcBorders>
                  <w:noWrap w:val="0"/>
                  <w:vAlign w:val="center"/>
                </w:tcPr>
                <w:p>
                  <w:pPr>
                    <w:spacing w:line="360" w:lineRule="auto"/>
                    <w:ind w:firstLine="0" w:firstLineChars="0"/>
                    <w:jc w:val="center"/>
                    <w:rPr>
                      <w:rFonts w:hint="default" w:ascii="Times New Roman" w:hAnsi="Times New Roman" w:eastAsia="Calibri"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噪声</w:t>
                  </w:r>
                </w:p>
              </w:tc>
              <w:tc>
                <w:tcPr>
                  <w:tcW w:w="1938" w:type="dxa"/>
                  <w:tcBorders>
                    <w:tl2br w:val="nil"/>
                    <w:tr2bl w:val="nil"/>
                  </w:tcBorders>
                  <w:noWrap w:val="0"/>
                  <w:vAlign w:val="center"/>
                </w:tcPr>
                <w:p>
                  <w:pPr>
                    <w:spacing w:line="360" w:lineRule="auto"/>
                    <w:ind w:firstLine="0" w:firstLineChars="0"/>
                    <w:jc w:val="center"/>
                    <w:rPr>
                      <w:rFonts w:hint="eastAsia" w:ascii="Times New Roman" w:hAnsi="Times New Roman" w:eastAsia="宋体" w:cs="Times New Roman"/>
                      <w:color w:val="auto"/>
                      <w:sz w:val="22"/>
                      <w:szCs w:val="22"/>
                      <w:u w:val="single" w:color="auto"/>
                      <w:lang w:val="en-US" w:eastAsia="zh-CN"/>
                    </w:rPr>
                  </w:pPr>
                  <w:r>
                    <w:rPr>
                      <w:rFonts w:hint="eastAsia" w:cs="Times New Roman"/>
                      <w:sz w:val="24"/>
                      <w:u w:val="single" w:color="auto"/>
                      <w:lang w:eastAsia="zh-CN"/>
                    </w:rPr>
                    <w:t>红星组</w:t>
                  </w:r>
                  <w:r>
                    <w:rPr>
                      <w:rFonts w:hint="eastAsia" w:cs="Times New Roman"/>
                      <w:sz w:val="24"/>
                      <w:u w:val="single" w:color="auto"/>
                      <w:lang w:val="en-US" w:eastAsia="zh-CN"/>
                    </w:rPr>
                    <w:t>1#</w:t>
                  </w:r>
                  <w:r>
                    <w:rPr>
                      <w:rFonts w:hint="default" w:ascii="Times New Roman" w:hAnsi="Times New Roman" w:cs="Times New Roman"/>
                      <w:color w:val="auto"/>
                      <w:spacing w:val="8"/>
                      <w:sz w:val="22"/>
                      <w:szCs w:val="22"/>
                      <w:u w:val="single" w:color="auto"/>
                      <w:lang w:eastAsia="zh-CN"/>
                    </w:rPr>
                    <w:t>（东经：112.930293，北纬：28.717657）</w:t>
                  </w:r>
                </w:p>
              </w:tc>
              <w:tc>
                <w:tcPr>
                  <w:tcW w:w="873" w:type="dxa"/>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r>
                    <w:rPr>
                      <w:rFonts w:hint="eastAsia" w:eastAsia="Calibri" w:cs="Times New Roman"/>
                      <w:color w:val="auto"/>
                      <w:sz w:val="22"/>
                      <w:szCs w:val="22"/>
                      <w:u w:val="single" w:color="auto"/>
                      <w:lang w:eastAsia="zh-CN"/>
                    </w:rPr>
                    <w:t>北</w:t>
                  </w:r>
                </w:p>
              </w:tc>
              <w:tc>
                <w:tcPr>
                  <w:tcW w:w="1540" w:type="dxa"/>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val="en-US" w:eastAsia="zh-CN"/>
                    </w:rPr>
                    <w:t>1-50</w:t>
                  </w:r>
                  <w:r>
                    <w:rPr>
                      <w:rFonts w:hint="default" w:ascii="Times New Roman" w:hAnsi="Times New Roman" w:cs="Times New Roman"/>
                      <w:color w:val="auto"/>
                      <w:sz w:val="22"/>
                      <w:szCs w:val="22"/>
                      <w:u w:val="single" w:color="auto"/>
                      <w:lang w:val="en-US" w:eastAsia="zh-CN"/>
                    </w:rPr>
                    <w:t>m</w:t>
                  </w:r>
                </w:p>
              </w:tc>
              <w:tc>
                <w:tcPr>
                  <w:tcW w:w="1551" w:type="dxa"/>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r>
                    <w:rPr>
                      <w:rFonts w:hint="eastAsia" w:eastAsia="Calibri" w:cs="Times New Roman"/>
                      <w:color w:val="auto"/>
                      <w:sz w:val="22"/>
                      <w:szCs w:val="22"/>
                      <w:u w:val="single" w:color="auto"/>
                      <w:lang w:val="en-US" w:eastAsia="zh-CN"/>
                    </w:rPr>
                    <w:t>约10户</w:t>
                  </w:r>
                </w:p>
              </w:tc>
              <w:tc>
                <w:tcPr>
                  <w:tcW w:w="1168" w:type="pct"/>
                  <w:gridSpan w:val="2"/>
                  <w:vMerge w:val="restart"/>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r>
                    <w:rPr>
                      <w:sz w:val="24"/>
                      <w:u w:val="single" w:color="auto"/>
                    </w:rPr>
                    <w:t>《声环境质量标准》（GB3096-</w:t>
                  </w:r>
                  <w:r>
                    <w:rPr>
                      <w:rFonts w:hint="eastAsia"/>
                      <w:sz w:val="24"/>
                      <w:u w:val="single" w:color="auto"/>
                      <w:lang w:val="en-US" w:eastAsia="zh-CN"/>
                    </w:rPr>
                    <w:t>2008</w:t>
                  </w:r>
                  <w:r>
                    <w:rPr>
                      <w:sz w:val="24"/>
                      <w:u w:val="single" w:color="auto"/>
                    </w:rPr>
                    <w:t>）中的</w:t>
                  </w:r>
                  <w:r>
                    <w:rPr>
                      <w:rFonts w:hint="eastAsia"/>
                      <w:sz w:val="24"/>
                      <w:u w:val="single" w:color="auto"/>
                      <w:lang w:val="en-US" w:eastAsia="zh-CN"/>
                    </w:rPr>
                    <w:t>2</w:t>
                  </w:r>
                  <w:r>
                    <w:rPr>
                      <w:sz w:val="24"/>
                      <w:u w:val="single" w:color="auto"/>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07" w:hRule="atLeast"/>
                <w:jc w:val="center"/>
              </w:trPr>
              <w:tc>
                <w:tcPr>
                  <w:tcW w:w="573" w:type="pct"/>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lang w:eastAsia="zh-CN"/>
                    </w:rPr>
                  </w:pPr>
                </w:p>
              </w:tc>
              <w:tc>
                <w:tcPr>
                  <w:tcW w:w="1938" w:type="dxa"/>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r>
                    <w:rPr>
                      <w:rFonts w:hint="eastAsia" w:cs="Times New Roman"/>
                      <w:sz w:val="24"/>
                      <w:u w:val="single" w:color="auto"/>
                      <w:lang w:eastAsia="zh-CN"/>
                    </w:rPr>
                    <w:t>红星组</w:t>
                  </w:r>
                  <w:r>
                    <w:rPr>
                      <w:rFonts w:hint="eastAsia" w:cs="Times New Roman"/>
                      <w:sz w:val="24"/>
                      <w:u w:val="single" w:color="auto"/>
                      <w:lang w:val="en-US" w:eastAsia="zh-CN"/>
                    </w:rPr>
                    <w:t>2#</w:t>
                  </w:r>
                  <w:r>
                    <w:rPr>
                      <w:rFonts w:hint="default" w:ascii="Times New Roman" w:hAnsi="Times New Roman" w:cs="Times New Roman"/>
                      <w:color w:val="auto"/>
                      <w:spacing w:val="8"/>
                      <w:sz w:val="22"/>
                      <w:szCs w:val="22"/>
                      <w:u w:val="single" w:color="auto"/>
                      <w:lang w:eastAsia="zh-CN"/>
                    </w:rPr>
                    <w:t>（东经：112.930776，北纬：28.717374）</w:t>
                  </w:r>
                </w:p>
              </w:tc>
              <w:tc>
                <w:tcPr>
                  <w:tcW w:w="873" w:type="dxa"/>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eastAsia="zh-CN"/>
                    </w:rPr>
                    <w:t>东</w:t>
                  </w:r>
                </w:p>
              </w:tc>
              <w:tc>
                <w:tcPr>
                  <w:tcW w:w="1540" w:type="dxa"/>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val="en-US" w:eastAsia="zh-CN"/>
                    </w:rPr>
                    <w:t>2-47</w:t>
                  </w:r>
                  <w:r>
                    <w:rPr>
                      <w:rFonts w:hint="default" w:ascii="Times New Roman" w:hAnsi="Times New Roman" w:cs="Times New Roman"/>
                      <w:color w:val="auto"/>
                      <w:sz w:val="22"/>
                      <w:szCs w:val="22"/>
                      <w:u w:val="single" w:color="auto"/>
                      <w:lang w:val="en-US" w:eastAsia="zh-CN"/>
                    </w:rPr>
                    <w:t>m</w:t>
                  </w:r>
                </w:p>
              </w:tc>
              <w:tc>
                <w:tcPr>
                  <w:tcW w:w="1551" w:type="dxa"/>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r>
                    <w:rPr>
                      <w:rFonts w:hint="eastAsia" w:eastAsia="Calibri" w:cs="Times New Roman"/>
                      <w:color w:val="auto"/>
                      <w:sz w:val="22"/>
                      <w:szCs w:val="22"/>
                      <w:u w:val="single" w:color="auto"/>
                      <w:lang w:val="en-US" w:eastAsia="zh-CN"/>
                    </w:rPr>
                    <w:t>约3户</w:t>
                  </w:r>
                </w:p>
              </w:tc>
              <w:tc>
                <w:tcPr>
                  <w:tcW w:w="1168" w:type="pct"/>
                  <w:gridSpan w:val="2"/>
                  <w:vMerge w:val="continue"/>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92" w:hRule="atLeast"/>
                <w:jc w:val="center"/>
              </w:trPr>
              <w:tc>
                <w:tcPr>
                  <w:tcW w:w="573" w:type="pct"/>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lang w:eastAsia="zh-CN"/>
                    </w:rPr>
                  </w:pPr>
                </w:p>
              </w:tc>
              <w:tc>
                <w:tcPr>
                  <w:tcW w:w="1938" w:type="dxa"/>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r>
                    <w:rPr>
                      <w:rFonts w:hint="eastAsia" w:cs="Times New Roman"/>
                      <w:sz w:val="24"/>
                      <w:u w:val="single" w:color="auto"/>
                      <w:lang w:eastAsia="zh-CN"/>
                    </w:rPr>
                    <w:t>红星组</w:t>
                  </w:r>
                  <w:r>
                    <w:rPr>
                      <w:rFonts w:hint="eastAsia" w:cs="Times New Roman"/>
                      <w:sz w:val="24"/>
                      <w:u w:val="single" w:color="auto"/>
                      <w:lang w:val="en-US" w:eastAsia="zh-CN"/>
                    </w:rPr>
                    <w:t>3#</w:t>
                  </w:r>
                  <w:r>
                    <w:rPr>
                      <w:rFonts w:hint="default" w:ascii="Times New Roman" w:hAnsi="Times New Roman" w:cs="Times New Roman"/>
                      <w:color w:val="auto"/>
                      <w:spacing w:val="8"/>
                      <w:sz w:val="22"/>
                      <w:szCs w:val="22"/>
                      <w:u w:val="single" w:color="auto"/>
                      <w:lang w:eastAsia="zh-CN"/>
                    </w:rPr>
                    <w:t>（东经：112.929733，北纬：28.717551）</w:t>
                  </w:r>
                </w:p>
              </w:tc>
              <w:tc>
                <w:tcPr>
                  <w:tcW w:w="873" w:type="dxa"/>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eastAsia="zh-CN"/>
                    </w:rPr>
                    <w:t>西北</w:t>
                  </w:r>
                </w:p>
              </w:tc>
              <w:tc>
                <w:tcPr>
                  <w:tcW w:w="1540" w:type="dxa"/>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val="en-US" w:eastAsia="zh-CN"/>
                    </w:rPr>
                    <w:t>40-60</w:t>
                  </w:r>
                  <w:r>
                    <w:rPr>
                      <w:rFonts w:hint="default" w:ascii="Times New Roman" w:hAnsi="Times New Roman" w:cs="Times New Roman"/>
                      <w:color w:val="auto"/>
                      <w:sz w:val="22"/>
                      <w:szCs w:val="22"/>
                      <w:u w:val="single" w:color="auto"/>
                      <w:lang w:val="en-US" w:eastAsia="zh-CN"/>
                    </w:rPr>
                    <w:t>m</w:t>
                  </w:r>
                </w:p>
              </w:tc>
              <w:tc>
                <w:tcPr>
                  <w:tcW w:w="1551" w:type="dxa"/>
                  <w:tcBorders>
                    <w:tl2br w:val="nil"/>
                    <w:tr2bl w:val="nil"/>
                  </w:tcBorders>
                  <w:noWrap w:val="0"/>
                  <w:vAlign w:val="center"/>
                </w:tcPr>
                <w:p>
                  <w:pPr>
                    <w:spacing w:line="360" w:lineRule="auto"/>
                    <w:ind w:left="0" w:leftChars="0" w:firstLine="0" w:firstLineChars="0"/>
                    <w:jc w:val="center"/>
                    <w:rPr>
                      <w:rFonts w:hint="eastAsia" w:cs="Times New Roman"/>
                      <w:color w:val="auto"/>
                      <w:sz w:val="22"/>
                      <w:szCs w:val="22"/>
                      <w:u w:val="single" w:color="auto"/>
                      <w:lang w:val="en-US" w:eastAsia="zh-CN"/>
                    </w:rPr>
                  </w:pPr>
                  <w:r>
                    <w:rPr>
                      <w:rFonts w:hint="eastAsia" w:eastAsia="Calibri" w:cs="Times New Roman"/>
                      <w:color w:val="auto"/>
                      <w:sz w:val="22"/>
                      <w:szCs w:val="22"/>
                      <w:u w:val="single" w:color="auto"/>
                      <w:lang w:val="en-US" w:eastAsia="zh-CN"/>
                    </w:rPr>
                    <w:t>约3户</w:t>
                  </w:r>
                </w:p>
              </w:tc>
              <w:tc>
                <w:tcPr>
                  <w:tcW w:w="1168" w:type="pct"/>
                  <w:gridSpan w:val="2"/>
                  <w:vMerge w:val="continue"/>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7" w:hRule="atLeast"/>
                <w:jc w:val="center"/>
              </w:trPr>
              <w:tc>
                <w:tcPr>
                  <w:tcW w:w="573" w:type="pct"/>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lang w:eastAsia="zh-CN"/>
                    </w:rPr>
                  </w:pPr>
                </w:p>
              </w:tc>
              <w:tc>
                <w:tcPr>
                  <w:tcW w:w="1938" w:type="dxa"/>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r>
                    <w:rPr>
                      <w:rFonts w:hint="eastAsia" w:cs="Times New Roman"/>
                      <w:sz w:val="24"/>
                      <w:u w:val="single" w:color="auto"/>
                      <w:lang w:eastAsia="zh-CN"/>
                    </w:rPr>
                    <w:t>红星组</w:t>
                  </w:r>
                  <w:r>
                    <w:rPr>
                      <w:rFonts w:hint="eastAsia" w:cs="Times New Roman"/>
                      <w:sz w:val="24"/>
                      <w:u w:val="single" w:color="auto"/>
                      <w:lang w:val="en-US" w:eastAsia="zh-CN"/>
                    </w:rPr>
                    <w:t>4#</w:t>
                  </w:r>
                  <w:r>
                    <w:rPr>
                      <w:rFonts w:hint="default" w:ascii="Times New Roman" w:hAnsi="Times New Roman" w:cs="Times New Roman"/>
                      <w:color w:val="auto"/>
                      <w:spacing w:val="8"/>
                      <w:sz w:val="22"/>
                      <w:szCs w:val="22"/>
                      <w:u w:val="single" w:color="auto"/>
                      <w:lang w:eastAsia="zh-CN"/>
                    </w:rPr>
                    <w:t>（东经：112.930975，北纬：28.716709）</w:t>
                  </w:r>
                </w:p>
              </w:tc>
              <w:tc>
                <w:tcPr>
                  <w:tcW w:w="873" w:type="dxa"/>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eastAsia="zh-CN"/>
                    </w:rPr>
                    <w:t>东南</w:t>
                  </w:r>
                </w:p>
              </w:tc>
              <w:tc>
                <w:tcPr>
                  <w:tcW w:w="1540" w:type="dxa"/>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val="en-US" w:eastAsia="zh-CN"/>
                    </w:rPr>
                    <w:t>44-67</w:t>
                  </w:r>
                  <w:r>
                    <w:rPr>
                      <w:rFonts w:hint="default" w:ascii="Times New Roman" w:hAnsi="Times New Roman" w:cs="Times New Roman"/>
                      <w:color w:val="auto"/>
                      <w:sz w:val="22"/>
                      <w:szCs w:val="22"/>
                      <w:u w:val="single" w:color="auto"/>
                      <w:lang w:val="en-US" w:eastAsia="zh-CN"/>
                    </w:rPr>
                    <w:t>m</w:t>
                  </w:r>
                </w:p>
              </w:tc>
              <w:tc>
                <w:tcPr>
                  <w:tcW w:w="1551" w:type="dxa"/>
                  <w:tcBorders>
                    <w:tl2br w:val="nil"/>
                    <w:tr2bl w:val="nil"/>
                  </w:tcBorders>
                  <w:noWrap w:val="0"/>
                  <w:vAlign w:val="center"/>
                </w:tcPr>
                <w:p>
                  <w:pPr>
                    <w:spacing w:line="360" w:lineRule="auto"/>
                    <w:ind w:left="0" w:leftChars="0" w:firstLine="0" w:firstLineChars="0"/>
                    <w:jc w:val="center"/>
                    <w:rPr>
                      <w:rFonts w:hint="eastAsia" w:cs="Times New Roman"/>
                      <w:color w:val="auto"/>
                      <w:sz w:val="22"/>
                      <w:szCs w:val="22"/>
                      <w:u w:val="single" w:color="auto"/>
                      <w:lang w:val="en-US" w:eastAsia="zh-CN"/>
                    </w:rPr>
                  </w:pPr>
                  <w:r>
                    <w:rPr>
                      <w:rFonts w:hint="eastAsia" w:eastAsia="Calibri" w:cs="Times New Roman"/>
                      <w:color w:val="auto"/>
                      <w:sz w:val="22"/>
                      <w:szCs w:val="22"/>
                      <w:u w:val="single" w:color="auto"/>
                      <w:lang w:val="en-US" w:eastAsia="zh-CN"/>
                    </w:rPr>
                    <w:t>约4户</w:t>
                  </w:r>
                </w:p>
              </w:tc>
              <w:tc>
                <w:tcPr>
                  <w:tcW w:w="1168" w:type="pct"/>
                  <w:gridSpan w:val="2"/>
                  <w:vMerge w:val="continue"/>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088" w:hRule="atLeast"/>
                <w:jc w:val="center"/>
              </w:trPr>
              <w:tc>
                <w:tcPr>
                  <w:tcW w:w="573" w:type="pct"/>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lang w:eastAsia="zh-CN"/>
                    </w:rPr>
                  </w:pPr>
                </w:p>
              </w:tc>
              <w:tc>
                <w:tcPr>
                  <w:tcW w:w="1938" w:type="dxa"/>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r>
                    <w:rPr>
                      <w:rFonts w:hint="eastAsia" w:cs="Times New Roman"/>
                      <w:sz w:val="24"/>
                      <w:u w:val="single" w:color="auto"/>
                      <w:lang w:eastAsia="zh-CN"/>
                    </w:rPr>
                    <w:t>红星组</w:t>
                  </w:r>
                  <w:r>
                    <w:rPr>
                      <w:rFonts w:hint="eastAsia" w:cs="Times New Roman"/>
                      <w:sz w:val="24"/>
                      <w:u w:val="single" w:color="auto"/>
                      <w:lang w:val="en-US" w:eastAsia="zh-CN"/>
                    </w:rPr>
                    <w:t>5#</w:t>
                  </w:r>
                  <w:r>
                    <w:rPr>
                      <w:rFonts w:hint="default" w:ascii="Times New Roman" w:hAnsi="Times New Roman" w:cs="Times New Roman"/>
                      <w:color w:val="auto"/>
                      <w:spacing w:val="8"/>
                      <w:sz w:val="22"/>
                      <w:szCs w:val="22"/>
                      <w:u w:val="single" w:color="auto"/>
                      <w:lang w:eastAsia="zh-CN"/>
                    </w:rPr>
                    <w:t>（东经：112.931170，北纬：28.718141）</w:t>
                  </w:r>
                </w:p>
              </w:tc>
              <w:tc>
                <w:tcPr>
                  <w:tcW w:w="873" w:type="dxa"/>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eastAsia="zh-CN"/>
                    </w:rPr>
                    <w:t>东北</w:t>
                  </w:r>
                </w:p>
              </w:tc>
              <w:tc>
                <w:tcPr>
                  <w:tcW w:w="1540" w:type="dxa"/>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val="en-US" w:eastAsia="zh-CN"/>
                    </w:rPr>
                    <w:t>50-200</w:t>
                  </w:r>
                  <w:r>
                    <w:rPr>
                      <w:rFonts w:hint="default" w:ascii="Times New Roman" w:hAnsi="Times New Roman" w:cs="Times New Roman"/>
                      <w:color w:val="auto"/>
                      <w:sz w:val="22"/>
                      <w:szCs w:val="22"/>
                      <w:u w:val="single" w:color="auto"/>
                      <w:lang w:val="en-US" w:eastAsia="zh-CN"/>
                    </w:rPr>
                    <w:t>m</w:t>
                  </w:r>
                </w:p>
              </w:tc>
              <w:tc>
                <w:tcPr>
                  <w:tcW w:w="1551" w:type="dxa"/>
                  <w:tcBorders>
                    <w:tl2br w:val="nil"/>
                    <w:tr2bl w:val="nil"/>
                  </w:tcBorders>
                  <w:noWrap w:val="0"/>
                  <w:vAlign w:val="center"/>
                </w:tcPr>
                <w:p>
                  <w:pPr>
                    <w:spacing w:line="360" w:lineRule="auto"/>
                    <w:ind w:left="0" w:leftChars="0" w:firstLine="0" w:firstLineChars="0"/>
                    <w:jc w:val="center"/>
                    <w:rPr>
                      <w:rFonts w:hint="eastAsia" w:cs="Times New Roman"/>
                      <w:color w:val="auto"/>
                      <w:sz w:val="22"/>
                      <w:szCs w:val="22"/>
                      <w:u w:val="single" w:color="auto"/>
                      <w:lang w:val="en-US" w:eastAsia="zh-CN"/>
                    </w:rPr>
                  </w:pPr>
                  <w:r>
                    <w:rPr>
                      <w:rFonts w:hint="eastAsia" w:eastAsia="Calibri" w:cs="Times New Roman"/>
                      <w:color w:val="auto"/>
                      <w:sz w:val="22"/>
                      <w:szCs w:val="22"/>
                      <w:u w:val="single" w:color="auto"/>
                      <w:lang w:val="en-US" w:eastAsia="zh-CN"/>
                    </w:rPr>
                    <w:t>约15户</w:t>
                  </w:r>
                </w:p>
              </w:tc>
              <w:tc>
                <w:tcPr>
                  <w:tcW w:w="1168" w:type="pct"/>
                  <w:gridSpan w:val="2"/>
                  <w:vMerge w:val="continue"/>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573" w:type="pct"/>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lang w:eastAsia="zh-CN"/>
                    </w:rPr>
                  </w:pPr>
                </w:p>
              </w:tc>
              <w:tc>
                <w:tcPr>
                  <w:tcW w:w="1938" w:type="dxa"/>
                  <w:tcBorders>
                    <w:tl2br w:val="nil"/>
                    <w:tr2bl w:val="nil"/>
                  </w:tcBorders>
                  <w:noWrap w:val="0"/>
                  <w:vAlign w:val="center"/>
                </w:tcPr>
                <w:p>
                  <w:pPr>
                    <w:spacing w:line="360" w:lineRule="auto"/>
                    <w:ind w:firstLine="0" w:firstLineChars="0"/>
                    <w:jc w:val="center"/>
                    <w:rPr>
                      <w:rFonts w:hint="eastAsia" w:cs="Times New Roman"/>
                      <w:sz w:val="24"/>
                      <w:u w:val="single" w:color="auto"/>
                      <w:lang w:eastAsia="zh-CN"/>
                    </w:rPr>
                  </w:pPr>
                  <w:r>
                    <w:rPr>
                      <w:rFonts w:hint="eastAsia" w:cs="Times New Roman"/>
                      <w:sz w:val="24"/>
                      <w:u w:val="single" w:color="auto"/>
                      <w:lang w:eastAsia="zh-CN"/>
                    </w:rPr>
                    <w:t>高山村</w:t>
                  </w:r>
                  <w:r>
                    <w:rPr>
                      <w:rFonts w:hint="eastAsia" w:cs="Times New Roman"/>
                      <w:sz w:val="24"/>
                      <w:u w:val="single" w:color="auto"/>
                      <w:lang w:val="en-US" w:eastAsia="zh-CN"/>
                    </w:rPr>
                    <w:t>1#</w:t>
                  </w:r>
                  <w:r>
                    <w:rPr>
                      <w:rFonts w:hint="default" w:ascii="Times New Roman" w:hAnsi="Times New Roman" w:cs="Times New Roman"/>
                      <w:color w:val="auto"/>
                      <w:spacing w:val="8"/>
                      <w:sz w:val="22"/>
                      <w:szCs w:val="22"/>
                      <w:u w:val="single" w:color="auto"/>
                      <w:lang w:eastAsia="zh-CN"/>
                    </w:rPr>
                    <w:t>（东经：112.929041，北纬：28.717398）</w:t>
                  </w:r>
                </w:p>
              </w:tc>
              <w:tc>
                <w:tcPr>
                  <w:tcW w:w="873" w:type="dxa"/>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eastAsia="zh-CN"/>
                    </w:rPr>
                  </w:pPr>
                  <w:r>
                    <w:rPr>
                      <w:rFonts w:hint="eastAsia" w:cs="Times New Roman"/>
                      <w:color w:val="auto"/>
                      <w:sz w:val="22"/>
                      <w:szCs w:val="22"/>
                      <w:u w:val="single" w:color="auto"/>
                      <w:lang w:eastAsia="zh-CN"/>
                    </w:rPr>
                    <w:t>西北</w:t>
                  </w:r>
                </w:p>
              </w:tc>
              <w:tc>
                <w:tcPr>
                  <w:tcW w:w="1540" w:type="dxa"/>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val="en-US" w:eastAsia="zh-CN"/>
                    </w:rPr>
                    <w:t>75-200</w:t>
                  </w:r>
                  <w:r>
                    <w:rPr>
                      <w:rFonts w:hint="default" w:ascii="Times New Roman" w:hAnsi="Times New Roman" w:cs="Times New Roman"/>
                      <w:color w:val="auto"/>
                      <w:sz w:val="22"/>
                      <w:szCs w:val="22"/>
                      <w:u w:val="single" w:color="auto"/>
                      <w:lang w:val="en-US" w:eastAsia="zh-CN"/>
                    </w:rPr>
                    <w:t>m</w:t>
                  </w:r>
                </w:p>
              </w:tc>
              <w:tc>
                <w:tcPr>
                  <w:tcW w:w="1551" w:type="dxa"/>
                  <w:tcBorders>
                    <w:tl2br w:val="nil"/>
                    <w:tr2bl w:val="nil"/>
                  </w:tcBorders>
                  <w:noWrap w:val="0"/>
                  <w:vAlign w:val="center"/>
                </w:tcPr>
                <w:p>
                  <w:pPr>
                    <w:spacing w:line="360" w:lineRule="auto"/>
                    <w:ind w:left="0" w:leftChars="0" w:firstLine="0" w:firstLineChars="0"/>
                    <w:jc w:val="center"/>
                    <w:rPr>
                      <w:rFonts w:hint="eastAsia" w:eastAsia="Calibri" w:cs="Times New Roman"/>
                      <w:color w:val="auto"/>
                      <w:sz w:val="22"/>
                      <w:szCs w:val="22"/>
                      <w:u w:val="single" w:color="auto"/>
                      <w:lang w:val="en-US" w:eastAsia="zh-CN"/>
                    </w:rPr>
                  </w:pPr>
                  <w:r>
                    <w:rPr>
                      <w:rFonts w:hint="eastAsia" w:eastAsia="Calibri" w:cs="Times New Roman"/>
                      <w:color w:val="auto"/>
                      <w:sz w:val="22"/>
                      <w:szCs w:val="22"/>
                      <w:u w:val="single" w:color="auto"/>
                      <w:lang w:val="en-US" w:eastAsia="zh-CN"/>
                    </w:rPr>
                    <w:t>约10户</w:t>
                  </w:r>
                </w:p>
              </w:tc>
              <w:tc>
                <w:tcPr>
                  <w:tcW w:w="1168" w:type="pct"/>
                  <w:gridSpan w:val="2"/>
                  <w:vMerge w:val="continue"/>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573" w:type="pct"/>
                  <w:vMerge w:val="continue"/>
                  <w:tcBorders>
                    <w:tl2br w:val="nil"/>
                    <w:tr2bl w:val="nil"/>
                  </w:tcBorders>
                  <w:noWrap w:val="0"/>
                  <w:vAlign w:val="center"/>
                </w:tcPr>
                <w:p>
                  <w:pPr>
                    <w:spacing w:line="360" w:lineRule="auto"/>
                    <w:ind w:firstLine="0" w:firstLineChars="0"/>
                    <w:jc w:val="center"/>
                    <w:rPr>
                      <w:rFonts w:hint="default" w:ascii="Times New Roman" w:hAnsi="Times New Roman" w:cs="Times New Roman"/>
                      <w:color w:val="auto"/>
                      <w:sz w:val="22"/>
                      <w:szCs w:val="22"/>
                      <w:u w:val="single" w:color="auto"/>
                      <w:lang w:eastAsia="zh-CN"/>
                    </w:rPr>
                  </w:pPr>
                </w:p>
              </w:tc>
              <w:tc>
                <w:tcPr>
                  <w:tcW w:w="1938" w:type="dxa"/>
                  <w:tcBorders>
                    <w:tl2br w:val="nil"/>
                    <w:tr2bl w:val="nil"/>
                  </w:tcBorders>
                  <w:noWrap w:val="0"/>
                  <w:vAlign w:val="center"/>
                </w:tcPr>
                <w:p>
                  <w:pPr>
                    <w:spacing w:line="360" w:lineRule="auto"/>
                    <w:ind w:firstLine="0" w:firstLineChars="0"/>
                    <w:jc w:val="center"/>
                    <w:rPr>
                      <w:rFonts w:hint="eastAsia" w:cs="Times New Roman"/>
                      <w:sz w:val="24"/>
                      <w:u w:val="single" w:color="auto"/>
                      <w:lang w:eastAsia="zh-CN"/>
                    </w:rPr>
                  </w:pPr>
                  <w:r>
                    <w:rPr>
                      <w:rFonts w:hint="eastAsia" w:cs="Times New Roman"/>
                      <w:sz w:val="24"/>
                      <w:u w:val="single" w:color="auto"/>
                      <w:lang w:eastAsia="zh-CN"/>
                    </w:rPr>
                    <w:t>红星组</w:t>
                  </w:r>
                  <w:r>
                    <w:rPr>
                      <w:rFonts w:hint="eastAsia" w:cs="Times New Roman"/>
                      <w:sz w:val="24"/>
                      <w:u w:val="single" w:color="auto"/>
                      <w:lang w:val="en-US" w:eastAsia="zh-CN"/>
                    </w:rPr>
                    <w:t>1#</w:t>
                  </w:r>
                  <w:r>
                    <w:rPr>
                      <w:rFonts w:hint="default" w:ascii="Times New Roman" w:hAnsi="Times New Roman" w:cs="Times New Roman"/>
                      <w:color w:val="auto"/>
                      <w:spacing w:val="8"/>
                      <w:sz w:val="22"/>
                      <w:szCs w:val="22"/>
                      <w:u w:val="single" w:color="auto"/>
                      <w:lang w:eastAsia="zh-CN"/>
                    </w:rPr>
                    <w:t>（东经：112.930293，北纬：28.717657）</w:t>
                  </w:r>
                </w:p>
              </w:tc>
              <w:tc>
                <w:tcPr>
                  <w:tcW w:w="873" w:type="dxa"/>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eastAsia="zh-CN"/>
                    </w:rPr>
                  </w:pPr>
                  <w:r>
                    <w:rPr>
                      <w:rFonts w:hint="eastAsia" w:eastAsia="Calibri" w:cs="Times New Roman"/>
                      <w:color w:val="auto"/>
                      <w:sz w:val="22"/>
                      <w:szCs w:val="22"/>
                      <w:u w:val="single" w:color="auto"/>
                      <w:lang w:eastAsia="zh-CN"/>
                    </w:rPr>
                    <w:t>北</w:t>
                  </w:r>
                </w:p>
              </w:tc>
              <w:tc>
                <w:tcPr>
                  <w:tcW w:w="1540" w:type="dxa"/>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val="en-US" w:eastAsia="zh-CN"/>
                    </w:rPr>
                    <w:t>1-50</w:t>
                  </w:r>
                  <w:r>
                    <w:rPr>
                      <w:rFonts w:hint="default" w:ascii="Times New Roman" w:hAnsi="Times New Roman" w:cs="Times New Roman"/>
                      <w:color w:val="auto"/>
                      <w:sz w:val="22"/>
                      <w:szCs w:val="22"/>
                      <w:u w:val="single" w:color="auto"/>
                      <w:lang w:val="en-US" w:eastAsia="zh-CN"/>
                    </w:rPr>
                    <w:t>m</w:t>
                  </w:r>
                </w:p>
              </w:tc>
              <w:tc>
                <w:tcPr>
                  <w:tcW w:w="1551" w:type="dxa"/>
                  <w:tcBorders>
                    <w:tl2br w:val="nil"/>
                    <w:tr2bl w:val="nil"/>
                  </w:tcBorders>
                  <w:noWrap w:val="0"/>
                  <w:vAlign w:val="center"/>
                </w:tcPr>
                <w:p>
                  <w:pPr>
                    <w:spacing w:line="360" w:lineRule="auto"/>
                    <w:ind w:firstLine="0" w:firstLineChars="0"/>
                    <w:jc w:val="center"/>
                    <w:rPr>
                      <w:rFonts w:hint="eastAsia" w:eastAsia="Calibri" w:cs="Times New Roman"/>
                      <w:color w:val="auto"/>
                      <w:sz w:val="22"/>
                      <w:szCs w:val="22"/>
                      <w:u w:val="single" w:color="auto"/>
                      <w:lang w:val="en-US" w:eastAsia="zh-CN"/>
                    </w:rPr>
                  </w:pPr>
                  <w:r>
                    <w:rPr>
                      <w:rFonts w:hint="eastAsia" w:eastAsia="Calibri" w:cs="Times New Roman"/>
                      <w:color w:val="auto"/>
                      <w:sz w:val="22"/>
                      <w:szCs w:val="22"/>
                      <w:u w:val="single" w:color="auto"/>
                      <w:lang w:val="en-US" w:eastAsia="zh-CN"/>
                    </w:rPr>
                    <w:t>约10户</w:t>
                  </w:r>
                </w:p>
              </w:tc>
              <w:tc>
                <w:tcPr>
                  <w:tcW w:w="1168" w:type="pct"/>
                  <w:gridSpan w:val="2"/>
                  <w:vMerge w:val="continue"/>
                  <w:tcBorders>
                    <w:tl2br w:val="nil"/>
                    <w:tr2bl w:val="nil"/>
                  </w:tcBorders>
                  <w:noWrap w:val="0"/>
                  <w:vAlign w:val="center"/>
                </w:tcPr>
                <w:p>
                  <w:pPr>
                    <w:spacing w:line="360" w:lineRule="auto"/>
                    <w:ind w:firstLine="0" w:firstLineChars="0"/>
                    <w:jc w:val="center"/>
                    <w:rPr>
                      <w:rFonts w:hint="eastAsia" w:cs="Times New Roman"/>
                      <w:color w:val="auto"/>
                      <w:sz w:val="22"/>
                      <w:szCs w:val="22"/>
                      <w:u w:val="single" w:color="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8" w:type="pct"/>
                <w:trHeight w:val="588" w:hRule="atLeast"/>
                <w:jc w:val="center"/>
              </w:trPr>
              <w:tc>
                <w:tcPr>
                  <w:tcW w:w="573" w:type="pct"/>
                  <w:tcBorders>
                    <w:tl2br w:val="nil"/>
                    <w:tr2bl w:val="nil"/>
                  </w:tcBorders>
                  <w:noWrap w:val="0"/>
                  <w:vAlign w:val="center"/>
                </w:tcPr>
                <w:p>
                  <w:pPr>
                    <w:spacing w:line="320" w:lineRule="exact"/>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地下水环境</w:t>
                  </w:r>
                </w:p>
              </w:tc>
              <w:tc>
                <w:tcPr>
                  <w:tcW w:w="3258" w:type="pct"/>
                  <w:gridSpan w:val="4"/>
                  <w:tcBorders>
                    <w:tl2br w:val="nil"/>
                    <w:tr2bl w:val="nil"/>
                  </w:tcBorders>
                  <w:noWrap w:val="0"/>
                  <w:vAlign w:val="center"/>
                </w:tcPr>
                <w:p>
                  <w:pPr>
                    <w:spacing w:line="320" w:lineRule="exact"/>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项目周边居民饮用自来水，地下水资源开发利用程度较低</w:t>
                  </w:r>
                </w:p>
              </w:tc>
              <w:tc>
                <w:tcPr>
                  <w:tcW w:w="1159" w:type="pct"/>
                  <w:tcBorders>
                    <w:tl2br w:val="nil"/>
                    <w:tr2bl w:val="nil"/>
                  </w:tcBorders>
                  <w:noWrap w:val="0"/>
                  <w:vAlign w:val="center"/>
                </w:tcPr>
                <w:p>
                  <w:pPr>
                    <w:spacing w:line="320" w:lineRule="exact"/>
                    <w:jc w:val="center"/>
                    <w:rPr>
                      <w:rFonts w:hint="eastAsia"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8" w:type="pct"/>
                <w:trHeight w:val="23" w:hRule="atLeast"/>
                <w:jc w:val="center"/>
              </w:trPr>
              <w:tc>
                <w:tcPr>
                  <w:tcW w:w="573" w:type="pct"/>
                  <w:tcBorders>
                    <w:tl2br w:val="nil"/>
                    <w:tr2bl w:val="nil"/>
                  </w:tcBorders>
                  <w:noWrap w:val="0"/>
                  <w:vAlign w:val="center"/>
                </w:tcPr>
                <w:p>
                  <w:pPr>
                    <w:spacing w:line="320" w:lineRule="exact"/>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生态环境</w:t>
                  </w:r>
                </w:p>
              </w:tc>
              <w:tc>
                <w:tcPr>
                  <w:tcW w:w="3258" w:type="pct"/>
                  <w:gridSpan w:val="4"/>
                  <w:tcBorders>
                    <w:tl2br w:val="nil"/>
                    <w:tr2bl w:val="nil"/>
                  </w:tcBorders>
                  <w:noWrap w:val="0"/>
                  <w:vAlign w:val="center"/>
                </w:tcPr>
                <w:p>
                  <w:pPr>
                    <w:spacing w:line="320" w:lineRule="exact"/>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 xml:space="preserve">厂区周边 </w:t>
                  </w:r>
                  <w:r>
                    <w:rPr>
                      <w:rFonts w:hint="default" w:ascii="Times New Roman" w:hAnsi="Times New Roman" w:eastAsia="宋体" w:cs="Times New Roman"/>
                      <w:color w:val="auto"/>
                      <w:sz w:val="21"/>
                      <w:szCs w:val="21"/>
                      <w:u w:val="single" w:color="auto"/>
                      <w:lang w:val="en-US" w:eastAsia="zh-CN"/>
                    </w:rPr>
                    <w:t>2</w:t>
                  </w:r>
                  <w:r>
                    <w:rPr>
                      <w:rFonts w:hint="default" w:ascii="Times New Roman" w:hAnsi="Times New Roman" w:eastAsia="宋体" w:cs="Times New Roman"/>
                      <w:color w:val="auto"/>
                      <w:sz w:val="21"/>
                      <w:szCs w:val="21"/>
                      <w:u w:val="single" w:color="auto"/>
                    </w:rPr>
                    <w:t>00m 范围内的生态环境</w:t>
                  </w:r>
                </w:p>
              </w:tc>
              <w:tc>
                <w:tcPr>
                  <w:tcW w:w="1159" w:type="pct"/>
                  <w:tcBorders>
                    <w:tl2br w:val="nil"/>
                    <w:tr2bl w:val="nil"/>
                  </w:tcBorders>
                  <w:noWrap w:val="0"/>
                  <w:vAlign w:val="center"/>
                </w:tcPr>
                <w:p>
                  <w:pPr>
                    <w:spacing w:line="320" w:lineRule="exact"/>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不破坏生态系统</w:t>
                  </w:r>
                </w:p>
                <w:p>
                  <w:pPr>
                    <w:spacing w:line="320" w:lineRule="exact"/>
                    <w:jc w:val="center"/>
                    <w:rPr>
                      <w:rFonts w:hint="default" w:ascii="Times New Roman" w:hAnsi="Times New Roman" w:eastAsia="宋体" w:cs="Times New Roman"/>
                      <w:color w:val="auto"/>
                      <w:sz w:val="21"/>
                      <w:szCs w:val="21"/>
                      <w:u w:val="single" w:color="auto"/>
                    </w:rPr>
                  </w:pPr>
                </w:p>
              </w:tc>
            </w:tr>
          </w:tbl>
          <w:p>
            <w:pPr>
              <w:rPr>
                <w:rFonts w:hint="default" w:ascii="Times New Roman" w:hAnsi="Times New Roman" w:eastAsia="宋体" w:cs="Times New Roman"/>
                <w:b/>
                <w:snapToGrid w:val="0"/>
                <w:color w:val="0000FF"/>
                <w:spacing w:val="0"/>
                <w:sz w:val="21"/>
                <w:szCs w:val="21"/>
                <w:u w:val="none" w:color="auto"/>
              </w:rPr>
            </w:pPr>
          </w:p>
          <w:p>
            <w:pPr>
              <w:bidi w:val="0"/>
              <w:rPr>
                <w:u w:val="none" w:color="auto"/>
              </w:rPr>
            </w:pPr>
          </w:p>
          <w:p>
            <w:pPr>
              <w:bidi w:val="0"/>
              <w:rPr>
                <w:u w:val="none" w:color="auto"/>
              </w:rPr>
            </w:pPr>
          </w:p>
          <w:p>
            <w:pPr>
              <w:bidi w:val="0"/>
              <w:rPr>
                <w:u w:val="none" w:color="auto"/>
              </w:rPr>
            </w:pPr>
          </w:p>
          <w:p>
            <w:pPr>
              <w:bidi w:val="0"/>
              <w:rPr>
                <w:u w:val="none" w:color="auto"/>
              </w:rPr>
            </w:pPr>
          </w:p>
          <w:p>
            <w:pPr>
              <w:bidi w:val="0"/>
              <w:rPr>
                <w:u w:val="none" w:color="auto"/>
              </w:rPr>
            </w:pPr>
          </w:p>
          <w:p>
            <w:pPr>
              <w:snapToGrid w:val="0"/>
              <w:spacing w:line="360" w:lineRule="auto"/>
              <w:ind w:firstLine="462" w:firstLineChars="200"/>
              <w:rPr>
                <w:bCs/>
                <w:sz w:val="24"/>
                <w:u w:val="none" w:color="auto"/>
              </w:rPr>
            </w:pPr>
          </w:p>
          <w:p>
            <w:pPr>
              <w:snapToGrid w:val="0"/>
              <w:jc w:val="center"/>
              <w:rPr>
                <w:b/>
                <w:sz w:val="24"/>
                <w:szCs w:val="24"/>
                <w:u w:val="none" w:color="auto"/>
              </w:rPr>
            </w:pPr>
            <w:r>
              <w:rPr>
                <w:rFonts w:hAnsi="宋体"/>
                <w:sz w:val="24"/>
                <w:szCs w:val="24"/>
                <w:u w:val="none" w:color="auto"/>
              </w:rPr>
              <w:cr/>
            </w:r>
            <w:r>
              <w:rPr>
                <w:rFonts w:hAnsi="宋体"/>
                <w:sz w:val="24"/>
                <w:szCs w:val="24"/>
                <w:u w:val="none" w:color="auto"/>
              </w:rPr>
              <w:t xml:space="preserve">   </w:t>
            </w:r>
          </w:p>
          <w:p>
            <w:pPr>
              <w:pStyle w:val="32"/>
              <w:ind w:left="0" w:leftChars="0"/>
              <w:rPr>
                <w:u w:val="none" w:color="auto"/>
              </w:rPr>
            </w:pPr>
          </w:p>
        </w:tc>
      </w:tr>
    </w:tbl>
    <w:p>
      <w:pPr>
        <w:snapToGrid w:val="0"/>
        <w:textAlignment w:val="baseline"/>
        <w:outlineLvl w:val="0"/>
        <w:rPr>
          <w:rFonts w:eastAsia="黑体"/>
          <w:sz w:val="32"/>
          <w:u w:val="none" w:color="auto"/>
        </w:rPr>
      </w:pPr>
      <w:r>
        <w:rPr>
          <w:u w:val="none" w:color="auto"/>
        </w:rPr>
        <w:br w:type="page"/>
      </w:r>
      <w:bookmarkStart w:id="4" w:name="_Toc15014"/>
      <w:r>
        <w:rPr>
          <w:rFonts w:hint="default" w:ascii="Times New Roman" w:hAnsi="Times New Roman" w:eastAsia="黑体" w:cs="Times New Roman"/>
          <w:sz w:val="32"/>
          <w:szCs w:val="32"/>
          <w:u w:val="none" w:color="auto"/>
        </w:rPr>
        <w:t>四、</w:t>
      </w:r>
      <w:r>
        <w:rPr>
          <w:rFonts w:hint="default" w:ascii="Times New Roman" w:hAnsi="Times New Roman" w:eastAsia="黑体" w:cs="Times New Roman"/>
          <w:sz w:val="32"/>
          <w:u w:val="none" w:color="auto"/>
        </w:rPr>
        <w:t>评价适用标准</w:t>
      </w:r>
      <w:bookmarkEnd w:id="4"/>
    </w:p>
    <w:tbl>
      <w:tblPr>
        <w:tblStyle w:val="39"/>
        <w:tblW w:w="92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86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65" w:hRule="atLeast"/>
          <w:jc w:val="center"/>
        </w:trPr>
        <w:tc>
          <w:tcPr>
            <w:tcW w:w="592" w:type="dxa"/>
            <w:vAlign w:val="center"/>
          </w:tcPr>
          <w:p>
            <w:pPr>
              <w:jc w:val="center"/>
              <w:rPr>
                <w:b/>
                <w:bCs/>
                <w:sz w:val="24"/>
                <w:szCs w:val="24"/>
                <w:u w:val="none" w:color="auto"/>
              </w:rPr>
            </w:pPr>
            <w:r>
              <w:rPr>
                <w:b/>
                <w:bCs/>
                <w:sz w:val="24"/>
                <w:szCs w:val="24"/>
                <w:u w:val="none" w:color="auto"/>
              </w:rPr>
              <w:t>环境质量标准</w:t>
            </w:r>
          </w:p>
        </w:tc>
        <w:tc>
          <w:tcPr>
            <w:tcW w:w="8676" w:type="dxa"/>
            <w:vAlign w:val="center"/>
          </w:tcPr>
          <w:p>
            <w:pPr>
              <w:pStyle w:val="169"/>
              <w:numPr>
                <w:ilvl w:val="0"/>
                <w:numId w:val="0"/>
              </w:numPr>
              <w:spacing w:line="360" w:lineRule="auto"/>
              <w:rPr>
                <w:rFonts w:hint="eastAsia" w:eastAsia="宋体"/>
                <w:color w:val="auto"/>
                <w:sz w:val="24"/>
                <w:szCs w:val="24"/>
                <w:u w:val="none" w:color="auto"/>
                <w:lang w:eastAsia="zh-CN"/>
              </w:rPr>
            </w:pPr>
            <w:r>
              <w:rPr>
                <w:rFonts w:hint="default" w:ascii="Times New Roman" w:hAnsi="Times New Roman" w:cs="Times New Roman"/>
                <w:color w:val="auto"/>
                <w:sz w:val="24"/>
                <w:szCs w:val="24"/>
                <w:u w:val="none" w:color="auto"/>
                <w:lang w:val="en-US" w:eastAsia="zh-CN"/>
              </w:rPr>
              <w:t>1</w:t>
            </w:r>
            <w:r>
              <w:rPr>
                <w:rFonts w:hint="eastAsia" w:cs="Times New Roman"/>
                <w:color w:val="auto"/>
                <w:sz w:val="24"/>
                <w:szCs w:val="24"/>
                <w:u w:val="none" w:color="auto"/>
                <w:lang w:val="en-US" w:eastAsia="zh-CN"/>
              </w:rPr>
              <w:t>、</w:t>
            </w:r>
            <w:r>
              <w:rPr>
                <w:color w:val="auto"/>
                <w:sz w:val="24"/>
                <w:szCs w:val="24"/>
                <w:u w:val="none" w:color="auto"/>
              </w:rPr>
              <w:t>环境空气质量：</w:t>
            </w:r>
            <w:r>
              <w:rPr>
                <w:rFonts w:hint="default"/>
                <w:color w:val="auto"/>
                <w:sz w:val="24"/>
                <w:szCs w:val="24"/>
                <w:u w:val="none" w:color="auto"/>
              </w:rPr>
              <w:t>SO</w:t>
            </w:r>
            <w:r>
              <w:rPr>
                <w:rFonts w:hint="default"/>
                <w:color w:val="auto"/>
                <w:sz w:val="24"/>
                <w:szCs w:val="24"/>
                <w:u w:val="none" w:color="auto"/>
                <w:vertAlign w:val="subscript"/>
              </w:rPr>
              <w:t>2</w:t>
            </w:r>
            <w:r>
              <w:rPr>
                <w:rFonts w:hint="default"/>
                <w:color w:val="auto"/>
                <w:sz w:val="24"/>
                <w:szCs w:val="24"/>
                <w:u w:val="none" w:color="auto"/>
              </w:rPr>
              <w:t>、NO</w:t>
            </w:r>
            <w:r>
              <w:rPr>
                <w:rFonts w:hint="default"/>
                <w:color w:val="auto"/>
                <w:sz w:val="24"/>
                <w:szCs w:val="24"/>
                <w:u w:val="none" w:color="auto"/>
                <w:vertAlign w:val="subscript"/>
              </w:rPr>
              <w:t>2</w:t>
            </w:r>
            <w:r>
              <w:rPr>
                <w:rFonts w:hint="default"/>
                <w:color w:val="auto"/>
                <w:sz w:val="24"/>
                <w:szCs w:val="24"/>
                <w:u w:val="none" w:color="auto"/>
              </w:rPr>
              <w:t>、PM</w:t>
            </w:r>
            <w:r>
              <w:rPr>
                <w:rFonts w:hint="default"/>
                <w:color w:val="auto"/>
                <w:sz w:val="24"/>
                <w:szCs w:val="24"/>
                <w:u w:val="none" w:color="auto"/>
                <w:vertAlign w:val="subscript"/>
              </w:rPr>
              <w:t>10</w:t>
            </w:r>
            <w:r>
              <w:rPr>
                <w:rFonts w:hint="eastAsia"/>
                <w:color w:val="auto"/>
                <w:sz w:val="24"/>
                <w:szCs w:val="24"/>
                <w:u w:val="none" w:color="auto"/>
                <w:vertAlign w:val="baseline"/>
                <w:lang w:eastAsia="zh-CN"/>
              </w:rPr>
              <w:t>、</w:t>
            </w:r>
            <w:r>
              <w:rPr>
                <w:rFonts w:hint="default" w:ascii="Times New Roman" w:hAnsi="Times New Roman" w:cs="Times New Roman"/>
                <w:color w:val="auto"/>
                <w:sz w:val="24"/>
                <w:szCs w:val="24"/>
                <w:u w:val="none" w:color="auto"/>
              </w:rPr>
              <w:t>PM</w:t>
            </w:r>
            <w:r>
              <w:rPr>
                <w:rFonts w:hint="eastAsia" w:ascii="Times New Roman" w:hAnsi="Times New Roman" w:cs="Times New Roman"/>
                <w:color w:val="auto"/>
                <w:sz w:val="24"/>
                <w:szCs w:val="24"/>
                <w:u w:val="none" w:color="auto"/>
                <w:vertAlign w:val="subscript"/>
                <w:lang w:val="en-US" w:eastAsia="zh-CN"/>
              </w:rPr>
              <w:t>2.5</w:t>
            </w:r>
            <w:r>
              <w:rPr>
                <w:rFonts w:hint="eastAsia" w:cs="Times New Roman"/>
                <w:color w:val="auto"/>
                <w:sz w:val="24"/>
                <w:szCs w:val="24"/>
                <w:u w:val="none" w:color="auto"/>
                <w:vertAlign w:val="baseline"/>
                <w:lang w:val="en-US" w:eastAsia="zh-CN"/>
              </w:rPr>
              <w:t>、</w:t>
            </w:r>
            <w:r>
              <w:rPr>
                <w:rFonts w:hint="eastAsia" w:ascii="Times New Roman" w:hAnsi="Times New Roman" w:cs="Times New Roman"/>
                <w:color w:val="auto"/>
                <w:sz w:val="24"/>
                <w:szCs w:val="24"/>
                <w:u w:val="none" w:color="auto"/>
                <w:lang w:val="en-US" w:eastAsia="zh-CN"/>
              </w:rPr>
              <w:t>C</w:t>
            </w:r>
            <w:r>
              <w:rPr>
                <w:rFonts w:hint="default" w:ascii="Times New Roman" w:hAnsi="Times New Roman" w:cs="Times New Roman"/>
                <w:color w:val="auto"/>
                <w:sz w:val="24"/>
                <w:szCs w:val="24"/>
                <w:u w:val="none" w:color="auto"/>
              </w:rPr>
              <w:t>O</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rPr>
              <w:t>O</w:t>
            </w:r>
            <w:r>
              <w:rPr>
                <w:rFonts w:hint="eastAsia" w:ascii="Times New Roman" w:hAnsi="Times New Roman" w:cs="Times New Roman"/>
                <w:color w:val="auto"/>
                <w:sz w:val="24"/>
                <w:szCs w:val="24"/>
                <w:u w:val="none" w:color="auto"/>
                <w:vertAlign w:val="subscript"/>
                <w:lang w:val="en-US" w:eastAsia="zh-CN"/>
              </w:rPr>
              <w:t>3</w:t>
            </w:r>
            <w:r>
              <w:rPr>
                <w:rFonts w:hint="default"/>
                <w:color w:val="auto"/>
                <w:sz w:val="24"/>
                <w:szCs w:val="24"/>
                <w:u w:val="none" w:color="auto"/>
              </w:rPr>
              <w:t>执行《环境空气质量标准》（GB3095-2012）中的二级标准</w:t>
            </w:r>
            <w:r>
              <w:rPr>
                <w:rFonts w:hint="eastAsia"/>
                <w:color w:val="auto"/>
                <w:sz w:val="24"/>
                <w:szCs w:val="24"/>
                <w:u w:val="none" w:color="auto"/>
                <w:lang w:eastAsia="zh-CN"/>
              </w:rPr>
              <w:t>，</w:t>
            </w:r>
            <w:r>
              <w:rPr>
                <w:rFonts w:hint="default" w:ascii="Times New Roman" w:hAnsi="Times New Roman" w:cs="Times New Roman"/>
                <w:color w:val="auto"/>
                <w:sz w:val="24"/>
                <w:szCs w:val="24"/>
                <w:u w:val="none" w:color="auto"/>
              </w:rPr>
              <w:t>TVOC</w:t>
            </w:r>
            <w:r>
              <w:rPr>
                <w:rFonts w:hint="eastAsia" w:cs="Times New Roman"/>
                <w:color w:val="auto"/>
                <w:sz w:val="24"/>
                <w:szCs w:val="24"/>
                <w:u w:val="none" w:color="auto"/>
                <w:lang w:eastAsia="zh-CN"/>
              </w:rPr>
              <w:t>执行</w:t>
            </w:r>
            <w:r>
              <w:rPr>
                <w:rFonts w:hint="default" w:ascii="Times New Roman" w:hAnsi="Times New Roman" w:cs="Times New Roman"/>
                <w:color w:val="auto"/>
                <w:sz w:val="24"/>
                <w:szCs w:val="24"/>
                <w:u w:val="none" w:color="auto"/>
              </w:rPr>
              <w:t>《环境影响评价技术导则（HJ2.3-2018）》（大气环境附录D)中标准要求</w:t>
            </w:r>
            <w:r>
              <w:rPr>
                <w:rFonts w:hint="eastAsia" w:cs="Times New Roman"/>
                <w:color w:val="auto"/>
                <w:sz w:val="24"/>
                <w:szCs w:val="24"/>
                <w:u w:val="none" w:color="auto"/>
                <w:lang w:eastAsia="zh-CN"/>
              </w:rPr>
              <w:t>。</w:t>
            </w:r>
          </w:p>
          <w:p>
            <w:pPr>
              <w:pStyle w:val="183"/>
              <w:rPr>
                <w:rFonts w:hint="default"/>
                <w:color w:val="auto"/>
                <w:u w:val="none" w:color="auto"/>
                <w:lang w:val="en-US" w:eastAsia="zh-CN"/>
              </w:rPr>
            </w:pPr>
            <w:r>
              <w:rPr>
                <w:rFonts w:hint="default"/>
                <w:color w:val="auto"/>
                <w:u w:val="none" w:color="auto"/>
                <w:lang w:val="en-US" w:eastAsia="zh-CN"/>
              </w:rPr>
              <w:t>表</w:t>
            </w:r>
            <w:r>
              <w:rPr>
                <w:rFonts w:hint="eastAsia"/>
                <w:color w:val="auto"/>
                <w:u w:val="none" w:color="auto"/>
                <w:lang w:val="en-US" w:eastAsia="zh-CN"/>
              </w:rPr>
              <w:t>4-1</w:t>
            </w:r>
            <w:r>
              <w:rPr>
                <w:rFonts w:hint="default"/>
                <w:color w:val="auto"/>
                <w:u w:val="none" w:color="auto"/>
                <w:lang w:val="en-US" w:eastAsia="zh-CN"/>
              </w:rPr>
              <w:t xml:space="preserve">   环境空气质量标准  单位：ug/m</w:t>
            </w:r>
            <w:r>
              <w:rPr>
                <w:rFonts w:hint="default"/>
                <w:color w:val="auto"/>
                <w:u w:val="none" w:color="auto"/>
                <w:vertAlign w:val="superscript"/>
                <w:lang w:val="en-US" w:eastAsia="zh-CN"/>
              </w:rPr>
              <w:t>3</w:t>
            </w:r>
          </w:p>
          <w:tbl>
            <w:tblPr>
              <w:tblStyle w:val="39"/>
              <w:tblW w:w="84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1757"/>
              <w:gridCol w:w="1787"/>
              <w:gridCol w:w="1781"/>
              <w:gridCol w:w="17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29" w:type="dxa"/>
                  <w:vMerge w:val="restart"/>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污染物名称</w:t>
                  </w:r>
                </w:p>
              </w:tc>
              <w:tc>
                <w:tcPr>
                  <w:tcW w:w="7101" w:type="dxa"/>
                  <w:gridSpan w:val="4"/>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329" w:type="dxa"/>
                  <w:vMerge w:val="continue"/>
                  <w:tcBorders>
                    <w:tl2br w:val="nil"/>
                    <w:tr2bl w:val="nil"/>
                  </w:tcBorders>
                  <w:noWrap w:val="0"/>
                  <w:vAlign w:val="center"/>
                </w:tcPr>
                <w:p>
                  <w:pPr>
                    <w:pStyle w:val="181"/>
                    <w:spacing w:line="360" w:lineRule="auto"/>
                    <w:rPr>
                      <w:rFonts w:hint="default"/>
                      <w:color w:val="auto"/>
                      <w:sz w:val="22"/>
                      <w:szCs w:val="22"/>
                      <w:u w:val="none" w:color="auto"/>
                    </w:rPr>
                  </w:pPr>
                </w:p>
              </w:tc>
              <w:tc>
                <w:tcPr>
                  <w:tcW w:w="1757"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1小时平均</w:t>
                  </w:r>
                </w:p>
              </w:tc>
              <w:tc>
                <w:tcPr>
                  <w:tcW w:w="1787"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日平均</w:t>
                  </w:r>
                </w:p>
              </w:tc>
              <w:tc>
                <w:tcPr>
                  <w:tcW w:w="1781" w:type="dxa"/>
                  <w:tcBorders>
                    <w:tl2br w:val="nil"/>
                    <w:tr2bl w:val="nil"/>
                  </w:tcBorders>
                  <w:noWrap w:val="0"/>
                  <w:vAlign w:val="center"/>
                </w:tcPr>
                <w:p>
                  <w:pPr>
                    <w:pStyle w:val="181"/>
                    <w:spacing w:line="360" w:lineRule="auto"/>
                    <w:rPr>
                      <w:rFonts w:hint="default"/>
                      <w:color w:val="auto"/>
                      <w:sz w:val="22"/>
                      <w:szCs w:val="22"/>
                      <w:u w:val="none" w:color="auto"/>
                    </w:rPr>
                  </w:pPr>
                  <w:r>
                    <w:rPr>
                      <w:color w:val="auto"/>
                      <w:sz w:val="22"/>
                      <w:szCs w:val="22"/>
                      <w:u w:val="none" w:color="auto"/>
                    </w:rPr>
                    <w:t>8小时均值</w:t>
                  </w:r>
                </w:p>
              </w:tc>
              <w:tc>
                <w:tcPr>
                  <w:tcW w:w="1776" w:type="dxa"/>
                  <w:tcBorders>
                    <w:tl2br w:val="nil"/>
                    <w:tr2bl w:val="nil"/>
                  </w:tcBorders>
                  <w:noWrap w:val="0"/>
                  <w:vAlign w:val="center"/>
                </w:tcPr>
                <w:p>
                  <w:pPr>
                    <w:pStyle w:val="181"/>
                    <w:spacing w:line="360" w:lineRule="auto"/>
                    <w:rPr>
                      <w:rFonts w:hint="eastAsia" w:eastAsia="宋体"/>
                      <w:color w:val="auto"/>
                      <w:sz w:val="22"/>
                      <w:szCs w:val="22"/>
                      <w:u w:val="none" w:color="auto"/>
                      <w:lang w:eastAsia="zh-CN"/>
                    </w:rPr>
                  </w:pPr>
                  <w:r>
                    <w:rPr>
                      <w:rFonts w:hint="eastAsia"/>
                      <w:color w:val="auto"/>
                      <w:sz w:val="22"/>
                      <w:szCs w:val="22"/>
                      <w:u w:val="none" w:color="auto"/>
                      <w:lang w:eastAsia="zh-CN"/>
                    </w:rPr>
                    <w:t>年均值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329"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SO</w:t>
                  </w:r>
                  <w:r>
                    <w:rPr>
                      <w:rFonts w:hint="default"/>
                      <w:color w:val="auto"/>
                      <w:sz w:val="22"/>
                      <w:szCs w:val="22"/>
                      <w:u w:val="none" w:color="auto"/>
                      <w:vertAlign w:val="subscript"/>
                    </w:rPr>
                    <w:t>2</w:t>
                  </w:r>
                </w:p>
              </w:tc>
              <w:tc>
                <w:tcPr>
                  <w:tcW w:w="1757"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500</w:t>
                  </w:r>
                </w:p>
              </w:tc>
              <w:tc>
                <w:tcPr>
                  <w:tcW w:w="1787"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150</w:t>
                  </w:r>
                </w:p>
              </w:tc>
              <w:tc>
                <w:tcPr>
                  <w:tcW w:w="1781" w:type="dxa"/>
                  <w:tcBorders>
                    <w:tl2br w:val="nil"/>
                    <w:tr2bl w:val="nil"/>
                  </w:tcBorders>
                  <w:noWrap w:val="0"/>
                  <w:vAlign w:val="center"/>
                </w:tcPr>
                <w:p>
                  <w:pPr>
                    <w:pStyle w:val="181"/>
                    <w:spacing w:line="360" w:lineRule="auto"/>
                    <w:rPr>
                      <w:rFonts w:hint="default"/>
                      <w:color w:val="auto"/>
                      <w:sz w:val="22"/>
                      <w:szCs w:val="22"/>
                      <w:u w:val="none" w:color="auto"/>
                    </w:rPr>
                  </w:pPr>
                  <w:r>
                    <w:rPr>
                      <w:color w:val="auto"/>
                      <w:sz w:val="22"/>
                      <w:szCs w:val="22"/>
                      <w:u w:val="none" w:color="auto"/>
                    </w:rPr>
                    <w:t>/</w:t>
                  </w:r>
                </w:p>
              </w:tc>
              <w:tc>
                <w:tcPr>
                  <w:tcW w:w="1776" w:type="dxa"/>
                  <w:tcBorders>
                    <w:tl2br w:val="nil"/>
                    <w:tr2bl w:val="nil"/>
                  </w:tcBorders>
                  <w:noWrap w:val="0"/>
                  <w:vAlign w:val="center"/>
                </w:tcPr>
                <w:p>
                  <w:pPr>
                    <w:pStyle w:val="181"/>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329"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NO</w:t>
                  </w:r>
                  <w:r>
                    <w:rPr>
                      <w:rFonts w:hint="default"/>
                      <w:color w:val="auto"/>
                      <w:sz w:val="22"/>
                      <w:szCs w:val="22"/>
                      <w:u w:val="none" w:color="auto"/>
                      <w:vertAlign w:val="subscript"/>
                    </w:rPr>
                    <w:t>2</w:t>
                  </w:r>
                </w:p>
              </w:tc>
              <w:tc>
                <w:tcPr>
                  <w:tcW w:w="1757"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200</w:t>
                  </w:r>
                </w:p>
              </w:tc>
              <w:tc>
                <w:tcPr>
                  <w:tcW w:w="1787"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80</w:t>
                  </w:r>
                </w:p>
              </w:tc>
              <w:tc>
                <w:tcPr>
                  <w:tcW w:w="1781" w:type="dxa"/>
                  <w:tcBorders>
                    <w:tl2br w:val="nil"/>
                    <w:tr2bl w:val="nil"/>
                  </w:tcBorders>
                  <w:noWrap w:val="0"/>
                  <w:vAlign w:val="center"/>
                </w:tcPr>
                <w:p>
                  <w:pPr>
                    <w:pStyle w:val="181"/>
                    <w:spacing w:line="360" w:lineRule="auto"/>
                    <w:rPr>
                      <w:rFonts w:hint="default"/>
                      <w:color w:val="auto"/>
                      <w:sz w:val="22"/>
                      <w:szCs w:val="22"/>
                      <w:u w:val="none" w:color="auto"/>
                    </w:rPr>
                  </w:pPr>
                  <w:r>
                    <w:rPr>
                      <w:color w:val="auto"/>
                      <w:sz w:val="22"/>
                      <w:szCs w:val="22"/>
                      <w:u w:val="none" w:color="auto"/>
                    </w:rPr>
                    <w:t>/</w:t>
                  </w:r>
                </w:p>
              </w:tc>
              <w:tc>
                <w:tcPr>
                  <w:tcW w:w="1776" w:type="dxa"/>
                  <w:tcBorders>
                    <w:tl2br w:val="nil"/>
                    <w:tr2bl w:val="nil"/>
                  </w:tcBorders>
                  <w:noWrap w:val="0"/>
                  <w:vAlign w:val="center"/>
                </w:tcPr>
                <w:p>
                  <w:pPr>
                    <w:pStyle w:val="181"/>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329"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PM</w:t>
                  </w:r>
                  <w:r>
                    <w:rPr>
                      <w:rFonts w:hint="default"/>
                      <w:color w:val="auto"/>
                      <w:sz w:val="22"/>
                      <w:szCs w:val="22"/>
                      <w:u w:val="none" w:color="auto"/>
                      <w:vertAlign w:val="subscript"/>
                    </w:rPr>
                    <w:t>10</w:t>
                  </w:r>
                </w:p>
              </w:tc>
              <w:tc>
                <w:tcPr>
                  <w:tcW w:w="1757"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w:t>
                  </w:r>
                </w:p>
              </w:tc>
              <w:tc>
                <w:tcPr>
                  <w:tcW w:w="1787" w:type="dxa"/>
                  <w:tcBorders>
                    <w:tl2br w:val="nil"/>
                    <w:tr2bl w:val="nil"/>
                  </w:tcBorders>
                  <w:noWrap w:val="0"/>
                  <w:vAlign w:val="center"/>
                </w:tcPr>
                <w:p>
                  <w:pPr>
                    <w:pStyle w:val="181"/>
                    <w:spacing w:line="360" w:lineRule="auto"/>
                    <w:rPr>
                      <w:rFonts w:hint="eastAsia" w:eastAsia="宋体"/>
                      <w:color w:val="auto"/>
                      <w:sz w:val="22"/>
                      <w:szCs w:val="22"/>
                      <w:u w:val="none" w:color="auto"/>
                      <w:lang w:eastAsia="zh-CN"/>
                    </w:rPr>
                  </w:pPr>
                  <w:r>
                    <w:rPr>
                      <w:rFonts w:hint="eastAsia"/>
                      <w:color w:val="auto"/>
                      <w:sz w:val="22"/>
                      <w:szCs w:val="22"/>
                      <w:u w:val="none" w:color="auto"/>
                      <w:lang w:val="en-US" w:eastAsia="zh-CN"/>
                    </w:rPr>
                    <w:t>150</w:t>
                  </w:r>
                </w:p>
              </w:tc>
              <w:tc>
                <w:tcPr>
                  <w:tcW w:w="1781" w:type="dxa"/>
                  <w:tcBorders>
                    <w:tl2br w:val="nil"/>
                    <w:tr2bl w:val="nil"/>
                  </w:tcBorders>
                  <w:noWrap w:val="0"/>
                  <w:vAlign w:val="center"/>
                </w:tcPr>
                <w:p>
                  <w:pPr>
                    <w:pStyle w:val="181"/>
                    <w:spacing w:line="360" w:lineRule="auto"/>
                    <w:rPr>
                      <w:rFonts w:hint="eastAsia"/>
                      <w:color w:val="auto"/>
                      <w:sz w:val="22"/>
                      <w:szCs w:val="22"/>
                      <w:u w:val="none" w:color="auto"/>
                      <w:lang w:val="en-US" w:eastAsia="zh-CN"/>
                    </w:rPr>
                  </w:pPr>
                  <w:r>
                    <w:rPr>
                      <w:color w:val="auto"/>
                      <w:sz w:val="22"/>
                      <w:szCs w:val="22"/>
                      <w:u w:val="none" w:color="auto"/>
                    </w:rPr>
                    <w:t>/</w:t>
                  </w:r>
                </w:p>
              </w:tc>
              <w:tc>
                <w:tcPr>
                  <w:tcW w:w="1776" w:type="dxa"/>
                  <w:tcBorders>
                    <w:tl2br w:val="nil"/>
                    <w:tr2bl w:val="nil"/>
                  </w:tcBorders>
                  <w:noWrap w:val="0"/>
                  <w:vAlign w:val="center"/>
                </w:tcPr>
                <w:p>
                  <w:pPr>
                    <w:pStyle w:val="181"/>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9" w:type="dxa"/>
                  <w:tcBorders>
                    <w:tl2br w:val="nil"/>
                    <w:tr2bl w:val="nil"/>
                  </w:tcBorders>
                  <w:noWrap w:val="0"/>
                  <w:vAlign w:val="center"/>
                </w:tcPr>
                <w:p>
                  <w:pPr>
                    <w:spacing w:line="360" w:lineRule="auto"/>
                    <w:jc w:val="center"/>
                    <w:rPr>
                      <w:rFonts w:hint="default"/>
                      <w:color w:val="auto"/>
                      <w:sz w:val="22"/>
                      <w:szCs w:val="22"/>
                      <w:u w:val="none" w:color="auto"/>
                    </w:rPr>
                  </w:pPr>
                  <w:r>
                    <w:rPr>
                      <w:rFonts w:hint="default" w:ascii="Times New Roman" w:hAnsi="Times New Roman" w:cs="Times New Roman"/>
                      <w:color w:val="auto"/>
                      <w:sz w:val="22"/>
                      <w:szCs w:val="22"/>
                      <w:u w:val="none" w:color="auto"/>
                    </w:rPr>
                    <w:t>PM</w:t>
                  </w:r>
                  <w:r>
                    <w:rPr>
                      <w:rFonts w:hint="eastAsia" w:ascii="Times New Roman" w:hAnsi="Times New Roman" w:cs="Times New Roman"/>
                      <w:color w:val="auto"/>
                      <w:sz w:val="22"/>
                      <w:szCs w:val="22"/>
                      <w:u w:val="none" w:color="auto"/>
                      <w:vertAlign w:val="subscript"/>
                      <w:lang w:val="en-US" w:eastAsia="zh-CN"/>
                    </w:rPr>
                    <w:t>2.5</w:t>
                  </w:r>
                </w:p>
              </w:tc>
              <w:tc>
                <w:tcPr>
                  <w:tcW w:w="1757" w:type="dxa"/>
                  <w:tcBorders>
                    <w:tl2br w:val="nil"/>
                    <w:tr2bl w:val="nil"/>
                  </w:tcBorders>
                  <w:noWrap w:val="0"/>
                  <w:vAlign w:val="center"/>
                </w:tcPr>
                <w:p>
                  <w:pPr>
                    <w:pStyle w:val="181"/>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w:t>
                  </w:r>
                </w:p>
              </w:tc>
              <w:tc>
                <w:tcPr>
                  <w:tcW w:w="1787" w:type="dxa"/>
                  <w:tcBorders>
                    <w:tl2br w:val="nil"/>
                    <w:tr2bl w:val="nil"/>
                  </w:tcBorders>
                  <w:noWrap w:val="0"/>
                  <w:vAlign w:val="center"/>
                </w:tcPr>
                <w:p>
                  <w:pPr>
                    <w:pStyle w:val="181"/>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75</w:t>
                  </w:r>
                </w:p>
              </w:tc>
              <w:tc>
                <w:tcPr>
                  <w:tcW w:w="1781" w:type="dxa"/>
                  <w:tcBorders>
                    <w:tl2br w:val="nil"/>
                    <w:tr2bl w:val="nil"/>
                  </w:tcBorders>
                  <w:noWrap w:val="0"/>
                  <w:vAlign w:val="center"/>
                </w:tcPr>
                <w:p>
                  <w:pPr>
                    <w:pStyle w:val="181"/>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w:t>
                  </w:r>
                </w:p>
              </w:tc>
              <w:tc>
                <w:tcPr>
                  <w:tcW w:w="1776" w:type="dxa"/>
                  <w:tcBorders>
                    <w:tl2br w:val="nil"/>
                    <w:tr2bl w:val="nil"/>
                  </w:tcBorders>
                  <w:noWrap w:val="0"/>
                  <w:vAlign w:val="center"/>
                </w:tcPr>
                <w:p>
                  <w:pPr>
                    <w:pStyle w:val="181"/>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9" w:type="dxa"/>
                  <w:tcBorders>
                    <w:tl2br w:val="nil"/>
                    <w:tr2bl w:val="nil"/>
                  </w:tcBorders>
                  <w:noWrap w:val="0"/>
                  <w:vAlign w:val="center"/>
                </w:tcPr>
                <w:p>
                  <w:pPr>
                    <w:spacing w:line="360" w:lineRule="auto"/>
                    <w:jc w:val="center"/>
                    <w:rPr>
                      <w:rFonts w:hint="default"/>
                      <w:color w:val="auto"/>
                      <w:sz w:val="22"/>
                      <w:szCs w:val="22"/>
                      <w:u w:val="none" w:color="auto"/>
                    </w:rPr>
                  </w:pPr>
                  <w:r>
                    <w:rPr>
                      <w:rFonts w:hint="eastAsia" w:ascii="Times New Roman" w:hAnsi="Times New Roman" w:cs="Times New Roman"/>
                      <w:color w:val="auto"/>
                      <w:sz w:val="22"/>
                      <w:szCs w:val="22"/>
                      <w:u w:val="none" w:color="auto"/>
                      <w:lang w:val="en-US" w:eastAsia="zh-CN"/>
                    </w:rPr>
                    <w:t>C</w:t>
                  </w:r>
                  <w:r>
                    <w:rPr>
                      <w:rFonts w:hint="default" w:ascii="Times New Roman" w:hAnsi="Times New Roman" w:cs="Times New Roman"/>
                      <w:color w:val="auto"/>
                      <w:sz w:val="22"/>
                      <w:szCs w:val="22"/>
                      <w:u w:val="none" w:color="auto"/>
                    </w:rPr>
                    <w:t>O</w:t>
                  </w:r>
                </w:p>
              </w:tc>
              <w:tc>
                <w:tcPr>
                  <w:tcW w:w="1757" w:type="dxa"/>
                  <w:tcBorders>
                    <w:tl2br w:val="nil"/>
                    <w:tr2bl w:val="nil"/>
                  </w:tcBorders>
                  <w:noWrap w:val="0"/>
                  <w:vAlign w:val="center"/>
                </w:tcPr>
                <w:p>
                  <w:pPr>
                    <w:pStyle w:val="181"/>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10000</w:t>
                  </w:r>
                </w:p>
              </w:tc>
              <w:tc>
                <w:tcPr>
                  <w:tcW w:w="1787" w:type="dxa"/>
                  <w:tcBorders>
                    <w:tl2br w:val="nil"/>
                    <w:tr2bl w:val="nil"/>
                  </w:tcBorders>
                  <w:noWrap w:val="0"/>
                  <w:vAlign w:val="center"/>
                </w:tcPr>
                <w:p>
                  <w:pPr>
                    <w:pStyle w:val="181"/>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4000</w:t>
                  </w:r>
                </w:p>
              </w:tc>
              <w:tc>
                <w:tcPr>
                  <w:tcW w:w="1781" w:type="dxa"/>
                  <w:tcBorders>
                    <w:tl2br w:val="nil"/>
                    <w:tr2bl w:val="nil"/>
                  </w:tcBorders>
                  <w:noWrap w:val="0"/>
                  <w:vAlign w:val="center"/>
                </w:tcPr>
                <w:p>
                  <w:pPr>
                    <w:pStyle w:val="181"/>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w:t>
                  </w:r>
                </w:p>
              </w:tc>
              <w:tc>
                <w:tcPr>
                  <w:tcW w:w="1776" w:type="dxa"/>
                  <w:tcBorders>
                    <w:tl2br w:val="nil"/>
                    <w:tr2bl w:val="nil"/>
                  </w:tcBorders>
                  <w:noWrap w:val="0"/>
                  <w:vAlign w:val="center"/>
                </w:tcPr>
                <w:p>
                  <w:pPr>
                    <w:pStyle w:val="181"/>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spacing w:line="360" w:lineRule="auto"/>
                    <w:jc w:val="center"/>
                    <w:rPr>
                      <w:rFonts w:hint="default"/>
                      <w:color w:val="auto"/>
                      <w:sz w:val="22"/>
                      <w:szCs w:val="22"/>
                      <w:u w:val="none" w:color="auto"/>
                    </w:rPr>
                  </w:pPr>
                  <w:r>
                    <w:rPr>
                      <w:rFonts w:hint="default" w:ascii="Times New Roman" w:hAnsi="Times New Roman" w:cs="Times New Roman"/>
                      <w:color w:val="auto"/>
                      <w:sz w:val="22"/>
                      <w:szCs w:val="22"/>
                      <w:u w:val="none" w:color="auto"/>
                    </w:rPr>
                    <w:t>O</w:t>
                  </w:r>
                  <w:r>
                    <w:rPr>
                      <w:rFonts w:hint="eastAsia" w:ascii="Times New Roman" w:hAnsi="Times New Roman" w:cs="Times New Roman"/>
                      <w:color w:val="auto"/>
                      <w:sz w:val="22"/>
                      <w:szCs w:val="22"/>
                      <w:u w:val="none" w:color="auto"/>
                      <w:vertAlign w:val="subscript"/>
                      <w:lang w:val="en-US" w:eastAsia="zh-CN"/>
                    </w:rPr>
                    <w:t>3</w:t>
                  </w:r>
                </w:p>
              </w:tc>
              <w:tc>
                <w:tcPr>
                  <w:tcW w:w="1757" w:type="dxa"/>
                  <w:tcBorders>
                    <w:tl2br w:val="nil"/>
                    <w:tr2bl w:val="nil"/>
                  </w:tcBorders>
                  <w:noWrap w:val="0"/>
                  <w:vAlign w:val="center"/>
                </w:tcPr>
                <w:p>
                  <w:pPr>
                    <w:pStyle w:val="181"/>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200</w:t>
                  </w:r>
                </w:p>
              </w:tc>
              <w:tc>
                <w:tcPr>
                  <w:tcW w:w="1787" w:type="dxa"/>
                  <w:tcBorders>
                    <w:tl2br w:val="nil"/>
                    <w:tr2bl w:val="nil"/>
                  </w:tcBorders>
                  <w:noWrap w:val="0"/>
                  <w:vAlign w:val="center"/>
                </w:tcPr>
                <w:p>
                  <w:pPr>
                    <w:pStyle w:val="181"/>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w:t>
                  </w:r>
                </w:p>
              </w:tc>
              <w:tc>
                <w:tcPr>
                  <w:tcW w:w="1781" w:type="dxa"/>
                  <w:tcBorders>
                    <w:tl2br w:val="nil"/>
                    <w:tr2bl w:val="nil"/>
                  </w:tcBorders>
                  <w:noWrap w:val="0"/>
                  <w:vAlign w:val="center"/>
                </w:tcPr>
                <w:p>
                  <w:pPr>
                    <w:pStyle w:val="181"/>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160</w:t>
                  </w:r>
                </w:p>
              </w:tc>
              <w:tc>
                <w:tcPr>
                  <w:tcW w:w="1776" w:type="dxa"/>
                  <w:tcBorders>
                    <w:tl2br w:val="nil"/>
                    <w:tr2bl w:val="nil"/>
                  </w:tcBorders>
                  <w:noWrap w:val="0"/>
                  <w:vAlign w:val="center"/>
                </w:tcPr>
                <w:p>
                  <w:pPr>
                    <w:pStyle w:val="181"/>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w:t>
                  </w:r>
                </w:p>
              </w:tc>
            </w:tr>
          </w:tbl>
          <w:p>
            <w:pPr>
              <w:pStyle w:val="183"/>
              <w:rPr>
                <w:rFonts w:hint="default"/>
                <w:color w:val="auto"/>
                <w:u w:val="none" w:color="auto"/>
                <w:lang w:val="en-US" w:eastAsia="zh-CN"/>
              </w:rPr>
            </w:pPr>
            <w:r>
              <w:rPr>
                <w:rFonts w:hint="default"/>
                <w:color w:val="auto"/>
                <w:u w:val="none" w:color="auto"/>
                <w:lang w:val="en-US" w:eastAsia="zh-CN"/>
              </w:rPr>
              <w:t>表</w:t>
            </w:r>
            <w:r>
              <w:rPr>
                <w:rFonts w:hint="eastAsia"/>
                <w:color w:val="auto"/>
                <w:u w:val="none" w:color="auto"/>
                <w:lang w:val="en-US" w:eastAsia="zh-CN"/>
              </w:rPr>
              <w:t>4-2</w:t>
            </w:r>
            <w:r>
              <w:rPr>
                <w:rFonts w:hint="default"/>
                <w:color w:val="auto"/>
                <w:u w:val="none" w:color="auto"/>
                <w:lang w:val="en-US" w:eastAsia="zh-CN"/>
              </w:rPr>
              <w:t xml:space="preserve">  </w:t>
            </w:r>
            <w:r>
              <w:rPr>
                <w:rFonts w:hint="default" w:ascii="Times New Roman" w:hAnsi="Times New Roman" w:cs="Times New Roman"/>
                <w:color w:val="auto"/>
                <w:sz w:val="22"/>
                <w:szCs w:val="22"/>
                <w:u w:val="none" w:color="auto"/>
              </w:rPr>
              <w:t>《环境影响评价技术导则（HJ2.3-2018）》（大气环境附录D)中标准</w:t>
            </w:r>
            <w:r>
              <w:rPr>
                <w:rFonts w:hint="default"/>
                <w:color w:val="auto"/>
                <w:sz w:val="22"/>
                <w:szCs w:val="22"/>
                <w:u w:val="none" w:color="auto"/>
                <w:lang w:val="en-US" w:eastAsia="zh-CN"/>
              </w:rPr>
              <w:t xml:space="preserve">  </w:t>
            </w:r>
            <w:r>
              <w:rPr>
                <w:rFonts w:hint="default"/>
                <w:color w:val="auto"/>
                <w:u w:val="none" w:color="auto"/>
                <w:lang w:val="en-US" w:eastAsia="zh-CN"/>
              </w:rPr>
              <w:t>单位：ug/m</w:t>
            </w:r>
            <w:r>
              <w:rPr>
                <w:rFonts w:hint="default"/>
                <w:color w:val="auto"/>
                <w:u w:val="none" w:color="auto"/>
                <w:vertAlign w:val="superscript"/>
                <w:lang w:val="en-US" w:eastAsia="zh-CN"/>
              </w:rPr>
              <w:t>3</w:t>
            </w:r>
          </w:p>
          <w:tbl>
            <w:tblPr>
              <w:tblStyle w:val="39"/>
              <w:tblW w:w="84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1757"/>
              <w:gridCol w:w="1787"/>
              <w:gridCol w:w="1781"/>
              <w:gridCol w:w="17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29" w:type="dxa"/>
                  <w:vMerge w:val="restart"/>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污染物名称</w:t>
                  </w:r>
                </w:p>
              </w:tc>
              <w:tc>
                <w:tcPr>
                  <w:tcW w:w="7101" w:type="dxa"/>
                  <w:gridSpan w:val="4"/>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329" w:type="dxa"/>
                  <w:vMerge w:val="continue"/>
                  <w:tcBorders>
                    <w:tl2br w:val="nil"/>
                    <w:tr2bl w:val="nil"/>
                  </w:tcBorders>
                  <w:noWrap w:val="0"/>
                  <w:vAlign w:val="center"/>
                </w:tcPr>
                <w:p>
                  <w:pPr>
                    <w:pStyle w:val="181"/>
                    <w:spacing w:line="360" w:lineRule="auto"/>
                    <w:rPr>
                      <w:rFonts w:hint="default"/>
                      <w:color w:val="auto"/>
                      <w:sz w:val="22"/>
                      <w:szCs w:val="22"/>
                      <w:u w:val="none" w:color="auto"/>
                    </w:rPr>
                  </w:pPr>
                </w:p>
              </w:tc>
              <w:tc>
                <w:tcPr>
                  <w:tcW w:w="1757"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1小时平均</w:t>
                  </w:r>
                </w:p>
              </w:tc>
              <w:tc>
                <w:tcPr>
                  <w:tcW w:w="1787"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color w:val="auto"/>
                      <w:sz w:val="22"/>
                      <w:szCs w:val="22"/>
                      <w:u w:val="none" w:color="auto"/>
                    </w:rPr>
                    <w:t>日平均</w:t>
                  </w:r>
                </w:p>
              </w:tc>
              <w:tc>
                <w:tcPr>
                  <w:tcW w:w="1781" w:type="dxa"/>
                  <w:tcBorders>
                    <w:tl2br w:val="nil"/>
                    <w:tr2bl w:val="nil"/>
                  </w:tcBorders>
                  <w:noWrap w:val="0"/>
                  <w:vAlign w:val="center"/>
                </w:tcPr>
                <w:p>
                  <w:pPr>
                    <w:pStyle w:val="181"/>
                    <w:spacing w:line="360" w:lineRule="auto"/>
                    <w:rPr>
                      <w:rFonts w:hint="default"/>
                      <w:color w:val="auto"/>
                      <w:sz w:val="22"/>
                      <w:szCs w:val="22"/>
                      <w:u w:val="none" w:color="auto"/>
                    </w:rPr>
                  </w:pPr>
                  <w:r>
                    <w:rPr>
                      <w:rFonts w:hint="eastAsia"/>
                      <w:color w:val="auto"/>
                      <w:sz w:val="22"/>
                      <w:szCs w:val="22"/>
                      <w:u w:val="none" w:color="auto"/>
                      <w:lang w:val="en-US" w:eastAsia="zh-CN"/>
                    </w:rPr>
                    <w:t>8</w:t>
                  </w:r>
                  <w:r>
                    <w:rPr>
                      <w:color w:val="auto"/>
                      <w:sz w:val="22"/>
                      <w:szCs w:val="22"/>
                      <w:u w:val="none" w:color="auto"/>
                    </w:rPr>
                    <w:t>小时均值</w:t>
                  </w:r>
                </w:p>
              </w:tc>
              <w:tc>
                <w:tcPr>
                  <w:tcW w:w="1776" w:type="dxa"/>
                  <w:tcBorders>
                    <w:tl2br w:val="nil"/>
                    <w:tr2bl w:val="nil"/>
                  </w:tcBorders>
                  <w:noWrap w:val="0"/>
                  <w:vAlign w:val="center"/>
                </w:tcPr>
                <w:p>
                  <w:pPr>
                    <w:pStyle w:val="181"/>
                    <w:spacing w:line="360" w:lineRule="auto"/>
                    <w:rPr>
                      <w:rFonts w:hint="eastAsia" w:eastAsia="宋体"/>
                      <w:color w:val="auto"/>
                      <w:sz w:val="22"/>
                      <w:szCs w:val="22"/>
                      <w:u w:val="none" w:color="auto"/>
                      <w:lang w:eastAsia="zh-CN"/>
                    </w:rPr>
                  </w:pPr>
                  <w:r>
                    <w:rPr>
                      <w:rFonts w:hint="eastAsia"/>
                      <w:color w:val="auto"/>
                      <w:sz w:val="22"/>
                      <w:szCs w:val="22"/>
                      <w:u w:val="none" w:color="auto"/>
                      <w:lang w:eastAsia="zh-CN"/>
                    </w:rPr>
                    <w:t>年均值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329" w:type="dxa"/>
                  <w:tcBorders>
                    <w:tl2br w:val="nil"/>
                    <w:tr2bl w:val="nil"/>
                  </w:tcBorders>
                  <w:noWrap w:val="0"/>
                  <w:vAlign w:val="center"/>
                </w:tcPr>
                <w:p>
                  <w:pPr>
                    <w:pStyle w:val="181"/>
                    <w:spacing w:line="360" w:lineRule="auto"/>
                    <w:rPr>
                      <w:rFonts w:hint="default"/>
                      <w:color w:val="auto"/>
                      <w:sz w:val="22"/>
                      <w:szCs w:val="22"/>
                      <w:u w:val="none" w:color="auto"/>
                    </w:rPr>
                  </w:pPr>
                  <w:r>
                    <w:rPr>
                      <w:rFonts w:hint="default" w:ascii="Times New Roman" w:hAnsi="Times New Roman" w:cs="Times New Roman"/>
                      <w:color w:val="auto"/>
                      <w:sz w:val="22"/>
                      <w:szCs w:val="22"/>
                      <w:u w:val="none" w:color="auto"/>
                    </w:rPr>
                    <w:t>TVOC</w:t>
                  </w:r>
                </w:p>
              </w:tc>
              <w:tc>
                <w:tcPr>
                  <w:tcW w:w="1757" w:type="dxa"/>
                  <w:tcBorders>
                    <w:tl2br w:val="nil"/>
                    <w:tr2bl w:val="nil"/>
                  </w:tcBorders>
                  <w:noWrap w:val="0"/>
                  <w:vAlign w:val="center"/>
                </w:tcPr>
                <w:p>
                  <w:pPr>
                    <w:pStyle w:val="181"/>
                    <w:spacing w:line="360" w:lineRule="auto"/>
                    <w:rPr>
                      <w:rFonts w:hint="eastAsia" w:eastAsia="宋体"/>
                      <w:color w:val="auto"/>
                      <w:sz w:val="22"/>
                      <w:szCs w:val="22"/>
                      <w:u w:val="none" w:color="auto"/>
                      <w:lang w:eastAsia="zh-CN"/>
                    </w:rPr>
                  </w:pPr>
                  <w:r>
                    <w:rPr>
                      <w:rFonts w:hint="eastAsia"/>
                      <w:color w:val="auto"/>
                      <w:sz w:val="22"/>
                      <w:szCs w:val="22"/>
                      <w:u w:val="none" w:color="auto"/>
                      <w:lang w:val="en-US" w:eastAsia="zh-CN"/>
                    </w:rPr>
                    <w:t>/</w:t>
                  </w:r>
                </w:p>
              </w:tc>
              <w:tc>
                <w:tcPr>
                  <w:tcW w:w="1787" w:type="dxa"/>
                  <w:tcBorders>
                    <w:tl2br w:val="nil"/>
                    <w:tr2bl w:val="nil"/>
                  </w:tcBorders>
                  <w:noWrap w:val="0"/>
                  <w:vAlign w:val="center"/>
                </w:tcPr>
                <w:p>
                  <w:pPr>
                    <w:pStyle w:val="181"/>
                    <w:spacing w:line="360" w:lineRule="auto"/>
                    <w:rPr>
                      <w:rFonts w:hint="eastAsia" w:eastAsia="宋体"/>
                      <w:color w:val="auto"/>
                      <w:sz w:val="22"/>
                      <w:szCs w:val="22"/>
                      <w:u w:val="none" w:color="auto"/>
                      <w:lang w:eastAsia="zh-CN"/>
                    </w:rPr>
                  </w:pPr>
                  <w:r>
                    <w:rPr>
                      <w:rFonts w:hint="eastAsia"/>
                      <w:color w:val="auto"/>
                      <w:sz w:val="22"/>
                      <w:szCs w:val="22"/>
                      <w:u w:val="none" w:color="auto"/>
                      <w:lang w:val="en-US" w:eastAsia="zh-CN"/>
                    </w:rPr>
                    <w:t>/</w:t>
                  </w:r>
                </w:p>
              </w:tc>
              <w:tc>
                <w:tcPr>
                  <w:tcW w:w="1781" w:type="dxa"/>
                  <w:tcBorders>
                    <w:tl2br w:val="nil"/>
                    <w:tr2bl w:val="nil"/>
                  </w:tcBorders>
                  <w:noWrap w:val="0"/>
                  <w:vAlign w:val="center"/>
                </w:tcPr>
                <w:p>
                  <w:pPr>
                    <w:pStyle w:val="181"/>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600</w:t>
                  </w:r>
                </w:p>
              </w:tc>
              <w:tc>
                <w:tcPr>
                  <w:tcW w:w="1776" w:type="dxa"/>
                  <w:tcBorders>
                    <w:tl2br w:val="nil"/>
                    <w:tr2bl w:val="nil"/>
                  </w:tcBorders>
                  <w:noWrap w:val="0"/>
                  <w:vAlign w:val="center"/>
                </w:tcPr>
                <w:p>
                  <w:pPr>
                    <w:pStyle w:val="181"/>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w:t>
                  </w:r>
                </w:p>
              </w:tc>
            </w:tr>
          </w:tbl>
          <w:p>
            <w:pPr>
              <w:pStyle w:val="162"/>
              <w:numPr>
                <w:ilvl w:val="0"/>
                <w:numId w:val="5"/>
              </w:numPr>
              <w:snapToGrid w:val="0"/>
              <w:spacing w:line="360" w:lineRule="auto"/>
              <w:ind w:firstLineChars="0"/>
              <w:rPr>
                <w:sz w:val="24"/>
                <w:u w:val="none" w:color="auto"/>
              </w:rPr>
            </w:pPr>
            <w:r>
              <w:rPr>
                <w:sz w:val="24"/>
                <w:u w:val="none" w:color="auto"/>
              </w:rPr>
              <w:t>地表水环境：执行《地表水环境质量标准》（GB3838-2002）中的</w:t>
            </w:r>
            <w:r>
              <w:rPr>
                <w:szCs w:val="21"/>
                <w:u w:val="none" w:color="auto"/>
              </w:rPr>
              <w:t>III</w:t>
            </w:r>
            <w:r>
              <w:rPr>
                <w:sz w:val="24"/>
                <w:u w:val="none" w:color="auto"/>
              </w:rPr>
              <w:t>类标准</w:t>
            </w:r>
          </w:p>
          <w:p>
            <w:pPr>
              <w:jc w:val="center"/>
              <w:rPr>
                <w:sz w:val="24"/>
                <w:szCs w:val="24"/>
                <w:u w:val="none" w:color="auto"/>
              </w:rPr>
            </w:pPr>
            <w:r>
              <w:rPr>
                <w:b/>
                <w:bCs/>
                <w:sz w:val="24"/>
                <w:u w:val="none" w:color="auto"/>
              </w:rPr>
              <w:t>表4-</w:t>
            </w:r>
            <w:r>
              <w:rPr>
                <w:rFonts w:hint="eastAsia"/>
                <w:b/>
                <w:bCs/>
                <w:sz w:val="24"/>
                <w:u w:val="none" w:color="auto"/>
                <w:lang w:val="en-US" w:eastAsia="zh-CN"/>
              </w:rPr>
              <w:t>3</w:t>
            </w:r>
            <w:r>
              <w:rPr>
                <w:b/>
                <w:bCs/>
                <w:sz w:val="24"/>
                <w:u w:val="none" w:color="auto"/>
              </w:rPr>
              <w:t xml:space="preserve">  《地表水环境质量标准》中的</w:t>
            </w:r>
            <w:r>
              <w:rPr>
                <w:szCs w:val="21"/>
                <w:u w:val="none" w:color="auto"/>
              </w:rPr>
              <w:t>III</w:t>
            </w:r>
            <w:r>
              <w:rPr>
                <w:b/>
                <w:bCs/>
                <w:sz w:val="24"/>
                <w:u w:val="none" w:color="auto"/>
              </w:rPr>
              <w:t>类标准</w:t>
            </w:r>
          </w:p>
          <w:tbl>
            <w:tblPr>
              <w:tblStyle w:val="39"/>
              <w:tblW w:w="843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87"/>
              <w:gridCol w:w="1191"/>
              <w:gridCol w:w="1212"/>
              <w:gridCol w:w="1212"/>
              <w:gridCol w:w="1213"/>
              <w:gridCol w:w="1212"/>
              <w:gridCol w:w="12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8" w:hRule="atLeast"/>
              </w:trPr>
              <w:tc>
                <w:tcPr>
                  <w:tcW w:w="1187" w:type="dxa"/>
                  <w:vAlign w:val="center"/>
                </w:tcPr>
                <w:p>
                  <w:pPr>
                    <w:jc w:val="center"/>
                    <w:rPr>
                      <w:b/>
                      <w:bCs/>
                      <w:szCs w:val="21"/>
                      <w:u w:val="none" w:color="auto"/>
                    </w:rPr>
                  </w:pPr>
                  <w:r>
                    <w:rPr>
                      <w:b/>
                      <w:bCs/>
                      <w:szCs w:val="21"/>
                      <w:u w:val="none" w:color="auto"/>
                    </w:rPr>
                    <w:t>主要污</w:t>
                  </w:r>
                </w:p>
                <w:p>
                  <w:pPr>
                    <w:jc w:val="center"/>
                    <w:rPr>
                      <w:b/>
                      <w:szCs w:val="21"/>
                      <w:u w:val="none" w:color="auto"/>
                    </w:rPr>
                  </w:pPr>
                  <w:r>
                    <w:rPr>
                      <w:b/>
                      <w:bCs/>
                      <w:szCs w:val="21"/>
                      <w:u w:val="none" w:color="auto"/>
                    </w:rPr>
                    <w:t>染物</w:t>
                  </w:r>
                </w:p>
              </w:tc>
              <w:tc>
                <w:tcPr>
                  <w:tcW w:w="1191" w:type="dxa"/>
                  <w:vAlign w:val="center"/>
                </w:tcPr>
                <w:p>
                  <w:pPr>
                    <w:jc w:val="center"/>
                    <w:rPr>
                      <w:b/>
                      <w:szCs w:val="21"/>
                      <w:u w:val="none" w:color="auto"/>
                    </w:rPr>
                  </w:pPr>
                  <w:r>
                    <w:rPr>
                      <w:b/>
                      <w:bCs/>
                      <w:szCs w:val="21"/>
                      <w:u w:val="none" w:color="auto"/>
                    </w:rPr>
                    <w:t>pH</w:t>
                  </w:r>
                </w:p>
              </w:tc>
              <w:tc>
                <w:tcPr>
                  <w:tcW w:w="1212" w:type="dxa"/>
                  <w:vAlign w:val="center"/>
                </w:tcPr>
                <w:p>
                  <w:pPr>
                    <w:jc w:val="center"/>
                    <w:rPr>
                      <w:b/>
                      <w:bCs/>
                      <w:szCs w:val="21"/>
                      <w:u w:val="none" w:color="auto"/>
                    </w:rPr>
                  </w:pPr>
                  <w:r>
                    <w:rPr>
                      <w:b/>
                      <w:bCs/>
                      <w:szCs w:val="21"/>
                      <w:u w:val="none" w:color="auto"/>
                    </w:rPr>
                    <w:t>COD</w:t>
                  </w:r>
                  <w:r>
                    <w:rPr>
                      <w:b/>
                      <w:bCs/>
                      <w:szCs w:val="21"/>
                      <w:u w:val="none" w:color="auto"/>
                      <w:vertAlign w:val="subscript"/>
                    </w:rPr>
                    <w:t>Cr</w:t>
                  </w:r>
                </w:p>
                <w:p>
                  <w:pPr>
                    <w:jc w:val="center"/>
                    <w:rPr>
                      <w:b/>
                      <w:szCs w:val="21"/>
                      <w:u w:val="none" w:color="auto"/>
                    </w:rPr>
                  </w:pPr>
                  <w:r>
                    <w:rPr>
                      <w:b/>
                      <w:bCs/>
                      <w:szCs w:val="21"/>
                      <w:u w:val="none" w:color="auto"/>
                    </w:rPr>
                    <w:t>（mg/L）</w:t>
                  </w:r>
                </w:p>
              </w:tc>
              <w:tc>
                <w:tcPr>
                  <w:tcW w:w="1212" w:type="dxa"/>
                  <w:vAlign w:val="center"/>
                </w:tcPr>
                <w:p>
                  <w:pPr>
                    <w:jc w:val="center"/>
                    <w:rPr>
                      <w:b/>
                      <w:bCs/>
                      <w:szCs w:val="21"/>
                      <w:u w:val="none" w:color="auto"/>
                    </w:rPr>
                  </w:pPr>
                  <w:r>
                    <w:rPr>
                      <w:b/>
                      <w:bCs/>
                      <w:szCs w:val="21"/>
                      <w:u w:val="none" w:color="auto"/>
                    </w:rPr>
                    <w:t>BOD</w:t>
                  </w:r>
                  <w:r>
                    <w:rPr>
                      <w:b/>
                      <w:bCs/>
                      <w:szCs w:val="21"/>
                      <w:u w:val="none" w:color="auto"/>
                      <w:vertAlign w:val="subscript"/>
                    </w:rPr>
                    <w:t>5</w:t>
                  </w:r>
                </w:p>
                <w:p>
                  <w:pPr>
                    <w:jc w:val="center"/>
                    <w:rPr>
                      <w:b/>
                      <w:szCs w:val="21"/>
                      <w:u w:val="none" w:color="auto"/>
                    </w:rPr>
                  </w:pPr>
                  <w:r>
                    <w:rPr>
                      <w:b/>
                      <w:bCs/>
                      <w:szCs w:val="21"/>
                      <w:u w:val="none" w:color="auto"/>
                    </w:rPr>
                    <w:t>（mg/L）</w:t>
                  </w:r>
                </w:p>
              </w:tc>
              <w:tc>
                <w:tcPr>
                  <w:tcW w:w="1213" w:type="dxa"/>
                  <w:vAlign w:val="center"/>
                </w:tcPr>
                <w:p>
                  <w:pPr>
                    <w:jc w:val="center"/>
                    <w:rPr>
                      <w:b/>
                      <w:bCs/>
                      <w:szCs w:val="21"/>
                      <w:u w:val="none" w:color="auto"/>
                    </w:rPr>
                  </w:pPr>
                  <w:r>
                    <w:rPr>
                      <w:b/>
                      <w:bCs/>
                      <w:szCs w:val="21"/>
                      <w:u w:val="none" w:color="auto"/>
                    </w:rPr>
                    <w:t>氨氮</w:t>
                  </w:r>
                </w:p>
                <w:p>
                  <w:pPr>
                    <w:jc w:val="center"/>
                    <w:rPr>
                      <w:b/>
                      <w:szCs w:val="21"/>
                      <w:u w:val="none" w:color="auto"/>
                    </w:rPr>
                  </w:pPr>
                  <w:r>
                    <w:rPr>
                      <w:b/>
                      <w:bCs/>
                      <w:szCs w:val="21"/>
                      <w:u w:val="none" w:color="auto"/>
                    </w:rPr>
                    <w:t>（mg/L）</w:t>
                  </w:r>
                </w:p>
              </w:tc>
              <w:tc>
                <w:tcPr>
                  <w:tcW w:w="1212" w:type="dxa"/>
                  <w:vAlign w:val="center"/>
                </w:tcPr>
                <w:p>
                  <w:pPr>
                    <w:jc w:val="center"/>
                    <w:rPr>
                      <w:b/>
                      <w:bCs/>
                      <w:szCs w:val="21"/>
                      <w:u w:val="none" w:color="auto"/>
                    </w:rPr>
                  </w:pPr>
                  <w:r>
                    <w:rPr>
                      <w:b/>
                      <w:bCs/>
                      <w:szCs w:val="21"/>
                      <w:u w:val="none" w:color="auto"/>
                    </w:rPr>
                    <w:t>DO</w:t>
                  </w:r>
                </w:p>
                <w:p>
                  <w:pPr>
                    <w:jc w:val="center"/>
                    <w:rPr>
                      <w:b/>
                      <w:szCs w:val="21"/>
                      <w:u w:val="none" w:color="auto"/>
                    </w:rPr>
                  </w:pPr>
                  <w:r>
                    <w:rPr>
                      <w:b/>
                      <w:bCs/>
                      <w:szCs w:val="21"/>
                      <w:u w:val="none" w:color="auto"/>
                    </w:rPr>
                    <w:t>（mg/L）</w:t>
                  </w:r>
                </w:p>
              </w:tc>
              <w:tc>
                <w:tcPr>
                  <w:tcW w:w="1203" w:type="dxa"/>
                  <w:vAlign w:val="center"/>
                </w:tcPr>
                <w:p>
                  <w:pPr>
                    <w:jc w:val="center"/>
                    <w:rPr>
                      <w:b/>
                      <w:szCs w:val="21"/>
                      <w:u w:val="none" w:color="auto"/>
                    </w:rPr>
                  </w:pPr>
                  <w:r>
                    <w:rPr>
                      <w:b/>
                      <w:bCs/>
                      <w:szCs w:val="21"/>
                      <w:u w:val="none" w:color="auto"/>
                    </w:rPr>
                    <w:t>石油类(mg/L)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trPr>
              <w:tc>
                <w:tcPr>
                  <w:tcW w:w="1187" w:type="dxa"/>
                  <w:vAlign w:val="center"/>
                </w:tcPr>
                <w:p>
                  <w:pPr>
                    <w:jc w:val="center"/>
                    <w:rPr>
                      <w:szCs w:val="21"/>
                      <w:u w:val="none" w:color="auto"/>
                    </w:rPr>
                  </w:pPr>
                  <w:r>
                    <w:rPr>
                      <w:bCs/>
                      <w:szCs w:val="21"/>
                      <w:u w:val="none" w:color="auto"/>
                    </w:rPr>
                    <w:t>浓度限值</w:t>
                  </w:r>
                </w:p>
              </w:tc>
              <w:tc>
                <w:tcPr>
                  <w:tcW w:w="1191" w:type="dxa"/>
                  <w:vAlign w:val="center"/>
                </w:tcPr>
                <w:p>
                  <w:pPr>
                    <w:jc w:val="center"/>
                    <w:rPr>
                      <w:szCs w:val="21"/>
                      <w:u w:val="none" w:color="auto"/>
                    </w:rPr>
                  </w:pPr>
                  <w:r>
                    <w:rPr>
                      <w:bCs/>
                      <w:szCs w:val="21"/>
                      <w:u w:val="none" w:color="auto"/>
                    </w:rPr>
                    <w:t>6～9</w:t>
                  </w:r>
                </w:p>
              </w:tc>
              <w:tc>
                <w:tcPr>
                  <w:tcW w:w="1212" w:type="dxa"/>
                  <w:vAlign w:val="center"/>
                </w:tcPr>
                <w:p>
                  <w:pPr>
                    <w:jc w:val="center"/>
                    <w:rPr>
                      <w:szCs w:val="21"/>
                      <w:u w:val="none" w:color="auto"/>
                    </w:rPr>
                  </w:pPr>
                  <w:r>
                    <w:rPr>
                      <w:bCs/>
                      <w:szCs w:val="21"/>
                      <w:u w:val="none" w:color="auto"/>
                    </w:rPr>
                    <w:t>≤20</w:t>
                  </w:r>
                </w:p>
              </w:tc>
              <w:tc>
                <w:tcPr>
                  <w:tcW w:w="1212" w:type="dxa"/>
                  <w:vAlign w:val="center"/>
                </w:tcPr>
                <w:p>
                  <w:pPr>
                    <w:jc w:val="center"/>
                    <w:rPr>
                      <w:szCs w:val="21"/>
                      <w:u w:val="none" w:color="auto"/>
                    </w:rPr>
                  </w:pPr>
                  <w:r>
                    <w:rPr>
                      <w:bCs/>
                      <w:szCs w:val="21"/>
                      <w:u w:val="none" w:color="auto"/>
                    </w:rPr>
                    <w:t>≤4.0</w:t>
                  </w:r>
                </w:p>
              </w:tc>
              <w:tc>
                <w:tcPr>
                  <w:tcW w:w="1213" w:type="dxa"/>
                  <w:vAlign w:val="center"/>
                </w:tcPr>
                <w:p>
                  <w:pPr>
                    <w:jc w:val="center"/>
                    <w:rPr>
                      <w:szCs w:val="21"/>
                      <w:u w:val="none" w:color="auto"/>
                    </w:rPr>
                  </w:pPr>
                  <w:r>
                    <w:rPr>
                      <w:bCs/>
                      <w:szCs w:val="21"/>
                      <w:u w:val="none" w:color="auto"/>
                    </w:rPr>
                    <w:t>≤1.0</w:t>
                  </w:r>
                </w:p>
              </w:tc>
              <w:tc>
                <w:tcPr>
                  <w:tcW w:w="1212" w:type="dxa"/>
                  <w:vAlign w:val="center"/>
                </w:tcPr>
                <w:p>
                  <w:pPr>
                    <w:jc w:val="center"/>
                    <w:rPr>
                      <w:szCs w:val="21"/>
                      <w:u w:val="none" w:color="auto"/>
                    </w:rPr>
                  </w:pPr>
                  <w:r>
                    <w:rPr>
                      <w:szCs w:val="21"/>
                      <w:u w:val="none" w:color="auto"/>
                    </w:rPr>
                    <w:t>≥5</w:t>
                  </w:r>
                </w:p>
              </w:tc>
              <w:tc>
                <w:tcPr>
                  <w:tcW w:w="1203" w:type="dxa"/>
                  <w:vAlign w:val="center"/>
                </w:tcPr>
                <w:p>
                  <w:pPr>
                    <w:jc w:val="center"/>
                    <w:rPr>
                      <w:szCs w:val="21"/>
                      <w:u w:val="none" w:color="auto"/>
                    </w:rPr>
                  </w:pPr>
                  <w:r>
                    <w:rPr>
                      <w:bCs/>
                      <w:szCs w:val="21"/>
                      <w:u w:val="none" w:color="auto"/>
                    </w:rPr>
                    <w:t>≤0.05</w:t>
                  </w:r>
                </w:p>
              </w:tc>
            </w:tr>
          </w:tbl>
          <w:p>
            <w:pPr>
              <w:pStyle w:val="32"/>
              <w:numPr>
                <w:ilvl w:val="0"/>
                <w:numId w:val="0"/>
              </w:numPr>
              <w:spacing w:line="360" w:lineRule="auto"/>
              <w:ind w:leftChars="0"/>
              <w:rPr>
                <w:sz w:val="24"/>
                <w:u w:val="none" w:color="auto"/>
              </w:rPr>
            </w:pPr>
            <w:r>
              <w:rPr>
                <w:rFonts w:hint="eastAsia"/>
                <w:sz w:val="24"/>
                <w:u w:val="none" w:color="auto"/>
                <w:lang w:val="en-US" w:eastAsia="zh-CN"/>
              </w:rPr>
              <w:t>3、</w:t>
            </w:r>
            <w:r>
              <w:rPr>
                <w:sz w:val="24"/>
                <w:u w:val="none" w:color="auto"/>
              </w:rPr>
              <w:t>声环境：执行《声环境质量标准》（GB3096-</w:t>
            </w:r>
            <w:r>
              <w:rPr>
                <w:rFonts w:hint="eastAsia"/>
                <w:sz w:val="24"/>
                <w:u w:val="none" w:color="auto"/>
                <w:lang w:val="en-US" w:eastAsia="zh-CN"/>
              </w:rPr>
              <w:t>2008</w:t>
            </w:r>
            <w:r>
              <w:rPr>
                <w:sz w:val="24"/>
                <w:u w:val="none" w:color="auto"/>
              </w:rPr>
              <w:t>）中的</w:t>
            </w:r>
            <w:r>
              <w:rPr>
                <w:rFonts w:hint="eastAsia"/>
                <w:sz w:val="24"/>
                <w:u w:val="none" w:color="auto"/>
                <w:lang w:val="en-US" w:eastAsia="zh-CN"/>
              </w:rPr>
              <w:t>2</w:t>
            </w:r>
            <w:r>
              <w:rPr>
                <w:sz w:val="24"/>
                <w:u w:val="none" w:color="auto"/>
              </w:rPr>
              <w:t>类标准</w:t>
            </w:r>
          </w:p>
          <w:p>
            <w:pPr>
              <w:pStyle w:val="32"/>
              <w:ind w:left="0" w:leftChars="0" w:firstLine="462"/>
              <w:jc w:val="center"/>
              <w:rPr>
                <w:b/>
                <w:bCs/>
                <w:sz w:val="24"/>
                <w:u w:val="none" w:color="auto"/>
              </w:rPr>
            </w:pPr>
            <w:r>
              <w:rPr>
                <w:b/>
                <w:bCs/>
                <w:sz w:val="24"/>
                <w:u w:val="none" w:color="auto"/>
              </w:rPr>
              <w:t>表4-</w:t>
            </w:r>
            <w:r>
              <w:rPr>
                <w:rFonts w:hint="eastAsia"/>
                <w:b/>
                <w:bCs/>
                <w:sz w:val="24"/>
                <w:u w:val="none" w:color="auto"/>
                <w:lang w:val="en-US" w:eastAsia="zh-CN"/>
              </w:rPr>
              <w:t>4</w:t>
            </w:r>
            <w:r>
              <w:rPr>
                <w:b/>
                <w:bCs/>
                <w:sz w:val="24"/>
                <w:u w:val="none" w:color="auto"/>
              </w:rPr>
              <w:t xml:space="preserve">  《声环境质量标准》中的标准</w:t>
            </w:r>
          </w:p>
          <w:tbl>
            <w:tblPr>
              <w:tblStyle w:val="39"/>
              <w:tblW w:w="843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12"/>
              <w:gridCol w:w="2806"/>
              <w:gridCol w:w="28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2812" w:type="dxa"/>
                  <w:vMerge w:val="restart"/>
                  <w:vAlign w:val="center"/>
                </w:tcPr>
                <w:p>
                  <w:pPr>
                    <w:pStyle w:val="32"/>
                    <w:spacing w:line="360" w:lineRule="auto"/>
                    <w:jc w:val="both"/>
                    <w:rPr>
                      <w:b/>
                      <w:bCs/>
                      <w:sz w:val="22"/>
                      <w:szCs w:val="22"/>
                      <w:u w:val="none" w:color="auto"/>
                    </w:rPr>
                  </w:pPr>
                  <w:r>
                    <w:rPr>
                      <w:b/>
                      <w:bCs/>
                      <w:sz w:val="22"/>
                      <w:szCs w:val="22"/>
                      <w:u w:val="none" w:color="auto"/>
                    </w:rPr>
                    <w:t>声环境功能区类别</w:t>
                  </w:r>
                </w:p>
              </w:tc>
              <w:tc>
                <w:tcPr>
                  <w:tcW w:w="5618" w:type="dxa"/>
                  <w:gridSpan w:val="2"/>
                  <w:vAlign w:val="center"/>
                </w:tcPr>
                <w:p>
                  <w:pPr>
                    <w:pStyle w:val="32"/>
                    <w:spacing w:line="360" w:lineRule="auto"/>
                    <w:ind w:left="0" w:leftChars="0" w:firstLine="462"/>
                    <w:jc w:val="center"/>
                    <w:rPr>
                      <w:b/>
                      <w:bCs/>
                      <w:sz w:val="22"/>
                      <w:szCs w:val="22"/>
                      <w:u w:val="none" w:color="auto"/>
                    </w:rPr>
                  </w:pPr>
                  <w:r>
                    <w:rPr>
                      <w:b/>
                      <w:bCs/>
                      <w:sz w:val="22"/>
                      <w:szCs w:val="22"/>
                      <w:u w:val="none" w:color="auto"/>
                    </w:rPr>
                    <w:t>时段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2812" w:type="dxa"/>
                  <w:vMerge w:val="continue"/>
                  <w:vAlign w:val="center"/>
                </w:tcPr>
                <w:p>
                  <w:pPr>
                    <w:pStyle w:val="32"/>
                    <w:spacing w:line="360" w:lineRule="auto"/>
                    <w:ind w:left="400" w:firstLine="462"/>
                    <w:jc w:val="center"/>
                    <w:rPr>
                      <w:b/>
                      <w:bCs/>
                      <w:sz w:val="22"/>
                      <w:szCs w:val="22"/>
                      <w:u w:val="none" w:color="auto"/>
                    </w:rPr>
                  </w:pPr>
                </w:p>
              </w:tc>
              <w:tc>
                <w:tcPr>
                  <w:tcW w:w="2806" w:type="dxa"/>
                  <w:vAlign w:val="center"/>
                </w:tcPr>
                <w:p>
                  <w:pPr>
                    <w:pStyle w:val="32"/>
                    <w:spacing w:line="360" w:lineRule="auto"/>
                    <w:ind w:left="0" w:leftChars="0" w:firstLine="462"/>
                    <w:jc w:val="center"/>
                    <w:rPr>
                      <w:b/>
                      <w:bCs/>
                      <w:sz w:val="22"/>
                      <w:szCs w:val="22"/>
                      <w:u w:val="none" w:color="auto"/>
                    </w:rPr>
                  </w:pPr>
                  <w:r>
                    <w:rPr>
                      <w:b/>
                      <w:bCs/>
                      <w:sz w:val="22"/>
                      <w:szCs w:val="22"/>
                      <w:u w:val="none" w:color="auto"/>
                    </w:rPr>
                    <w:t>昼间</w:t>
                  </w:r>
                </w:p>
              </w:tc>
              <w:tc>
                <w:tcPr>
                  <w:tcW w:w="2812" w:type="dxa"/>
                  <w:vAlign w:val="center"/>
                </w:tcPr>
                <w:p>
                  <w:pPr>
                    <w:pStyle w:val="32"/>
                    <w:spacing w:line="360" w:lineRule="auto"/>
                    <w:ind w:left="0" w:leftChars="0" w:firstLine="462"/>
                    <w:jc w:val="center"/>
                    <w:rPr>
                      <w:b/>
                      <w:bCs/>
                      <w:sz w:val="22"/>
                      <w:szCs w:val="22"/>
                      <w:u w:val="none" w:color="auto"/>
                    </w:rPr>
                  </w:pPr>
                  <w:r>
                    <w:rPr>
                      <w:b/>
                      <w:bCs/>
                      <w:sz w:val="22"/>
                      <w:szCs w:val="22"/>
                      <w:u w:val="none" w:color="auto"/>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812" w:type="dxa"/>
                  <w:vAlign w:val="center"/>
                </w:tcPr>
                <w:p>
                  <w:pPr>
                    <w:pStyle w:val="32"/>
                    <w:spacing w:line="360" w:lineRule="auto"/>
                    <w:ind w:left="0" w:leftChars="0" w:firstLine="460"/>
                    <w:jc w:val="center"/>
                    <w:rPr>
                      <w:sz w:val="22"/>
                      <w:szCs w:val="22"/>
                      <w:u w:val="none" w:color="auto"/>
                    </w:rPr>
                  </w:pPr>
                  <w:r>
                    <w:rPr>
                      <w:rFonts w:hint="eastAsia"/>
                      <w:sz w:val="22"/>
                      <w:szCs w:val="22"/>
                      <w:u w:val="none" w:color="auto"/>
                      <w:lang w:val="en-US" w:eastAsia="zh-CN"/>
                    </w:rPr>
                    <w:t>2</w:t>
                  </w:r>
                  <w:r>
                    <w:rPr>
                      <w:sz w:val="22"/>
                      <w:szCs w:val="22"/>
                      <w:u w:val="none" w:color="auto"/>
                    </w:rPr>
                    <w:t>类（dB(A)）</w:t>
                  </w:r>
                </w:p>
              </w:tc>
              <w:tc>
                <w:tcPr>
                  <w:tcW w:w="2806" w:type="dxa"/>
                  <w:vAlign w:val="center"/>
                </w:tcPr>
                <w:p>
                  <w:pPr>
                    <w:pStyle w:val="32"/>
                    <w:spacing w:line="360" w:lineRule="auto"/>
                    <w:ind w:left="0" w:leftChars="0" w:firstLine="460"/>
                    <w:jc w:val="center"/>
                    <w:rPr>
                      <w:rFonts w:hint="eastAsia" w:eastAsia="宋体"/>
                      <w:sz w:val="22"/>
                      <w:szCs w:val="22"/>
                      <w:u w:val="none" w:color="auto"/>
                      <w:lang w:eastAsia="zh-CN"/>
                    </w:rPr>
                  </w:pPr>
                  <w:r>
                    <w:rPr>
                      <w:sz w:val="22"/>
                      <w:szCs w:val="22"/>
                      <w:u w:val="none" w:color="auto"/>
                    </w:rPr>
                    <w:t>6</w:t>
                  </w:r>
                  <w:r>
                    <w:rPr>
                      <w:rFonts w:hint="eastAsia"/>
                      <w:sz w:val="22"/>
                      <w:szCs w:val="22"/>
                      <w:u w:val="none" w:color="auto"/>
                      <w:lang w:val="en-US" w:eastAsia="zh-CN"/>
                    </w:rPr>
                    <w:t>0</w:t>
                  </w:r>
                </w:p>
              </w:tc>
              <w:tc>
                <w:tcPr>
                  <w:tcW w:w="2812" w:type="dxa"/>
                  <w:vAlign w:val="center"/>
                </w:tcPr>
                <w:p>
                  <w:pPr>
                    <w:pStyle w:val="32"/>
                    <w:spacing w:line="360" w:lineRule="auto"/>
                    <w:ind w:left="0" w:leftChars="0" w:firstLine="460"/>
                    <w:jc w:val="center"/>
                    <w:rPr>
                      <w:rFonts w:hint="eastAsia" w:eastAsia="宋体"/>
                      <w:sz w:val="22"/>
                      <w:szCs w:val="22"/>
                      <w:u w:val="none" w:color="auto"/>
                      <w:lang w:eastAsia="zh-CN"/>
                    </w:rPr>
                  </w:pPr>
                  <w:r>
                    <w:rPr>
                      <w:sz w:val="22"/>
                      <w:szCs w:val="22"/>
                      <w:u w:val="none" w:color="auto"/>
                    </w:rPr>
                    <w:t>5</w:t>
                  </w:r>
                  <w:r>
                    <w:rPr>
                      <w:rFonts w:hint="eastAsia"/>
                      <w:sz w:val="22"/>
                      <w:szCs w:val="22"/>
                      <w:u w:val="none" w:color="auto"/>
                      <w:lang w:val="en-US" w:eastAsia="zh-CN"/>
                    </w:rPr>
                    <w:t>0</w:t>
                  </w:r>
                </w:p>
              </w:tc>
            </w:tr>
          </w:tbl>
          <w:p>
            <w:pPr>
              <w:pStyle w:val="162"/>
              <w:ind w:left="0" w:leftChars="0" w:firstLine="0" w:firstLineChars="0"/>
              <w:rPr>
                <w:rFonts w:hint="eastAsia" w:eastAsia="宋体"/>
                <w:szCs w:val="22"/>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592" w:type="dxa"/>
            <w:vAlign w:val="center"/>
          </w:tcPr>
          <w:p>
            <w:pPr>
              <w:jc w:val="center"/>
              <w:rPr>
                <w:b/>
                <w:bCs/>
                <w:sz w:val="24"/>
                <w:szCs w:val="24"/>
                <w:u w:val="none" w:color="auto"/>
              </w:rPr>
            </w:pPr>
            <w:r>
              <w:rPr>
                <w:b/>
                <w:bCs/>
                <w:sz w:val="24"/>
                <w:szCs w:val="24"/>
                <w:u w:val="none" w:color="auto"/>
              </w:rPr>
              <w:t>污染物排放标准</w:t>
            </w:r>
          </w:p>
        </w:tc>
        <w:tc>
          <w:tcPr>
            <w:tcW w:w="8676" w:type="dxa"/>
            <w:vAlign w:val="center"/>
          </w:tcPr>
          <w:p>
            <w:pPr>
              <w:pStyle w:val="14"/>
              <w:spacing w:line="360" w:lineRule="auto"/>
              <w:rPr>
                <w:sz w:val="24"/>
                <w:szCs w:val="24"/>
                <w:u w:val="none" w:color="auto"/>
              </w:rPr>
            </w:pPr>
            <w:r>
              <w:rPr>
                <w:rFonts w:hint="eastAsia"/>
                <w:kern w:val="0"/>
                <w:sz w:val="24"/>
                <w:szCs w:val="24"/>
                <w:u w:val="none" w:color="auto"/>
              </w:rPr>
              <w:t>1、</w:t>
            </w:r>
            <w:r>
              <w:rPr>
                <w:kern w:val="0"/>
                <w:sz w:val="24"/>
                <w:szCs w:val="24"/>
                <w:u w:val="none" w:color="auto"/>
              </w:rPr>
              <w:t>废水：</w:t>
            </w:r>
            <w:r>
              <w:rPr>
                <w:rFonts w:hint="default" w:ascii="Times New Roman" w:hAnsi="Times New Roman" w:eastAsia="宋体" w:cs="Times New Roman"/>
                <w:sz w:val="24"/>
                <w:szCs w:val="24"/>
                <w:u w:val="none" w:color="auto"/>
              </w:rPr>
              <w:t>生活废水经化粪池预处理后</w:t>
            </w:r>
            <w:r>
              <w:rPr>
                <w:rFonts w:hint="default" w:ascii="Times New Roman" w:hAnsi="Times New Roman" w:eastAsia="宋体" w:cs="Times New Roman"/>
                <w:sz w:val="24"/>
                <w:szCs w:val="24"/>
                <w:u w:val="none" w:color="auto"/>
                <w:lang w:eastAsia="zh-CN"/>
              </w:rPr>
              <w:t>回用于周边绿化施肥</w:t>
            </w:r>
            <w:r>
              <w:rPr>
                <w:rFonts w:hint="eastAsia" w:hAnsi="宋体"/>
                <w:sz w:val="24"/>
                <w:szCs w:val="24"/>
                <w:u w:val="none" w:color="auto"/>
              </w:rPr>
              <w:t>。</w:t>
            </w:r>
          </w:p>
          <w:p>
            <w:pPr>
              <w:spacing w:line="360" w:lineRule="auto"/>
              <w:jc w:val="left"/>
              <w:rPr>
                <w:sz w:val="24"/>
                <w:szCs w:val="24"/>
                <w:u w:val="none" w:color="auto"/>
              </w:rPr>
            </w:pPr>
            <w:r>
              <w:rPr>
                <w:rFonts w:hint="eastAsia"/>
                <w:sz w:val="24"/>
                <w:szCs w:val="24"/>
                <w:u w:val="none" w:color="auto"/>
              </w:rPr>
              <w:t>2</w:t>
            </w:r>
            <w:r>
              <w:rPr>
                <w:kern w:val="0"/>
                <w:sz w:val="24"/>
                <w:szCs w:val="24"/>
                <w:u w:val="none" w:color="auto"/>
              </w:rPr>
              <w:t>、废气：</w:t>
            </w:r>
            <w:r>
              <w:rPr>
                <w:rFonts w:hint="eastAsia"/>
                <w:sz w:val="24"/>
                <w:szCs w:val="24"/>
                <w:u w:val="none" w:color="auto"/>
              </w:rPr>
              <w:t>颗粒物排放执行《大气污染物综合排放标准》（GB16297-1996）的无组织监控限值</w:t>
            </w:r>
            <w:r>
              <w:rPr>
                <w:rFonts w:hint="eastAsia"/>
                <w:sz w:val="24"/>
                <w:szCs w:val="24"/>
                <w:u w:val="none" w:color="auto"/>
                <w:lang w:eastAsia="zh-CN"/>
              </w:rPr>
              <w:t>，</w:t>
            </w:r>
            <w:r>
              <w:rPr>
                <w:rFonts w:hint="eastAsia"/>
                <w:sz w:val="24"/>
                <w:szCs w:val="24"/>
                <w:u w:val="none" w:color="auto"/>
                <w:lang w:val="en-US" w:eastAsia="zh-CN"/>
              </w:rPr>
              <w:t>厂区外：非甲烷总烃</w:t>
            </w:r>
            <w:r>
              <w:rPr>
                <w:rFonts w:hint="eastAsia"/>
                <w:sz w:val="24"/>
                <w:szCs w:val="24"/>
                <w:u w:val="none" w:color="auto"/>
              </w:rPr>
              <w:t>无组织排放监控点浓度限值执行湖南省地方标准《家具制造行业挥发性有机物排放标准》（DB43/1355-2017）表 2 的排放浓度限值</w:t>
            </w:r>
            <w:r>
              <w:rPr>
                <w:rFonts w:hint="eastAsia"/>
                <w:sz w:val="24"/>
                <w:szCs w:val="24"/>
                <w:u w:val="none" w:color="auto"/>
                <w:lang w:eastAsia="zh-CN"/>
              </w:rPr>
              <w:t>；</w:t>
            </w:r>
            <w:r>
              <w:rPr>
                <w:rFonts w:hint="eastAsia"/>
                <w:sz w:val="24"/>
                <w:szCs w:val="24"/>
                <w:u w:val="none" w:color="auto"/>
                <w:lang w:val="en-US" w:eastAsia="zh-CN"/>
              </w:rPr>
              <w:t>厂区内：非甲烷总烃无组织排放标准执行《挥发性有机物无组织排放控制标准》（ GB 37822—2019 ）</w:t>
            </w:r>
            <w:r>
              <w:rPr>
                <w:rFonts w:hint="eastAsia"/>
                <w:sz w:val="24"/>
                <w:szCs w:val="24"/>
                <w:u w:val="none" w:color="auto"/>
              </w:rPr>
              <w:t>。</w:t>
            </w:r>
          </w:p>
          <w:p>
            <w:pPr>
              <w:pStyle w:val="38"/>
              <w:adjustRightInd w:val="0"/>
              <w:snapToGrid w:val="0"/>
              <w:spacing w:after="0"/>
              <w:ind w:left="0" w:leftChars="0" w:firstLine="0" w:firstLineChars="0"/>
              <w:jc w:val="center"/>
              <w:rPr>
                <w:b/>
                <w:kern w:val="0"/>
                <w:sz w:val="24"/>
                <w:szCs w:val="24"/>
                <w:u w:val="none" w:color="auto"/>
              </w:rPr>
            </w:pPr>
            <w:r>
              <w:rPr>
                <w:rFonts w:hint="eastAsia"/>
                <w:b/>
                <w:kern w:val="0"/>
                <w:sz w:val="24"/>
                <w:szCs w:val="24"/>
                <w:u w:val="none" w:color="auto"/>
              </w:rPr>
              <w:t>表4</w:t>
            </w:r>
            <w:r>
              <w:rPr>
                <w:b/>
                <w:kern w:val="0"/>
                <w:sz w:val="24"/>
                <w:szCs w:val="24"/>
                <w:u w:val="none" w:color="auto"/>
              </w:rPr>
              <w:t>-</w:t>
            </w:r>
            <w:r>
              <w:rPr>
                <w:rFonts w:hint="eastAsia"/>
                <w:b/>
                <w:kern w:val="0"/>
                <w:sz w:val="24"/>
                <w:szCs w:val="24"/>
                <w:u w:val="none" w:color="auto"/>
                <w:lang w:val="en-US" w:eastAsia="zh-CN"/>
              </w:rPr>
              <w:t>4</w:t>
            </w:r>
            <w:r>
              <w:rPr>
                <w:b/>
                <w:kern w:val="0"/>
                <w:sz w:val="24"/>
                <w:szCs w:val="24"/>
                <w:u w:val="none" w:color="auto"/>
              </w:rPr>
              <w:t xml:space="preserve">   </w:t>
            </w:r>
            <w:r>
              <w:rPr>
                <w:rFonts w:hint="eastAsia"/>
                <w:b/>
                <w:kern w:val="0"/>
                <w:sz w:val="24"/>
                <w:szCs w:val="24"/>
                <w:u w:val="none" w:color="auto"/>
              </w:rPr>
              <w:t>本项目废气排放标准</w:t>
            </w:r>
          </w:p>
          <w:tbl>
            <w:tblPr>
              <w:tblStyle w:val="39"/>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51"/>
              <w:gridCol w:w="3701"/>
              <w:gridCol w:w="25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42" w:hRule="atLeast"/>
                <w:jc w:val="center"/>
              </w:trPr>
              <w:tc>
                <w:tcPr>
                  <w:tcW w:w="1276" w:type="pct"/>
                  <w:vMerge w:val="restart"/>
                  <w:vAlign w:val="center"/>
                </w:tcPr>
                <w:p>
                  <w:pPr>
                    <w:adjustRightInd w:val="0"/>
                    <w:snapToGrid w:val="0"/>
                    <w:spacing w:line="360" w:lineRule="auto"/>
                    <w:jc w:val="center"/>
                    <w:rPr>
                      <w:b/>
                      <w:sz w:val="22"/>
                      <w:szCs w:val="22"/>
                      <w:u w:val="none" w:color="auto"/>
                    </w:rPr>
                  </w:pPr>
                  <w:r>
                    <w:rPr>
                      <w:b/>
                      <w:sz w:val="22"/>
                      <w:szCs w:val="22"/>
                      <w:u w:val="none" w:color="auto"/>
                    </w:rPr>
                    <w:t>污染物</w:t>
                  </w:r>
                </w:p>
              </w:tc>
              <w:tc>
                <w:tcPr>
                  <w:tcW w:w="3723" w:type="pct"/>
                  <w:gridSpan w:val="2"/>
                  <w:vAlign w:val="center"/>
                </w:tcPr>
                <w:p>
                  <w:pPr>
                    <w:adjustRightInd w:val="0"/>
                    <w:snapToGrid w:val="0"/>
                    <w:spacing w:line="360" w:lineRule="auto"/>
                    <w:jc w:val="center"/>
                    <w:rPr>
                      <w:b/>
                      <w:sz w:val="22"/>
                      <w:szCs w:val="22"/>
                      <w:u w:val="none" w:color="auto"/>
                    </w:rPr>
                  </w:pPr>
                  <w:r>
                    <w:rPr>
                      <w:b/>
                      <w:sz w:val="22"/>
                      <w:szCs w:val="22"/>
                      <w:u w:val="none" w:color="auto"/>
                    </w:rPr>
                    <w:t xml:space="preserve">无组织排放监测浓度限值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76" w:type="pct"/>
                  <w:vMerge w:val="continue"/>
                  <w:vAlign w:val="center"/>
                </w:tcPr>
                <w:p>
                  <w:pPr>
                    <w:adjustRightInd w:val="0"/>
                    <w:snapToGrid w:val="0"/>
                    <w:spacing w:line="360" w:lineRule="auto"/>
                    <w:jc w:val="center"/>
                    <w:rPr>
                      <w:b/>
                      <w:sz w:val="22"/>
                      <w:szCs w:val="22"/>
                      <w:u w:val="none" w:color="auto"/>
                    </w:rPr>
                  </w:pPr>
                </w:p>
              </w:tc>
              <w:tc>
                <w:tcPr>
                  <w:tcW w:w="2195" w:type="pct"/>
                  <w:vAlign w:val="center"/>
                </w:tcPr>
                <w:p>
                  <w:pPr>
                    <w:adjustRightInd w:val="0"/>
                    <w:snapToGrid w:val="0"/>
                    <w:spacing w:line="360" w:lineRule="auto"/>
                    <w:jc w:val="center"/>
                    <w:rPr>
                      <w:b/>
                      <w:sz w:val="22"/>
                      <w:szCs w:val="22"/>
                      <w:u w:val="none" w:color="auto"/>
                    </w:rPr>
                  </w:pPr>
                  <w:r>
                    <w:rPr>
                      <w:rFonts w:hint="eastAsia"/>
                      <w:b/>
                      <w:sz w:val="22"/>
                      <w:szCs w:val="22"/>
                      <w:u w:val="none" w:color="auto"/>
                    </w:rPr>
                    <w:t>监控点</w:t>
                  </w:r>
                </w:p>
              </w:tc>
              <w:tc>
                <w:tcPr>
                  <w:tcW w:w="1527" w:type="pct"/>
                  <w:vAlign w:val="center"/>
                </w:tcPr>
                <w:p>
                  <w:pPr>
                    <w:adjustRightInd w:val="0"/>
                    <w:snapToGrid w:val="0"/>
                    <w:spacing w:line="360" w:lineRule="auto"/>
                    <w:jc w:val="center"/>
                    <w:rPr>
                      <w:b/>
                      <w:sz w:val="22"/>
                      <w:szCs w:val="22"/>
                      <w:u w:val="none" w:color="auto"/>
                    </w:rPr>
                  </w:pPr>
                  <w:r>
                    <w:rPr>
                      <w:rFonts w:hint="eastAsia"/>
                      <w:b/>
                      <w:sz w:val="22"/>
                      <w:szCs w:val="22"/>
                      <w:u w:val="none" w:color="auto"/>
                    </w:rPr>
                    <w:t>浓度</w:t>
                  </w:r>
                  <w:r>
                    <w:rPr>
                      <w:b/>
                      <w:sz w:val="22"/>
                      <w:szCs w:val="22"/>
                      <w:u w:val="none" w:color="auto"/>
                    </w:rPr>
                    <w:t>(mg/m</w:t>
                  </w:r>
                  <w:r>
                    <w:rPr>
                      <w:b/>
                      <w:sz w:val="22"/>
                      <w:szCs w:val="22"/>
                      <w:u w:val="none" w:color="auto"/>
                      <w:vertAlign w:val="superscript"/>
                    </w:rPr>
                    <w:t>3</w:t>
                  </w:r>
                  <w:r>
                    <w:rPr>
                      <w:b/>
                      <w:sz w:val="22"/>
                      <w:szCs w:val="22"/>
                      <w:u w:val="none" w:color="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276" w:type="pct"/>
                  <w:vAlign w:val="center"/>
                </w:tcPr>
                <w:p>
                  <w:pPr>
                    <w:adjustRightInd w:val="0"/>
                    <w:snapToGrid w:val="0"/>
                    <w:spacing w:line="360" w:lineRule="auto"/>
                    <w:jc w:val="center"/>
                    <w:rPr>
                      <w:sz w:val="22"/>
                      <w:szCs w:val="22"/>
                      <w:u w:val="none" w:color="auto"/>
                    </w:rPr>
                  </w:pPr>
                  <w:r>
                    <w:rPr>
                      <w:rFonts w:hint="eastAsia"/>
                      <w:sz w:val="22"/>
                      <w:szCs w:val="22"/>
                      <w:u w:val="none" w:color="auto"/>
                    </w:rPr>
                    <w:t>颗粒物</w:t>
                  </w:r>
                </w:p>
              </w:tc>
              <w:tc>
                <w:tcPr>
                  <w:tcW w:w="2195" w:type="pct"/>
                  <w:vAlign w:val="center"/>
                </w:tcPr>
                <w:p>
                  <w:pPr>
                    <w:adjustRightInd w:val="0"/>
                    <w:snapToGrid w:val="0"/>
                    <w:spacing w:line="360" w:lineRule="auto"/>
                    <w:jc w:val="center"/>
                    <w:rPr>
                      <w:sz w:val="22"/>
                      <w:szCs w:val="22"/>
                      <w:u w:val="none" w:color="auto"/>
                    </w:rPr>
                  </w:pPr>
                  <w:r>
                    <w:rPr>
                      <w:rFonts w:hint="eastAsia"/>
                      <w:sz w:val="22"/>
                      <w:szCs w:val="22"/>
                      <w:u w:val="none" w:color="auto"/>
                    </w:rPr>
                    <w:t>周界外浓度最高点</w:t>
                  </w:r>
                </w:p>
              </w:tc>
              <w:tc>
                <w:tcPr>
                  <w:tcW w:w="1527" w:type="pct"/>
                  <w:vAlign w:val="center"/>
                </w:tcPr>
                <w:p>
                  <w:pPr>
                    <w:adjustRightInd w:val="0"/>
                    <w:snapToGrid w:val="0"/>
                    <w:spacing w:line="360" w:lineRule="auto"/>
                    <w:jc w:val="center"/>
                    <w:rPr>
                      <w:sz w:val="22"/>
                      <w:szCs w:val="22"/>
                      <w:u w:val="none" w:color="auto"/>
                    </w:rPr>
                  </w:pPr>
                  <w:r>
                    <w:rPr>
                      <w:rFonts w:hint="eastAsia"/>
                      <w:sz w:val="22"/>
                      <w:szCs w:val="22"/>
                      <w:u w:val="none" w:color="auto"/>
                    </w:rPr>
                    <w:t>1</w:t>
                  </w:r>
                  <w:r>
                    <w:rPr>
                      <w:sz w:val="22"/>
                      <w:szCs w:val="22"/>
                      <w:u w:val="none" w:color="auto"/>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276" w:type="pct"/>
                  <w:vAlign w:val="center"/>
                </w:tcPr>
                <w:p>
                  <w:pPr>
                    <w:adjustRightInd w:val="0"/>
                    <w:snapToGrid w:val="0"/>
                    <w:spacing w:line="360" w:lineRule="auto"/>
                    <w:jc w:val="center"/>
                    <w:rPr>
                      <w:rFonts w:hint="default" w:eastAsia="宋体"/>
                      <w:sz w:val="22"/>
                      <w:szCs w:val="22"/>
                      <w:u w:val="none" w:color="auto"/>
                      <w:lang w:val="en-US" w:eastAsia="zh-CN"/>
                    </w:rPr>
                  </w:pPr>
                  <w:r>
                    <w:rPr>
                      <w:rFonts w:hint="eastAsia"/>
                      <w:sz w:val="22"/>
                      <w:szCs w:val="22"/>
                      <w:u w:val="none" w:color="auto"/>
                      <w:lang w:val="en-US" w:eastAsia="zh-CN"/>
                    </w:rPr>
                    <w:t>非甲烷总烃</w:t>
                  </w:r>
                </w:p>
              </w:tc>
              <w:tc>
                <w:tcPr>
                  <w:tcW w:w="2195" w:type="pct"/>
                  <w:vAlign w:val="center"/>
                </w:tcPr>
                <w:p>
                  <w:pPr>
                    <w:adjustRightInd w:val="0"/>
                    <w:snapToGrid w:val="0"/>
                    <w:spacing w:line="360" w:lineRule="auto"/>
                    <w:jc w:val="center"/>
                    <w:rPr>
                      <w:sz w:val="22"/>
                      <w:szCs w:val="22"/>
                      <w:u w:val="none" w:color="auto"/>
                    </w:rPr>
                  </w:pPr>
                  <w:r>
                    <w:rPr>
                      <w:rFonts w:hint="eastAsia"/>
                      <w:sz w:val="22"/>
                      <w:szCs w:val="22"/>
                      <w:u w:val="none" w:color="auto"/>
                    </w:rPr>
                    <w:t>周界外浓度最高点</w:t>
                  </w:r>
                </w:p>
              </w:tc>
              <w:tc>
                <w:tcPr>
                  <w:tcW w:w="1527" w:type="pct"/>
                  <w:vAlign w:val="center"/>
                </w:tcPr>
                <w:p>
                  <w:pPr>
                    <w:adjustRightInd w:val="0"/>
                    <w:snapToGrid w:val="0"/>
                    <w:spacing w:line="360" w:lineRule="auto"/>
                    <w:jc w:val="center"/>
                    <w:rPr>
                      <w:sz w:val="22"/>
                      <w:szCs w:val="22"/>
                      <w:u w:val="none" w:color="auto"/>
                    </w:rPr>
                  </w:pPr>
                  <w:r>
                    <w:rPr>
                      <w:sz w:val="22"/>
                      <w:szCs w:val="22"/>
                      <w:u w:val="none" w:color="auto"/>
                    </w:rPr>
                    <w:t>2.0</w:t>
                  </w:r>
                </w:p>
              </w:tc>
            </w:tr>
          </w:tbl>
          <w:p>
            <w:pPr>
              <w:pStyle w:val="38"/>
              <w:adjustRightInd w:val="0"/>
              <w:snapToGrid w:val="0"/>
              <w:spacing w:after="0" w:line="360" w:lineRule="auto"/>
              <w:ind w:left="0" w:leftChars="0" w:firstLine="0" w:firstLineChars="0"/>
              <w:jc w:val="center"/>
              <w:rPr>
                <w:rFonts w:hint="default" w:eastAsia="宋体"/>
                <w:b/>
                <w:bCs/>
                <w:kern w:val="0"/>
                <w:sz w:val="24"/>
                <w:szCs w:val="24"/>
                <w:u w:val="none" w:color="auto"/>
                <w:lang w:val="en-US" w:eastAsia="zh-CN"/>
              </w:rPr>
            </w:pPr>
            <w:r>
              <w:rPr>
                <w:rFonts w:hint="eastAsia"/>
                <w:b/>
                <w:bCs/>
                <w:kern w:val="0"/>
                <w:sz w:val="24"/>
                <w:szCs w:val="24"/>
                <w:u w:val="none" w:color="auto"/>
                <w:lang w:val="en-US" w:eastAsia="zh-CN"/>
              </w:rPr>
              <w:t>表4-5 厂区内无组织废气排放标准</w:t>
            </w:r>
          </w:p>
          <w:tbl>
            <w:tblPr>
              <w:tblStyle w:val="40"/>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1335"/>
              <w:gridCol w:w="1740"/>
              <w:gridCol w:w="2205"/>
              <w:gridCol w:w="16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64" w:type="dxa"/>
                  <w:tcBorders>
                    <w:tl2br w:val="nil"/>
                    <w:tr2bl w:val="nil"/>
                  </w:tcBorders>
                  <w:vAlign w:val="center"/>
                </w:tcPr>
                <w:p>
                  <w:pPr>
                    <w:pStyle w:val="38"/>
                    <w:adjustRightInd w:val="0"/>
                    <w:snapToGrid w:val="0"/>
                    <w:spacing w:after="0" w:line="360" w:lineRule="auto"/>
                    <w:ind w:left="0" w:leftChars="0" w:firstLine="0" w:firstLineChars="0"/>
                    <w:jc w:val="center"/>
                    <w:rPr>
                      <w:rFonts w:hint="default" w:eastAsia="宋体"/>
                      <w:kern w:val="0"/>
                      <w:sz w:val="22"/>
                      <w:szCs w:val="22"/>
                      <w:u w:val="none" w:color="auto"/>
                      <w:vertAlign w:val="baseline"/>
                      <w:lang w:val="en-US" w:eastAsia="zh-CN"/>
                    </w:rPr>
                  </w:pPr>
                  <w:r>
                    <w:rPr>
                      <w:rFonts w:hint="eastAsia"/>
                      <w:kern w:val="0"/>
                      <w:sz w:val="22"/>
                      <w:szCs w:val="22"/>
                      <w:u w:val="none" w:color="auto"/>
                      <w:vertAlign w:val="baseline"/>
                      <w:lang w:val="en-US" w:eastAsia="zh-CN"/>
                    </w:rPr>
                    <w:t>污染物项目</w:t>
                  </w:r>
                </w:p>
              </w:tc>
              <w:tc>
                <w:tcPr>
                  <w:tcW w:w="1335" w:type="dxa"/>
                  <w:tcBorders>
                    <w:tl2br w:val="nil"/>
                    <w:tr2bl w:val="nil"/>
                  </w:tcBorders>
                  <w:vAlign w:val="center"/>
                </w:tcPr>
                <w:p>
                  <w:pPr>
                    <w:pStyle w:val="38"/>
                    <w:adjustRightInd w:val="0"/>
                    <w:snapToGrid w:val="0"/>
                    <w:spacing w:after="0" w:line="360" w:lineRule="auto"/>
                    <w:ind w:left="0" w:leftChars="0" w:firstLine="0" w:firstLineChars="0"/>
                    <w:jc w:val="center"/>
                    <w:rPr>
                      <w:rFonts w:hint="default" w:eastAsia="宋体"/>
                      <w:kern w:val="0"/>
                      <w:sz w:val="22"/>
                      <w:szCs w:val="22"/>
                      <w:u w:val="none" w:color="auto"/>
                      <w:vertAlign w:val="baseline"/>
                      <w:lang w:val="en-US" w:eastAsia="zh-CN"/>
                    </w:rPr>
                  </w:pPr>
                  <w:r>
                    <w:rPr>
                      <w:rFonts w:hint="eastAsia"/>
                      <w:kern w:val="0"/>
                      <w:sz w:val="22"/>
                      <w:szCs w:val="22"/>
                      <w:u w:val="none" w:color="auto"/>
                      <w:vertAlign w:val="baseline"/>
                      <w:lang w:val="en-US" w:eastAsia="zh-CN"/>
                    </w:rPr>
                    <w:t>排放限值</w:t>
                  </w:r>
                </w:p>
              </w:tc>
              <w:tc>
                <w:tcPr>
                  <w:tcW w:w="1740" w:type="dxa"/>
                  <w:tcBorders>
                    <w:tl2br w:val="nil"/>
                    <w:tr2bl w:val="nil"/>
                  </w:tcBorders>
                  <w:vAlign w:val="center"/>
                </w:tcPr>
                <w:p>
                  <w:pPr>
                    <w:pStyle w:val="38"/>
                    <w:adjustRightInd w:val="0"/>
                    <w:snapToGrid w:val="0"/>
                    <w:spacing w:after="0" w:line="360" w:lineRule="auto"/>
                    <w:ind w:left="0" w:leftChars="0" w:firstLine="0" w:firstLineChars="0"/>
                    <w:jc w:val="center"/>
                    <w:rPr>
                      <w:rFonts w:hint="default" w:eastAsia="宋体"/>
                      <w:kern w:val="0"/>
                      <w:sz w:val="22"/>
                      <w:szCs w:val="22"/>
                      <w:u w:val="none" w:color="auto"/>
                      <w:vertAlign w:val="baseline"/>
                      <w:lang w:val="en-US" w:eastAsia="zh-CN"/>
                    </w:rPr>
                  </w:pPr>
                  <w:r>
                    <w:rPr>
                      <w:rFonts w:hint="eastAsia"/>
                      <w:kern w:val="0"/>
                      <w:sz w:val="22"/>
                      <w:szCs w:val="22"/>
                      <w:u w:val="none" w:color="auto"/>
                      <w:vertAlign w:val="baseline"/>
                      <w:lang w:val="en-US" w:eastAsia="zh-CN"/>
                    </w:rPr>
                    <w:t>特别排放限值</w:t>
                  </w:r>
                </w:p>
              </w:tc>
              <w:tc>
                <w:tcPr>
                  <w:tcW w:w="2205" w:type="dxa"/>
                  <w:tcBorders>
                    <w:tl2br w:val="nil"/>
                    <w:tr2bl w:val="nil"/>
                  </w:tcBorders>
                  <w:vAlign w:val="center"/>
                </w:tcPr>
                <w:p>
                  <w:pPr>
                    <w:pStyle w:val="38"/>
                    <w:adjustRightInd w:val="0"/>
                    <w:snapToGrid w:val="0"/>
                    <w:spacing w:after="0" w:line="360" w:lineRule="auto"/>
                    <w:ind w:left="0" w:leftChars="0" w:firstLine="0" w:firstLineChars="0"/>
                    <w:jc w:val="center"/>
                    <w:rPr>
                      <w:rFonts w:hint="default" w:eastAsia="宋体"/>
                      <w:kern w:val="0"/>
                      <w:sz w:val="22"/>
                      <w:szCs w:val="22"/>
                      <w:u w:val="none" w:color="auto"/>
                      <w:vertAlign w:val="baseline"/>
                      <w:lang w:val="en-US" w:eastAsia="zh-CN"/>
                    </w:rPr>
                  </w:pPr>
                  <w:r>
                    <w:rPr>
                      <w:rFonts w:hint="eastAsia"/>
                      <w:kern w:val="0"/>
                      <w:sz w:val="22"/>
                      <w:szCs w:val="22"/>
                      <w:u w:val="none" w:color="auto"/>
                      <w:vertAlign w:val="baseline"/>
                      <w:lang w:val="en-US" w:eastAsia="zh-CN"/>
                    </w:rPr>
                    <w:t>限值含义</w:t>
                  </w:r>
                </w:p>
              </w:tc>
              <w:tc>
                <w:tcPr>
                  <w:tcW w:w="1686" w:type="dxa"/>
                  <w:tcBorders>
                    <w:tl2br w:val="nil"/>
                    <w:tr2bl w:val="nil"/>
                  </w:tcBorders>
                  <w:vAlign w:val="center"/>
                </w:tcPr>
                <w:p>
                  <w:pPr>
                    <w:pStyle w:val="38"/>
                    <w:adjustRightInd w:val="0"/>
                    <w:snapToGrid w:val="0"/>
                    <w:spacing w:after="0" w:line="360" w:lineRule="auto"/>
                    <w:ind w:left="0" w:leftChars="0" w:firstLine="0" w:firstLineChars="0"/>
                    <w:jc w:val="center"/>
                    <w:rPr>
                      <w:rFonts w:hint="default" w:eastAsia="宋体"/>
                      <w:kern w:val="0"/>
                      <w:sz w:val="22"/>
                      <w:szCs w:val="22"/>
                      <w:u w:val="none" w:color="auto"/>
                      <w:vertAlign w:val="baseline"/>
                      <w:lang w:val="en-US" w:eastAsia="zh-CN"/>
                    </w:rPr>
                  </w:pPr>
                  <w:r>
                    <w:rPr>
                      <w:rFonts w:hint="eastAsia"/>
                      <w:kern w:val="0"/>
                      <w:sz w:val="22"/>
                      <w:szCs w:val="22"/>
                      <w:u w:val="none" w:color="auto"/>
                      <w:vertAlign w:val="baseline"/>
                      <w:lang w:val="en-US" w:eastAsia="zh-CN"/>
                    </w:rPr>
                    <w:t>无组织排放监控位置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64" w:type="dxa"/>
                  <w:vMerge w:val="restart"/>
                  <w:tcBorders>
                    <w:tl2br w:val="nil"/>
                    <w:tr2bl w:val="nil"/>
                  </w:tcBorders>
                  <w:vAlign w:val="center"/>
                </w:tcPr>
                <w:p>
                  <w:pPr>
                    <w:pStyle w:val="38"/>
                    <w:adjustRightInd w:val="0"/>
                    <w:snapToGrid w:val="0"/>
                    <w:spacing w:after="0" w:line="360" w:lineRule="auto"/>
                    <w:ind w:left="0" w:leftChars="0" w:firstLine="0" w:firstLineChars="0"/>
                    <w:jc w:val="center"/>
                    <w:rPr>
                      <w:rFonts w:hint="default" w:eastAsia="宋体"/>
                      <w:kern w:val="0"/>
                      <w:sz w:val="22"/>
                      <w:szCs w:val="22"/>
                      <w:u w:val="none" w:color="auto"/>
                      <w:vertAlign w:val="baseline"/>
                      <w:lang w:val="en-US" w:eastAsia="zh-CN"/>
                    </w:rPr>
                  </w:pPr>
                  <w:r>
                    <w:rPr>
                      <w:rFonts w:hint="eastAsia"/>
                      <w:kern w:val="0"/>
                      <w:sz w:val="22"/>
                      <w:szCs w:val="22"/>
                      <w:u w:val="none" w:color="auto"/>
                      <w:vertAlign w:val="baseline"/>
                      <w:lang w:val="en-US" w:eastAsia="zh-CN"/>
                    </w:rPr>
                    <w:t>非甲烷总烃</w:t>
                  </w:r>
                </w:p>
              </w:tc>
              <w:tc>
                <w:tcPr>
                  <w:tcW w:w="1335" w:type="dxa"/>
                  <w:tcBorders>
                    <w:tl2br w:val="nil"/>
                    <w:tr2bl w:val="nil"/>
                  </w:tcBorders>
                  <w:vAlign w:val="center"/>
                </w:tcPr>
                <w:p>
                  <w:pPr>
                    <w:pStyle w:val="38"/>
                    <w:adjustRightInd w:val="0"/>
                    <w:snapToGrid w:val="0"/>
                    <w:spacing w:after="0" w:line="360" w:lineRule="auto"/>
                    <w:ind w:left="0" w:leftChars="0" w:firstLine="0" w:firstLineChars="0"/>
                    <w:jc w:val="center"/>
                    <w:rPr>
                      <w:rFonts w:hint="default" w:eastAsia="宋体"/>
                      <w:kern w:val="0"/>
                      <w:sz w:val="22"/>
                      <w:szCs w:val="22"/>
                      <w:u w:val="none" w:color="auto"/>
                      <w:vertAlign w:val="baseline"/>
                      <w:lang w:val="en-US" w:eastAsia="zh-CN"/>
                    </w:rPr>
                  </w:pPr>
                  <w:r>
                    <w:rPr>
                      <w:rFonts w:hint="eastAsia"/>
                      <w:kern w:val="0"/>
                      <w:sz w:val="22"/>
                      <w:szCs w:val="22"/>
                      <w:u w:val="none" w:color="auto"/>
                      <w:vertAlign w:val="baseline"/>
                      <w:lang w:val="en-US" w:eastAsia="zh-CN"/>
                    </w:rPr>
                    <w:t>10</w:t>
                  </w:r>
                </w:p>
              </w:tc>
              <w:tc>
                <w:tcPr>
                  <w:tcW w:w="1740" w:type="dxa"/>
                  <w:tcBorders>
                    <w:tl2br w:val="nil"/>
                    <w:tr2bl w:val="nil"/>
                  </w:tcBorders>
                  <w:vAlign w:val="center"/>
                </w:tcPr>
                <w:p>
                  <w:pPr>
                    <w:pStyle w:val="38"/>
                    <w:adjustRightInd w:val="0"/>
                    <w:snapToGrid w:val="0"/>
                    <w:spacing w:after="0" w:line="360" w:lineRule="auto"/>
                    <w:ind w:left="0" w:leftChars="0" w:firstLine="0" w:firstLineChars="0"/>
                    <w:jc w:val="center"/>
                    <w:rPr>
                      <w:rFonts w:hint="eastAsia" w:eastAsia="宋体"/>
                      <w:kern w:val="0"/>
                      <w:sz w:val="22"/>
                      <w:szCs w:val="22"/>
                      <w:u w:val="none" w:color="auto"/>
                      <w:vertAlign w:val="baseline"/>
                      <w:lang w:val="en-US" w:eastAsia="zh-CN"/>
                    </w:rPr>
                  </w:pPr>
                  <w:r>
                    <w:rPr>
                      <w:rFonts w:hint="eastAsia"/>
                      <w:kern w:val="0"/>
                      <w:sz w:val="22"/>
                      <w:szCs w:val="22"/>
                      <w:u w:val="none" w:color="auto"/>
                      <w:vertAlign w:val="baseline"/>
                      <w:lang w:val="en-US" w:eastAsia="zh-CN"/>
                    </w:rPr>
                    <w:t>6</w:t>
                  </w:r>
                </w:p>
              </w:tc>
              <w:tc>
                <w:tcPr>
                  <w:tcW w:w="2205" w:type="dxa"/>
                  <w:tcBorders>
                    <w:tl2br w:val="nil"/>
                    <w:tr2bl w:val="nil"/>
                  </w:tcBorders>
                  <w:vAlign w:val="center"/>
                </w:tcPr>
                <w:p>
                  <w:pPr>
                    <w:pStyle w:val="38"/>
                    <w:adjustRightInd w:val="0"/>
                    <w:snapToGrid w:val="0"/>
                    <w:spacing w:after="0" w:line="360" w:lineRule="auto"/>
                    <w:ind w:left="0" w:leftChars="0" w:firstLine="0" w:firstLineChars="0"/>
                    <w:jc w:val="center"/>
                    <w:rPr>
                      <w:rFonts w:hint="default" w:eastAsia="宋体"/>
                      <w:kern w:val="0"/>
                      <w:sz w:val="22"/>
                      <w:szCs w:val="22"/>
                      <w:u w:val="none" w:color="auto"/>
                      <w:vertAlign w:val="baseline"/>
                      <w:lang w:val="en-US" w:eastAsia="zh-CN"/>
                    </w:rPr>
                  </w:pPr>
                  <w:r>
                    <w:rPr>
                      <w:rFonts w:hint="eastAsia"/>
                      <w:kern w:val="0"/>
                      <w:sz w:val="22"/>
                      <w:szCs w:val="22"/>
                      <w:u w:val="none" w:color="auto"/>
                      <w:vertAlign w:val="baseline"/>
                      <w:lang w:val="en-US" w:eastAsia="zh-CN"/>
                    </w:rPr>
                    <w:t>监控点处1H平均浓度值</w:t>
                  </w:r>
                </w:p>
              </w:tc>
              <w:tc>
                <w:tcPr>
                  <w:tcW w:w="1686" w:type="dxa"/>
                  <w:vMerge w:val="restart"/>
                  <w:tcBorders>
                    <w:tl2br w:val="nil"/>
                    <w:tr2bl w:val="nil"/>
                  </w:tcBorders>
                  <w:vAlign w:val="center"/>
                </w:tcPr>
                <w:p>
                  <w:pPr>
                    <w:pStyle w:val="38"/>
                    <w:adjustRightInd w:val="0"/>
                    <w:snapToGrid w:val="0"/>
                    <w:spacing w:after="0" w:line="360" w:lineRule="auto"/>
                    <w:ind w:left="0" w:leftChars="0" w:firstLine="0" w:firstLineChars="0"/>
                    <w:jc w:val="center"/>
                    <w:rPr>
                      <w:rFonts w:hint="default" w:eastAsia="宋体"/>
                      <w:kern w:val="0"/>
                      <w:sz w:val="22"/>
                      <w:szCs w:val="22"/>
                      <w:u w:val="none" w:color="auto"/>
                      <w:vertAlign w:val="baseline"/>
                      <w:lang w:val="en-US" w:eastAsia="zh-CN"/>
                    </w:rPr>
                  </w:pPr>
                  <w:r>
                    <w:rPr>
                      <w:rFonts w:hint="eastAsia"/>
                      <w:kern w:val="0"/>
                      <w:sz w:val="22"/>
                      <w:szCs w:val="22"/>
                      <w:u w:val="none" w:color="auto"/>
                      <w:vertAlign w:val="baseline"/>
                      <w:lang w:val="en-US" w:eastAsia="zh-CN"/>
                    </w:rPr>
                    <w:t>厂房外设置监控点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64" w:type="dxa"/>
                  <w:vMerge w:val="continue"/>
                  <w:tcBorders>
                    <w:tl2br w:val="nil"/>
                    <w:tr2bl w:val="nil"/>
                  </w:tcBorders>
                  <w:vAlign w:val="center"/>
                </w:tcPr>
                <w:p>
                  <w:pPr>
                    <w:pStyle w:val="38"/>
                    <w:adjustRightInd w:val="0"/>
                    <w:snapToGrid w:val="0"/>
                    <w:spacing w:after="0" w:line="360" w:lineRule="auto"/>
                    <w:jc w:val="center"/>
                    <w:rPr>
                      <w:kern w:val="0"/>
                      <w:sz w:val="22"/>
                      <w:szCs w:val="22"/>
                      <w:u w:val="none" w:color="auto"/>
                      <w:vertAlign w:val="baseline"/>
                    </w:rPr>
                  </w:pPr>
                </w:p>
              </w:tc>
              <w:tc>
                <w:tcPr>
                  <w:tcW w:w="1335" w:type="dxa"/>
                  <w:tcBorders>
                    <w:tl2br w:val="nil"/>
                    <w:tr2bl w:val="nil"/>
                  </w:tcBorders>
                  <w:vAlign w:val="center"/>
                </w:tcPr>
                <w:p>
                  <w:pPr>
                    <w:pStyle w:val="38"/>
                    <w:adjustRightInd w:val="0"/>
                    <w:snapToGrid w:val="0"/>
                    <w:spacing w:after="0" w:line="360" w:lineRule="auto"/>
                    <w:ind w:left="0" w:leftChars="0" w:firstLine="0" w:firstLineChars="0"/>
                    <w:jc w:val="center"/>
                    <w:rPr>
                      <w:rFonts w:hint="default" w:eastAsia="宋体"/>
                      <w:kern w:val="0"/>
                      <w:sz w:val="22"/>
                      <w:szCs w:val="22"/>
                      <w:u w:val="none" w:color="auto"/>
                      <w:vertAlign w:val="baseline"/>
                      <w:lang w:val="en-US" w:eastAsia="zh-CN"/>
                    </w:rPr>
                  </w:pPr>
                  <w:r>
                    <w:rPr>
                      <w:rFonts w:hint="eastAsia"/>
                      <w:kern w:val="0"/>
                      <w:sz w:val="22"/>
                      <w:szCs w:val="22"/>
                      <w:u w:val="none" w:color="auto"/>
                      <w:vertAlign w:val="baseline"/>
                      <w:lang w:val="en-US" w:eastAsia="zh-CN"/>
                    </w:rPr>
                    <w:t>30</w:t>
                  </w:r>
                </w:p>
              </w:tc>
              <w:tc>
                <w:tcPr>
                  <w:tcW w:w="1740" w:type="dxa"/>
                  <w:tcBorders>
                    <w:tl2br w:val="nil"/>
                    <w:tr2bl w:val="nil"/>
                  </w:tcBorders>
                  <w:vAlign w:val="center"/>
                </w:tcPr>
                <w:p>
                  <w:pPr>
                    <w:pStyle w:val="38"/>
                    <w:adjustRightInd w:val="0"/>
                    <w:snapToGrid w:val="0"/>
                    <w:spacing w:after="0" w:line="360" w:lineRule="auto"/>
                    <w:ind w:left="0" w:leftChars="0" w:firstLine="0" w:firstLineChars="0"/>
                    <w:jc w:val="center"/>
                    <w:rPr>
                      <w:rFonts w:hint="default" w:eastAsia="宋体"/>
                      <w:kern w:val="0"/>
                      <w:sz w:val="22"/>
                      <w:szCs w:val="22"/>
                      <w:u w:val="none" w:color="auto"/>
                      <w:vertAlign w:val="baseline"/>
                      <w:lang w:val="en-US" w:eastAsia="zh-CN"/>
                    </w:rPr>
                  </w:pPr>
                  <w:r>
                    <w:rPr>
                      <w:rFonts w:hint="eastAsia"/>
                      <w:kern w:val="0"/>
                      <w:sz w:val="22"/>
                      <w:szCs w:val="22"/>
                      <w:u w:val="none" w:color="auto"/>
                      <w:vertAlign w:val="baseline"/>
                      <w:lang w:val="en-US" w:eastAsia="zh-CN"/>
                    </w:rPr>
                    <w:t>20</w:t>
                  </w:r>
                </w:p>
              </w:tc>
              <w:tc>
                <w:tcPr>
                  <w:tcW w:w="2205" w:type="dxa"/>
                  <w:tcBorders>
                    <w:tl2br w:val="nil"/>
                    <w:tr2bl w:val="nil"/>
                  </w:tcBorders>
                  <w:vAlign w:val="center"/>
                </w:tcPr>
                <w:p>
                  <w:pPr>
                    <w:pStyle w:val="38"/>
                    <w:adjustRightInd w:val="0"/>
                    <w:snapToGrid w:val="0"/>
                    <w:spacing w:after="0" w:line="360" w:lineRule="auto"/>
                    <w:ind w:left="0" w:leftChars="0" w:firstLine="0" w:firstLineChars="0"/>
                    <w:jc w:val="center"/>
                    <w:rPr>
                      <w:rFonts w:hint="default" w:eastAsia="宋体"/>
                      <w:kern w:val="0"/>
                      <w:sz w:val="22"/>
                      <w:szCs w:val="22"/>
                      <w:u w:val="none" w:color="auto"/>
                      <w:vertAlign w:val="baseline"/>
                      <w:lang w:val="en-US" w:eastAsia="zh-CN"/>
                    </w:rPr>
                  </w:pPr>
                  <w:r>
                    <w:rPr>
                      <w:rFonts w:hint="eastAsia"/>
                      <w:kern w:val="0"/>
                      <w:sz w:val="22"/>
                      <w:szCs w:val="22"/>
                      <w:u w:val="none" w:color="auto"/>
                      <w:vertAlign w:val="baseline"/>
                      <w:lang w:val="en-US" w:eastAsia="zh-CN"/>
                    </w:rPr>
                    <w:t>监控点处任意一次浓度值</w:t>
                  </w:r>
                </w:p>
              </w:tc>
              <w:tc>
                <w:tcPr>
                  <w:tcW w:w="1686" w:type="dxa"/>
                  <w:vMerge w:val="continue"/>
                  <w:tcBorders>
                    <w:tl2br w:val="nil"/>
                    <w:tr2bl w:val="nil"/>
                  </w:tcBorders>
                  <w:vAlign w:val="center"/>
                </w:tcPr>
                <w:p>
                  <w:pPr>
                    <w:pStyle w:val="38"/>
                    <w:adjustRightInd w:val="0"/>
                    <w:snapToGrid w:val="0"/>
                    <w:spacing w:after="0" w:line="360" w:lineRule="auto"/>
                    <w:jc w:val="center"/>
                    <w:rPr>
                      <w:kern w:val="0"/>
                      <w:sz w:val="22"/>
                      <w:szCs w:val="22"/>
                      <w:u w:val="none" w:color="auto"/>
                      <w:vertAlign w:val="baseline"/>
                    </w:rPr>
                  </w:pPr>
                </w:p>
              </w:tc>
            </w:tr>
          </w:tbl>
          <w:p>
            <w:pPr>
              <w:pStyle w:val="38"/>
              <w:adjustRightInd w:val="0"/>
              <w:snapToGrid w:val="0"/>
              <w:spacing w:after="0" w:line="360" w:lineRule="auto"/>
              <w:ind w:left="0" w:leftChars="0" w:firstLine="0" w:firstLineChars="0"/>
              <w:rPr>
                <w:sz w:val="24"/>
                <w:szCs w:val="24"/>
                <w:u w:val="none" w:color="auto"/>
              </w:rPr>
            </w:pPr>
            <w:r>
              <w:rPr>
                <w:kern w:val="0"/>
                <w:sz w:val="24"/>
                <w:szCs w:val="24"/>
                <w:u w:val="none" w:color="auto"/>
              </w:rPr>
              <w:t>3、噪声</w:t>
            </w:r>
            <w:r>
              <w:rPr>
                <w:rFonts w:hint="eastAsia"/>
                <w:kern w:val="0"/>
                <w:sz w:val="24"/>
                <w:szCs w:val="24"/>
                <w:u w:val="none" w:color="auto"/>
              </w:rPr>
              <w:t>：</w:t>
            </w:r>
            <w:r>
              <w:rPr>
                <w:sz w:val="24"/>
                <w:szCs w:val="24"/>
                <w:u w:val="none" w:color="auto"/>
              </w:rPr>
              <w:t>噪声执行《工业企业厂界环境噪声排放标准》（GB12348-2008）</w:t>
            </w:r>
            <w:r>
              <w:rPr>
                <w:rFonts w:hint="eastAsia"/>
                <w:sz w:val="24"/>
                <w:szCs w:val="24"/>
                <w:u w:val="none" w:color="auto"/>
                <w:lang w:val="en-US" w:eastAsia="zh-CN"/>
              </w:rPr>
              <w:t>2</w:t>
            </w:r>
            <w:r>
              <w:rPr>
                <w:sz w:val="24"/>
                <w:szCs w:val="24"/>
                <w:u w:val="none" w:color="auto"/>
              </w:rPr>
              <w:t>类标准。</w:t>
            </w:r>
          </w:p>
          <w:p>
            <w:pPr>
              <w:pStyle w:val="38"/>
              <w:adjustRightInd w:val="0"/>
              <w:snapToGrid w:val="0"/>
              <w:spacing w:after="0"/>
              <w:ind w:left="0" w:leftChars="0" w:firstLine="0" w:firstLineChars="0"/>
              <w:jc w:val="center"/>
              <w:rPr>
                <w:b/>
                <w:bCs/>
                <w:sz w:val="24"/>
                <w:szCs w:val="24"/>
                <w:u w:val="none" w:color="auto"/>
              </w:rPr>
            </w:pPr>
            <w:r>
              <w:rPr>
                <w:b/>
                <w:bCs/>
                <w:sz w:val="24"/>
                <w:szCs w:val="24"/>
                <w:u w:val="none" w:color="auto"/>
              </w:rPr>
              <w:t>表4-</w:t>
            </w:r>
            <w:r>
              <w:rPr>
                <w:rFonts w:hint="eastAsia"/>
                <w:b/>
                <w:bCs/>
                <w:sz w:val="24"/>
                <w:szCs w:val="24"/>
                <w:u w:val="none" w:color="auto"/>
                <w:lang w:val="en-US" w:eastAsia="zh-CN"/>
              </w:rPr>
              <w:t>6</w:t>
            </w:r>
            <w:r>
              <w:rPr>
                <w:b/>
                <w:bCs/>
                <w:sz w:val="24"/>
                <w:szCs w:val="24"/>
                <w:u w:val="none" w:color="auto"/>
              </w:rPr>
              <w:t xml:space="preserve">  </w:t>
            </w:r>
            <w:r>
              <w:rPr>
                <w:b/>
                <w:sz w:val="24"/>
                <w:szCs w:val="24"/>
                <w:u w:val="none" w:color="auto"/>
              </w:rPr>
              <w:t>工业企业厂界环境噪声排放标准</w:t>
            </w:r>
            <w:r>
              <w:rPr>
                <w:b/>
                <w:bCs/>
                <w:sz w:val="24"/>
                <w:szCs w:val="24"/>
                <w:u w:val="none" w:color="auto"/>
              </w:rPr>
              <w:t xml:space="preserve">  单位dB(A)</w:t>
            </w:r>
          </w:p>
          <w:tbl>
            <w:tblPr>
              <w:tblStyle w:val="39"/>
              <w:tblW w:w="84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15"/>
              <w:gridCol w:w="2804"/>
              <w:gridCol w:w="28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815" w:type="dxa"/>
                  <w:vMerge w:val="restart"/>
                  <w:vAlign w:val="center"/>
                </w:tcPr>
                <w:p>
                  <w:pPr>
                    <w:pStyle w:val="32"/>
                    <w:spacing w:line="360" w:lineRule="auto"/>
                    <w:ind w:left="0" w:leftChars="0"/>
                    <w:jc w:val="center"/>
                    <w:rPr>
                      <w:sz w:val="22"/>
                      <w:szCs w:val="22"/>
                      <w:u w:val="none" w:color="auto"/>
                    </w:rPr>
                  </w:pPr>
                  <w:r>
                    <w:rPr>
                      <w:b/>
                      <w:bCs/>
                      <w:sz w:val="22"/>
                      <w:szCs w:val="22"/>
                      <w:u w:val="none" w:color="auto"/>
                    </w:rPr>
                    <w:t>声环境功能区类别</w:t>
                  </w:r>
                </w:p>
              </w:tc>
              <w:tc>
                <w:tcPr>
                  <w:tcW w:w="5615" w:type="dxa"/>
                  <w:gridSpan w:val="2"/>
                  <w:vAlign w:val="center"/>
                </w:tcPr>
                <w:p>
                  <w:pPr>
                    <w:pStyle w:val="32"/>
                    <w:spacing w:line="360" w:lineRule="auto"/>
                    <w:ind w:left="0" w:leftChars="0"/>
                    <w:jc w:val="center"/>
                    <w:rPr>
                      <w:sz w:val="22"/>
                      <w:szCs w:val="22"/>
                      <w:u w:val="none" w:color="auto"/>
                    </w:rPr>
                  </w:pPr>
                  <w:r>
                    <w:rPr>
                      <w:b/>
                      <w:bCs/>
                      <w:sz w:val="22"/>
                      <w:szCs w:val="22"/>
                      <w:u w:val="none" w:color="auto"/>
                    </w:rPr>
                    <w:t>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815" w:type="dxa"/>
                  <w:vMerge w:val="continue"/>
                  <w:vAlign w:val="center"/>
                </w:tcPr>
                <w:p>
                  <w:pPr>
                    <w:pStyle w:val="32"/>
                    <w:spacing w:line="360" w:lineRule="auto"/>
                    <w:ind w:left="0" w:leftChars="0"/>
                    <w:jc w:val="center"/>
                    <w:rPr>
                      <w:sz w:val="22"/>
                      <w:szCs w:val="22"/>
                      <w:u w:val="none" w:color="auto"/>
                    </w:rPr>
                  </w:pPr>
                </w:p>
              </w:tc>
              <w:tc>
                <w:tcPr>
                  <w:tcW w:w="2804" w:type="dxa"/>
                  <w:vAlign w:val="center"/>
                </w:tcPr>
                <w:p>
                  <w:pPr>
                    <w:pStyle w:val="32"/>
                    <w:spacing w:line="360" w:lineRule="auto"/>
                    <w:ind w:left="0" w:leftChars="0"/>
                    <w:jc w:val="center"/>
                    <w:rPr>
                      <w:sz w:val="22"/>
                      <w:szCs w:val="22"/>
                      <w:u w:val="none" w:color="auto"/>
                    </w:rPr>
                  </w:pPr>
                  <w:r>
                    <w:rPr>
                      <w:b/>
                      <w:bCs/>
                      <w:sz w:val="22"/>
                      <w:szCs w:val="22"/>
                      <w:u w:val="none" w:color="auto"/>
                    </w:rPr>
                    <w:t>昼间</w:t>
                  </w:r>
                </w:p>
              </w:tc>
              <w:tc>
                <w:tcPr>
                  <w:tcW w:w="2811" w:type="dxa"/>
                  <w:vAlign w:val="center"/>
                </w:tcPr>
                <w:p>
                  <w:pPr>
                    <w:pStyle w:val="32"/>
                    <w:spacing w:line="360" w:lineRule="auto"/>
                    <w:ind w:left="0" w:leftChars="0"/>
                    <w:jc w:val="center"/>
                    <w:rPr>
                      <w:sz w:val="22"/>
                      <w:szCs w:val="22"/>
                      <w:u w:val="none" w:color="auto"/>
                    </w:rPr>
                  </w:pPr>
                  <w:r>
                    <w:rPr>
                      <w:b/>
                      <w:bCs/>
                      <w:sz w:val="22"/>
                      <w:szCs w:val="22"/>
                      <w:u w:val="none" w:color="auto"/>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815" w:type="dxa"/>
                  <w:vAlign w:val="center"/>
                </w:tcPr>
                <w:p>
                  <w:pPr>
                    <w:pStyle w:val="32"/>
                    <w:spacing w:line="360" w:lineRule="auto"/>
                    <w:ind w:left="0" w:leftChars="0"/>
                    <w:jc w:val="center"/>
                    <w:rPr>
                      <w:sz w:val="22"/>
                      <w:szCs w:val="22"/>
                      <w:u w:val="none" w:color="auto"/>
                    </w:rPr>
                  </w:pPr>
                  <w:r>
                    <w:rPr>
                      <w:rFonts w:hint="eastAsia"/>
                      <w:sz w:val="22"/>
                      <w:szCs w:val="22"/>
                      <w:u w:val="none" w:color="auto"/>
                      <w:lang w:val="en-US" w:eastAsia="zh-CN"/>
                    </w:rPr>
                    <w:t>2</w:t>
                  </w:r>
                  <w:r>
                    <w:rPr>
                      <w:sz w:val="22"/>
                      <w:szCs w:val="22"/>
                      <w:u w:val="none" w:color="auto"/>
                    </w:rPr>
                    <w:t>类（dB(A)）</w:t>
                  </w:r>
                </w:p>
              </w:tc>
              <w:tc>
                <w:tcPr>
                  <w:tcW w:w="2804" w:type="dxa"/>
                  <w:vAlign w:val="center"/>
                </w:tcPr>
                <w:p>
                  <w:pPr>
                    <w:pStyle w:val="32"/>
                    <w:spacing w:line="360" w:lineRule="auto"/>
                    <w:ind w:left="0" w:leftChars="0"/>
                    <w:jc w:val="center"/>
                    <w:rPr>
                      <w:rFonts w:hint="eastAsia" w:eastAsia="宋体"/>
                      <w:sz w:val="22"/>
                      <w:szCs w:val="22"/>
                      <w:u w:val="none" w:color="auto"/>
                      <w:lang w:eastAsia="zh-CN"/>
                    </w:rPr>
                  </w:pPr>
                  <w:r>
                    <w:rPr>
                      <w:sz w:val="22"/>
                      <w:szCs w:val="22"/>
                      <w:u w:val="none" w:color="auto"/>
                    </w:rPr>
                    <w:t>6</w:t>
                  </w:r>
                  <w:r>
                    <w:rPr>
                      <w:rFonts w:hint="eastAsia"/>
                      <w:sz w:val="22"/>
                      <w:szCs w:val="22"/>
                      <w:u w:val="none" w:color="auto"/>
                      <w:lang w:val="en-US" w:eastAsia="zh-CN"/>
                    </w:rPr>
                    <w:t>0</w:t>
                  </w:r>
                </w:p>
              </w:tc>
              <w:tc>
                <w:tcPr>
                  <w:tcW w:w="2811" w:type="dxa"/>
                  <w:vAlign w:val="center"/>
                </w:tcPr>
                <w:p>
                  <w:pPr>
                    <w:pStyle w:val="32"/>
                    <w:spacing w:line="360" w:lineRule="auto"/>
                    <w:ind w:left="0" w:leftChars="0"/>
                    <w:jc w:val="center"/>
                    <w:rPr>
                      <w:rFonts w:hint="eastAsia" w:eastAsia="宋体"/>
                      <w:sz w:val="22"/>
                      <w:szCs w:val="22"/>
                      <w:u w:val="none" w:color="auto"/>
                      <w:lang w:eastAsia="zh-CN"/>
                    </w:rPr>
                  </w:pPr>
                  <w:r>
                    <w:rPr>
                      <w:sz w:val="22"/>
                      <w:szCs w:val="22"/>
                      <w:u w:val="none" w:color="auto"/>
                    </w:rPr>
                    <w:t>5</w:t>
                  </w:r>
                  <w:r>
                    <w:rPr>
                      <w:rFonts w:hint="eastAsia"/>
                      <w:sz w:val="22"/>
                      <w:szCs w:val="22"/>
                      <w:u w:val="none" w:color="auto"/>
                      <w:lang w:val="en-US" w:eastAsia="zh-CN"/>
                    </w:rPr>
                    <w:t>0</w:t>
                  </w:r>
                </w:p>
              </w:tc>
            </w:tr>
          </w:tbl>
          <w:p>
            <w:pPr>
              <w:numPr>
                <w:ilvl w:val="0"/>
                <w:numId w:val="0"/>
              </w:numPr>
              <w:adjustRightInd w:val="0"/>
              <w:snapToGrid w:val="0"/>
              <w:spacing w:line="360" w:lineRule="auto"/>
              <w:ind w:leftChars="0"/>
              <w:rPr>
                <w:rFonts w:hint="eastAsia"/>
                <w:sz w:val="24"/>
                <w:szCs w:val="24"/>
                <w:u w:val="none" w:color="auto"/>
                <w:lang w:val="en-US" w:eastAsia="zh-CN"/>
              </w:rPr>
            </w:pPr>
            <w:r>
              <w:rPr>
                <w:rFonts w:hint="eastAsia"/>
                <w:kern w:val="0"/>
                <w:sz w:val="24"/>
                <w:szCs w:val="24"/>
                <w:u w:val="none" w:color="auto"/>
                <w:lang w:val="en-US" w:eastAsia="zh-CN"/>
              </w:rPr>
              <w:t>4、</w:t>
            </w:r>
            <w:r>
              <w:rPr>
                <w:kern w:val="0"/>
                <w:sz w:val="24"/>
                <w:szCs w:val="24"/>
                <w:u w:val="none" w:color="auto"/>
              </w:rPr>
              <w:t>固体废物：</w:t>
            </w:r>
            <w:r>
              <w:rPr>
                <w:sz w:val="24"/>
                <w:szCs w:val="24"/>
                <w:u w:val="none" w:color="auto"/>
              </w:rPr>
              <w:t>一般固体废物处置执行《一般工业固体废物贮存、处置场污染控制标准》（GB18599-2001）及其2013年修改单中的要求；生活垃圾执行《生活垃圾填埋污染控制标准》（GB16889-2008）。</w:t>
            </w:r>
            <w:r>
              <w:rPr>
                <w:rFonts w:hint="eastAsia"/>
                <w:sz w:val="24"/>
                <w:szCs w:val="24"/>
                <w:u w:val="none" w:color="auto"/>
              </w:rPr>
              <w:t>危险废物执行《危险废物贮存污染控制标准》（GB18597－2001）及其修改单</w:t>
            </w:r>
            <w:r>
              <w:rPr>
                <w:rFonts w:hint="eastAsia"/>
                <w:sz w:val="24"/>
                <w:szCs w:val="24"/>
                <w:u w:val="none" w:color="auto"/>
                <w:lang w:eastAsia="zh-CN"/>
              </w:rPr>
              <w:t>。</w:t>
            </w:r>
          </w:p>
          <w:p>
            <w:pPr>
              <w:numPr>
                <w:ilvl w:val="0"/>
                <w:numId w:val="0"/>
              </w:numPr>
              <w:adjustRightInd w:val="0"/>
              <w:snapToGrid w:val="0"/>
              <w:spacing w:line="360" w:lineRule="auto"/>
              <w:ind w:leftChars="0"/>
              <w:rPr>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Align w:val="center"/>
          </w:tcPr>
          <w:p>
            <w:pPr>
              <w:jc w:val="center"/>
              <w:rPr>
                <w:b/>
                <w:bCs/>
                <w:sz w:val="24"/>
                <w:szCs w:val="24"/>
                <w:u w:val="none" w:color="auto"/>
              </w:rPr>
            </w:pPr>
            <w:r>
              <w:rPr>
                <w:b/>
                <w:bCs/>
                <w:sz w:val="24"/>
                <w:szCs w:val="24"/>
                <w:u w:val="none" w:color="auto"/>
              </w:rPr>
              <w:t>总量控制指标</w:t>
            </w:r>
          </w:p>
        </w:tc>
        <w:tc>
          <w:tcPr>
            <w:tcW w:w="8676" w:type="dxa"/>
            <w:vAlign w:val="center"/>
          </w:tcPr>
          <w:p>
            <w:pPr>
              <w:spacing w:line="520" w:lineRule="exact"/>
              <w:ind w:firstLine="462" w:firstLineChars="200"/>
              <w:rPr>
                <w:color w:val="auto"/>
                <w:sz w:val="24"/>
                <w:szCs w:val="24"/>
                <w:u w:val="none" w:color="auto"/>
              </w:rPr>
            </w:pPr>
            <w:r>
              <w:rPr>
                <w:rFonts w:hint="eastAsia"/>
                <w:sz w:val="24"/>
                <w:szCs w:val="24"/>
                <w:u w:val="none" w:color="auto"/>
              </w:rPr>
              <w:t>根据《湖南省“十三五”主要污染物减排规划》，湖南省约束性总量控制指标为二氧化硫（S</w:t>
            </w:r>
            <w:r>
              <w:rPr>
                <w:rFonts w:hint="eastAsia"/>
                <w:color w:val="auto"/>
                <w:sz w:val="24"/>
                <w:szCs w:val="24"/>
                <w:u w:val="none" w:color="auto"/>
              </w:rPr>
              <w:t>O</w:t>
            </w:r>
            <w:r>
              <w:rPr>
                <w:rFonts w:hint="eastAsia"/>
                <w:color w:val="auto"/>
                <w:sz w:val="24"/>
                <w:szCs w:val="24"/>
                <w:u w:val="none" w:color="auto"/>
                <w:vertAlign w:val="subscript"/>
              </w:rPr>
              <w:t>2</w:t>
            </w:r>
            <w:r>
              <w:rPr>
                <w:rFonts w:hint="eastAsia"/>
                <w:color w:val="auto"/>
                <w:sz w:val="24"/>
                <w:szCs w:val="24"/>
                <w:u w:val="none" w:color="auto"/>
              </w:rPr>
              <w:t>）、氮氧化物（NOx）、化学需氧量（COD）和氨氮（NH</w:t>
            </w:r>
            <w:r>
              <w:rPr>
                <w:rFonts w:hint="eastAsia"/>
                <w:color w:val="auto"/>
                <w:sz w:val="24"/>
                <w:szCs w:val="24"/>
                <w:u w:val="none" w:color="auto"/>
                <w:vertAlign w:val="subscript"/>
              </w:rPr>
              <w:t>3</w:t>
            </w:r>
            <w:r>
              <w:rPr>
                <w:rFonts w:hint="eastAsia"/>
                <w:color w:val="auto"/>
                <w:sz w:val="24"/>
                <w:szCs w:val="24"/>
                <w:u w:val="none" w:color="auto"/>
              </w:rPr>
              <w:t>-N），推荐性总量控制指标为VOCs</w:t>
            </w:r>
            <w:r>
              <w:rPr>
                <w:rFonts w:hint="eastAsia"/>
                <w:color w:val="auto"/>
                <w:sz w:val="24"/>
                <w:szCs w:val="24"/>
                <w:u w:val="none" w:color="auto"/>
                <w:lang w:eastAsia="zh-CN"/>
              </w:rPr>
              <w:t>（</w:t>
            </w:r>
            <w:r>
              <w:rPr>
                <w:rFonts w:hint="eastAsia"/>
                <w:color w:val="auto"/>
                <w:sz w:val="24"/>
                <w:szCs w:val="24"/>
                <w:u w:val="none" w:color="auto"/>
                <w:lang w:val="en-US" w:eastAsia="zh-CN"/>
              </w:rPr>
              <w:t>以非甲烷总烃计</w:t>
            </w:r>
            <w:r>
              <w:rPr>
                <w:rFonts w:hint="eastAsia"/>
                <w:color w:val="auto"/>
                <w:sz w:val="24"/>
                <w:szCs w:val="24"/>
                <w:u w:val="none" w:color="auto"/>
                <w:lang w:eastAsia="zh-CN"/>
              </w:rPr>
              <w:t>）</w:t>
            </w:r>
            <w:r>
              <w:rPr>
                <w:rFonts w:hint="eastAsia"/>
                <w:color w:val="auto"/>
                <w:sz w:val="24"/>
                <w:szCs w:val="24"/>
                <w:u w:val="none" w:color="auto"/>
              </w:rPr>
              <w:t>。</w:t>
            </w:r>
          </w:p>
          <w:p>
            <w:pPr>
              <w:spacing w:line="520" w:lineRule="exact"/>
              <w:ind w:firstLine="453" w:firstLineChars="196"/>
              <w:jc w:val="left"/>
              <w:rPr>
                <w:rFonts w:hint="eastAsia"/>
                <w:color w:val="auto"/>
                <w:sz w:val="24"/>
                <w:u w:val="none" w:color="auto"/>
                <w:lang w:eastAsia="zh-CN"/>
              </w:rPr>
            </w:pPr>
            <w:r>
              <w:rPr>
                <w:rFonts w:hint="eastAsia"/>
                <w:color w:val="auto"/>
                <w:sz w:val="24"/>
                <w:u w:val="none" w:color="auto"/>
                <w:lang w:eastAsia="zh-CN"/>
              </w:rPr>
              <w:t>本项目生产过程中不产生废水，生活污水经化粪池处理后回用于周边绿化施肥，不外排，废气为生产粉尘，其中粉尘经双桶布袋除尘器处理后无组织排放，有机废气产生量较少，经排风后无组织排放，</w:t>
            </w:r>
            <w:r>
              <w:rPr>
                <w:rFonts w:hint="eastAsia"/>
                <w:color w:val="auto"/>
                <w:sz w:val="24"/>
                <w:szCs w:val="24"/>
                <w:u w:val="none" w:color="auto"/>
              </w:rPr>
              <w:t>VOCs</w:t>
            </w:r>
            <w:r>
              <w:rPr>
                <w:rFonts w:hint="eastAsia"/>
                <w:color w:val="auto"/>
                <w:sz w:val="24"/>
                <w:szCs w:val="24"/>
                <w:u w:val="none" w:color="auto"/>
                <w:lang w:eastAsia="zh-CN"/>
              </w:rPr>
              <w:t>（</w:t>
            </w:r>
            <w:r>
              <w:rPr>
                <w:rFonts w:hint="eastAsia"/>
                <w:color w:val="auto"/>
                <w:sz w:val="24"/>
                <w:szCs w:val="24"/>
                <w:u w:val="none" w:color="auto"/>
                <w:lang w:val="en-US" w:eastAsia="zh-CN"/>
              </w:rPr>
              <w:t>以非甲烷总烃计</w:t>
            </w:r>
            <w:r>
              <w:rPr>
                <w:rFonts w:hint="eastAsia"/>
                <w:color w:val="auto"/>
                <w:sz w:val="24"/>
                <w:szCs w:val="24"/>
                <w:u w:val="none" w:color="auto"/>
                <w:lang w:eastAsia="zh-CN"/>
              </w:rPr>
              <w:t>）</w:t>
            </w:r>
            <w:r>
              <w:rPr>
                <w:rFonts w:hint="eastAsia"/>
                <w:color w:val="auto"/>
                <w:sz w:val="24"/>
                <w:szCs w:val="24"/>
                <w:u w:val="none" w:color="auto"/>
                <w:lang w:val="en-US" w:eastAsia="zh-CN"/>
              </w:rPr>
              <w:t>排放量为0.25t/a</w:t>
            </w:r>
            <w:r>
              <w:rPr>
                <w:rFonts w:hint="eastAsia"/>
                <w:color w:val="auto"/>
                <w:sz w:val="24"/>
                <w:u w:val="none" w:color="auto"/>
                <w:lang w:eastAsia="zh-CN"/>
              </w:rPr>
              <w:t>。</w:t>
            </w:r>
          </w:p>
          <w:p>
            <w:pPr>
              <w:spacing w:line="520" w:lineRule="exact"/>
              <w:ind w:firstLine="453" w:firstLineChars="196"/>
              <w:jc w:val="left"/>
              <w:rPr>
                <w:rFonts w:hint="eastAsia"/>
                <w:color w:val="auto"/>
                <w:sz w:val="24"/>
                <w:u w:val="none" w:color="auto"/>
                <w:lang w:eastAsia="zh-CN"/>
              </w:rPr>
            </w:pPr>
          </w:p>
          <w:p>
            <w:pPr>
              <w:spacing w:line="520" w:lineRule="exact"/>
              <w:ind w:firstLine="453" w:firstLineChars="196"/>
              <w:jc w:val="left"/>
              <w:rPr>
                <w:rFonts w:hint="eastAsia"/>
                <w:color w:val="auto"/>
                <w:sz w:val="24"/>
                <w:u w:val="none" w:color="auto"/>
                <w:lang w:eastAsia="zh-CN"/>
              </w:rPr>
            </w:pPr>
          </w:p>
          <w:p>
            <w:pPr>
              <w:spacing w:line="520" w:lineRule="exact"/>
              <w:ind w:firstLine="453" w:firstLineChars="196"/>
              <w:jc w:val="left"/>
              <w:rPr>
                <w:rFonts w:hint="eastAsia"/>
                <w:color w:val="auto"/>
                <w:sz w:val="24"/>
                <w:u w:val="none" w:color="auto"/>
                <w:lang w:eastAsia="zh-CN"/>
              </w:rPr>
            </w:pPr>
          </w:p>
          <w:p>
            <w:pPr>
              <w:spacing w:line="520" w:lineRule="exact"/>
              <w:ind w:firstLine="453" w:firstLineChars="196"/>
              <w:jc w:val="left"/>
              <w:rPr>
                <w:rFonts w:hint="eastAsia"/>
                <w:color w:val="auto"/>
                <w:sz w:val="24"/>
                <w:u w:val="none" w:color="auto"/>
                <w:lang w:eastAsia="zh-CN"/>
              </w:rPr>
            </w:pPr>
          </w:p>
          <w:p>
            <w:pPr>
              <w:spacing w:line="520" w:lineRule="exact"/>
              <w:ind w:firstLine="453" w:firstLineChars="196"/>
              <w:jc w:val="left"/>
              <w:rPr>
                <w:rFonts w:hint="eastAsia"/>
                <w:color w:val="auto"/>
                <w:sz w:val="24"/>
                <w:u w:val="none" w:color="auto"/>
                <w:lang w:eastAsia="zh-CN"/>
              </w:rPr>
            </w:pPr>
          </w:p>
          <w:p>
            <w:pPr>
              <w:spacing w:line="520" w:lineRule="exact"/>
              <w:ind w:firstLine="453" w:firstLineChars="196"/>
              <w:jc w:val="left"/>
              <w:rPr>
                <w:rFonts w:hint="eastAsia"/>
                <w:color w:val="auto"/>
                <w:sz w:val="24"/>
                <w:u w:val="none" w:color="auto"/>
                <w:lang w:eastAsia="zh-CN"/>
              </w:rPr>
            </w:pPr>
          </w:p>
          <w:p>
            <w:pPr>
              <w:spacing w:line="520" w:lineRule="exact"/>
              <w:ind w:firstLine="453" w:firstLineChars="196"/>
              <w:jc w:val="left"/>
              <w:rPr>
                <w:rFonts w:hint="eastAsia"/>
                <w:color w:val="auto"/>
                <w:sz w:val="24"/>
                <w:u w:val="none" w:color="auto"/>
                <w:lang w:eastAsia="zh-CN"/>
              </w:rPr>
            </w:pPr>
          </w:p>
          <w:p>
            <w:pPr>
              <w:spacing w:line="520" w:lineRule="exact"/>
              <w:ind w:firstLine="453" w:firstLineChars="196"/>
              <w:jc w:val="left"/>
              <w:rPr>
                <w:rFonts w:hint="eastAsia"/>
                <w:color w:val="auto"/>
                <w:sz w:val="24"/>
                <w:u w:val="none" w:color="auto"/>
                <w:lang w:eastAsia="zh-CN"/>
              </w:rPr>
            </w:pPr>
          </w:p>
          <w:p>
            <w:pPr>
              <w:spacing w:line="520" w:lineRule="exact"/>
              <w:ind w:firstLine="453" w:firstLineChars="196"/>
              <w:jc w:val="left"/>
              <w:rPr>
                <w:rFonts w:hint="eastAsia"/>
                <w:color w:val="auto"/>
                <w:sz w:val="24"/>
                <w:u w:val="none" w:color="auto"/>
                <w:lang w:eastAsia="zh-CN"/>
              </w:rPr>
            </w:pPr>
          </w:p>
          <w:p>
            <w:pPr>
              <w:spacing w:line="520" w:lineRule="exact"/>
              <w:ind w:firstLine="453" w:firstLineChars="196"/>
              <w:jc w:val="left"/>
              <w:rPr>
                <w:rFonts w:hint="eastAsia"/>
                <w:color w:val="auto"/>
                <w:sz w:val="24"/>
                <w:u w:val="none" w:color="auto"/>
                <w:lang w:eastAsia="zh-CN"/>
              </w:rPr>
            </w:pPr>
          </w:p>
          <w:p>
            <w:pPr>
              <w:spacing w:line="520" w:lineRule="exact"/>
              <w:ind w:firstLine="453" w:firstLineChars="196"/>
              <w:jc w:val="left"/>
              <w:rPr>
                <w:rFonts w:hint="eastAsia"/>
                <w:color w:val="auto"/>
                <w:sz w:val="24"/>
                <w:u w:val="none" w:color="auto"/>
                <w:lang w:eastAsia="zh-CN"/>
              </w:rPr>
            </w:pPr>
          </w:p>
          <w:p>
            <w:pPr>
              <w:spacing w:line="520" w:lineRule="exact"/>
              <w:ind w:firstLine="453" w:firstLineChars="196"/>
              <w:jc w:val="left"/>
              <w:rPr>
                <w:rFonts w:hint="eastAsia"/>
                <w:color w:val="auto"/>
                <w:sz w:val="24"/>
                <w:u w:val="none" w:color="auto"/>
                <w:lang w:eastAsia="zh-CN"/>
              </w:rPr>
            </w:pPr>
          </w:p>
          <w:p>
            <w:pPr>
              <w:spacing w:line="520" w:lineRule="exact"/>
              <w:ind w:firstLine="453" w:firstLineChars="196"/>
              <w:jc w:val="left"/>
              <w:rPr>
                <w:rFonts w:hint="eastAsia"/>
                <w:color w:val="auto"/>
                <w:sz w:val="24"/>
                <w:u w:val="none" w:color="auto"/>
                <w:lang w:eastAsia="zh-CN"/>
              </w:rPr>
            </w:pPr>
          </w:p>
          <w:p>
            <w:pPr>
              <w:spacing w:line="520" w:lineRule="exact"/>
              <w:ind w:firstLine="453" w:firstLineChars="196"/>
              <w:jc w:val="left"/>
              <w:rPr>
                <w:rFonts w:hint="eastAsia"/>
                <w:color w:val="auto"/>
                <w:sz w:val="24"/>
                <w:u w:val="none" w:color="auto"/>
                <w:lang w:eastAsia="zh-CN"/>
              </w:rPr>
            </w:pPr>
          </w:p>
          <w:p>
            <w:pPr>
              <w:spacing w:line="520" w:lineRule="exact"/>
              <w:ind w:firstLine="453" w:firstLineChars="196"/>
              <w:jc w:val="left"/>
              <w:rPr>
                <w:rFonts w:hint="eastAsia"/>
                <w:color w:val="auto"/>
                <w:sz w:val="24"/>
                <w:u w:val="none" w:color="auto"/>
                <w:lang w:eastAsia="zh-CN"/>
              </w:rPr>
            </w:pPr>
          </w:p>
          <w:p>
            <w:pPr>
              <w:spacing w:line="520" w:lineRule="exact"/>
              <w:ind w:firstLine="453" w:firstLineChars="196"/>
              <w:jc w:val="left"/>
              <w:rPr>
                <w:rFonts w:hint="eastAsia"/>
                <w:color w:val="auto"/>
                <w:sz w:val="24"/>
                <w:u w:val="none" w:color="auto"/>
                <w:lang w:eastAsia="zh-CN"/>
              </w:rPr>
            </w:pPr>
          </w:p>
          <w:p>
            <w:pPr>
              <w:spacing w:line="520" w:lineRule="exact"/>
              <w:ind w:firstLine="453" w:firstLineChars="196"/>
              <w:jc w:val="left"/>
              <w:rPr>
                <w:rFonts w:hint="eastAsia"/>
                <w:color w:val="auto"/>
                <w:sz w:val="24"/>
                <w:u w:val="none" w:color="auto"/>
                <w:lang w:eastAsia="zh-CN"/>
              </w:rPr>
            </w:pPr>
          </w:p>
          <w:p>
            <w:pPr>
              <w:spacing w:line="520" w:lineRule="exact"/>
              <w:ind w:firstLine="453" w:firstLineChars="196"/>
              <w:jc w:val="left"/>
              <w:rPr>
                <w:color w:val="auto"/>
                <w:sz w:val="24"/>
                <w:u w:val="none" w:color="auto"/>
              </w:rPr>
            </w:pPr>
          </w:p>
          <w:p>
            <w:pPr>
              <w:spacing w:line="520" w:lineRule="exact"/>
              <w:rPr>
                <w:color w:val="auto"/>
                <w:sz w:val="24"/>
                <w:szCs w:val="24"/>
                <w:u w:val="none" w:color="auto"/>
              </w:rPr>
            </w:pPr>
          </w:p>
          <w:p>
            <w:pPr>
              <w:pStyle w:val="32"/>
              <w:ind w:left="0" w:leftChars="0"/>
              <w:rPr>
                <w:u w:val="none" w:color="auto"/>
              </w:rPr>
            </w:pPr>
          </w:p>
        </w:tc>
      </w:tr>
    </w:tbl>
    <w:p>
      <w:pPr>
        <w:snapToGrid w:val="0"/>
        <w:textAlignment w:val="baseline"/>
        <w:outlineLvl w:val="0"/>
        <w:rPr>
          <w:rFonts w:eastAsia="黑体"/>
          <w:kern w:val="24"/>
          <w:sz w:val="32"/>
          <w:u w:val="none" w:color="auto"/>
        </w:rPr>
      </w:pPr>
      <w:r>
        <w:rPr>
          <w:rFonts w:eastAsia="黑体"/>
          <w:sz w:val="32"/>
          <w:u w:val="none" w:color="auto"/>
        </w:rPr>
        <w:br w:type="page"/>
      </w:r>
      <w:bookmarkStart w:id="5" w:name="_Toc27829"/>
      <w:r>
        <w:rPr>
          <w:rFonts w:hint="eastAsia" w:eastAsia="黑体"/>
          <w:sz w:val="32"/>
          <w:u w:val="none" w:color="auto"/>
        </w:rPr>
        <w:t>五、</w:t>
      </w:r>
      <w:r>
        <w:rPr>
          <w:rFonts w:eastAsia="黑体"/>
          <w:sz w:val="32"/>
          <w:u w:val="none" w:color="auto"/>
        </w:rPr>
        <w:t>建设项目工程分析</w:t>
      </w:r>
      <w:bookmarkEnd w:id="5"/>
    </w:p>
    <w:tbl>
      <w:tblPr>
        <w:tblStyle w:val="39"/>
        <w:tblW w:w="92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Layout w:type="fixed"/>
        <w:tblCellMar>
          <w:top w:w="0" w:type="dxa"/>
          <w:left w:w="85" w:type="dxa"/>
          <w:bottom w:w="0" w:type="dxa"/>
          <w:right w:w="85" w:type="dxa"/>
        </w:tblCellMar>
      </w:tblPr>
      <w:tblGrid>
        <w:gridCol w:w="926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85" w:type="dxa"/>
            <w:bottom w:w="0" w:type="dxa"/>
            <w:right w:w="85" w:type="dxa"/>
          </w:tblCellMar>
        </w:tblPrEx>
        <w:trPr>
          <w:trHeight w:val="13289" w:hRule="atLeast"/>
          <w:jc w:val="center"/>
        </w:trPr>
        <w:tc>
          <w:tcPr>
            <w:tcW w:w="9268" w:type="dxa"/>
          </w:tcPr>
          <w:p>
            <w:pPr>
              <w:spacing w:line="360" w:lineRule="auto"/>
              <w:rPr>
                <w:rFonts w:ascii="黑体" w:eastAsia="黑体"/>
                <w:sz w:val="28"/>
                <w:szCs w:val="28"/>
                <w:u w:val="single" w:color="auto"/>
              </w:rPr>
            </w:pPr>
            <w:r>
              <w:rPr>
                <w:rFonts w:hint="eastAsia" w:ascii="黑体" w:eastAsia="黑体"/>
                <w:sz w:val="28"/>
                <w:szCs w:val="28"/>
                <w:u w:val="single" w:color="auto"/>
              </w:rPr>
              <w:t>工艺流程简述（图示）：</w:t>
            </w:r>
          </w:p>
          <w:p>
            <w:pPr>
              <w:snapToGrid w:val="0"/>
              <w:spacing w:line="360" w:lineRule="auto"/>
              <w:ind w:firstLine="453" w:firstLineChars="196"/>
              <w:rPr>
                <w:rFonts w:hAnsi="宋体"/>
                <w:b/>
                <w:sz w:val="24"/>
                <w:u w:val="single" w:color="auto"/>
              </w:rPr>
            </w:pPr>
            <w:r>
              <w:rPr>
                <w:rFonts w:hint="eastAsia" w:hAnsi="宋体"/>
                <w:b/>
                <w:sz w:val="24"/>
                <w:u w:val="single" w:color="auto"/>
              </w:rPr>
              <w:t>营运期</w:t>
            </w:r>
          </w:p>
          <w:p>
            <w:pPr>
              <w:pStyle w:val="32"/>
              <w:ind w:leftChars="0"/>
              <w:rPr>
                <w:sz w:val="24"/>
                <w:u w:val="single" w:color="auto"/>
              </w:rPr>
            </w:pPr>
            <w:r>
              <w:rPr>
                <w:b/>
                <w:sz w:val="24"/>
                <w:szCs w:val="24"/>
                <w:u w:val="single" w:color="auto"/>
              </w:rPr>
              <w:pict>
                <v:shape id="_x0000_s1028" o:spid="_x0000_s1028" o:spt="75" type="#_x0000_t75" style="position:absolute;left:0pt;margin-left:8.6pt;margin-top:11.1pt;height:307.8pt;width:435.35pt;z-index:264474624;mso-width-relative:page;mso-height-relative:page;" o:ole="t" filled="f" o:preferrelative="t" stroked="f" coordsize="21600,21600">
                  <v:path/>
                  <v:fill on="f" focussize="0,0"/>
                  <v:stroke on="f"/>
                  <v:imagedata r:id="rId13" o:title=""/>
                  <o:lock v:ext="edit" aspectratio="f"/>
                </v:shape>
                <o:OLEObject Type="Embed" ProgID="Visio.Drawing.11" ShapeID="_x0000_s1028" DrawAspect="Content" ObjectID="_1468075726" r:id="rId12">
                  <o:LockedField>false</o:LockedField>
                </o:OLEObject>
              </w:pict>
            </w:r>
            <w:r>
              <w:rPr>
                <w:rFonts w:hint="eastAsia"/>
                <w:sz w:val="24"/>
                <w:u w:val="single" w:color="auto"/>
              </w:rPr>
              <w:t>（1）生产工艺流程及产污环节见图5</w:t>
            </w:r>
            <w:r>
              <w:rPr>
                <w:sz w:val="24"/>
                <w:u w:val="single" w:color="auto"/>
              </w:rPr>
              <w:t>-1</w:t>
            </w:r>
            <w:r>
              <w:rPr>
                <w:rFonts w:hint="eastAsia"/>
                <w:sz w:val="24"/>
                <w:u w:val="single" w:color="auto"/>
              </w:rPr>
              <w:t>所示：</w:t>
            </w:r>
          </w:p>
          <w:p>
            <w:pPr>
              <w:jc w:val="center"/>
              <w:rPr>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both"/>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both"/>
              <w:rPr>
                <w:b/>
                <w:sz w:val="24"/>
                <w:szCs w:val="24"/>
                <w:u w:val="single" w:color="auto"/>
              </w:rPr>
            </w:pPr>
          </w:p>
          <w:p>
            <w:pPr>
              <w:jc w:val="center"/>
              <w:rPr>
                <w:b/>
                <w:sz w:val="24"/>
                <w:szCs w:val="24"/>
                <w:u w:val="single" w:color="auto"/>
              </w:rPr>
            </w:pPr>
            <w:r>
              <w:rPr>
                <w:b/>
                <w:sz w:val="24"/>
                <w:szCs w:val="24"/>
                <w:u w:val="single" w:color="auto"/>
              </w:rPr>
              <w:t>图5-1   生产工艺流程图及产污环节</w:t>
            </w:r>
            <w:r>
              <w:rPr>
                <w:rFonts w:hint="eastAsia"/>
                <w:b/>
                <w:sz w:val="24"/>
                <w:szCs w:val="24"/>
                <w:u w:val="single" w:color="auto"/>
              </w:rPr>
              <w:t>图</w:t>
            </w:r>
          </w:p>
          <w:p>
            <w:pPr>
              <w:pStyle w:val="32"/>
              <w:spacing w:line="360" w:lineRule="auto"/>
              <w:ind w:left="400"/>
              <w:rPr>
                <w:sz w:val="24"/>
                <w:u w:val="single" w:color="auto"/>
              </w:rPr>
            </w:pPr>
            <w:r>
              <w:rPr>
                <w:rFonts w:hint="eastAsia"/>
                <w:sz w:val="24"/>
                <w:u w:val="single" w:color="auto"/>
              </w:rPr>
              <w:t>工艺流程简述：</w:t>
            </w:r>
          </w:p>
          <w:p>
            <w:pPr>
              <w:pStyle w:val="37"/>
              <w:ind w:firstLine="420" w:firstLineChars="182"/>
              <w:rPr>
                <w:rFonts w:hint="eastAsia" w:cs="Times New Roman"/>
                <w:sz w:val="24"/>
                <w:szCs w:val="24"/>
                <w:u w:val="single" w:color="auto"/>
                <w:lang w:eastAsia="zh-CN"/>
              </w:rPr>
            </w:pPr>
            <w:r>
              <w:rPr>
                <w:rFonts w:hint="eastAsia" w:cs="Times New Roman"/>
                <w:sz w:val="24"/>
                <w:szCs w:val="24"/>
                <w:u w:val="single" w:color="auto"/>
                <w:lang w:eastAsia="zh-CN"/>
              </w:rPr>
              <w:t>公司主要生产免漆办公家具，项目按照买方需要的规格，购买对应的半成品原材料。</w:t>
            </w:r>
          </w:p>
          <w:p>
            <w:pPr>
              <w:pStyle w:val="37"/>
              <w:ind w:firstLine="420" w:firstLineChars="182"/>
              <w:rPr>
                <w:rFonts w:hint="eastAsia" w:cs="Times New Roman"/>
                <w:sz w:val="24"/>
                <w:szCs w:val="24"/>
                <w:u w:val="single" w:color="auto"/>
                <w:lang w:val="en-US" w:eastAsia="zh-CN"/>
              </w:rPr>
            </w:pPr>
            <w:r>
              <w:rPr>
                <w:rFonts w:hint="eastAsia" w:cs="Times New Roman"/>
                <w:sz w:val="24"/>
                <w:szCs w:val="24"/>
                <w:u w:val="single" w:color="auto"/>
                <w:lang w:eastAsia="zh-CN"/>
              </w:rPr>
              <w:t>刷胶冷压：根据客户要求，需要进行加厚，免漆板刷上白乳胶后，</w:t>
            </w:r>
            <w:r>
              <w:rPr>
                <w:rFonts w:hint="eastAsia" w:cs="Times New Roman"/>
                <w:sz w:val="24"/>
                <w:szCs w:val="24"/>
                <w:u w:val="single" w:color="auto"/>
                <w:lang w:val="en-US" w:eastAsia="zh-CN"/>
              </w:rPr>
              <w:t>使用冷压机（冷压，不需加热）使其粘连在一起。</w:t>
            </w:r>
          </w:p>
          <w:p>
            <w:pPr>
              <w:pStyle w:val="37"/>
              <w:ind w:firstLine="420" w:firstLineChars="182"/>
              <w:rPr>
                <w:rFonts w:hint="eastAsia" w:cs="Times New Roman"/>
                <w:sz w:val="24"/>
                <w:szCs w:val="24"/>
                <w:u w:val="single" w:color="auto"/>
                <w:lang w:val="en-US" w:eastAsia="zh-CN"/>
              </w:rPr>
            </w:pPr>
            <w:r>
              <w:rPr>
                <w:rFonts w:hint="eastAsia" w:cs="Times New Roman"/>
                <w:sz w:val="24"/>
                <w:szCs w:val="24"/>
                <w:u w:val="single" w:color="auto"/>
                <w:lang w:val="en-US" w:eastAsia="zh-CN"/>
              </w:rPr>
              <w:t>下料、切割：按照客户规格要求，其板材进行下料、切割。</w:t>
            </w:r>
          </w:p>
          <w:p>
            <w:pPr>
              <w:pStyle w:val="37"/>
              <w:ind w:firstLine="420" w:firstLineChars="182"/>
              <w:rPr>
                <w:rFonts w:hint="eastAsia" w:cs="Times New Roman"/>
                <w:sz w:val="24"/>
                <w:szCs w:val="24"/>
                <w:u w:val="single" w:color="auto"/>
                <w:lang w:val="en-US" w:eastAsia="zh-CN"/>
              </w:rPr>
            </w:pPr>
            <w:r>
              <w:rPr>
                <w:rFonts w:hint="eastAsia" w:cs="Times New Roman"/>
                <w:sz w:val="24"/>
                <w:szCs w:val="24"/>
                <w:u w:val="single" w:color="auto"/>
                <w:lang w:val="en-US" w:eastAsia="zh-CN"/>
              </w:rPr>
              <w:t>封边：对下料、切割后的板材使用封边条和热熔胶（电加热使其软化）进行封边及修整。</w:t>
            </w:r>
          </w:p>
          <w:p>
            <w:pPr>
              <w:pStyle w:val="37"/>
              <w:ind w:firstLine="420" w:firstLineChars="182"/>
              <w:rPr>
                <w:rFonts w:hint="eastAsia" w:cs="Times New Roman"/>
                <w:sz w:val="24"/>
                <w:szCs w:val="24"/>
                <w:u w:val="single" w:color="auto"/>
                <w:lang w:val="en-US" w:eastAsia="zh-CN"/>
              </w:rPr>
            </w:pPr>
            <w:r>
              <w:rPr>
                <w:rFonts w:hint="eastAsia" w:cs="Times New Roman"/>
                <w:sz w:val="24"/>
                <w:szCs w:val="24"/>
                <w:u w:val="single" w:color="auto"/>
                <w:lang w:val="en-US" w:eastAsia="zh-CN"/>
              </w:rPr>
              <w:t>钻孔：加工后的板材对其进行钻孔。</w:t>
            </w:r>
          </w:p>
          <w:p>
            <w:pPr>
              <w:pStyle w:val="37"/>
              <w:ind w:firstLine="420" w:firstLineChars="182"/>
              <w:rPr>
                <w:rFonts w:hint="eastAsia" w:cs="Times New Roman"/>
                <w:sz w:val="24"/>
                <w:szCs w:val="24"/>
                <w:u w:val="single" w:color="auto"/>
                <w:lang w:val="en-US" w:eastAsia="zh-CN"/>
              </w:rPr>
            </w:pPr>
            <w:r>
              <w:rPr>
                <w:rFonts w:hint="eastAsia" w:cs="Times New Roman"/>
                <w:sz w:val="24"/>
                <w:szCs w:val="24"/>
                <w:u w:val="single" w:color="auto"/>
                <w:lang w:val="en-US" w:eastAsia="zh-CN"/>
              </w:rPr>
              <w:t>组装、打包：钻孔后需要把每个板材进行组装，使用五金配件进行组装，组装后即为成品，再对其进行外包装打包（使用纸板进行包装，以防止运输过程中损坏）。</w:t>
            </w:r>
          </w:p>
          <w:p>
            <w:pPr>
              <w:pStyle w:val="37"/>
              <w:ind w:firstLine="420" w:firstLineChars="182"/>
              <w:rPr>
                <w:rFonts w:hint="default" w:cs="Times New Roman"/>
                <w:sz w:val="24"/>
                <w:szCs w:val="24"/>
                <w:u w:val="single" w:color="auto"/>
                <w:lang w:val="en-US" w:eastAsia="zh-CN"/>
              </w:rPr>
            </w:pPr>
            <w:r>
              <w:rPr>
                <w:rFonts w:hint="eastAsia" w:cs="Times New Roman"/>
                <w:sz w:val="24"/>
                <w:szCs w:val="24"/>
                <w:u w:val="single" w:color="auto"/>
                <w:lang w:val="en-US" w:eastAsia="zh-CN"/>
              </w:rPr>
              <w:t>注：本项目使用免漆板进行加工，因此项目在生产过程中无喷漆工艺。</w:t>
            </w:r>
          </w:p>
          <w:p>
            <w:pPr>
              <w:adjustRightInd w:val="0"/>
              <w:snapToGrid w:val="0"/>
              <w:spacing w:line="360" w:lineRule="auto"/>
              <w:ind w:right="113"/>
              <w:rPr>
                <w:b/>
                <w:kern w:val="0"/>
                <w:sz w:val="30"/>
                <w:szCs w:val="30"/>
                <w:u w:val="none" w:color="auto"/>
              </w:rPr>
            </w:pPr>
            <w:r>
              <w:rPr>
                <w:rFonts w:hint="eastAsia"/>
                <w:b/>
                <w:kern w:val="0"/>
                <w:sz w:val="30"/>
                <w:szCs w:val="30"/>
                <w:u w:val="none" w:color="auto"/>
              </w:rPr>
              <w:t>运营期</w:t>
            </w:r>
            <w:r>
              <w:rPr>
                <w:b/>
                <w:kern w:val="0"/>
                <w:sz w:val="30"/>
                <w:szCs w:val="30"/>
                <w:u w:val="none" w:color="auto"/>
              </w:rPr>
              <w:t>：</w:t>
            </w:r>
          </w:p>
          <w:p>
            <w:pPr>
              <w:snapToGrid w:val="0"/>
              <w:spacing w:line="360" w:lineRule="auto"/>
              <w:ind w:firstLine="453" w:firstLineChars="196"/>
              <w:rPr>
                <w:sz w:val="24"/>
                <w:szCs w:val="24"/>
                <w:u w:val="none" w:color="auto"/>
              </w:rPr>
            </w:pPr>
            <w:r>
              <w:rPr>
                <w:sz w:val="24"/>
                <w:szCs w:val="24"/>
                <w:u w:val="none" w:color="auto"/>
              </w:rPr>
              <w:t>1、废水</w:t>
            </w:r>
          </w:p>
          <w:p>
            <w:pPr>
              <w:snapToGrid w:val="0"/>
              <w:spacing w:line="360" w:lineRule="auto"/>
              <w:ind w:firstLine="453" w:firstLineChars="196"/>
              <w:rPr>
                <w:bCs/>
                <w:sz w:val="24"/>
                <w:szCs w:val="24"/>
                <w:u w:val="none" w:color="auto"/>
              </w:rPr>
            </w:pPr>
            <w:r>
              <w:rPr>
                <w:rFonts w:hint="eastAsia"/>
                <w:bCs/>
                <w:sz w:val="24"/>
                <w:szCs w:val="24"/>
                <w:u w:val="none" w:color="auto"/>
              </w:rPr>
              <w:t>本项目产生的废水主要来自于员工的生活污水</w:t>
            </w:r>
            <w:r>
              <w:rPr>
                <w:rFonts w:hint="eastAsia"/>
                <w:bCs/>
                <w:sz w:val="24"/>
                <w:szCs w:val="24"/>
                <w:u w:val="none" w:color="auto"/>
                <w:lang w:eastAsia="zh-CN"/>
              </w:rPr>
              <w:t>，生产过程中不产生废水</w:t>
            </w:r>
            <w:r>
              <w:rPr>
                <w:rFonts w:hint="eastAsia"/>
                <w:bCs/>
                <w:sz w:val="24"/>
                <w:szCs w:val="24"/>
                <w:u w:val="none" w:color="auto"/>
              </w:rPr>
              <w:t>。</w:t>
            </w:r>
          </w:p>
          <w:p>
            <w:pPr>
              <w:snapToGrid w:val="0"/>
              <w:spacing w:line="360" w:lineRule="auto"/>
              <w:ind w:firstLine="453" w:firstLineChars="196"/>
              <w:rPr>
                <w:bCs/>
                <w:sz w:val="24"/>
                <w:u w:val="none" w:color="auto"/>
              </w:rPr>
            </w:pPr>
            <w:r>
              <w:rPr>
                <w:rFonts w:hint="eastAsia"/>
                <w:bCs/>
                <w:sz w:val="24"/>
                <w:u w:val="none" w:color="auto"/>
              </w:rPr>
              <w:t>（1）生活污水</w:t>
            </w:r>
          </w:p>
          <w:p>
            <w:pPr>
              <w:snapToGrid w:val="0"/>
              <w:spacing w:line="360" w:lineRule="auto"/>
              <w:ind w:firstLine="453" w:firstLineChars="196"/>
              <w:rPr>
                <w:u w:val="none" w:color="auto"/>
              </w:rPr>
            </w:pPr>
            <w:r>
              <w:rPr>
                <w:rFonts w:hint="eastAsia"/>
                <w:bCs/>
                <w:sz w:val="24"/>
                <w:u w:val="none" w:color="auto"/>
              </w:rPr>
              <w:t>本项目营运期生活污水</w:t>
            </w:r>
            <w:r>
              <w:rPr>
                <w:rFonts w:hint="eastAsia"/>
                <w:bCs/>
                <w:sz w:val="24"/>
                <w:u w:val="none" w:color="auto"/>
                <w:lang w:eastAsia="zh-CN"/>
              </w:rPr>
              <w:t>排放</w:t>
            </w:r>
            <w:r>
              <w:rPr>
                <w:rFonts w:hint="eastAsia"/>
                <w:bCs/>
                <w:sz w:val="24"/>
                <w:u w:val="none" w:color="auto"/>
              </w:rPr>
              <w:t>量为</w:t>
            </w:r>
            <w:r>
              <w:rPr>
                <w:sz w:val="24"/>
                <w:szCs w:val="24"/>
                <w:u w:val="none" w:color="auto"/>
              </w:rPr>
              <w:t>0.</w:t>
            </w:r>
            <w:r>
              <w:rPr>
                <w:rFonts w:hint="eastAsia"/>
                <w:sz w:val="24"/>
                <w:szCs w:val="24"/>
                <w:u w:val="none" w:color="auto"/>
                <w:lang w:val="en-US" w:eastAsia="zh-CN"/>
              </w:rPr>
              <w:t>288</w:t>
            </w:r>
            <w:r>
              <w:rPr>
                <w:rFonts w:hint="eastAsia"/>
                <w:bCs/>
                <w:sz w:val="24"/>
                <w:u w:val="none" w:color="auto"/>
              </w:rPr>
              <w:t>m</w:t>
            </w:r>
            <w:r>
              <w:rPr>
                <w:rFonts w:hint="eastAsia"/>
                <w:bCs/>
                <w:sz w:val="24"/>
                <w:u w:val="none" w:color="auto"/>
                <w:vertAlign w:val="superscript"/>
              </w:rPr>
              <w:t>3</w:t>
            </w:r>
            <w:r>
              <w:rPr>
                <w:rFonts w:hint="eastAsia"/>
                <w:bCs/>
                <w:sz w:val="24"/>
                <w:u w:val="none" w:color="auto"/>
              </w:rPr>
              <w:t>/d、</w:t>
            </w:r>
            <w:r>
              <w:rPr>
                <w:rFonts w:hint="eastAsia"/>
                <w:bCs/>
                <w:sz w:val="24"/>
                <w:u w:val="none" w:color="auto"/>
                <w:lang w:val="en-US" w:eastAsia="zh-CN"/>
              </w:rPr>
              <w:t>86.4</w:t>
            </w:r>
            <w:r>
              <w:rPr>
                <w:rFonts w:hint="eastAsia"/>
                <w:bCs/>
                <w:sz w:val="24"/>
                <w:u w:val="none" w:color="auto"/>
              </w:rPr>
              <w:t>m</w:t>
            </w:r>
            <w:r>
              <w:rPr>
                <w:rFonts w:hint="eastAsia"/>
                <w:bCs/>
                <w:sz w:val="24"/>
                <w:u w:val="none" w:color="auto"/>
                <w:vertAlign w:val="superscript"/>
              </w:rPr>
              <w:t>3</w:t>
            </w:r>
            <w:r>
              <w:rPr>
                <w:rFonts w:hint="eastAsia"/>
                <w:bCs/>
                <w:sz w:val="24"/>
                <w:u w:val="none" w:color="auto"/>
              </w:rPr>
              <w:t>/a，其主要污染因子为 COD、BOD</w:t>
            </w:r>
            <w:r>
              <w:rPr>
                <w:rFonts w:hint="eastAsia"/>
                <w:bCs/>
                <w:sz w:val="24"/>
                <w:u w:val="none" w:color="auto"/>
                <w:vertAlign w:val="subscript"/>
              </w:rPr>
              <w:t>5</w:t>
            </w:r>
            <w:r>
              <w:rPr>
                <w:rFonts w:hint="eastAsia"/>
                <w:bCs/>
                <w:sz w:val="24"/>
                <w:u w:val="none" w:color="auto"/>
              </w:rPr>
              <w:t>、SS、NH</w:t>
            </w:r>
            <w:r>
              <w:rPr>
                <w:rFonts w:hint="eastAsia"/>
                <w:bCs/>
                <w:sz w:val="24"/>
                <w:u w:val="none" w:color="auto"/>
                <w:vertAlign w:val="subscript"/>
              </w:rPr>
              <w:t>3</w:t>
            </w:r>
            <w:r>
              <w:rPr>
                <w:rFonts w:hint="eastAsia"/>
                <w:bCs/>
                <w:sz w:val="24"/>
                <w:u w:val="none" w:color="auto"/>
              </w:rPr>
              <w:t>-N。</w:t>
            </w:r>
            <w:r>
              <w:rPr>
                <w:rFonts w:hint="eastAsia"/>
                <w:bCs/>
                <w:sz w:val="24"/>
                <w:u w:val="none" w:color="auto"/>
                <w:lang w:eastAsia="zh-CN"/>
              </w:rPr>
              <w:t>其中</w:t>
            </w:r>
            <w:r>
              <w:rPr>
                <w:sz w:val="24"/>
                <w:szCs w:val="24"/>
                <w:u w:val="none" w:color="auto"/>
                <w:lang w:bidi="ar"/>
              </w:rPr>
              <w:t>生活废水中COD300mg/L、BOD</w:t>
            </w:r>
            <w:r>
              <w:rPr>
                <w:sz w:val="24"/>
                <w:szCs w:val="24"/>
                <w:u w:val="none" w:color="auto"/>
                <w:vertAlign w:val="subscript"/>
                <w:lang w:bidi="ar"/>
              </w:rPr>
              <w:t>5</w:t>
            </w:r>
            <w:r>
              <w:rPr>
                <w:sz w:val="24"/>
                <w:szCs w:val="24"/>
                <w:u w:val="none" w:color="auto"/>
                <w:lang w:bidi="ar"/>
              </w:rPr>
              <w:t>200mg/L、氨氮30mg/L、SS250mg/L</w:t>
            </w:r>
            <w:r>
              <w:rPr>
                <w:rFonts w:hint="eastAsia"/>
                <w:sz w:val="24"/>
                <w:szCs w:val="24"/>
                <w:u w:val="none" w:color="auto"/>
                <w:lang w:bidi="ar"/>
              </w:rPr>
              <w:t>。生活污水经化粪池进行处理</w:t>
            </w:r>
            <w:r>
              <w:rPr>
                <w:rFonts w:hint="eastAsia"/>
                <w:sz w:val="24"/>
                <w:szCs w:val="24"/>
                <w:u w:val="none" w:color="auto"/>
                <w:lang w:eastAsia="zh-CN" w:bidi="ar"/>
              </w:rPr>
              <w:t>后回用于周边绿化施肥、不直接外排</w:t>
            </w:r>
            <w:r>
              <w:rPr>
                <w:sz w:val="24"/>
                <w:u w:val="none" w:color="auto"/>
              </w:rPr>
              <w:t>。</w:t>
            </w:r>
          </w:p>
          <w:p>
            <w:pPr>
              <w:spacing w:line="360" w:lineRule="auto"/>
              <w:ind w:firstLine="462" w:firstLineChars="200"/>
              <w:rPr>
                <w:sz w:val="24"/>
                <w:szCs w:val="24"/>
                <w:u w:val="none" w:color="auto"/>
              </w:rPr>
            </w:pPr>
            <w:r>
              <w:rPr>
                <w:sz w:val="24"/>
                <w:szCs w:val="24"/>
                <w:u w:val="none" w:color="auto"/>
              </w:rPr>
              <w:t>2、废气</w:t>
            </w:r>
          </w:p>
          <w:p>
            <w:pPr>
              <w:pStyle w:val="32"/>
              <w:spacing w:line="360" w:lineRule="auto"/>
              <w:ind w:left="0" w:leftChars="0" w:firstLine="462" w:firstLineChars="200"/>
              <w:jc w:val="left"/>
              <w:rPr>
                <w:sz w:val="24"/>
                <w:u w:val="none" w:color="auto"/>
              </w:rPr>
            </w:pPr>
            <w:r>
              <w:rPr>
                <w:sz w:val="24"/>
                <w:u w:val="none" w:color="auto"/>
              </w:rPr>
              <w:t>本项目运营过程中产生的废气有</w:t>
            </w:r>
            <w:r>
              <w:rPr>
                <w:rFonts w:hint="eastAsia"/>
                <w:sz w:val="24"/>
                <w:u w:val="none" w:color="auto"/>
                <w:lang w:eastAsia="zh-CN"/>
              </w:rPr>
              <w:t>下料、钻孔、切割工序产生的</w:t>
            </w:r>
            <w:r>
              <w:rPr>
                <w:rFonts w:hint="eastAsia"/>
                <w:sz w:val="24"/>
                <w:u w:val="none" w:color="auto"/>
              </w:rPr>
              <w:t>粉尘</w:t>
            </w:r>
            <w:r>
              <w:rPr>
                <w:rFonts w:hint="eastAsia"/>
                <w:sz w:val="24"/>
                <w:u w:val="none" w:color="auto"/>
                <w:lang w:eastAsia="zh-CN"/>
              </w:rPr>
              <w:t>；地面粉尘；</w:t>
            </w:r>
            <w:r>
              <w:rPr>
                <w:rFonts w:hint="default" w:ascii="Times New Roman" w:hAnsi="Times New Roman" w:eastAsia="宋体" w:cs="Times New Roman"/>
                <w:kern w:val="2"/>
                <w:sz w:val="24"/>
                <w:szCs w:val="20"/>
                <w:u w:val="none" w:color="auto"/>
                <w:lang w:val="en-US" w:eastAsia="zh-CN" w:bidi="ar-SA"/>
              </w:rPr>
              <w:t>刷胶、冷压、封边工序</w:t>
            </w:r>
            <w:r>
              <w:rPr>
                <w:rFonts w:hint="eastAsia" w:cs="Times New Roman"/>
                <w:kern w:val="2"/>
                <w:sz w:val="24"/>
                <w:szCs w:val="20"/>
                <w:u w:val="none" w:color="auto"/>
                <w:lang w:val="en-US" w:eastAsia="zh-CN" w:bidi="ar-SA"/>
              </w:rPr>
              <w:t>废气</w:t>
            </w:r>
            <w:r>
              <w:rPr>
                <w:rFonts w:hint="eastAsia"/>
                <w:sz w:val="24"/>
                <w:u w:val="none" w:color="auto"/>
              </w:rPr>
              <w:t>。</w:t>
            </w:r>
          </w:p>
          <w:p>
            <w:pPr>
              <w:pStyle w:val="32"/>
              <w:spacing w:line="360" w:lineRule="auto"/>
              <w:ind w:left="400"/>
              <w:jc w:val="left"/>
              <w:rPr>
                <w:rFonts w:hint="default" w:ascii="Times New Roman" w:hAnsi="Times New Roman" w:eastAsia="宋体" w:cs="Times New Roman"/>
                <w:kern w:val="2"/>
                <w:sz w:val="24"/>
                <w:szCs w:val="20"/>
                <w:u w:val="none" w:color="auto"/>
                <w:lang w:val="en-US" w:eastAsia="zh-CN" w:bidi="ar-SA"/>
              </w:rPr>
            </w:pPr>
            <w:r>
              <w:rPr>
                <w:rFonts w:hint="default" w:ascii="Times New Roman" w:hAnsi="Times New Roman" w:eastAsia="宋体" w:cs="Times New Roman"/>
                <w:kern w:val="2"/>
                <w:sz w:val="24"/>
                <w:szCs w:val="20"/>
                <w:u w:val="none" w:color="auto"/>
                <w:lang w:val="en-US" w:eastAsia="zh-CN" w:bidi="ar-SA"/>
              </w:rPr>
              <w:t>（1）刷胶、冷压、封边工序</w:t>
            </w:r>
          </w:p>
          <w:p>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62" w:firstLineChars="200"/>
              <w:rPr>
                <w:rFonts w:hint="eastAsia" w:ascii="Times New Roman" w:hAnsi="Times New Roman" w:cs="Times New Roman"/>
                <w:kern w:val="2"/>
                <w:sz w:val="24"/>
                <w:szCs w:val="20"/>
                <w:u w:val="none" w:color="auto"/>
                <w:lang w:val="en-US" w:eastAsia="zh-CN" w:bidi="ar-SA"/>
              </w:rPr>
            </w:pPr>
            <w:r>
              <w:rPr>
                <w:rFonts w:hint="default" w:ascii="Times New Roman" w:hAnsi="Times New Roman" w:eastAsia="宋体" w:cs="Times New Roman"/>
                <w:kern w:val="2"/>
                <w:sz w:val="24"/>
                <w:szCs w:val="20"/>
                <w:u w:val="none" w:color="auto"/>
                <w:lang w:val="en-US" w:eastAsia="zh-CN" w:bidi="ar-SA"/>
              </w:rPr>
              <w:t>刷胶、冷压工序使用白乳胶（水乳型粘胶剂），其在使用过程中无加热或者烘干工序，只为简单刷胶、冷压，因此白乳胶挥发产生的有机废气较少</w:t>
            </w:r>
            <w:r>
              <w:rPr>
                <w:rFonts w:hint="eastAsia" w:ascii="Times New Roman" w:hAnsi="Times New Roman" w:cs="Times New Roman"/>
                <w:kern w:val="2"/>
                <w:sz w:val="24"/>
                <w:szCs w:val="20"/>
                <w:u w:val="none" w:color="auto"/>
                <w:lang w:val="en-US" w:eastAsia="zh-CN" w:bidi="ar-SA"/>
              </w:rPr>
              <w:t>。</w:t>
            </w:r>
          </w:p>
          <w:p>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62" w:firstLineChars="200"/>
              <w:rPr>
                <w:rFonts w:hint="eastAsia" w:ascii="Times New Roman" w:hAnsi="Times New Roman" w:eastAsia="宋体" w:cs="Times New Roman"/>
                <w:kern w:val="2"/>
                <w:sz w:val="24"/>
                <w:szCs w:val="20"/>
                <w:u w:val="none" w:color="auto"/>
                <w:lang w:val="en-US" w:eastAsia="zh-CN" w:bidi="ar-SA"/>
              </w:rPr>
            </w:pPr>
            <w:r>
              <w:rPr>
                <w:rFonts w:hint="default" w:ascii="Times New Roman" w:hAnsi="Times New Roman" w:cs="Times New Roman"/>
                <w:kern w:val="2"/>
                <w:sz w:val="24"/>
                <w:szCs w:val="20"/>
                <w:u w:val="none" w:color="auto"/>
                <w:lang w:val="en-US" w:eastAsia="zh-CN" w:bidi="ar-SA"/>
              </w:rPr>
              <w:t>封边工序使用的为热熔胶，</w:t>
            </w:r>
            <w:r>
              <w:rPr>
                <w:rFonts w:hint="default" w:ascii="Times New Roman" w:hAnsi="Times New Roman" w:eastAsia="宋体" w:cs="Times New Roman"/>
                <w:sz w:val="24"/>
                <w:szCs w:val="24"/>
                <w:u w:val="none" w:color="auto"/>
              </w:rPr>
              <w:t>项目使用的热熔胶常温下为固体，因此需电加热到70-84</w:t>
            </w:r>
            <w:r>
              <w:rPr>
                <w:rFonts w:hint="default" w:ascii="Times New Roman" w:hAnsi="Times New Roman" w:eastAsia="宋体" w:cs="Times New Roman"/>
                <w:sz w:val="24"/>
                <w:szCs w:val="24"/>
                <w:u w:val="none" w:color="auto"/>
                <w:lang w:eastAsia="zh-CN"/>
              </w:rPr>
              <w:t>度</w:t>
            </w:r>
            <w:r>
              <w:rPr>
                <w:rFonts w:hint="default" w:ascii="Times New Roman" w:hAnsi="Times New Roman" w:eastAsia="宋体" w:cs="Times New Roman"/>
                <w:sz w:val="24"/>
                <w:szCs w:val="24"/>
                <w:u w:val="none" w:color="auto"/>
              </w:rPr>
              <w:t>左右使其软化。本项目封边工艺使用热熔胶会产生有机废气(以VOCs)计，热熔胶熔点为260</w:t>
            </w:r>
            <w:r>
              <w:rPr>
                <w:rFonts w:hint="default" w:ascii="Times New Roman" w:hAnsi="Times New Roman" w:eastAsia="宋体" w:cs="Times New Roman"/>
                <w:sz w:val="24"/>
                <w:szCs w:val="24"/>
                <w:u w:val="none" w:color="auto"/>
                <w:lang w:eastAsia="zh-CN"/>
              </w:rPr>
              <w:t>度，</w:t>
            </w:r>
            <w:r>
              <w:rPr>
                <w:rFonts w:hint="default" w:ascii="Times New Roman" w:hAnsi="Times New Roman" w:eastAsia="宋体" w:cs="Times New Roman"/>
                <w:sz w:val="24"/>
                <w:szCs w:val="24"/>
                <w:u w:val="none" w:color="auto"/>
              </w:rPr>
              <w:t>着火点也为260</w:t>
            </w:r>
            <w:r>
              <w:rPr>
                <w:rFonts w:hint="default" w:ascii="Times New Roman" w:hAnsi="Times New Roman" w:eastAsia="宋体" w:cs="Times New Roman"/>
                <w:sz w:val="24"/>
                <w:szCs w:val="24"/>
                <w:u w:val="none" w:color="auto"/>
                <w:lang w:eastAsia="zh-CN"/>
              </w:rPr>
              <w:t>度</w:t>
            </w:r>
            <w:r>
              <w:rPr>
                <w:rFonts w:hint="eastAsia" w:ascii="Times New Roman" w:hAnsi="Times New Roman" w:eastAsia="宋体" w:cs="Times New Roman"/>
                <w:sz w:val="24"/>
                <w:szCs w:val="24"/>
                <w:u w:val="none" w:color="auto"/>
                <w:lang w:eastAsia="zh-CN"/>
              </w:rPr>
              <w:t>，</w:t>
            </w:r>
            <w:r>
              <w:rPr>
                <w:rFonts w:hint="default" w:ascii="Times New Roman" w:hAnsi="Times New Roman" w:eastAsia="宋体" w:cs="Times New Roman"/>
                <w:sz w:val="24"/>
                <w:szCs w:val="24"/>
                <w:u w:val="none" w:color="auto"/>
              </w:rPr>
              <w:t>本项目加热到热熔胶软化温度</w:t>
            </w:r>
            <w:r>
              <w:rPr>
                <w:rFonts w:hint="default" w:ascii="Times New Roman" w:hAnsi="Times New Roman" w:eastAsia="宋体" w:cs="Times New Roman"/>
                <w:sz w:val="24"/>
                <w:szCs w:val="24"/>
                <w:u w:val="none" w:color="auto"/>
                <w:lang w:eastAsia="zh-CN"/>
              </w:rPr>
              <w:t>，使其熔融</w:t>
            </w:r>
            <w:r>
              <w:rPr>
                <w:rFonts w:hint="default" w:ascii="Times New Roman" w:hAnsi="Times New Roman" w:eastAsia="宋体" w:cs="Times New Roman"/>
                <w:sz w:val="24"/>
                <w:szCs w:val="24"/>
                <w:u w:val="none" w:color="auto"/>
              </w:rPr>
              <w:t>，不会使其燃烧或者裂解、分解。家具用热熔胶是一类专用于人造板材粘贴的胶粘剂，它是一种</w:t>
            </w:r>
            <w:r>
              <w:rPr>
                <w:rFonts w:ascii="宋体" w:hAnsi="宋体" w:eastAsia="宋体" w:cs="宋体"/>
                <w:sz w:val="24"/>
                <w:szCs w:val="24"/>
                <w:u w:val="none" w:color="auto"/>
              </w:rPr>
              <w:t>环保型、无溶剂的热塑性胶，本项目所用热熔胶属于环保型热熔胶，无毒、无污染</w:t>
            </w:r>
            <w:r>
              <w:rPr>
                <w:rFonts w:hint="eastAsia" w:ascii="宋体" w:hAnsi="宋体" w:eastAsia="宋体" w:cs="宋体"/>
                <w:sz w:val="24"/>
                <w:szCs w:val="24"/>
                <w:u w:val="none" w:color="auto"/>
                <w:lang w:eastAsia="zh-CN"/>
              </w:rPr>
              <w:t>。</w:t>
            </w:r>
          </w:p>
          <w:p>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62" w:firstLineChars="200"/>
              <w:rPr>
                <w:rFonts w:hint="default" w:ascii="Times New Roman" w:hAnsi="Times New Roman" w:eastAsia="宋体" w:cs="Times New Roman"/>
                <w:kern w:val="2"/>
                <w:sz w:val="24"/>
                <w:szCs w:val="20"/>
                <w:u w:val="none" w:color="auto"/>
                <w:lang w:val="en-US" w:eastAsia="zh-CN" w:bidi="ar-SA"/>
              </w:rPr>
            </w:pPr>
            <w:r>
              <w:rPr>
                <w:rFonts w:hint="default" w:ascii="Times New Roman" w:hAnsi="Times New Roman" w:eastAsia="宋体" w:cs="Times New Roman"/>
                <w:kern w:val="2"/>
                <w:sz w:val="24"/>
                <w:szCs w:val="20"/>
                <w:u w:val="none" w:color="auto"/>
                <w:lang w:val="en-US" w:eastAsia="zh-CN" w:bidi="ar-SA"/>
              </w:rPr>
              <w:t>根据业主提供的资料，白乳胶用量</w:t>
            </w:r>
            <w:r>
              <w:rPr>
                <w:rFonts w:hint="eastAsia" w:ascii="Times New Roman" w:hAnsi="Times New Roman" w:cs="Times New Roman"/>
                <w:kern w:val="2"/>
                <w:sz w:val="24"/>
                <w:szCs w:val="20"/>
                <w:u w:val="none" w:color="auto"/>
                <w:lang w:val="en-US" w:eastAsia="zh-CN" w:bidi="ar-SA"/>
              </w:rPr>
              <w:t>3</w:t>
            </w:r>
            <w:r>
              <w:rPr>
                <w:rFonts w:hint="default" w:ascii="Times New Roman" w:hAnsi="Times New Roman" w:eastAsia="宋体" w:cs="Times New Roman"/>
                <w:kern w:val="2"/>
                <w:sz w:val="24"/>
                <w:szCs w:val="20"/>
                <w:u w:val="none" w:color="auto"/>
                <w:lang w:val="en-US" w:eastAsia="zh-CN" w:bidi="ar-SA"/>
              </w:rPr>
              <w:t>t/a。根据白乳胶成分分析，项目白乳胶有机废气含量为原料总量的5%，故有机废气产生量为0.</w:t>
            </w:r>
            <w:r>
              <w:rPr>
                <w:rFonts w:hint="eastAsia" w:ascii="Times New Roman" w:hAnsi="Times New Roman" w:cs="Times New Roman"/>
                <w:kern w:val="2"/>
                <w:sz w:val="24"/>
                <w:szCs w:val="20"/>
                <w:u w:val="none" w:color="auto"/>
                <w:lang w:val="en-US" w:eastAsia="zh-CN" w:bidi="ar-SA"/>
              </w:rPr>
              <w:t>15</w:t>
            </w:r>
            <w:r>
              <w:rPr>
                <w:rFonts w:hint="default" w:ascii="Times New Roman" w:hAnsi="Times New Roman" w:eastAsia="宋体" w:cs="Times New Roman"/>
                <w:kern w:val="2"/>
                <w:sz w:val="24"/>
                <w:szCs w:val="20"/>
                <w:u w:val="none" w:color="auto"/>
                <w:lang w:val="en-US" w:eastAsia="zh-CN" w:bidi="ar-SA"/>
              </w:rPr>
              <w:t>t/a</w:t>
            </w:r>
            <w:r>
              <w:rPr>
                <w:rFonts w:hint="eastAsia" w:ascii="Times New Roman" w:hAnsi="Times New Roman" w:cs="Times New Roman"/>
                <w:kern w:val="2"/>
                <w:sz w:val="24"/>
                <w:szCs w:val="20"/>
                <w:u w:val="none" w:color="auto"/>
                <w:lang w:val="en-US" w:eastAsia="zh-CN" w:bidi="ar-SA"/>
              </w:rPr>
              <w:t>。</w:t>
            </w:r>
          </w:p>
          <w:p>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62" w:firstLineChars="200"/>
              <w:rPr>
                <w:rFonts w:hint="default" w:ascii="Times New Roman" w:hAnsi="Times New Roman" w:eastAsia="宋体" w:cs="Times New Roman"/>
                <w:kern w:val="2"/>
                <w:sz w:val="24"/>
                <w:szCs w:val="20"/>
                <w:u w:val="none" w:color="auto"/>
                <w:lang w:val="en-US" w:eastAsia="zh-CN" w:bidi="ar-SA"/>
              </w:rPr>
            </w:pPr>
            <w:r>
              <w:rPr>
                <w:rFonts w:hint="eastAsia" w:ascii="Times New Roman" w:hAnsi="Times New Roman" w:cs="Times New Roman"/>
                <w:kern w:val="2"/>
                <w:sz w:val="24"/>
                <w:szCs w:val="20"/>
                <w:u w:val="none" w:color="auto"/>
                <w:lang w:val="en-US" w:eastAsia="zh-CN" w:bidi="ar-SA"/>
              </w:rPr>
              <w:t>根据业主提供的资料，项目热熔胶使用量为5吨，在使用过程中需加热使其熔融，挥发性较少，根据业主提供的相关资料及现场实际情况可知，热熔胶在加热熔融过程中有机废气挥发量为使用量的2%，故热熔胶加热熔融过程中VOC</w:t>
            </w:r>
            <w:r>
              <w:rPr>
                <w:rFonts w:hint="eastAsia" w:ascii="Times New Roman" w:hAnsi="Times New Roman" w:cs="Times New Roman"/>
                <w:kern w:val="2"/>
                <w:sz w:val="24"/>
                <w:szCs w:val="20"/>
                <w:u w:val="none" w:color="auto"/>
                <w:vertAlign w:val="subscript"/>
                <w:lang w:val="en-US" w:eastAsia="zh-CN" w:bidi="ar-SA"/>
              </w:rPr>
              <w:t>S</w:t>
            </w:r>
            <w:r>
              <w:rPr>
                <w:rFonts w:hint="eastAsia" w:ascii="Times New Roman" w:hAnsi="Times New Roman" w:cs="Times New Roman"/>
                <w:kern w:val="2"/>
                <w:sz w:val="24"/>
                <w:szCs w:val="20"/>
                <w:u w:val="none" w:color="auto"/>
                <w:lang w:val="en-US" w:eastAsia="zh-CN" w:bidi="ar-SA"/>
              </w:rPr>
              <w:t>产生量为</w:t>
            </w:r>
            <w:r>
              <w:rPr>
                <w:rFonts w:hint="default" w:ascii="Times New Roman" w:hAnsi="Times New Roman" w:eastAsia="宋体" w:cs="Times New Roman"/>
                <w:kern w:val="2"/>
                <w:sz w:val="24"/>
                <w:szCs w:val="20"/>
                <w:u w:val="none" w:color="auto"/>
                <w:lang w:val="en-US" w:eastAsia="zh-CN" w:bidi="ar-SA"/>
              </w:rPr>
              <w:t>0.</w:t>
            </w:r>
            <w:r>
              <w:rPr>
                <w:rFonts w:hint="eastAsia" w:ascii="Times New Roman" w:hAnsi="Times New Roman" w:cs="Times New Roman"/>
                <w:kern w:val="2"/>
                <w:sz w:val="24"/>
                <w:szCs w:val="20"/>
                <w:u w:val="none" w:color="auto"/>
                <w:lang w:val="en-US" w:eastAsia="zh-CN" w:bidi="ar-SA"/>
              </w:rPr>
              <w:t>1</w:t>
            </w:r>
            <w:r>
              <w:rPr>
                <w:rFonts w:hint="default" w:ascii="Times New Roman" w:hAnsi="Times New Roman" w:eastAsia="宋体" w:cs="Times New Roman"/>
                <w:kern w:val="2"/>
                <w:sz w:val="24"/>
                <w:szCs w:val="20"/>
                <w:u w:val="none" w:color="auto"/>
                <w:lang w:val="en-US" w:eastAsia="zh-CN" w:bidi="ar-SA"/>
              </w:rPr>
              <w:t>t/</w:t>
            </w:r>
            <w:r>
              <w:rPr>
                <w:rFonts w:hint="eastAsia" w:ascii="Times New Roman" w:hAnsi="Times New Roman" w:cs="Times New Roman"/>
                <w:kern w:val="2"/>
                <w:sz w:val="24"/>
                <w:szCs w:val="20"/>
                <w:u w:val="none" w:color="auto"/>
                <w:lang w:val="en-US" w:eastAsia="zh-CN" w:bidi="ar-SA"/>
              </w:rPr>
              <w:t>a。</w:t>
            </w:r>
          </w:p>
          <w:p>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62" w:firstLineChars="200"/>
              <w:rPr>
                <w:rFonts w:hint="default" w:ascii="Times New Roman" w:hAnsi="Times New Roman" w:eastAsia="宋体" w:cs="Times New Roman"/>
                <w:kern w:val="2"/>
                <w:sz w:val="24"/>
                <w:szCs w:val="20"/>
                <w:u w:val="none" w:color="auto"/>
                <w:lang w:val="en-US" w:eastAsia="zh-CN" w:bidi="ar-SA"/>
              </w:rPr>
            </w:pPr>
            <w:r>
              <w:rPr>
                <w:rFonts w:hint="eastAsia" w:ascii="Times New Roman" w:hAnsi="Times New Roman" w:cs="Times New Roman"/>
                <w:kern w:val="2"/>
                <w:sz w:val="24"/>
                <w:szCs w:val="20"/>
                <w:u w:val="none" w:color="auto"/>
                <w:lang w:val="en-US" w:eastAsia="zh-CN" w:bidi="ar-SA"/>
              </w:rPr>
              <w:t>因此项目VOC</w:t>
            </w:r>
            <w:r>
              <w:rPr>
                <w:rFonts w:hint="eastAsia" w:ascii="Times New Roman" w:hAnsi="Times New Roman" w:cs="Times New Roman"/>
                <w:kern w:val="2"/>
                <w:sz w:val="24"/>
                <w:szCs w:val="20"/>
                <w:u w:val="none" w:color="auto"/>
                <w:vertAlign w:val="subscript"/>
                <w:lang w:val="en-US" w:eastAsia="zh-CN" w:bidi="ar-SA"/>
              </w:rPr>
              <w:t>S</w:t>
            </w:r>
            <w:r>
              <w:rPr>
                <w:rFonts w:hint="eastAsia" w:ascii="Times New Roman" w:hAnsi="Times New Roman" w:cs="Times New Roman"/>
                <w:kern w:val="2"/>
                <w:sz w:val="24"/>
                <w:szCs w:val="20"/>
                <w:u w:val="none" w:color="auto"/>
                <w:lang w:val="en-US" w:eastAsia="zh-CN" w:bidi="ar-SA"/>
              </w:rPr>
              <w:t>年排放量为0.25</w:t>
            </w:r>
            <w:r>
              <w:rPr>
                <w:rFonts w:hint="default" w:ascii="Times New Roman" w:hAnsi="Times New Roman" w:eastAsia="宋体" w:cs="Times New Roman"/>
                <w:kern w:val="2"/>
                <w:sz w:val="24"/>
                <w:szCs w:val="20"/>
                <w:u w:val="none" w:color="auto"/>
                <w:lang w:val="en-US" w:eastAsia="zh-CN" w:bidi="ar-SA"/>
              </w:rPr>
              <w:t>t/a</w:t>
            </w:r>
            <w:r>
              <w:rPr>
                <w:rFonts w:hint="eastAsia" w:ascii="Times New Roman" w:hAnsi="Times New Roman" w:cs="Times New Roman"/>
                <w:kern w:val="2"/>
                <w:sz w:val="24"/>
                <w:szCs w:val="20"/>
                <w:u w:val="none" w:color="auto"/>
                <w:lang w:val="en-US" w:eastAsia="zh-CN" w:bidi="ar-SA"/>
              </w:rPr>
              <w:t>，</w:t>
            </w:r>
            <w:r>
              <w:rPr>
                <w:rFonts w:hint="default" w:ascii="Times New Roman" w:hAnsi="Times New Roman" w:eastAsia="宋体" w:cs="Times New Roman"/>
                <w:kern w:val="2"/>
                <w:sz w:val="24"/>
                <w:szCs w:val="20"/>
                <w:u w:val="none" w:color="auto"/>
                <w:lang w:val="en-US" w:eastAsia="zh-CN" w:bidi="ar-SA"/>
              </w:rPr>
              <w:t>排放速率为0</w:t>
            </w:r>
            <w:r>
              <w:rPr>
                <w:rFonts w:hint="eastAsia" w:ascii="Times New Roman" w:hAnsi="Times New Roman" w:cs="Times New Roman"/>
                <w:kern w:val="2"/>
                <w:sz w:val="24"/>
                <w:szCs w:val="20"/>
                <w:u w:val="none" w:color="auto"/>
                <w:lang w:val="en-US" w:eastAsia="zh-CN" w:bidi="ar-SA"/>
              </w:rPr>
              <w:t>.104kg</w:t>
            </w:r>
            <w:r>
              <w:rPr>
                <w:rFonts w:hint="default" w:ascii="Times New Roman" w:hAnsi="Times New Roman" w:eastAsia="宋体" w:cs="Times New Roman"/>
                <w:kern w:val="2"/>
                <w:sz w:val="24"/>
                <w:szCs w:val="20"/>
                <w:u w:val="none" w:color="auto"/>
                <w:lang w:val="en-US" w:eastAsia="zh-CN" w:bidi="ar-SA"/>
              </w:rPr>
              <w:t>/</w:t>
            </w:r>
            <w:r>
              <w:rPr>
                <w:rFonts w:hint="eastAsia" w:ascii="Times New Roman" w:hAnsi="Times New Roman" w:cs="Times New Roman"/>
                <w:kern w:val="2"/>
                <w:sz w:val="24"/>
                <w:szCs w:val="20"/>
                <w:u w:val="none" w:color="auto"/>
                <w:lang w:val="en-US" w:eastAsia="zh-CN" w:bidi="ar-SA"/>
              </w:rPr>
              <w:t>h。</w:t>
            </w:r>
          </w:p>
          <w:p>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62" w:firstLineChars="200"/>
              <w:rPr>
                <w:rFonts w:hint="eastAsia"/>
                <w:sz w:val="24"/>
                <w:u w:val="none" w:color="auto"/>
                <w:lang w:eastAsia="zh-CN"/>
              </w:rPr>
            </w:pPr>
            <w:r>
              <w:rPr>
                <w:rFonts w:hint="default" w:ascii="Times New Roman" w:hAnsi="Times New Roman" w:eastAsia="宋体" w:cs="Times New Roman"/>
                <w:kern w:val="2"/>
                <w:sz w:val="24"/>
                <w:szCs w:val="20"/>
                <w:u w:val="none" w:color="auto"/>
                <w:lang w:val="en-US" w:eastAsia="zh-CN" w:bidi="ar-SA"/>
              </w:rPr>
              <w:t>根据生态环境部2019年6月26日发布的关于印发《重点行业挥发性有机物综合治理方案》的通知（文号：环大气【2019】53号）中“企业采用符合国家有关低VOCs含量产品规定的涂料、油墨、胶粘剂等，排放浓度稳定达标且排放速率、排放绩效等满足相关规定的，相应生产工序可不要求建设末端治理设施。使用的原辅材料VOCs含量（质量比）低于10%的工序，可不要求采取无组织排放收集措施”</w:t>
            </w:r>
            <w:r>
              <w:rPr>
                <w:rFonts w:hint="eastAsia" w:ascii="Times New Roman" w:hAnsi="Times New Roman" w:cs="Times New Roman"/>
                <w:kern w:val="2"/>
                <w:sz w:val="24"/>
                <w:szCs w:val="20"/>
                <w:u w:val="none" w:color="auto"/>
                <w:lang w:val="en-US" w:eastAsia="zh-CN" w:bidi="ar-SA"/>
              </w:rPr>
              <w:t>要求</w:t>
            </w:r>
            <w:r>
              <w:rPr>
                <w:rFonts w:hint="default" w:ascii="Times New Roman" w:hAnsi="Times New Roman" w:eastAsia="宋体" w:cs="Times New Roman"/>
                <w:kern w:val="2"/>
                <w:sz w:val="24"/>
                <w:szCs w:val="20"/>
                <w:u w:val="none" w:color="auto"/>
                <w:lang w:val="en-US" w:eastAsia="zh-CN" w:bidi="ar-SA"/>
              </w:rPr>
              <w:t>可知，</w:t>
            </w:r>
            <w:r>
              <w:rPr>
                <w:rFonts w:hint="eastAsia" w:ascii="Times New Roman" w:hAnsi="Times New Roman" w:cs="Times New Roman"/>
                <w:kern w:val="2"/>
                <w:sz w:val="24"/>
                <w:szCs w:val="20"/>
                <w:u w:val="none" w:color="auto"/>
                <w:lang w:val="en-US" w:eastAsia="zh-CN" w:bidi="ar-SA"/>
              </w:rPr>
              <w:t>本项目使用的粘胶剂为环保型白乳胶和环保型热熔胶，其有机废气挥发性小，</w:t>
            </w:r>
            <w:r>
              <w:rPr>
                <w:rFonts w:hint="default" w:ascii="Times New Roman" w:hAnsi="Times New Roman" w:eastAsia="宋体" w:cs="Times New Roman"/>
                <w:kern w:val="2"/>
                <w:sz w:val="24"/>
                <w:szCs w:val="20"/>
                <w:u w:val="none" w:color="auto"/>
                <w:lang w:val="en-US" w:eastAsia="zh-CN" w:bidi="ar-SA"/>
              </w:rPr>
              <w:t>VOCs含量</w:t>
            </w:r>
            <w:r>
              <w:rPr>
                <w:rFonts w:hint="eastAsia" w:ascii="Times New Roman" w:hAnsi="Times New Roman" w:cs="Times New Roman"/>
                <w:kern w:val="2"/>
                <w:sz w:val="24"/>
                <w:szCs w:val="20"/>
                <w:u w:val="none" w:color="auto"/>
                <w:lang w:val="en-US" w:eastAsia="zh-CN" w:bidi="ar-SA"/>
              </w:rPr>
              <w:t>分别为5%及2%，低于标准中的10%，故</w:t>
            </w:r>
            <w:r>
              <w:rPr>
                <w:rFonts w:hint="default" w:ascii="Times New Roman" w:hAnsi="Times New Roman" w:eastAsia="宋体" w:cs="Times New Roman"/>
                <w:kern w:val="2"/>
                <w:sz w:val="24"/>
                <w:szCs w:val="20"/>
                <w:u w:val="none" w:color="auto"/>
                <w:lang w:val="en-US" w:eastAsia="zh-CN" w:bidi="ar-SA"/>
              </w:rPr>
              <w:t>可不要求采取无组织排放收集措施</w:t>
            </w:r>
            <w:r>
              <w:rPr>
                <w:rFonts w:hint="eastAsia" w:ascii="Times New Roman" w:hAnsi="Times New Roman" w:cs="Times New Roman"/>
                <w:kern w:val="2"/>
                <w:sz w:val="24"/>
                <w:szCs w:val="20"/>
                <w:u w:val="none" w:color="auto"/>
                <w:lang w:val="en-US" w:eastAsia="zh-CN" w:bidi="ar-SA"/>
              </w:rPr>
              <w:t>，有机废气经车间排风（需距离居民较远的地方）后无组织排放</w:t>
            </w:r>
            <w:r>
              <w:rPr>
                <w:rFonts w:hint="eastAsia" w:ascii="Calibri" w:hAnsi="Calibri" w:eastAsia="宋体" w:cs="Times New Roman"/>
                <w:kern w:val="2"/>
                <w:sz w:val="24"/>
                <w:szCs w:val="20"/>
                <w:u w:val="none" w:color="auto"/>
                <w:lang w:val="en-US" w:eastAsia="zh-CN" w:bidi="ar-SA"/>
              </w:rPr>
              <w:t>。</w:t>
            </w:r>
          </w:p>
          <w:p>
            <w:pPr>
              <w:pStyle w:val="32"/>
              <w:spacing w:line="360" w:lineRule="auto"/>
              <w:ind w:left="400"/>
              <w:jc w:val="left"/>
              <w:rPr>
                <w:sz w:val="24"/>
                <w:u w:val="single" w:color="auto"/>
              </w:rPr>
            </w:pPr>
            <w:r>
              <w:rPr>
                <w:rFonts w:hint="eastAsia"/>
                <w:sz w:val="24"/>
                <w:u w:val="single" w:color="auto"/>
                <w:lang w:eastAsia="zh-CN"/>
              </w:rPr>
              <w:t>（</w:t>
            </w:r>
            <w:r>
              <w:rPr>
                <w:rFonts w:hint="eastAsia"/>
                <w:sz w:val="24"/>
                <w:u w:val="single" w:color="auto"/>
                <w:lang w:val="en-US" w:eastAsia="zh-CN"/>
              </w:rPr>
              <w:t>2</w:t>
            </w:r>
            <w:r>
              <w:rPr>
                <w:rFonts w:hint="eastAsia"/>
                <w:sz w:val="24"/>
                <w:u w:val="single" w:color="auto"/>
                <w:lang w:eastAsia="zh-CN"/>
              </w:rPr>
              <w:t>）下料、切割、钻孔工序</w:t>
            </w:r>
            <w:r>
              <w:rPr>
                <w:rFonts w:hint="eastAsia"/>
                <w:sz w:val="24"/>
                <w:u w:val="single" w:color="auto"/>
              </w:rPr>
              <w:t>粉尘</w:t>
            </w:r>
          </w:p>
          <w:p>
            <w:pPr>
              <w:pStyle w:val="175"/>
              <w:spacing w:line="360" w:lineRule="auto"/>
              <w:ind w:firstLine="460"/>
              <w:rPr>
                <w:rFonts w:ascii="Times New Roman" w:hAnsi="Times New Roman"/>
                <w:sz w:val="24"/>
                <w:szCs w:val="24"/>
                <w:u w:val="single" w:color="auto"/>
              </w:rPr>
            </w:pPr>
            <w:r>
              <w:rPr>
                <w:rFonts w:hint="eastAsia"/>
                <w:sz w:val="24"/>
                <w:szCs w:val="20"/>
                <w:u w:val="single" w:color="auto"/>
              </w:rPr>
              <w:t>本项目</w:t>
            </w:r>
            <w:r>
              <w:rPr>
                <w:rFonts w:hint="eastAsia"/>
                <w:sz w:val="24"/>
                <w:u w:val="single" w:color="auto"/>
                <w:lang w:eastAsia="zh-CN"/>
              </w:rPr>
              <w:t>下料、钻孔、切割</w:t>
            </w:r>
            <w:r>
              <w:rPr>
                <w:rFonts w:hint="eastAsia"/>
                <w:sz w:val="24"/>
                <w:szCs w:val="20"/>
                <w:u w:val="single" w:color="auto"/>
              </w:rPr>
              <w:t>产生的粉尘，</w:t>
            </w:r>
            <w:r>
              <w:rPr>
                <w:rFonts w:hint="eastAsia" w:ascii="Times New Roman" w:hAnsi="Times New Roman"/>
                <w:sz w:val="24"/>
                <w:szCs w:val="24"/>
                <w:u w:val="single" w:color="auto"/>
              </w:rPr>
              <w:t>参考《第一次全国污染源普查工业污染源产排污系数手册》第四分册，估算木料加工时粉尘的产生情况，产污系数见表5-</w:t>
            </w:r>
            <w:r>
              <w:rPr>
                <w:rFonts w:hint="eastAsia" w:ascii="Times New Roman" w:hAnsi="Times New Roman"/>
                <w:sz w:val="24"/>
                <w:szCs w:val="24"/>
                <w:u w:val="single" w:color="auto"/>
                <w:lang w:val="en-US" w:eastAsia="zh-CN"/>
              </w:rPr>
              <w:t>1</w:t>
            </w:r>
            <w:r>
              <w:rPr>
                <w:rFonts w:hint="eastAsia" w:ascii="Times New Roman" w:hAnsi="Times New Roman"/>
                <w:sz w:val="24"/>
                <w:szCs w:val="24"/>
                <w:u w:val="single" w:color="auto"/>
              </w:rPr>
              <w:t>。根据企业提供的资料，</w:t>
            </w:r>
            <w:r>
              <w:rPr>
                <w:rFonts w:hint="eastAsia"/>
                <w:sz w:val="24"/>
                <w:szCs w:val="20"/>
                <w:u w:val="single" w:color="auto"/>
              </w:rPr>
              <w:t>项目年使用</w:t>
            </w:r>
            <w:r>
              <w:rPr>
                <w:rFonts w:hint="eastAsia"/>
                <w:sz w:val="24"/>
                <w:szCs w:val="20"/>
                <w:u w:val="single" w:color="auto"/>
                <w:lang w:eastAsia="zh-CN"/>
              </w:rPr>
              <w:t>木材约</w:t>
            </w:r>
            <w:r>
              <w:rPr>
                <w:rFonts w:hint="eastAsia" w:ascii="Times New Roman" w:hAnsi="Times New Roman"/>
                <w:sz w:val="24"/>
                <w:szCs w:val="20"/>
                <w:u w:val="single" w:color="auto"/>
                <w:lang w:val="en-US" w:eastAsia="zh-CN"/>
              </w:rPr>
              <w:t>600</w:t>
            </w:r>
            <w:r>
              <w:rPr>
                <w:rFonts w:ascii="Times New Roman" w:hAnsi="Times New Roman"/>
                <w:sz w:val="24"/>
                <w:szCs w:val="20"/>
                <w:u w:val="single" w:color="auto"/>
              </w:rPr>
              <w:t>m</w:t>
            </w:r>
            <w:r>
              <w:rPr>
                <w:rFonts w:ascii="Times New Roman" w:hAnsi="Times New Roman"/>
                <w:sz w:val="24"/>
                <w:szCs w:val="20"/>
                <w:u w:val="single" w:color="auto"/>
                <w:vertAlign w:val="superscript"/>
              </w:rPr>
              <w:t>3</w:t>
            </w:r>
            <w:r>
              <w:rPr>
                <w:rFonts w:hint="eastAsia"/>
                <w:sz w:val="24"/>
                <w:szCs w:val="20"/>
                <w:u w:val="single" w:color="auto"/>
              </w:rPr>
              <w:t>，则粉尘的产生量为</w:t>
            </w:r>
            <w:r>
              <w:rPr>
                <w:rFonts w:hint="eastAsia" w:ascii="Times New Roman" w:hAnsi="Times New Roman"/>
                <w:sz w:val="24"/>
                <w:szCs w:val="20"/>
                <w:u w:val="single" w:color="auto"/>
                <w:lang w:eastAsia="zh-CN"/>
              </w:rPr>
              <w:t>0.156</w:t>
            </w:r>
            <w:r>
              <w:rPr>
                <w:rFonts w:hint="eastAsia"/>
                <w:sz w:val="24"/>
                <w:u w:val="single" w:color="auto"/>
              </w:rPr>
              <w:t xml:space="preserve"> </w:t>
            </w:r>
            <w:r>
              <w:rPr>
                <w:rFonts w:hint="eastAsia" w:ascii="Times New Roman" w:hAnsi="Times New Roman"/>
                <w:sz w:val="24"/>
                <w:szCs w:val="24"/>
                <w:u w:val="single" w:color="auto"/>
              </w:rPr>
              <w:t>t/a。</w:t>
            </w:r>
          </w:p>
          <w:p>
            <w:pPr>
              <w:pStyle w:val="175"/>
              <w:ind w:firstLine="0" w:firstLineChars="0"/>
              <w:jc w:val="center"/>
              <w:rPr>
                <w:rFonts w:ascii="Times New Roman" w:hAnsi="Times New Roman"/>
                <w:b/>
                <w:sz w:val="24"/>
                <w:szCs w:val="24"/>
                <w:u w:val="single" w:color="auto"/>
              </w:rPr>
            </w:pPr>
            <w:r>
              <w:rPr>
                <w:rFonts w:hint="eastAsia" w:ascii="Times New Roman" w:hAnsi="Times New Roman"/>
                <w:b/>
                <w:sz w:val="24"/>
                <w:szCs w:val="24"/>
                <w:u w:val="single" w:color="auto"/>
              </w:rPr>
              <w:t>表</w:t>
            </w:r>
            <w:r>
              <w:rPr>
                <w:rFonts w:ascii="Times New Roman" w:hAnsi="Times New Roman"/>
                <w:b/>
                <w:sz w:val="24"/>
                <w:szCs w:val="24"/>
                <w:u w:val="single" w:color="auto"/>
              </w:rPr>
              <w:t>5-</w:t>
            </w:r>
            <w:r>
              <w:rPr>
                <w:rFonts w:hint="eastAsia" w:ascii="Times New Roman" w:hAnsi="Times New Roman"/>
                <w:b/>
                <w:sz w:val="24"/>
                <w:szCs w:val="24"/>
                <w:u w:val="single" w:color="auto"/>
                <w:lang w:val="en-US" w:eastAsia="zh-CN"/>
              </w:rPr>
              <w:t>1</w:t>
            </w:r>
            <w:r>
              <w:rPr>
                <w:rFonts w:hint="eastAsia" w:ascii="Times New Roman" w:hAnsi="Times New Roman"/>
                <w:b/>
                <w:sz w:val="24"/>
                <w:szCs w:val="24"/>
                <w:u w:val="single" w:color="auto"/>
              </w:rPr>
              <w:t xml:space="preserve">  木制品加工过程粉尘产生情况</w:t>
            </w:r>
          </w:p>
          <w:tbl>
            <w:tblPr>
              <w:tblStyle w:val="40"/>
              <w:tblW w:w="90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29"/>
              <w:gridCol w:w="1691"/>
              <w:gridCol w:w="1060"/>
              <w:gridCol w:w="877"/>
              <w:gridCol w:w="1032"/>
              <w:gridCol w:w="2004"/>
              <w:gridCol w:w="10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3" w:hRule="atLeast"/>
              </w:trPr>
              <w:tc>
                <w:tcPr>
                  <w:tcW w:w="1329" w:type="dxa"/>
                  <w:vAlign w:val="center"/>
                </w:tcPr>
                <w:p>
                  <w:pPr>
                    <w:pStyle w:val="175"/>
                    <w:ind w:firstLine="0" w:firstLineChars="0"/>
                    <w:jc w:val="center"/>
                    <w:rPr>
                      <w:rFonts w:ascii="Times New Roman" w:hAnsi="Times New Roman"/>
                      <w:b/>
                      <w:sz w:val="24"/>
                      <w:szCs w:val="24"/>
                      <w:u w:val="single" w:color="auto"/>
                    </w:rPr>
                  </w:pPr>
                  <w:r>
                    <w:rPr>
                      <w:rFonts w:ascii="Times New Roman" w:hAnsi="Times New Roman"/>
                      <w:b/>
                      <w:szCs w:val="21"/>
                      <w:u w:val="single" w:color="auto"/>
                    </w:rPr>
                    <w:t>原材料</w:t>
                  </w:r>
                </w:p>
              </w:tc>
              <w:tc>
                <w:tcPr>
                  <w:tcW w:w="1691" w:type="dxa"/>
                  <w:vAlign w:val="center"/>
                </w:tcPr>
                <w:p>
                  <w:pPr>
                    <w:pStyle w:val="175"/>
                    <w:ind w:firstLine="0" w:firstLineChars="0"/>
                    <w:jc w:val="center"/>
                    <w:rPr>
                      <w:rFonts w:ascii="Times New Roman" w:hAnsi="Times New Roman"/>
                      <w:b/>
                      <w:sz w:val="24"/>
                      <w:szCs w:val="24"/>
                      <w:u w:val="single" w:color="auto"/>
                    </w:rPr>
                  </w:pPr>
                  <w:r>
                    <w:rPr>
                      <w:rFonts w:ascii="Times New Roman" w:hAnsi="Times New Roman"/>
                      <w:b/>
                      <w:szCs w:val="21"/>
                      <w:u w:val="single" w:color="auto"/>
                    </w:rPr>
                    <w:t>车间工艺</w:t>
                  </w:r>
                </w:p>
              </w:tc>
              <w:tc>
                <w:tcPr>
                  <w:tcW w:w="1060" w:type="dxa"/>
                  <w:vAlign w:val="center"/>
                </w:tcPr>
                <w:p>
                  <w:pPr>
                    <w:pStyle w:val="175"/>
                    <w:ind w:firstLine="0" w:firstLineChars="0"/>
                    <w:jc w:val="center"/>
                    <w:rPr>
                      <w:rFonts w:ascii="Times New Roman" w:hAnsi="Times New Roman"/>
                      <w:b/>
                      <w:sz w:val="24"/>
                      <w:szCs w:val="24"/>
                      <w:u w:val="single" w:color="auto"/>
                    </w:rPr>
                  </w:pPr>
                  <w:r>
                    <w:rPr>
                      <w:rFonts w:ascii="Times New Roman" w:hAnsi="Times New Roman"/>
                      <w:b/>
                      <w:szCs w:val="21"/>
                      <w:u w:val="single" w:color="auto"/>
                    </w:rPr>
                    <w:t>污染物</w:t>
                  </w:r>
                </w:p>
              </w:tc>
              <w:tc>
                <w:tcPr>
                  <w:tcW w:w="877" w:type="dxa"/>
                  <w:vAlign w:val="center"/>
                </w:tcPr>
                <w:p>
                  <w:pPr>
                    <w:pStyle w:val="175"/>
                    <w:ind w:firstLine="0" w:firstLineChars="0"/>
                    <w:jc w:val="center"/>
                    <w:rPr>
                      <w:rFonts w:ascii="Times New Roman" w:hAnsi="Times New Roman"/>
                      <w:b/>
                      <w:sz w:val="24"/>
                      <w:szCs w:val="24"/>
                      <w:u w:val="single" w:color="auto"/>
                    </w:rPr>
                  </w:pPr>
                  <w:r>
                    <w:rPr>
                      <w:rFonts w:ascii="Times New Roman" w:hAnsi="Times New Roman"/>
                      <w:b/>
                      <w:szCs w:val="21"/>
                      <w:u w:val="single" w:color="auto"/>
                    </w:rPr>
                    <w:t>来源</w:t>
                  </w:r>
                </w:p>
              </w:tc>
              <w:tc>
                <w:tcPr>
                  <w:tcW w:w="1032" w:type="dxa"/>
                  <w:vAlign w:val="center"/>
                </w:tcPr>
                <w:p>
                  <w:pPr>
                    <w:pStyle w:val="175"/>
                    <w:ind w:firstLine="0" w:firstLineChars="0"/>
                    <w:jc w:val="center"/>
                    <w:rPr>
                      <w:rFonts w:ascii="Times New Roman" w:hAnsi="Times New Roman"/>
                      <w:b/>
                      <w:sz w:val="24"/>
                      <w:szCs w:val="24"/>
                      <w:u w:val="single" w:color="auto"/>
                    </w:rPr>
                  </w:pPr>
                  <w:r>
                    <w:rPr>
                      <w:rFonts w:ascii="Times New Roman" w:hAnsi="Times New Roman"/>
                      <w:b/>
                      <w:szCs w:val="21"/>
                      <w:u w:val="single" w:color="auto"/>
                    </w:rPr>
                    <w:t>年用量（</w:t>
                  </w:r>
                  <w:r>
                    <w:rPr>
                      <w:rFonts w:ascii="Times New Roman" w:hAnsi="Times New Roman"/>
                      <w:b/>
                      <w:bCs/>
                      <w:szCs w:val="21"/>
                      <w:u w:val="single" w:color="auto"/>
                    </w:rPr>
                    <w:t>m</w:t>
                  </w:r>
                  <w:r>
                    <w:rPr>
                      <w:rFonts w:ascii="Times New Roman" w:hAnsi="Times New Roman"/>
                      <w:b/>
                      <w:bCs/>
                      <w:szCs w:val="21"/>
                      <w:u w:val="single" w:color="auto"/>
                      <w:vertAlign w:val="superscript"/>
                    </w:rPr>
                    <w:t>3</w:t>
                  </w:r>
                  <w:r>
                    <w:rPr>
                      <w:rFonts w:ascii="Times New Roman" w:hAnsi="Times New Roman"/>
                      <w:b/>
                      <w:szCs w:val="21"/>
                      <w:u w:val="single" w:color="auto"/>
                    </w:rPr>
                    <w:t>）</w:t>
                  </w:r>
                </w:p>
              </w:tc>
              <w:tc>
                <w:tcPr>
                  <w:tcW w:w="2004" w:type="dxa"/>
                  <w:vAlign w:val="center"/>
                </w:tcPr>
                <w:p>
                  <w:pPr>
                    <w:pStyle w:val="175"/>
                    <w:ind w:firstLine="0" w:firstLineChars="0"/>
                    <w:jc w:val="center"/>
                    <w:rPr>
                      <w:rFonts w:ascii="Times New Roman" w:hAnsi="Times New Roman"/>
                      <w:b/>
                      <w:szCs w:val="21"/>
                      <w:u w:val="single" w:color="auto"/>
                    </w:rPr>
                  </w:pPr>
                  <w:r>
                    <w:rPr>
                      <w:rFonts w:ascii="Times New Roman" w:hAnsi="Times New Roman"/>
                      <w:b/>
                      <w:szCs w:val="21"/>
                      <w:u w:val="single" w:color="auto"/>
                    </w:rPr>
                    <w:t>产污系数</w:t>
                  </w:r>
                </w:p>
                <w:p>
                  <w:pPr>
                    <w:pStyle w:val="175"/>
                    <w:ind w:firstLine="0" w:firstLineChars="0"/>
                    <w:jc w:val="center"/>
                    <w:rPr>
                      <w:rFonts w:ascii="Times New Roman" w:hAnsi="Times New Roman"/>
                      <w:b/>
                      <w:sz w:val="24"/>
                      <w:szCs w:val="24"/>
                      <w:u w:val="single" w:color="auto"/>
                    </w:rPr>
                  </w:pPr>
                  <w:r>
                    <w:rPr>
                      <w:rFonts w:ascii="Times New Roman" w:hAnsi="Times New Roman"/>
                      <w:b/>
                      <w:szCs w:val="21"/>
                      <w:u w:val="single" w:color="auto"/>
                    </w:rPr>
                    <w:t>（kg/</w:t>
                  </w:r>
                  <w:r>
                    <w:rPr>
                      <w:rFonts w:ascii="Times New Roman" w:hAnsi="Times New Roman"/>
                      <w:b/>
                      <w:bCs/>
                      <w:szCs w:val="21"/>
                      <w:u w:val="single" w:color="auto"/>
                    </w:rPr>
                    <w:t>m</w:t>
                  </w:r>
                  <w:r>
                    <w:rPr>
                      <w:rFonts w:ascii="Times New Roman" w:hAnsi="Times New Roman"/>
                      <w:b/>
                      <w:bCs/>
                      <w:szCs w:val="21"/>
                      <w:u w:val="single" w:color="auto"/>
                      <w:vertAlign w:val="superscript"/>
                    </w:rPr>
                    <w:t>3</w:t>
                  </w:r>
                  <w:r>
                    <w:rPr>
                      <w:rFonts w:ascii="Times New Roman" w:hAnsi="Times New Roman"/>
                      <w:b/>
                      <w:szCs w:val="21"/>
                      <w:u w:val="single" w:color="auto"/>
                    </w:rPr>
                    <w:t>- 产品</w:t>
                  </w:r>
                  <w:r>
                    <w:rPr>
                      <w:rFonts w:hint="eastAsia" w:ascii="Times New Roman" w:hAnsi="Times New Roman"/>
                      <w:b/>
                      <w:szCs w:val="21"/>
                      <w:u w:val="single" w:color="auto"/>
                    </w:rPr>
                    <w:t>）</w:t>
                  </w:r>
                </w:p>
              </w:tc>
              <w:tc>
                <w:tcPr>
                  <w:tcW w:w="1075" w:type="dxa"/>
                  <w:vAlign w:val="center"/>
                </w:tcPr>
                <w:p>
                  <w:pPr>
                    <w:pStyle w:val="175"/>
                    <w:ind w:firstLine="0" w:firstLineChars="0"/>
                    <w:jc w:val="center"/>
                    <w:rPr>
                      <w:rFonts w:ascii="Times New Roman" w:hAnsi="Times New Roman"/>
                      <w:b/>
                      <w:sz w:val="24"/>
                      <w:szCs w:val="24"/>
                      <w:u w:val="single" w:color="auto"/>
                    </w:rPr>
                  </w:pPr>
                  <w:r>
                    <w:rPr>
                      <w:rFonts w:ascii="Times New Roman" w:hAnsi="Times New Roman"/>
                      <w:b/>
                      <w:szCs w:val="21"/>
                      <w:u w:val="single" w:color="auto"/>
                    </w:rPr>
                    <w:t>污染物产生量(t/a)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8" w:hRule="atLeast"/>
              </w:trPr>
              <w:tc>
                <w:tcPr>
                  <w:tcW w:w="1329" w:type="dxa"/>
                  <w:vAlign w:val="center"/>
                </w:tcPr>
                <w:p>
                  <w:pPr>
                    <w:pStyle w:val="175"/>
                    <w:ind w:firstLine="0" w:firstLineChars="0"/>
                    <w:jc w:val="center"/>
                    <w:rPr>
                      <w:rFonts w:hint="eastAsia" w:ascii="Times New Roman" w:hAnsi="Times New Roman" w:eastAsia="宋体"/>
                      <w:b/>
                      <w:sz w:val="24"/>
                      <w:szCs w:val="24"/>
                      <w:u w:val="single" w:color="auto"/>
                      <w:lang w:eastAsia="zh-CN"/>
                    </w:rPr>
                  </w:pPr>
                  <w:r>
                    <w:rPr>
                      <w:rFonts w:hint="eastAsia" w:ascii="Times New Roman" w:hAnsi="Times New Roman"/>
                      <w:u w:val="single" w:color="auto"/>
                      <w:lang w:eastAsia="zh-CN"/>
                    </w:rPr>
                    <w:t>木材</w:t>
                  </w:r>
                </w:p>
              </w:tc>
              <w:tc>
                <w:tcPr>
                  <w:tcW w:w="1691" w:type="dxa"/>
                  <w:vAlign w:val="center"/>
                </w:tcPr>
                <w:p>
                  <w:pPr>
                    <w:pStyle w:val="175"/>
                    <w:ind w:firstLine="0" w:firstLineChars="0"/>
                    <w:jc w:val="center"/>
                    <w:rPr>
                      <w:rFonts w:ascii="Times New Roman" w:hAnsi="Times New Roman"/>
                      <w:b/>
                      <w:sz w:val="24"/>
                      <w:szCs w:val="24"/>
                      <w:u w:val="single" w:color="auto"/>
                    </w:rPr>
                  </w:pPr>
                  <w:r>
                    <w:rPr>
                      <w:rFonts w:ascii="Times New Roman" w:hAnsi="Times New Roman"/>
                      <w:u w:val="single" w:color="auto"/>
                    </w:rPr>
                    <w:t>车间装除尘设备的带锯制材</w:t>
                  </w:r>
                </w:p>
              </w:tc>
              <w:tc>
                <w:tcPr>
                  <w:tcW w:w="1060" w:type="dxa"/>
                  <w:vAlign w:val="center"/>
                </w:tcPr>
                <w:p>
                  <w:pPr>
                    <w:pStyle w:val="175"/>
                    <w:ind w:firstLine="0" w:firstLineChars="0"/>
                    <w:jc w:val="center"/>
                    <w:rPr>
                      <w:rFonts w:ascii="Times New Roman" w:hAnsi="Times New Roman"/>
                      <w:b/>
                      <w:sz w:val="24"/>
                      <w:szCs w:val="24"/>
                      <w:u w:val="single" w:color="auto"/>
                    </w:rPr>
                  </w:pPr>
                  <w:r>
                    <w:rPr>
                      <w:rFonts w:ascii="Times New Roman" w:hAnsi="Times New Roman"/>
                      <w:u w:val="single" w:color="auto"/>
                    </w:rPr>
                    <w:t>工业粉尘</w:t>
                  </w:r>
                </w:p>
              </w:tc>
              <w:tc>
                <w:tcPr>
                  <w:tcW w:w="877" w:type="dxa"/>
                  <w:vAlign w:val="center"/>
                </w:tcPr>
                <w:p>
                  <w:pPr>
                    <w:pStyle w:val="175"/>
                    <w:ind w:firstLine="0" w:firstLineChars="0"/>
                    <w:jc w:val="center"/>
                    <w:rPr>
                      <w:rFonts w:ascii="Times New Roman" w:hAnsi="Times New Roman"/>
                      <w:b/>
                      <w:sz w:val="24"/>
                      <w:szCs w:val="24"/>
                      <w:u w:val="single" w:color="auto"/>
                    </w:rPr>
                  </w:pPr>
                  <w:r>
                    <w:rPr>
                      <w:rFonts w:ascii="Times New Roman" w:hAnsi="Times New Roman"/>
                      <w:u w:val="single" w:color="auto"/>
                    </w:rPr>
                    <w:t>实木</w:t>
                  </w:r>
                </w:p>
              </w:tc>
              <w:tc>
                <w:tcPr>
                  <w:tcW w:w="1032" w:type="dxa"/>
                  <w:vAlign w:val="center"/>
                </w:tcPr>
                <w:p>
                  <w:pPr>
                    <w:pStyle w:val="175"/>
                    <w:ind w:firstLine="0" w:firstLineChars="0"/>
                    <w:jc w:val="center"/>
                    <w:rPr>
                      <w:rFonts w:hint="default" w:ascii="Times New Roman" w:hAnsi="Times New Roman" w:eastAsia="宋体"/>
                      <w:b/>
                      <w:sz w:val="24"/>
                      <w:szCs w:val="24"/>
                      <w:u w:val="single" w:color="auto"/>
                      <w:lang w:val="en-US" w:eastAsia="zh-CN"/>
                    </w:rPr>
                  </w:pPr>
                  <w:r>
                    <w:rPr>
                      <w:rFonts w:hint="eastAsia" w:ascii="Times New Roman" w:hAnsi="Times New Roman"/>
                      <w:u w:val="single" w:color="auto"/>
                      <w:lang w:val="en-US" w:eastAsia="zh-CN"/>
                    </w:rPr>
                    <w:t>600</w:t>
                  </w:r>
                </w:p>
              </w:tc>
              <w:tc>
                <w:tcPr>
                  <w:tcW w:w="2004" w:type="dxa"/>
                  <w:vAlign w:val="center"/>
                </w:tcPr>
                <w:p>
                  <w:pPr>
                    <w:pStyle w:val="175"/>
                    <w:ind w:firstLine="0" w:firstLineChars="0"/>
                    <w:jc w:val="center"/>
                    <w:rPr>
                      <w:rFonts w:ascii="Times New Roman" w:hAnsi="Times New Roman"/>
                      <w:b/>
                      <w:sz w:val="24"/>
                      <w:szCs w:val="24"/>
                      <w:u w:val="single" w:color="auto"/>
                    </w:rPr>
                  </w:pPr>
                  <w:r>
                    <w:rPr>
                      <w:rFonts w:ascii="Times New Roman" w:hAnsi="Times New Roman"/>
                      <w:u w:val="single" w:color="auto"/>
                    </w:rPr>
                    <w:t>0.321</w:t>
                  </w:r>
                </w:p>
              </w:tc>
              <w:tc>
                <w:tcPr>
                  <w:tcW w:w="1075" w:type="dxa"/>
                  <w:vAlign w:val="center"/>
                </w:tcPr>
                <w:p>
                  <w:pPr>
                    <w:pStyle w:val="175"/>
                    <w:ind w:firstLine="0" w:firstLineChars="0"/>
                    <w:jc w:val="center"/>
                    <w:rPr>
                      <w:rFonts w:hint="default" w:ascii="Times New Roman" w:hAnsi="Times New Roman" w:eastAsiaTheme="minorEastAsia"/>
                      <w:b/>
                      <w:sz w:val="24"/>
                      <w:szCs w:val="24"/>
                      <w:u w:val="single" w:color="auto"/>
                      <w:lang w:val="en-US" w:eastAsia="zh-CN"/>
                    </w:rPr>
                  </w:pPr>
                  <w:r>
                    <w:rPr>
                      <w:rFonts w:hint="eastAsia" w:ascii="Times New Roman" w:hAnsi="Times New Roman" w:eastAsiaTheme="minorEastAsia"/>
                      <w:u w:val="single" w:color="auto"/>
                      <w:lang w:val="en-US" w:eastAsia="zh-CN"/>
                    </w:rPr>
                    <w:t>0.193</w:t>
                  </w:r>
                </w:p>
              </w:tc>
            </w:tr>
          </w:tbl>
          <w:p>
            <w:pPr>
              <w:pStyle w:val="32"/>
              <w:spacing w:line="360" w:lineRule="auto"/>
              <w:ind w:left="0" w:leftChars="0" w:firstLine="462" w:firstLineChars="200"/>
              <w:rPr>
                <w:color w:val="auto"/>
                <w:sz w:val="24"/>
                <w:u w:val="single" w:color="auto"/>
              </w:rPr>
            </w:pPr>
            <w:r>
              <w:rPr>
                <w:rFonts w:hint="eastAsia"/>
                <w:sz w:val="24"/>
                <w:u w:val="single" w:color="auto"/>
              </w:rPr>
              <w:t>本项目</w:t>
            </w:r>
            <w:r>
              <w:rPr>
                <w:rFonts w:hint="eastAsia"/>
                <w:sz w:val="24"/>
                <w:u w:val="single" w:color="auto"/>
                <w:lang w:eastAsia="zh-CN"/>
              </w:rPr>
              <w:t>下料、钻孔、切割</w:t>
            </w:r>
            <w:r>
              <w:rPr>
                <w:rFonts w:hint="eastAsia"/>
                <w:sz w:val="24"/>
                <w:u w:val="single" w:color="auto"/>
              </w:rPr>
              <w:t>工位设置</w:t>
            </w:r>
            <w:r>
              <w:rPr>
                <w:rFonts w:hint="eastAsia"/>
                <w:sz w:val="24"/>
                <w:u w:val="single" w:color="auto"/>
                <w:lang w:eastAsia="zh-CN"/>
              </w:rPr>
              <w:t>双桶式</w:t>
            </w:r>
            <w:r>
              <w:rPr>
                <w:rFonts w:hint="eastAsia"/>
                <w:sz w:val="24"/>
                <w:u w:val="single" w:color="auto"/>
              </w:rPr>
              <w:t>布袋除尘器进行处理</w:t>
            </w:r>
            <w:r>
              <w:rPr>
                <w:rFonts w:hint="eastAsia"/>
                <w:sz w:val="24"/>
                <w:u w:val="single" w:color="auto"/>
                <w:lang w:eastAsia="zh-CN"/>
              </w:rPr>
              <w:t>后无组织排放</w:t>
            </w:r>
            <w:r>
              <w:rPr>
                <w:rFonts w:hint="eastAsia"/>
                <w:sz w:val="24"/>
                <w:u w:val="single" w:color="auto"/>
              </w:rPr>
              <w:t>，布袋除尘器处理效</w:t>
            </w:r>
            <w:r>
              <w:rPr>
                <w:rFonts w:hint="eastAsia"/>
                <w:color w:val="auto"/>
                <w:sz w:val="24"/>
                <w:u w:val="single" w:color="auto"/>
              </w:rPr>
              <w:t>率按99%计算，排气时间</w:t>
            </w:r>
            <w:r>
              <w:rPr>
                <w:rFonts w:hint="eastAsia"/>
                <w:color w:val="auto"/>
                <w:sz w:val="24"/>
                <w:u w:val="single" w:color="auto"/>
                <w:lang w:val="en-US" w:eastAsia="zh-CN"/>
              </w:rPr>
              <w:t>24</w:t>
            </w:r>
            <w:r>
              <w:rPr>
                <w:color w:val="auto"/>
                <w:sz w:val="24"/>
                <w:u w:val="single" w:color="auto"/>
              </w:rPr>
              <w:t>00h</w:t>
            </w:r>
            <w:r>
              <w:rPr>
                <w:rFonts w:hint="eastAsia"/>
                <w:color w:val="auto"/>
                <w:sz w:val="24"/>
                <w:u w:val="single" w:color="auto"/>
              </w:rPr>
              <w:t>，则</w:t>
            </w:r>
            <w:r>
              <w:rPr>
                <w:rFonts w:hint="eastAsia"/>
                <w:color w:val="auto"/>
                <w:sz w:val="24"/>
                <w:u w:val="single" w:color="auto"/>
                <w:lang w:eastAsia="zh-CN"/>
              </w:rPr>
              <w:t>经</w:t>
            </w:r>
            <w:r>
              <w:rPr>
                <w:rFonts w:hint="eastAsia"/>
                <w:color w:val="auto"/>
                <w:sz w:val="24"/>
                <w:u w:val="single" w:color="auto"/>
              </w:rPr>
              <w:t>处理</w:t>
            </w:r>
            <w:r>
              <w:rPr>
                <w:rFonts w:hint="eastAsia"/>
                <w:sz w:val="24"/>
                <w:u w:val="single" w:color="auto"/>
              </w:rPr>
              <w:t>后</w:t>
            </w:r>
            <w:r>
              <w:rPr>
                <w:rFonts w:hint="eastAsia"/>
                <w:sz w:val="24"/>
                <w:u w:val="single" w:color="auto"/>
                <w:lang w:eastAsia="zh-CN"/>
              </w:rPr>
              <w:t>，</w:t>
            </w:r>
            <w:r>
              <w:rPr>
                <w:rFonts w:hint="eastAsia"/>
                <w:sz w:val="24"/>
                <w:u w:val="single" w:color="auto"/>
              </w:rPr>
              <w:t>粉尘排放量</w:t>
            </w:r>
            <w:r>
              <w:rPr>
                <w:rFonts w:hint="eastAsia"/>
                <w:sz w:val="24"/>
                <w:u w:val="single" w:color="auto"/>
                <w:lang w:val="en-US" w:eastAsia="zh-CN"/>
              </w:rPr>
              <w:t>0.0019</w:t>
            </w:r>
            <w:r>
              <w:rPr>
                <w:rFonts w:hint="eastAsia"/>
                <w:sz w:val="24"/>
                <w:u w:val="single" w:color="auto"/>
              </w:rPr>
              <w:t>t/a，速率约为</w:t>
            </w:r>
            <w:r>
              <w:rPr>
                <w:rFonts w:hint="eastAsia"/>
                <w:sz w:val="24"/>
                <w:u w:val="single" w:color="auto"/>
                <w:lang w:eastAsia="zh-CN"/>
              </w:rPr>
              <w:t>0.00</w:t>
            </w:r>
            <w:r>
              <w:rPr>
                <w:rFonts w:hint="eastAsia"/>
                <w:sz w:val="24"/>
                <w:u w:val="single" w:color="auto"/>
                <w:lang w:val="en-US" w:eastAsia="zh-CN"/>
              </w:rPr>
              <w:t>08</w:t>
            </w:r>
            <w:r>
              <w:rPr>
                <w:rFonts w:hint="eastAsia"/>
                <w:sz w:val="24"/>
                <w:u w:val="single" w:color="auto"/>
              </w:rPr>
              <w:t>kg/h</w:t>
            </w:r>
            <w:r>
              <w:rPr>
                <w:rFonts w:hint="eastAsia"/>
                <w:sz w:val="24"/>
                <w:szCs w:val="24"/>
                <w:u w:val="single" w:color="auto"/>
              </w:rPr>
              <w:t>。</w:t>
            </w:r>
          </w:p>
          <w:p>
            <w:pPr>
              <w:snapToGrid w:val="0"/>
              <w:spacing w:line="360" w:lineRule="auto"/>
              <w:ind w:firstLine="462" w:firstLineChars="200"/>
              <w:rPr>
                <w:rFonts w:hint="eastAsia"/>
                <w:color w:val="auto"/>
                <w:sz w:val="24"/>
                <w:u w:val="single" w:color="auto"/>
                <w:lang w:val="en-US" w:eastAsia="zh-CN"/>
              </w:rPr>
            </w:pPr>
            <w:r>
              <w:rPr>
                <w:rFonts w:hint="eastAsia"/>
                <w:color w:val="auto"/>
                <w:sz w:val="24"/>
                <w:u w:val="single" w:color="auto"/>
                <w:lang w:val="en-US" w:eastAsia="zh-CN"/>
              </w:rPr>
              <w:t>现场情况：本项目现场卫生较差，地面粉尘较多。</w:t>
            </w:r>
          </w:p>
          <w:p>
            <w:pPr>
              <w:snapToGrid w:val="0"/>
              <w:spacing w:line="360" w:lineRule="auto"/>
              <w:ind w:firstLine="462" w:firstLineChars="200"/>
              <w:rPr>
                <w:rFonts w:hint="default"/>
                <w:color w:val="auto"/>
                <w:sz w:val="24"/>
                <w:u w:val="single" w:color="auto"/>
                <w:lang w:val="en-US" w:eastAsia="zh-CN"/>
              </w:rPr>
            </w:pPr>
            <w:r>
              <w:rPr>
                <w:rFonts w:hint="eastAsia"/>
                <w:color w:val="auto"/>
                <w:sz w:val="24"/>
                <w:u w:val="single" w:color="auto"/>
                <w:lang w:val="en-US" w:eastAsia="zh-CN"/>
              </w:rPr>
              <w:t>整改要求：本环评建议按照附图2优化平面布置图，对除尘器收集效率进行整改，增加其收集效率，</w:t>
            </w:r>
            <w:r>
              <w:rPr>
                <w:rFonts w:hint="eastAsia"/>
                <w:sz w:val="24"/>
                <w:u w:val="single" w:color="auto"/>
                <w:lang w:val="en-US" w:eastAsia="zh-CN"/>
              </w:rPr>
              <w:t>由于项目在下料、钻孔工序未设置双通式布袋除尘器进行收集处理粉尘，故本环评建议</w:t>
            </w:r>
            <w:r>
              <w:rPr>
                <w:rFonts w:hint="eastAsia"/>
                <w:sz w:val="24"/>
                <w:u w:val="single" w:color="auto"/>
              </w:rPr>
              <w:t>本项目在</w:t>
            </w:r>
            <w:r>
              <w:rPr>
                <w:rFonts w:hint="eastAsia"/>
                <w:sz w:val="24"/>
                <w:u w:val="single" w:color="auto"/>
                <w:lang w:eastAsia="zh-CN"/>
              </w:rPr>
              <w:t>下料、钻孔</w:t>
            </w:r>
            <w:r>
              <w:rPr>
                <w:rFonts w:hint="eastAsia"/>
                <w:sz w:val="24"/>
                <w:u w:val="single" w:color="auto"/>
              </w:rPr>
              <w:t>工位设置</w:t>
            </w:r>
            <w:r>
              <w:rPr>
                <w:rFonts w:hint="eastAsia"/>
                <w:sz w:val="24"/>
                <w:u w:val="single" w:color="auto"/>
                <w:lang w:eastAsia="zh-CN"/>
              </w:rPr>
              <w:t>双桶式</w:t>
            </w:r>
            <w:r>
              <w:rPr>
                <w:rFonts w:hint="eastAsia"/>
                <w:sz w:val="24"/>
                <w:u w:val="single" w:color="auto"/>
              </w:rPr>
              <w:t>布袋除尘器</w:t>
            </w:r>
            <w:r>
              <w:rPr>
                <w:rFonts w:hint="eastAsia"/>
                <w:sz w:val="24"/>
                <w:u w:val="single" w:color="auto"/>
                <w:lang w:eastAsia="zh-CN"/>
              </w:rPr>
              <w:t>。</w:t>
            </w:r>
          </w:p>
          <w:p>
            <w:pPr>
              <w:snapToGrid w:val="0"/>
              <w:spacing w:line="360" w:lineRule="auto"/>
              <w:ind w:firstLine="462" w:firstLineChars="200"/>
              <w:rPr>
                <w:rFonts w:hint="eastAsia" w:eastAsia="宋体"/>
                <w:color w:val="auto"/>
                <w:sz w:val="24"/>
                <w:u w:val="single" w:color="auto"/>
                <w:lang w:eastAsia="zh-CN"/>
              </w:rPr>
            </w:pPr>
            <w:r>
              <w:rPr>
                <w:rFonts w:hint="eastAsia"/>
                <w:color w:val="auto"/>
                <w:sz w:val="24"/>
                <w:u w:val="single" w:color="auto"/>
                <w:lang w:eastAsia="zh-CN"/>
              </w:rPr>
              <w:t>（</w:t>
            </w:r>
            <w:r>
              <w:rPr>
                <w:rFonts w:hint="eastAsia"/>
                <w:color w:val="auto"/>
                <w:sz w:val="24"/>
                <w:u w:val="single" w:color="auto"/>
                <w:lang w:val="en-US" w:eastAsia="zh-CN"/>
              </w:rPr>
              <w:t>3</w:t>
            </w:r>
            <w:r>
              <w:rPr>
                <w:rFonts w:hint="eastAsia"/>
                <w:color w:val="auto"/>
                <w:sz w:val="24"/>
                <w:u w:val="single" w:color="auto"/>
                <w:lang w:eastAsia="zh-CN"/>
              </w:rPr>
              <w:t>）车间地面粉尘</w:t>
            </w:r>
          </w:p>
          <w:p>
            <w:pPr>
              <w:snapToGrid w:val="0"/>
              <w:spacing w:line="360" w:lineRule="auto"/>
              <w:ind w:firstLine="462" w:firstLineChars="200"/>
              <w:rPr>
                <w:rFonts w:hint="eastAsia" w:eastAsia="宋体"/>
                <w:color w:val="auto"/>
                <w:sz w:val="24"/>
                <w:u w:val="single" w:color="auto"/>
                <w:lang w:eastAsia="zh-CN"/>
              </w:rPr>
            </w:pPr>
            <w:r>
              <w:rPr>
                <w:rFonts w:hint="eastAsia"/>
                <w:color w:val="auto"/>
                <w:sz w:val="24"/>
                <w:u w:val="single" w:color="auto"/>
                <w:lang w:eastAsia="zh-CN"/>
              </w:rPr>
              <w:t>项目在生产过程中，会产生少量粉尘，粉尘部分经处理后，剩余较大颗粒的沉降在生产车间内，由于粉尘较为干燥，直接清扫会产生二次扬尘，</w:t>
            </w:r>
            <w:r>
              <w:rPr>
                <w:rFonts w:hint="eastAsia"/>
                <w:color w:val="auto"/>
                <w:sz w:val="24"/>
                <w:u w:val="single" w:color="auto"/>
                <w:lang w:val="en-US" w:eastAsia="zh-CN"/>
              </w:rPr>
              <w:t>本环评建议</w:t>
            </w:r>
            <w:r>
              <w:rPr>
                <w:rFonts w:hint="eastAsia"/>
                <w:color w:val="auto"/>
                <w:sz w:val="24"/>
                <w:u w:val="single" w:color="auto"/>
                <w:lang w:eastAsia="zh-CN"/>
              </w:rPr>
              <w:t>公司</w:t>
            </w:r>
            <w:r>
              <w:rPr>
                <w:rFonts w:hint="eastAsia"/>
                <w:color w:val="auto"/>
                <w:sz w:val="24"/>
                <w:u w:val="single" w:color="auto"/>
                <w:lang w:val="en-US" w:eastAsia="zh-CN"/>
              </w:rPr>
              <w:t>需</w:t>
            </w:r>
            <w:r>
              <w:rPr>
                <w:rFonts w:hint="eastAsia"/>
                <w:color w:val="auto"/>
                <w:sz w:val="24"/>
                <w:u w:val="single" w:color="auto"/>
                <w:lang w:eastAsia="zh-CN"/>
              </w:rPr>
              <w:t>设置一台吸尘器，定期对车间地面粉尘进行收集，收集后的粉尘直接交由生物质生产厂回收利用，故本环评建议收集的粉尘，需放置在专门的一般固废堆放间，堆放间需进行防风、防雨、放流失等措施，粉尘需用专门的密闭容器盛装。</w:t>
            </w:r>
          </w:p>
          <w:p>
            <w:pPr>
              <w:snapToGrid w:val="0"/>
              <w:spacing w:line="360" w:lineRule="auto"/>
              <w:ind w:firstLine="462" w:firstLineChars="200"/>
              <w:rPr>
                <w:color w:val="auto"/>
                <w:sz w:val="24"/>
                <w:u w:val="none" w:color="auto"/>
              </w:rPr>
            </w:pPr>
            <w:r>
              <w:rPr>
                <w:color w:val="auto"/>
                <w:sz w:val="24"/>
                <w:u w:val="none" w:color="auto"/>
              </w:rPr>
              <w:t>3、噪声</w:t>
            </w:r>
            <w:r>
              <w:rPr>
                <w:rFonts w:hint="eastAsia"/>
                <w:color w:val="auto"/>
                <w:sz w:val="24"/>
                <w:u w:val="none" w:color="auto"/>
              </w:rPr>
              <w:t xml:space="preserve"> </w:t>
            </w:r>
          </w:p>
          <w:p>
            <w:pPr>
              <w:snapToGrid w:val="0"/>
              <w:spacing w:line="360" w:lineRule="auto"/>
              <w:ind w:firstLine="470"/>
              <w:rPr>
                <w:sz w:val="24"/>
                <w:u w:val="none" w:color="auto"/>
              </w:rPr>
            </w:pPr>
            <w:r>
              <w:rPr>
                <w:sz w:val="24"/>
                <w:u w:val="none" w:color="auto"/>
              </w:rPr>
              <w:t>本项目营运期主要噪声源为车间中的生产设备，主要为</w:t>
            </w:r>
            <w:r>
              <w:rPr>
                <w:rFonts w:hint="eastAsia"/>
                <w:sz w:val="24"/>
                <w:u w:val="none" w:color="auto"/>
                <w:lang w:eastAsia="zh-CN"/>
              </w:rPr>
              <w:t>冷压机、锯边机、开凿机</w:t>
            </w:r>
            <w:r>
              <w:rPr>
                <w:sz w:val="24"/>
                <w:u w:val="none" w:color="auto"/>
              </w:rPr>
              <w:t>等运行过程所产生的噪声，噪声值为</w:t>
            </w:r>
            <w:r>
              <w:rPr>
                <w:rFonts w:hint="eastAsia"/>
                <w:sz w:val="24"/>
                <w:u w:val="none" w:color="auto"/>
                <w:lang w:val="en-US" w:eastAsia="zh-CN"/>
              </w:rPr>
              <w:t>65</w:t>
            </w:r>
            <w:r>
              <w:rPr>
                <w:sz w:val="24"/>
                <w:u w:val="none" w:color="auto"/>
              </w:rPr>
              <w:t>~</w:t>
            </w:r>
            <w:r>
              <w:rPr>
                <w:rFonts w:hint="eastAsia"/>
                <w:sz w:val="24"/>
                <w:u w:val="none" w:color="auto"/>
                <w:lang w:val="en-US" w:eastAsia="zh-CN"/>
              </w:rPr>
              <w:t>80</w:t>
            </w:r>
            <w:r>
              <w:rPr>
                <w:b/>
                <w:szCs w:val="21"/>
                <w:u w:val="none" w:color="auto"/>
              </w:rPr>
              <w:t xml:space="preserve"> </w:t>
            </w:r>
            <w:r>
              <w:rPr>
                <w:szCs w:val="21"/>
                <w:u w:val="none" w:color="auto"/>
              </w:rPr>
              <w:t>dB(A)。</w:t>
            </w:r>
          </w:p>
          <w:p>
            <w:pPr>
              <w:snapToGrid w:val="0"/>
              <w:spacing w:line="360" w:lineRule="auto"/>
              <w:ind w:firstLine="470"/>
              <w:rPr>
                <w:b/>
                <w:sz w:val="24"/>
                <w:szCs w:val="24"/>
                <w:u w:val="none" w:color="auto"/>
              </w:rPr>
            </w:pPr>
            <w:r>
              <w:rPr>
                <w:sz w:val="24"/>
                <w:u w:val="none" w:color="auto"/>
              </w:rPr>
              <w:t>本项目营运期噪声源及其噪声值见表5-</w:t>
            </w:r>
            <w:r>
              <w:rPr>
                <w:rFonts w:hint="eastAsia"/>
                <w:sz w:val="24"/>
                <w:u w:val="none" w:color="auto"/>
                <w:lang w:val="en-US" w:eastAsia="zh-CN"/>
              </w:rPr>
              <w:t>2</w:t>
            </w:r>
            <w:r>
              <w:rPr>
                <w:sz w:val="24"/>
                <w:u w:val="none" w:color="auto"/>
              </w:rPr>
              <w:t>示</w:t>
            </w:r>
            <w:r>
              <w:rPr>
                <w:rFonts w:hint="eastAsia"/>
                <w:sz w:val="24"/>
                <w:u w:val="none" w:color="auto"/>
              </w:rPr>
              <w:t>：</w:t>
            </w:r>
          </w:p>
          <w:p>
            <w:pPr>
              <w:adjustRightInd w:val="0"/>
              <w:snapToGrid w:val="0"/>
              <w:jc w:val="center"/>
              <w:rPr>
                <w:b/>
                <w:szCs w:val="21"/>
                <w:u w:val="none" w:color="auto"/>
              </w:rPr>
            </w:pPr>
            <w:r>
              <w:rPr>
                <w:b/>
                <w:sz w:val="24"/>
                <w:szCs w:val="24"/>
                <w:u w:val="none" w:color="auto"/>
              </w:rPr>
              <w:t>表5-</w:t>
            </w:r>
            <w:r>
              <w:rPr>
                <w:rFonts w:hint="eastAsia"/>
                <w:b/>
                <w:sz w:val="24"/>
                <w:szCs w:val="24"/>
                <w:u w:val="none" w:color="auto"/>
                <w:lang w:val="en-US" w:eastAsia="zh-CN"/>
              </w:rPr>
              <w:t>2</w:t>
            </w:r>
            <w:r>
              <w:rPr>
                <w:b/>
                <w:sz w:val="24"/>
                <w:szCs w:val="24"/>
                <w:u w:val="none" w:color="auto"/>
              </w:rPr>
              <w:t xml:space="preserve">  本项目营运期噪声源及噪声声级值一览表  </w:t>
            </w:r>
            <w:r>
              <w:rPr>
                <w:b/>
                <w:szCs w:val="21"/>
                <w:u w:val="none" w:color="auto"/>
              </w:rPr>
              <w:t>单位：dB(A)</w:t>
            </w:r>
          </w:p>
          <w:tbl>
            <w:tblPr>
              <w:tblStyle w:val="39"/>
              <w:tblW w:w="906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880"/>
              <w:gridCol w:w="3570"/>
              <w:gridCol w:w="361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80" w:type="dxa"/>
                  <w:vAlign w:val="center"/>
                </w:tcPr>
                <w:p>
                  <w:pPr>
                    <w:spacing w:line="360" w:lineRule="auto"/>
                    <w:jc w:val="center"/>
                    <w:rPr>
                      <w:b/>
                      <w:sz w:val="22"/>
                      <w:szCs w:val="22"/>
                      <w:u w:val="none" w:color="auto"/>
                    </w:rPr>
                  </w:pPr>
                  <w:r>
                    <w:rPr>
                      <w:b/>
                      <w:sz w:val="22"/>
                      <w:szCs w:val="22"/>
                      <w:u w:val="none" w:color="auto"/>
                    </w:rPr>
                    <w:t>序号</w:t>
                  </w:r>
                </w:p>
              </w:tc>
              <w:tc>
                <w:tcPr>
                  <w:tcW w:w="3570" w:type="dxa"/>
                  <w:vAlign w:val="center"/>
                </w:tcPr>
                <w:p>
                  <w:pPr>
                    <w:spacing w:line="360" w:lineRule="auto"/>
                    <w:jc w:val="center"/>
                    <w:rPr>
                      <w:b/>
                      <w:sz w:val="22"/>
                      <w:szCs w:val="22"/>
                      <w:u w:val="none" w:color="auto"/>
                    </w:rPr>
                  </w:pPr>
                  <w:r>
                    <w:rPr>
                      <w:b/>
                      <w:sz w:val="22"/>
                      <w:szCs w:val="22"/>
                      <w:u w:val="none" w:color="auto"/>
                    </w:rPr>
                    <w:t>主要产噪设备</w:t>
                  </w:r>
                </w:p>
              </w:tc>
              <w:tc>
                <w:tcPr>
                  <w:tcW w:w="3618" w:type="dxa"/>
                  <w:vAlign w:val="center"/>
                </w:tcPr>
                <w:p>
                  <w:pPr>
                    <w:spacing w:line="360" w:lineRule="auto"/>
                    <w:jc w:val="center"/>
                    <w:rPr>
                      <w:b/>
                      <w:sz w:val="22"/>
                      <w:szCs w:val="22"/>
                      <w:u w:val="none" w:color="auto"/>
                    </w:rPr>
                  </w:pPr>
                  <w:r>
                    <w:rPr>
                      <w:b/>
                      <w:sz w:val="22"/>
                      <w:szCs w:val="22"/>
                      <w:u w:val="none" w:color="auto"/>
                    </w:rPr>
                    <w:t>噪声值dB(A)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80" w:type="dxa"/>
                  <w:vAlign w:val="center"/>
                </w:tcPr>
                <w:p>
                  <w:pPr>
                    <w:spacing w:line="360" w:lineRule="auto"/>
                    <w:jc w:val="center"/>
                    <w:rPr>
                      <w:rFonts w:hint="default" w:eastAsia="宋体"/>
                      <w:sz w:val="22"/>
                      <w:szCs w:val="22"/>
                      <w:u w:val="none" w:color="auto"/>
                      <w:lang w:val="en-US" w:eastAsia="zh-CN"/>
                    </w:rPr>
                  </w:pPr>
                  <w:r>
                    <w:rPr>
                      <w:rFonts w:hint="eastAsia"/>
                      <w:sz w:val="22"/>
                      <w:szCs w:val="22"/>
                      <w:u w:val="none" w:color="auto"/>
                      <w:lang w:val="en-US" w:eastAsia="zh-CN"/>
                    </w:rPr>
                    <w:t>1</w:t>
                  </w:r>
                </w:p>
              </w:tc>
              <w:tc>
                <w:tcPr>
                  <w:tcW w:w="3570" w:type="dxa"/>
                  <w:vAlign w:val="center"/>
                </w:tcPr>
                <w:p>
                  <w:pPr>
                    <w:spacing w:line="360" w:lineRule="auto"/>
                    <w:jc w:val="center"/>
                    <w:rPr>
                      <w:rFonts w:hint="eastAsia" w:eastAsia="宋体"/>
                      <w:sz w:val="22"/>
                      <w:szCs w:val="22"/>
                      <w:u w:val="none" w:color="auto"/>
                      <w:lang w:eastAsia="zh-CN"/>
                    </w:rPr>
                  </w:pPr>
                  <w:r>
                    <w:rPr>
                      <w:rFonts w:hint="eastAsia"/>
                      <w:sz w:val="22"/>
                      <w:szCs w:val="22"/>
                      <w:u w:val="none" w:color="auto"/>
                      <w:lang w:eastAsia="zh-CN"/>
                    </w:rPr>
                    <w:t>冷压机</w:t>
                  </w:r>
                </w:p>
              </w:tc>
              <w:tc>
                <w:tcPr>
                  <w:tcW w:w="3618" w:type="dxa"/>
                  <w:vAlign w:val="center"/>
                </w:tcPr>
                <w:p>
                  <w:pPr>
                    <w:spacing w:line="360" w:lineRule="auto"/>
                    <w:jc w:val="center"/>
                    <w:rPr>
                      <w:rFonts w:hint="default" w:eastAsia="宋体"/>
                      <w:sz w:val="22"/>
                      <w:szCs w:val="22"/>
                      <w:u w:val="none" w:color="auto"/>
                      <w:lang w:val="en-US" w:eastAsia="zh-CN"/>
                    </w:rPr>
                  </w:pPr>
                  <w:r>
                    <w:rPr>
                      <w:rFonts w:hint="eastAsia"/>
                      <w:sz w:val="22"/>
                      <w:szCs w:val="22"/>
                      <w:u w:val="none" w:color="auto"/>
                      <w:lang w:val="en-US" w:eastAsia="zh-CN"/>
                    </w:rPr>
                    <w:t>65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80" w:type="dxa"/>
                  <w:vAlign w:val="center"/>
                </w:tcPr>
                <w:p>
                  <w:pPr>
                    <w:spacing w:line="360" w:lineRule="auto"/>
                    <w:jc w:val="center"/>
                    <w:rPr>
                      <w:rFonts w:hint="default" w:eastAsia="宋体"/>
                      <w:sz w:val="22"/>
                      <w:szCs w:val="22"/>
                      <w:u w:val="none" w:color="auto"/>
                      <w:lang w:val="en-US" w:eastAsia="zh-CN"/>
                    </w:rPr>
                  </w:pPr>
                  <w:r>
                    <w:rPr>
                      <w:rFonts w:hint="eastAsia"/>
                      <w:sz w:val="22"/>
                      <w:szCs w:val="22"/>
                      <w:u w:val="none" w:color="auto"/>
                      <w:lang w:val="en-US" w:eastAsia="zh-CN"/>
                    </w:rPr>
                    <w:t>2</w:t>
                  </w:r>
                </w:p>
              </w:tc>
              <w:tc>
                <w:tcPr>
                  <w:tcW w:w="3570" w:type="dxa"/>
                  <w:vAlign w:val="center"/>
                </w:tcPr>
                <w:p>
                  <w:pPr>
                    <w:spacing w:line="360" w:lineRule="auto"/>
                    <w:jc w:val="center"/>
                    <w:rPr>
                      <w:sz w:val="22"/>
                      <w:szCs w:val="22"/>
                      <w:u w:val="none" w:color="auto"/>
                    </w:rPr>
                  </w:pPr>
                  <w:r>
                    <w:rPr>
                      <w:rFonts w:hint="eastAsia"/>
                      <w:sz w:val="22"/>
                      <w:szCs w:val="22"/>
                      <w:u w:val="none" w:color="auto"/>
                      <w:lang w:eastAsia="zh-CN"/>
                    </w:rPr>
                    <w:t>切割机</w:t>
                  </w:r>
                </w:p>
              </w:tc>
              <w:tc>
                <w:tcPr>
                  <w:tcW w:w="3618" w:type="dxa"/>
                  <w:vAlign w:val="center"/>
                </w:tcPr>
                <w:p>
                  <w:pPr>
                    <w:spacing w:line="360" w:lineRule="auto"/>
                    <w:jc w:val="center"/>
                    <w:rPr>
                      <w:rFonts w:hint="default" w:eastAsia="宋体"/>
                      <w:sz w:val="22"/>
                      <w:szCs w:val="22"/>
                      <w:u w:val="none" w:color="auto"/>
                      <w:lang w:val="en-US" w:eastAsia="zh-CN"/>
                    </w:rPr>
                  </w:pPr>
                  <w:r>
                    <w:rPr>
                      <w:rFonts w:hint="eastAsia"/>
                      <w:sz w:val="22"/>
                      <w:szCs w:val="22"/>
                      <w:u w:val="none" w:color="auto"/>
                      <w:lang w:val="en-US" w:eastAsia="zh-CN"/>
                    </w:rPr>
                    <w:t>80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80" w:type="dxa"/>
                  <w:vAlign w:val="center"/>
                </w:tcPr>
                <w:p>
                  <w:pPr>
                    <w:spacing w:line="360" w:lineRule="auto"/>
                    <w:jc w:val="center"/>
                    <w:rPr>
                      <w:rFonts w:hint="default" w:eastAsia="宋体"/>
                      <w:sz w:val="22"/>
                      <w:szCs w:val="22"/>
                      <w:u w:val="none" w:color="auto"/>
                      <w:lang w:val="en-US" w:eastAsia="zh-CN"/>
                    </w:rPr>
                  </w:pPr>
                  <w:r>
                    <w:rPr>
                      <w:rFonts w:hint="eastAsia"/>
                      <w:sz w:val="22"/>
                      <w:szCs w:val="22"/>
                      <w:u w:val="none" w:color="auto"/>
                      <w:lang w:val="en-US" w:eastAsia="zh-CN"/>
                    </w:rPr>
                    <w:t>3</w:t>
                  </w:r>
                </w:p>
              </w:tc>
              <w:tc>
                <w:tcPr>
                  <w:tcW w:w="3570" w:type="dxa"/>
                  <w:vAlign w:val="center"/>
                </w:tcPr>
                <w:p>
                  <w:pPr>
                    <w:spacing w:line="360" w:lineRule="auto"/>
                    <w:jc w:val="center"/>
                    <w:rPr>
                      <w:rFonts w:hint="eastAsia" w:eastAsia="宋体"/>
                      <w:sz w:val="22"/>
                      <w:szCs w:val="22"/>
                      <w:u w:val="none" w:color="auto"/>
                      <w:lang w:eastAsia="zh-CN"/>
                    </w:rPr>
                  </w:pPr>
                  <w:r>
                    <w:rPr>
                      <w:rFonts w:hint="eastAsia"/>
                      <w:sz w:val="22"/>
                      <w:szCs w:val="22"/>
                      <w:u w:val="none" w:color="auto"/>
                      <w:lang w:eastAsia="zh-CN"/>
                    </w:rPr>
                    <w:t>下料机</w:t>
                  </w:r>
                </w:p>
              </w:tc>
              <w:tc>
                <w:tcPr>
                  <w:tcW w:w="3618" w:type="dxa"/>
                  <w:vAlign w:val="center"/>
                </w:tcPr>
                <w:p>
                  <w:pPr>
                    <w:spacing w:line="360" w:lineRule="auto"/>
                    <w:jc w:val="center"/>
                    <w:rPr>
                      <w:rFonts w:hint="default" w:eastAsia="宋体"/>
                      <w:sz w:val="22"/>
                      <w:szCs w:val="22"/>
                      <w:u w:val="none" w:color="auto"/>
                      <w:lang w:val="en-US" w:eastAsia="zh-CN"/>
                    </w:rPr>
                  </w:pPr>
                  <w:r>
                    <w:rPr>
                      <w:rFonts w:hint="eastAsia"/>
                      <w:sz w:val="22"/>
                      <w:szCs w:val="22"/>
                      <w:u w:val="none" w:color="auto"/>
                      <w:lang w:val="en-US" w:eastAsia="zh-CN"/>
                    </w:rPr>
                    <w:t>75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80" w:type="dxa"/>
                  <w:vAlign w:val="center"/>
                </w:tcPr>
                <w:p>
                  <w:pPr>
                    <w:spacing w:line="360" w:lineRule="auto"/>
                    <w:jc w:val="center"/>
                    <w:rPr>
                      <w:rFonts w:hint="default"/>
                      <w:sz w:val="22"/>
                      <w:szCs w:val="22"/>
                      <w:u w:val="none" w:color="auto"/>
                      <w:lang w:val="en-US" w:eastAsia="zh-CN"/>
                    </w:rPr>
                  </w:pPr>
                  <w:r>
                    <w:rPr>
                      <w:rFonts w:hint="eastAsia"/>
                      <w:sz w:val="22"/>
                      <w:szCs w:val="22"/>
                      <w:u w:val="none" w:color="auto"/>
                      <w:lang w:val="en-US" w:eastAsia="zh-CN"/>
                    </w:rPr>
                    <w:t>4</w:t>
                  </w:r>
                </w:p>
              </w:tc>
              <w:tc>
                <w:tcPr>
                  <w:tcW w:w="3570" w:type="dxa"/>
                  <w:vAlign w:val="center"/>
                </w:tcPr>
                <w:p>
                  <w:pPr>
                    <w:spacing w:line="360" w:lineRule="auto"/>
                    <w:jc w:val="center"/>
                    <w:rPr>
                      <w:rFonts w:hint="eastAsia"/>
                      <w:sz w:val="22"/>
                      <w:szCs w:val="22"/>
                      <w:u w:val="none" w:color="auto"/>
                      <w:lang w:eastAsia="zh-CN"/>
                    </w:rPr>
                  </w:pPr>
                  <w:r>
                    <w:rPr>
                      <w:rFonts w:hint="eastAsia"/>
                      <w:sz w:val="22"/>
                      <w:szCs w:val="22"/>
                      <w:u w:val="none" w:color="auto"/>
                      <w:lang w:eastAsia="zh-CN"/>
                    </w:rPr>
                    <w:t>排钻机</w:t>
                  </w:r>
                </w:p>
              </w:tc>
              <w:tc>
                <w:tcPr>
                  <w:tcW w:w="3618" w:type="dxa"/>
                  <w:vAlign w:val="center"/>
                </w:tcPr>
                <w:p>
                  <w:pPr>
                    <w:spacing w:line="360" w:lineRule="auto"/>
                    <w:jc w:val="center"/>
                    <w:rPr>
                      <w:rFonts w:hint="default"/>
                      <w:sz w:val="22"/>
                      <w:szCs w:val="22"/>
                      <w:u w:val="none" w:color="auto"/>
                      <w:lang w:val="en-US" w:eastAsia="zh-CN"/>
                    </w:rPr>
                  </w:pPr>
                  <w:r>
                    <w:rPr>
                      <w:rFonts w:hint="eastAsia"/>
                      <w:sz w:val="22"/>
                      <w:szCs w:val="22"/>
                      <w:u w:val="none" w:color="auto"/>
                      <w:lang w:val="en-US" w:eastAsia="zh-CN"/>
                    </w:rPr>
                    <w:t>78</w:t>
                  </w:r>
                </w:p>
              </w:tc>
            </w:tr>
          </w:tbl>
          <w:p>
            <w:pPr>
              <w:rPr>
                <w:sz w:val="24"/>
                <w:szCs w:val="24"/>
                <w:u w:val="single" w:color="auto"/>
              </w:rPr>
            </w:pPr>
            <w:r>
              <w:rPr>
                <w:rFonts w:hint="eastAsia"/>
                <w:u w:val="none" w:color="auto"/>
              </w:rPr>
              <w:t xml:space="preserve"> </w:t>
            </w:r>
            <w:r>
              <w:rPr>
                <w:u w:val="single" w:color="auto"/>
              </w:rPr>
              <w:t xml:space="preserve"> </w:t>
            </w:r>
            <w:r>
              <w:rPr>
                <w:sz w:val="24"/>
                <w:szCs w:val="24"/>
                <w:u w:val="single" w:color="auto"/>
              </w:rPr>
              <w:t>4、固废</w:t>
            </w:r>
          </w:p>
          <w:p>
            <w:pPr>
              <w:pStyle w:val="32"/>
              <w:spacing w:line="360" w:lineRule="auto"/>
              <w:ind w:left="0" w:leftChars="0" w:firstLine="462" w:firstLineChars="200"/>
              <w:rPr>
                <w:rFonts w:ascii="宋体" w:hAnsi="宋体"/>
                <w:sz w:val="24"/>
                <w:szCs w:val="32"/>
                <w:u w:val="single" w:color="auto"/>
              </w:rPr>
            </w:pPr>
            <w:r>
              <w:rPr>
                <w:rFonts w:hint="eastAsia" w:ascii="宋体" w:hAnsi="宋体"/>
                <w:sz w:val="24"/>
                <w:szCs w:val="32"/>
                <w:u w:val="single" w:color="auto"/>
              </w:rPr>
              <w:t>本项目产生的固体废物有废</w:t>
            </w:r>
            <w:r>
              <w:rPr>
                <w:rFonts w:hint="eastAsia" w:ascii="宋体" w:hAnsi="宋体"/>
                <w:sz w:val="24"/>
                <w:szCs w:val="32"/>
                <w:u w:val="single" w:color="auto"/>
                <w:lang w:eastAsia="zh-CN"/>
              </w:rPr>
              <w:t>边角料</w:t>
            </w:r>
            <w:r>
              <w:rPr>
                <w:rFonts w:hint="eastAsia" w:ascii="宋体" w:hAnsi="宋体"/>
                <w:sz w:val="24"/>
                <w:szCs w:val="32"/>
                <w:u w:val="single" w:color="auto"/>
              </w:rPr>
              <w:t>、废</w:t>
            </w:r>
            <w:r>
              <w:rPr>
                <w:rFonts w:hint="eastAsia" w:ascii="宋体" w:hAnsi="宋体"/>
                <w:sz w:val="24"/>
                <w:szCs w:val="32"/>
                <w:u w:val="single" w:color="auto"/>
                <w:lang w:eastAsia="zh-CN"/>
              </w:rPr>
              <w:t>包装材料</w:t>
            </w:r>
            <w:r>
              <w:rPr>
                <w:rFonts w:hint="eastAsia" w:ascii="宋体" w:hAnsi="宋体"/>
                <w:sz w:val="24"/>
                <w:szCs w:val="32"/>
                <w:u w:val="single" w:color="auto"/>
              </w:rPr>
              <w:t>、生活垃圾</w:t>
            </w:r>
            <w:r>
              <w:rPr>
                <w:rFonts w:hint="eastAsia" w:ascii="宋体" w:hAnsi="宋体"/>
                <w:sz w:val="24"/>
                <w:szCs w:val="32"/>
                <w:u w:val="single" w:color="auto"/>
                <w:lang w:eastAsia="zh-CN"/>
              </w:rPr>
              <w:t>、除尘器收集的粉尘、废白乳胶包装材料</w:t>
            </w:r>
            <w:r>
              <w:rPr>
                <w:rFonts w:hint="eastAsia" w:ascii="宋体" w:hAnsi="宋体"/>
                <w:sz w:val="24"/>
                <w:szCs w:val="32"/>
                <w:u w:val="single" w:color="auto"/>
              </w:rPr>
              <w:t>。</w:t>
            </w:r>
          </w:p>
          <w:p>
            <w:pPr>
              <w:pStyle w:val="32"/>
              <w:spacing w:line="360" w:lineRule="auto"/>
              <w:ind w:left="400"/>
              <w:rPr>
                <w:rFonts w:hint="eastAsia" w:ascii="Times New Roman" w:hAnsi="Times New Roman" w:eastAsia="宋体" w:cs="Times New Roman"/>
                <w:sz w:val="24"/>
                <w:szCs w:val="32"/>
                <w:u w:val="single" w:color="auto"/>
                <w:lang w:eastAsia="zh-CN"/>
              </w:rPr>
            </w:pPr>
            <w:r>
              <w:rPr>
                <w:rFonts w:hint="eastAsia" w:ascii="宋体" w:hAnsi="宋体"/>
                <w:sz w:val="24"/>
                <w:szCs w:val="32"/>
                <w:u w:val="single" w:color="auto"/>
              </w:rPr>
              <w:t>（1）</w:t>
            </w:r>
            <w:r>
              <w:rPr>
                <w:rFonts w:hint="eastAsia" w:ascii="宋体" w:hAnsi="宋体"/>
                <w:sz w:val="24"/>
                <w:szCs w:val="32"/>
                <w:u w:val="single" w:color="auto"/>
                <w:lang w:eastAsia="zh-CN"/>
              </w:rPr>
              <w:t>废边角料</w:t>
            </w:r>
          </w:p>
          <w:p>
            <w:pPr>
              <w:pStyle w:val="32"/>
              <w:spacing w:line="360" w:lineRule="auto"/>
              <w:ind w:left="0" w:leftChars="0" w:firstLine="462" w:firstLineChars="200"/>
              <w:jc w:val="left"/>
              <w:rPr>
                <w:rFonts w:hint="default" w:ascii="Times New Roman" w:hAnsi="Times New Roman" w:cs="Times New Roman"/>
                <w:sz w:val="24"/>
                <w:szCs w:val="32"/>
                <w:u w:val="single" w:color="auto"/>
              </w:rPr>
            </w:pPr>
            <w:r>
              <w:rPr>
                <w:rFonts w:hint="eastAsia" w:cs="Times New Roman"/>
                <w:sz w:val="24"/>
                <w:szCs w:val="32"/>
                <w:u w:val="single" w:color="auto"/>
                <w:lang w:eastAsia="zh-CN"/>
              </w:rPr>
              <w:t>项目在下料、钻孔、切割过程中会产生少量废边角料</w:t>
            </w:r>
            <w:r>
              <w:rPr>
                <w:rFonts w:hint="default" w:ascii="Times New Roman" w:hAnsi="Times New Roman" w:cs="Times New Roman"/>
                <w:sz w:val="24"/>
                <w:szCs w:val="32"/>
                <w:u w:val="single" w:color="auto"/>
              </w:rPr>
              <w:t>，据</w:t>
            </w:r>
            <w:r>
              <w:rPr>
                <w:rFonts w:hint="default" w:ascii="Times New Roman" w:hAnsi="Times New Roman" w:cs="Times New Roman"/>
                <w:sz w:val="24"/>
                <w:szCs w:val="32"/>
                <w:u w:val="single" w:color="auto"/>
                <w:lang w:eastAsia="zh-CN"/>
              </w:rPr>
              <w:t>业主提供的相关资料</w:t>
            </w:r>
            <w:r>
              <w:rPr>
                <w:rFonts w:hint="default" w:ascii="Times New Roman" w:hAnsi="Times New Roman" w:cs="Times New Roman"/>
                <w:sz w:val="24"/>
                <w:szCs w:val="32"/>
                <w:u w:val="single" w:color="auto"/>
              </w:rPr>
              <w:t>，本项目产品加工过程中废</w:t>
            </w:r>
            <w:r>
              <w:rPr>
                <w:rFonts w:hint="eastAsia" w:cs="Times New Roman"/>
                <w:sz w:val="24"/>
                <w:szCs w:val="32"/>
                <w:u w:val="single" w:color="auto"/>
                <w:lang w:eastAsia="zh-CN"/>
              </w:rPr>
              <w:t>边角料</w:t>
            </w:r>
            <w:r>
              <w:rPr>
                <w:rFonts w:hint="default" w:ascii="Times New Roman" w:hAnsi="Times New Roman" w:cs="Times New Roman"/>
                <w:sz w:val="24"/>
                <w:szCs w:val="32"/>
                <w:u w:val="single" w:color="auto"/>
              </w:rPr>
              <w:t>的产生量约</w:t>
            </w:r>
            <w:r>
              <w:rPr>
                <w:rFonts w:hint="eastAsia" w:cs="Times New Roman"/>
                <w:sz w:val="24"/>
                <w:szCs w:val="32"/>
                <w:u w:val="single" w:color="auto"/>
                <w:lang w:val="en-US" w:eastAsia="zh-CN"/>
              </w:rPr>
              <w:t>1.8</w:t>
            </w:r>
            <w:r>
              <w:rPr>
                <w:rFonts w:hint="default" w:ascii="Times New Roman" w:hAnsi="Times New Roman" w:cs="Times New Roman"/>
                <w:sz w:val="24"/>
                <w:szCs w:val="32"/>
                <w:u w:val="single" w:color="auto"/>
              </w:rPr>
              <w:t>t/a，</w:t>
            </w:r>
            <w:r>
              <w:rPr>
                <w:rFonts w:hint="default" w:ascii="Times New Roman" w:hAnsi="Times New Roman" w:cs="Times New Roman"/>
                <w:sz w:val="24"/>
                <w:u w:val="single" w:color="auto"/>
              </w:rPr>
              <w:t>收集后均外售</w:t>
            </w:r>
            <w:r>
              <w:rPr>
                <w:rFonts w:hint="eastAsia" w:cs="Times New Roman"/>
                <w:sz w:val="24"/>
                <w:u w:val="single" w:color="auto"/>
                <w:lang w:eastAsia="zh-CN"/>
              </w:rPr>
              <w:t>综合利用</w:t>
            </w:r>
            <w:r>
              <w:rPr>
                <w:rFonts w:hint="default" w:ascii="Times New Roman" w:hAnsi="Times New Roman" w:cs="Times New Roman"/>
                <w:sz w:val="24"/>
                <w:u w:val="single" w:color="auto"/>
              </w:rPr>
              <w:t>。</w:t>
            </w:r>
          </w:p>
          <w:p>
            <w:pPr>
              <w:pStyle w:val="32"/>
              <w:spacing w:line="360" w:lineRule="auto"/>
              <w:ind w:left="0" w:leftChars="0" w:firstLine="462" w:firstLineChars="200"/>
              <w:jc w:val="left"/>
              <w:rPr>
                <w:rFonts w:hint="default" w:ascii="Times New Roman" w:hAnsi="Times New Roman" w:cs="Times New Roman"/>
                <w:sz w:val="24"/>
                <w:u w:val="single" w:color="auto"/>
              </w:rPr>
            </w:pPr>
            <w:r>
              <w:rPr>
                <w:rFonts w:hint="default" w:ascii="Times New Roman" w:hAnsi="Times New Roman" w:cs="Times New Roman"/>
                <w:sz w:val="24"/>
                <w:u w:val="single" w:color="auto"/>
              </w:rPr>
              <w:t>（2）生活垃圾</w:t>
            </w:r>
          </w:p>
          <w:p>
            <w:pPr>
              <w:spacing w:line="360" w:lineRule="auto"/>
              <w:ind w:firstLine="462" w:firstLineChars="200"/>
              <w:jc w:val="left"/>
              <w:rPr>
                <w:rFonts w:hint="default" w:ascii="Times New Roman" w:hAnsi="Times New Roman" w:cs="Times New Roman"/>
                <w:sz w:val="24"/>
                <w:szCs w:val="24"/>
                <w:u w:val="single" w:color="auto"/>
              </w:rPr>
            </w:pPr>
            <w:r>
              <w:rPr>
                <w:sz w:val="24"/>
                <w:szCs w:val="24"/>
                <w:u w:val="single" w:color="auto"/>
              </w:rPr>
              <w:t>本项目生活垃圾按</w:t>
            </w:r>
            <w:r>
              <w:rPr>
                <w:rFonts w:hint="default" w:ascii="Times New Roman" w:hAnsi="Times New Roman" w:cs="Times New Roman"/>
                <w:sz w:val="24"/>
                <w:szCs w:val="24"/>
                <w:u w:val="single" w:color="auto"/>
              </w:rPr>
              <w:t>0.5kg/d计算，该项目工作人员</w:t>
            </w:r>
            <w:r>
              <w:rPr>
                <w:rFonts w:hint="eastAsia" w:cs="Times New Roman"/>
                <w:sz w:val="24"/>
                <w:szCs w:val="24"/>
                <w:u w:val="single" w:color="auto"/>
                <w:lang w:val="en-US" w:eastAsia="zh-CN"/>
              </w:rPr>
              <w:t>8</w:t>
            </w:r>
            <w:r>
              <w:rPr>
                <w:rFonts w:hint="default" w:ascii="Times New Roman" w:hAnsi="Times New Roman" w:cs="Times New Roman"/>
                <w:sz w:val="24"/>
                <w:szCs w:val="24"/>
                <w:u w:val="single" w:color="auto"/>
              </w:rPr>
              <w:t>人，年工作300天，生活垃圾产生量为0.00</w:t>
            </w:r>
            <w:r>
              <w:rPr>
                <w:rFonts w:hint="eastAsia" w:cs="Times New Roman"/>
                <w:sz w:val="24"/>
                <w:szCs w:val="24"/>
                <w:u w:val="single" w:color="auto"/>
                <w:lang w:val="en-US" w:eastAsia="zh-CN"/>
              </w:rPr>
              <w:t>4</w:t>
            </w:r>
            <w:r>
              <w:rPr>
                <w:rFonts w:hint="default" w:ascii="Times New Roman" w:hAnsi="Times New Roman" w:cs="Times New Roman"/>
                <w:sz w:val="24"/>
                <w:szCs w:val="24"/>
                <w:u w:val="single" w:color="auto"/>
              </w:rPr>
              <w:t>t/d（</w:t>
            </w:r>
            <w:r>
              <w:rPr>
                <w:rFonts w:hint="eastAsia" w:cs="Times New Roman"/>
                <w:sz w:val="24"/>
                <w:szCs w:val="24"/>
                <w:u w:val="single" w:color="auto"/>
                <w:lang w:val="en-US" w:eastAsia="zh-CN"/>
              </w:rPr>
              <w:t>1.2</w:t>
            </w:r>
            <w:r>
              <w:rPr>
                <w:rFonts w:hint="default" w:ascii="Times New Roman" w:hAnsi="Times New Roman" w:cs="Times New Roman"/>
                <w:sz w:val="24"/>
                <w:szCs w:val="24"/>
                <w:u w:val="single" w:color="auto"/>
              </w:rPr>
              <w:t>t/a），生活垃圾集中收集后交环卫部门统一清运处理。</w:t>
            </w:r>
          </w:p>
          <w:p>
            <w:pPr>
              <w:pStyle w:val="32"/>
              <w:spacing w:line="360" w:lineRule="auto"/>
              <w:ind w:leftChars="0"/>
              <w:rPr>
                <w:rFonts w:hint="default" w:ascii="Times New Roman" w:hAnsi="Times New Roman" w:eastAsia="宋体" w:cs="Times New Roman"/>
                <w:sz w:val="24"/>
                <w:u w:val="single" w:color="auto"/>
                <w:lang w:eastAsia="zh-CN"/>
              </w:rPr>
            </w:pPr>
            <w:r>
              <w:rPr>
                <w:rFonts w:hint="default" w:ascii="Times New Roman" w:hAnsi="Times New Roman" w:cs="Times New Roman"/>
                <w:sz w:val="24"/>
                <w:u w:val="single" w:color="auto"/>
                <w:lang w:eastAsia="zh-CN"/>
              </w:rPr>
              <w:t>（</w:t>
            </w:r>
            <w:r>
              <w:rPr>
                <w:rFonts w:hint="default" w:ascii="Times New Roman" w:hAnsi="Times New Roman" w:cs="Times New Roman"/>
                <w:sz w:val="24"/>
                <w:u w:val="single" w:color="auto"/>
                <w:lang w:val="en-US" w:eastAsia="zh-CN"/>
              </w:rPr>
              <w:t>3</w:t>
            </w:r>
            <w:r>
              <w:rPr>
                <w:rFonts w:hint="default" w:ascii="Times New Roman" w:hAnsi="Times New Roman" w:cs="Times New Roman"/>
                <w:sz w:val="24"/>
                <w:u w:val="single" w:color="auto"/>
                <w:lang w:eastAsia="zh-CN"/>
              </w:rPr>
              <w:t>）废</w:t>
            </w:r>
            <w:r>
              <w:rPr>
                <w:rFonts w:hint="eastAsia" w:cs="Times New Roman"/>
                <w:sz w:val="24"/>
                <w:u w:val="single" w:color="auto"/>
                <w:lang w:eastAsia="zh-CN"/>
              </w:rPr>
              <w:t>包装材料</w:t>
            </w:r>
          </w:p>
          <w:p>
            <w:pPr>
              <w:pStyle w:val="32"/>
              <w:spacing w:line="360" w:lineRule="auto"/>
              <w:ind w:left="0" w:leftChars="0" w:firstLine="462" w:firstLineChars="200"/>
              <w:rPr>
                <w:rFonts w:hint="default" w:ascii="Times New Roman" w:hAnsi="Times New Roman" w:eastAsia="宋体" w:cs="Times New Roman"/>
                <w:sz w:val="24"/>
                <w:u w:val="single" w:color="auto"/>
                <w:lang w:val="en-US" w:eastAsia="zh-CN"/>
              </w:rPr>
            </w:pPr>
            <w:r>
              <w:rPr>
                <w:rFonts w:hint="default" w:ascii="Times New Roman" w:hAnsi="Times New Roman" w:cs="Times New Roman"/>
                <w:sz w:val="24"/>
                <w:u w:val="single" w:color="auto"/>
                <w:lang w:eastAsia="zh-CN"/>
              </w:rPr>
              <w:t>本项目</w:t>
            </w:r>
            <w:r>
              <w:rPr>
                <w:rFonts w:hint="eastAsia" w:cs="Times New Roman"/>
                <w:sz w:val="24"/>
                <w:u w:val="single" w:color="auto"/>
                <w:lang w:eastAsia="zh-CN"/>
              </w:rPr>
              <w:t>在生产完成后需要对办公家具经简单包装（纸板），防止损坏</w:t>
            </w:r>
            <w:r>
              <w:rPr>
                <w:rFonts w:hint="default" w:ascii="Times New Roman" w:hAnsi="Times New Roman" w:cs="Times New Roman"/>
                <w:sz w:val="24"/>
                <w:u w:val="single" w:color="auto"/>
                <w:lang w:val="en-US" w:eastAsia="zh-CN"/>
              </w:rPr>
              <w:t>，根据业主提供的相关资料，废</w:t>
            </w:r>
            <w:r>
              <w:rPr>
                <w:rFonts w:hint="eastAsia" w:cs="Times New Roman"/>
                <w:sz w:val="24"/>
                <w:u w:val="single" w:color="auto"/>
                <w:lang w:val="en-US" w:eastAsia="zh-CN"/>
              </w:rPr>
              <w:t>包装材料</w:t>
            </w:r>
            <w:r>
              <w:rPr>
                <w:rFonts w:hint="default" w:ascii="Times New Roman" w:hAnsi="Times New Roman" w:cs="Times New Roman"/>
                <w:sz w:val="24"/>
                <w:u w:val="single" w:color="auto"/>
                <w:lang w:val="en-US" w:eastAsia="zh-CN"/>
              </w:rPr>
              <w:t>产生量约为0.</w:t>
            </w:r>
            <w:r>
              <w:rPr>
                <w:rFonts w:hint="eastAsia" w:cs="Times New Roman"/>
                <w:sz w:val="24"/>
                <w:u w:val="single" w:color="auto"/>
                <w:lang w:val="en-US" w:eastAsia="zh-CN"/>
              </w:rPr>
              <w:t>08</w:t>
            </w:r>
            <w:r>
              <w:rPr>
                <w:rFonts w:hint="default" w:ascii="Times New Roman" w:hAnsi="Times New Roman" w:cs="Times New Roman"/>
                <w:sz w:val="24"/>
                <w:u w:val="single" w:color="auto"/>
                <w:lang w:val="en-US" w:eastAsia="zh-CN"/>
              </w:rPr>
              <w:t>t/a，收集后</w:t>
            </w:r>
            <w:r>
              <w:rPr>
                <w:rFonts w:hint="eastAsia" w:cs="Times New Roman"/>
                <w:sz w:val="24"/>
                <w:u w:val="single" w:color="auto"/>
                <w:lang w:val="en-US" w:eastAsia="zh-CN"/>
              </w:rPr>
              <w:t>外售废品回收站综合利用</w:t>
            </w:r>
            <w:r>
              <w:rPr>
                <w:rFonts w:hint="default" w:ascii="Times New Roman" w:hAnsi="Times New Roman" w:cs="Times New Roman"/>
                <w:sz w:val="24"/>
                <w:u w:val="single" w:color="auto"/>
                <w:lang w:val="en-US" w:eastAsia="zh-CN"/>
              </w:rPr>
              <w:t>。</w:t>
            </w:r>
          </w:p>
          <w:p>
            <w:pPr>
              <w:pStyle w:val="32"/>
              <w:spacing w:line="360" w:lineRule="auto"/>
              <w:ind w:leftChars="0"/>
              <w:rPr>
                <w:rFonts w:hint="eastAsia" w:ascii="Times New Roman" w:hAnsi="Times New Roman" w:eastAsia="宋体" w:cs="Times New Roman"/>
                <w:sz w:val="24"/>
                <w:u w:val="single" w:color="auto"/>
                <w:lang w:eastAsia="zh-CN"/>
              </w:rPr>
            </w:pPr>
            <w:r>
              <w:rPr>
                <w:rFonts w:hint="default" w:ascii="Times New Roman" w:hAnsi="Times New Roman" w:cs="Times New Roman"/>
                <w:sz w:val="24"/>
                <w:szCs w:val="32"/>
                <w:u w:val="single" w:color="auto"/>
                <w:lang w:eastAsia="zh-CN"/>
              </w:rPr>
              <w:t>（</w:t>
            </w:r>
            <w:r>
              <w:rPr>
                <w:rFonts w:hint="default" w:ascii="Times New Roman" w:hAnsi="Times New Roman" w:cs="Times New Roman"/>
                <w:sz w:val="24"/>
                <w:szCs w:val="32"/>
                <w:u w:val="single" w:color="auto"/>
                <w:lang w:val="en-US" w:eastAsia="zh-CN"/>
              </w:rPr>
              <w:t>4</w:t>
            </w:r>
            <w:r>
              <w:rPr>
                <w:rFonts w:hint="default" w:ascii="Times New Roman" w:hAnsi="Times New Roman" w:cs="Times New Roman"/>
                <w:sz w:val="24"/>
                <w:szCs w:val="32"/>
                <w:u w:val="single" w:color="auto"/>
                <w:lang w:eastAsia="zh-CN"/>
              </w:rPr>
              <w:t>）</w:t>
            </w:r>
            <w:r>
              <w:rPr>
                <w:rFonts w:hint="eastAsia" w:cs="Times New Roman"/>
                <w:sz w:val="24"/>
                <w:szCs w:val="32"/>
                <w:u w:val="single" w:color="auto"/>
                <w:lang w:eastAsia="zh-CN"/>
              </w:rPr>
              <w:t>除尘器收集的粉尘</w:t>
            </w:r>
          </w:p>
          <w:p>
            <w:pPr>
              <w:pStyle w:val="32"/>
              <w:spacing w:line="360" w:lineRule="auto"/>
              <w:ind w:left="0" w:leftChars="0" w:firstLine="462" w:firstLineChars="200"/>
              <w:rPr>
                <w:rFonts w:hint="eastAsia" w:ascii="Times New Roman" w:hAnsi="Times New Roman" w:eastAsia="宋体"/>
                <w:color w:val="auto"/>
                <w:sz w:val="24"/>
                <w:highlight w:val="none"/>
                <w:u w:val="single" w:color="auto"/>
                <w:lang w:eastAsia="zh-CN"/>
              </w:rPr>
            </w:pPr>
            <w:r>
              <w:rPr>
                <w:rFonts w:hint="eastAsia" w:cs="Times New Roman"/>
                <w:sz w:val="24"/>
                <w:szCs w:val="24"/>
                <w:u w:val="single" w:color="auto"/>
                <w:lang w:eastAsia="zh-CN"/>
              </w:rPr>
              <w:t>根据工程分析，项目在生产过程中双桶布袋除尘器收集的粉尘量为</w:t>
            </w:r>
            <w:r>
              <w:rPr>
                <w:rFonts w:hint="eastAsia" w:cs="Times New Roman"/>
                <w:sz w:val="24"/>
                <w:szCs w:val="24"/>
                <w:u w:val="single" w:color="auto"/>
                <w:lang w:val="en-US" w:eastAsia="zh-CN"/>
              </w:rPr>
              <w:t>0.191t/a</w:t>
            </w:r>
            <w:r>
              <w:rPr>
                <w:rFonts w:hint="default" w:ascii="Times New Roman" w:hAnsi="Times New Roman" w:cs="Times New Roman"/>
                <w:sz w:val="24"/>
                <w:szCs w:val="24"/>
                <w:u w:val="single" w:color="auto"/>
              </w:rPr>
              <w:t>，</w:t>
            </w:r>
            <w:r>
              <w:rPr>
                <w:rFonts w:hint="eastAsia"/>
                <w:sz w:val="24"/>
                <w:szCs w:val="24"/>
                <w:u w:val="single" w:color="auto"/>
                <w:lang w:val="en-US" w:eastAsia="zh-CN"/>
              </w:rPr>
              <w:t>收集后外售综合利用</w:t>
            </w:r>
            <w:r>
              <w:rPr>
                <w:rFonts w:hint="eastAsia"/>
                <w:sz w:val="24"/>
                <w:szCs w:val="24"/>
                <w:u w:val="single" w:color="auto"/>
              </w:rPr>
              <w:t>。</w:t>
            </w:r>
          </w:p>
          <w:p>
            <w:pPr>
              <w:spacing w:line="360" w:lineRule="auto"/>
              <w:ind w:firstLine="462" w:firstLineChars="200"/>
              <w:jc w:val="left"/>
              <w:rPr>
                <w:sz w:val="24"/>
                <w:szCs w:val="24"/>
                <w:u w:val="single" w:color="auto"/>
              </w:rPr>
            </w:pPr>
            <w:r>
              <w:rPr>
                <w:rFonts w:hint="eastAsia"/>
                <w:sz w:val="24"/>
                <w:szCs w:val="24"/>
                <w:u w:val="single" w:color="auto"/>
                <w:lang w:eastAsia="zh-CN"/>
              </w:rPr>
              <w:t>（</w:t>
            </w:r>
            <w:r>
              <w:rPr>
                <w:rFonts w:hint="eastAsia"/>
                <w:sz w:val="24"/>
                <w:szCs w:val="24"/>
                <w:u w:val="single" w:color="auto"/>
                <w:lang w:val="en-US" w:eastAsia="zh-CN"/>
              </w:rPr>
              <w:t>5</w:t>
            </w:r>
            <w:r>
              <w:rPr>
                <w:rFonts w:hint="eastAsia"/>
                <w:sz w:val="24"/>
                <w:szCs w:val="24"/>
                <w:u w:val="single" w:color="auto"/>
                <w:lang w:eastAsia="zh-CN"/>
              </w:rPr>
              <w:t>）废白乳胶包装材料</w:t>
            </w:r>
            <w:r>
              <w:rPr>
                <w:rFonts w:hint="eastAsia"/>
                <w:sz w:val="24"/>
                <w:szCs w:val="24"/>
                <w:u w:val="single" w:color="auto"/>
              </w:rPr>
              <w:t>。</w:t>
            </w:r>
          </w:p>
          <w:p>
            <w:pPr>
              <w:snapToGrid w:val="0"/>
              <w:spacing w:line="360" w:lineRule="auto"/>
              <w:ind w:firstLine="462" w:firstLineChars="200"/>
              <w:rPr>
                <w:rFonts w:hint="eastAsia"/>
                <w:u w:val="none" w:color="auto"/>
              </w:rPr>
            </w:pPr>
            <w:r>
              <w:rPr>
                <w:rFonts w:hint="eastAsia" w:hAnsi="宋体"/>
                <w:sz w:val="24"/>
                <w:u w:val="single" w:color="auto"/>
                <w:lang w:eastAsia="zh-CN"/>
              </w:rPr>
              <w:t>项目在刷胶、冷压工序中会使用白乳胶进行固定，根据业主提供的资料，废白乳胶包装材料产生量约为</w:t>
            </w:r>
            <w:r>
              <w:rPr>
                <w:rFonts w:hint="eastAsia" w:hAnsi="宋体"/>
                <w:sz w:val="24"/>
                <w:u w:val="single" w:color="auto"/>
                <w:lang w:val="en-US" w:eastAsia="zh-CN"/>
              </w:rPr>
              <w:t>0.34t/a，根据《国家危险废物名录》可知，项目废白乳胶包装材料属于危险废物（代码：HW49  900-041-49），</w:t>
            </w:r>
            <w:r>
              <w:rPr>
                <w:rFonts w:hint="eastAsia"/>
                <w:sz w:val="24"/>
                <w:u w:val="single" w:color="auto"/>
                <w:lang w:val="sq-AL"/>
              </w:rPr>
              <w:t>根据《关于用于原始用途的含有或直接沾染危险废物的包装物、容器是否属于危险废物问题的复函》（环函[2014]126号）的说明，</w:t>
            </w:r>
            <w:r>
              <w:rPr>
                <w:rFonts w:hint="eastAsia"/>
                <w:sz w:val="24"/>
                <w:u w:val="single" w:color="auto"/>
                <w:lang w:eastAsia="zh-CN"/>
              </w:rPr>
              <w:t>废白乳胶包装材料</w:t>
            </w:r>
            <w:r>
              <w:rPr>
                <w:rFonts w:hint="eastAsia"/>
                <w:sz w:val="24"/>
                <w:u w:val="single" w:color="auto"/>
                <w:lang w:val="sq-AL"/>
              </w:rPr>
              <w:t>可交由生产厂家回收后综合利用</w:t>
            </w:r>
            <w:r>
              <w:rPr>
                <w:rFonts w:hint="eastAsia"/>
                <w:sz w:val="24"/>
                <w:u w:val="single" w:color="auto"/>
                <w:lang w:val="sq-AL" w:eastAsia="zh-CN"/>
              </w:rPr>
              <w:t>，故废白乳胶包装材料</w:t>
            </w:r>
            <w:r>
              <w:rPr>
                <w:rFonts w:hint="eastAsia" w:hAnsi="宋体"/>
                <w:sz w:val="24"/>
                <w:u w:val="single" w:color="auto"/>
                <w:lang w:val="en-US" w:eastAsia="zh-CN"/>
              </w:rPr>
              <w:t>需收集于危险废物储存间，再交由生产厂家回收或者交由有资质单位进行处理。</w:t>
            </w:r>
          </w:p>
        </w:tc>
      </w:tr>
    </w:tbl>
    <w:p>
      <w:pPr>
        <w:snapToGrid w:val="0"/>
        <w:outlineLvl w:val="0"/>
        <w:rPr>
          <w:rFonts w:ascii="黑体" w:hAnsi="黑体" w:eastAsia="黑体"/>
          <w:sz w:val="32"/>
          <w:szCs w:val="32"/>
          <w:u w:val="none" w:color="auto"/>
        </w:rPr>
      </w:pPr>
      <w:r>
        <w:rPr>
          <w:u w:val="none" w:color="auto"/>
        </w:rPr>
        <w:br w:type="page"/>
      </w:r>
      <w:bookmarkStart w:id="6" w:name="_Toc8822"/>
      <w:r>
        <w:rPr>
          <w:rFonts w:hint="eastAsia" w:ascii="黑体" w:hAnsi="黑体" w:eastAsia="黑体"/>
          <w:sz w:val="32"/>
          <w:szCs w:val="32"/>
          <w:u w:val="none" w:color="auto"/>
        </w:rPr>
        <w:t>六、</w:t>
      </w:r>
      <w:r>
        <w:rPr>
          <w:rFonts w:ascii="黑体" w:hAnsi="黑体" w:eastAsia="黑体"/>
          <w:sz w:val="32"/>
          <w:szCs w:val="32"/>
          <w:u w:val="none" w:color="auto"/>
        </w:rPr>
        <w:t>项目主要污染物产生及预计排放情况</w:t>
      </w:r>
      <w:bookmarkEnd w:id="6"/>
    </w:p>
    <w:tbl>
      <w:tblPr>
        <w:tblStyle w:val="39"/>
        <w:tblW w:w="97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41"/>
        <w:gridCol w:w="1653"/>
        <w:gridCol w:w="1620"/>
        <w:gridCol w:w="2160"/>
        <w:gridCol w:w="28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11" w:type="dxa"/>
            <w:tcBorders>
              <w:tl2br w:val="nil"/>
              <w:tr2bl w:val="nil"/>
            </w:tcBorders>
          </w:tcPr>
          <w:p>
            <w:pPr>
              <w:spacing w:line="360" w:lineRule="auto"/>
              <w:rPr>
                <w:rFonts w:hint="default" w:ascii="Times New Roman" w:hAnsi="Times New Roman" w:cs="Times New Roman"/>
                <w:b/>
                <w:bCs/>
                <w:sz w:val="24"/>
                <w:szCs w:val="24"/>
                <w:u w:val="none" w:color="auto"/>
              </w:rPr>
            </w:pPr>
          </w:p>
        </w:tc>
        <w:tc>
          <w:tcPr>
            <w:tcW w:w="2394" w:type="dxa"/>
            <w:gridSpan w:val="2"/>
            <w:tcBorders>
              <w:tl2br w:val="nil"/>
              <w:tr2bl w:val="nil"/>
            </w:tcBorders>
            <w:vAlign w:val="center"/>
          </w:tcPr>
          <w:p>
            <w:pPr>
              <w:spacing w:line="360" w:lineRule="auto"/>
              <w:ind w:firstLine="462" w:firstLineChars="200"/>
              <w:jc w:val="center"/>
              <w:rPr>
                <w:rFonts w:hint="default" w:ascii="Times New Roman" w:hAnsi="Times New Roman" w:cs="Times New Roman"/>
                <w:b/>
                <w:bCs/>
                <w:sz w:val="24"/>
                <w:szCs w:val="24"/>
                <w:u w:val="none" w:color="auto"/>
              </w:rPr>
            </w:pPr>
            <w:r>
              <w:rPr>
                <w:rFonts w:hint="default" w:ascii="Times New Roman" w:hAnsi="Times New Roman" w:cs="Times New Roman"/>
                <w:b/>
                <w:bCs/>
                <w:sz w:val="24"/>
                <w:szCs w:val="24"/>
                <w:u w:val="none" w:color="auto"/>
              </w:rPr>
              <w:t>排放源</w:t>
            </w:r>
          </w:p>
          <w:p>
            <w:pPr>
              <w:spacing w:line="360" w:lineRule="auto"/>
              <w:ind w:firstLine="462" w:firstLineChars="200"/>
              <w:jc w:val="center"/>
              <w:rPr>
                <w:rFonts w:hint="default" w:ascii="Times New Roman" w:hAnsi="Times New Roman" w:cs="Times New Roman"/>
                <w:b/>
                <w:bCs/>
                <w:sz w:val="24"/>
                <w:szCs w:val="24"/>
                <w:u w:val="none" w:color="auto"/>
              </w:rPr>
            </w:pPr>
            <w:r>
              <w:rPr>
                <w:rFonts w:hint="default" w:ascii="Times New Roman" w:hAnsi="Times New Roman" w:cs="Times New Roman"/>
                <w:b/>
                <w:bCs/>
                <w:sz w:val="24"/>
                <w:szCs w:val="24"/>
                <w:u w:val="none" w:color="auto"/>
              </w:rPr>
              <w:t>（编号）</w:t>
            </w:r>
          </w:p>
        </w:tc>
        <w:tc>
          <w:tcPr>
            <w:tcW w:w="1620" w:type="dxa"/>
            <w:tcBorders>
              <w:tl2br w:val="nil"/>
              <w:tr2bl w:val="nil"/>
            </w:tcBorders>
            <w:vAlign w:val="center"/>
          </w:tcPr>
          <w:p>
            <w:pPr>
              <w:spacing w:line="360" w:lineRule="auto"/>
              <w:jc w:val="center"/>
              <w:rPr>
                <w:rFonts w:hint="default" w:ascii="Times New Roman" w:hAnsi="Times New Roman" w:cs="Times New Roman"/>
                <w:b/>
                <w:bCs/>
                <w:sz w:val="24"/>
                <w:szCs w:val="24"/>
                <w:u w:val="none" w:color="auto"/>
              </w:rPr>
            </w:pPr>
            <w:r>
              <w:rPr>
                <w:rFonts w:hint="default" w:ascii="Times New Roman" w:hAnsi="Times New Roman" w:cs="Times New Roman"/>
                <w:b/>
                <w:bCs/>
                <w:sz w:val="24"/>
                <w:szCs w:val="24"/>
                <w:u w:val="none" w:color="auto"/>
              </w:rPr>
              <w:t>污染物</w:t>
            </w:r>
          </w:p>
          <w:p>
            <w:pPr>
              <w:spacing w:line="360" w:lineRule="auto"/>
              <w:jc w:val="center"/>
              <w:rPr>
                <w:rFonts w:hint="default" w:ascii="Times New Roman" w:hAnsi="Times New Roman" w:cs="Times New Roman"/>
                <w:b/>
                <w:bCs/>
                <w:sz w:val="24"/>
                <w:szCs w:val="24"/>
                <w:u w:val="none" w:color="auto"/>
              </w:rPr>
            </w:pPr>
            <w:r>
              <w:rPr>
                <w:rFonts w:hint="default" w:ascii="Times New Roman" w:hAnsi="Times New Roman" w:cs="Times New Roman"/>
                <w:b/>
                <w:bCs/>
                <w:sz w:val="24"/>
                <w:szCs w:val="24"/>
                <w:u w:val="none" w:color="auto"/>
              </w:rPr>
              <w:t>名称</w:t>
            </w:r>
          </w:p>
        </w:tc>
        <w:tc>
          <w:tcPr>
            <w:tcW w:w="2160" w:type="dxa"/>
            <w:tcBorders>
              <w:tl2br w:val="nil"/>
              <w:tr2bl w:val="nil"/>
            </w:tcBorders>
            <w:vAlign w:val="center"/>
          </w:tcPr>
          <w:p>
            <w:pPr>
              <w:spacing w:line="360" w:lineRule="auto"/>
              <w:jc w:val="center"/>
              <w:rPr>
                <w:rFonts w:hint="default" w:ascii="Times New Roman" w:hAnsi="Times New Roman" w:cs="Times New Roman"/>
                <w:b/>
                <w:bCs/>
                <w:sz w:val="24"/>
                <w:szCs w:val="24"/>
                <w:u w:val="none" w:color="auto"/>
              </w:rPr>
            </w:pPr>
            <w:r>
              <w:rPr>
                <w:rFonts w:hint="default" w:ascii="Times New Roman" w:hAnsi="Times New Roman" w:cs="Times New Roman"/>
                <w:b/>
                <w:bCs/>
                <w:sz w:val="24"/>
                <w:szCs w:val="24"/>
                <w:u w:val="none" w:color="auto"/>
              </w:rPr>
              <w:t>处理前产生浓度及产生量（单位）</w:t>
            </w:r>
          </w:p>
        </w:tc>
        <w:tc>
          <w:tcPr>
            <w:tcW w:w="2839" w:type="dxa"/>
            <w:tcBorders>
              <w:tl2br w:val="nil"/>
              <w:tr2bl w:val="nil"/>
            </w:tcBorders>
            <w:vAlign w:val="center"/>
          </w:tcPr>
          <w:p>
            <w:pPr>
              <w:spacing w:line="360" w:lineRule="auto"/>
              <w:jc w:val="both"/>
              <w:rPr>
                <w:rFonts w:hint="default" w:ascii="Times New Roman" w:hAnsi="Times New Roman" w:cs="Times New Roman"/>
                <w:b/>
                <w:bCs/>
                <w:sz w:val="24"/>
                <w:szCs w:val="24"/>
                <w:u w:val="none" w:color="auto"/>
              </w:rPr>
            </w:pPr>
            <w:r>
              <w:rPr>
                <w:rFonts w:hint="default" w:ascii="Times New Roman" w:hAnsi="Times New Roman" w:cs="Times New Roman"/>
                <w:b/>
                <w:bCs/>
                <w:sz w:val="24"/>
                <w:szCs w:val="24"/>
                <w:u w:val="none" w:color="auto"/>
              </w:rPr>
              <w:t>排放浓度及排放量（单位）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11" w:type="dxa"/>
            <w:vMerge w:val="restart"/>
            <w:tcBorders>
              <w:tl2br w:val="nil"/>
              <w:tr2bl w:val="nil"/>
            </w:tcBorders>
            <w:vAlign w:val="center"/>
          </w:tcPr>
          <w:p>
            <w:pPr>
              <w:spacing w:line="360" w:lineRule="auto"/>
              <w:jc w:val="center"/>
              <w:rPr>
                <w:rFonts w:hint="default" w:ascii="Times New Roman" w:hAnsi="Times New Roman" w:cs="Times New Roman"/>
                <w:b/>
                <w:bCs/>
                <w:sz w:val="24"/>
                <w:szCs w:val="24"/>
                <w:u w:val="none" w:color="auto"/>
              </w:rPr>
            </w:pPr>
            <w:r>
              <w:rPr>
                <w:rFonts w:hint="default" w:ascii="Times New Roman" w:hAnsi="Times New Roman" w:cs="Times New Roman"/>
                <w:b/>
                <w:bCs/>
                <w:sz w:val="24"/>
                <w:szCs w:val="24"/>
                <w:u w:val="none" w:color="auto"/>
              </w:rPr>
              <w:t>大气污染物</w:t>
            </w:r>
          </w:p>
        </w:tc>
        <w:tc>
          <w:tcPr>
            <w:tcW w:w="741" w:type="dxa"/>
            <w:vMerge w:val="restart"/>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运营期</w:t>
            </w:r>
          </w:p>
        </w:tc>
        <w:tc>
          <w:tcPr>
            <w:tcW w:w="1653" w:type="dxa"/>
            <w:tcBorders>
              <w:tl2br w:val="nil"/>
              <w:tr2bl w:val="nil"/>
            </w:tcBorders>
            <w:vAlign w:val="center"/>
          </w:tcPr>
          <w:p>
            <w:pPr>
              <w:spacing w:line="360" w:lineRule="auto"/>
              <w:jc w:val="center"/>
              <w:rPr>
                <w:rFonts w:hint="default" w:ascii="Times New Roman" w:hAnsi="Times New Roman" w:eastAsia="宋体" w:cs="Times New Roman"/>
                <w:sz w:val="24"/>
                <w:szCs w:val="24"/>
                <w:u w:val="none" w:color="auto"/>
                <w:lang w:eastAsia="zh-CN"/>
              </w:rPr>
            </w:pPr>
            <w:r>
              <w:rPr>
                <w:rFonts w:hint="eastAsia" w:cs="Times New Roman"/>
                <w:sz w:val="24"/>
                <w:szCs w:val="24"/>
                <w:u w:val="none" w:color="auto"/>
                <w:lang w:eastAsia="zh-CN"/>
              </w:rPr>
              <w:t>下料、钻孔、切割</w:t>
            </w:r>
            <w:r>
              <w:rPr>
                <w:rFonts w:hint="default" w:ascii="Times New Roman" w:hAnsi="Times New Roman" w:cs="Times New Roman"/>
                <w:sz w:val="24"/>
                <w:szCs w:val="24"/>
                <w:u w:val="none" w:color="auto"/>
                <w:lang w:eastAsia="zh-CN"/>
              </w:rPr>
              <w:t>工序</w:t>
            </w:r>
          </w:p>
        </w:tc>
        <w:tc>
          <w:tcPr>
            <w:tcW w:w="1620" w:type="dxa"/>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颗粒物</w:t>
            </w:r>
          </w:p>
        </w:tc>
        <w:tc>
          <w:tcPr>
            <w:tcW w:w="2160" w:type="dxa"/>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r>
              <w:rPr>
                <w:rFonts w:hint="eastAsia" w:cs="Times New Roman"/>
                <w:sz w:val="24"/>
                <w:szCs w:val="24"/>
                <w:u w:val="none" w:color="auto"/>
                <w:lang w:val="en-US" w:eastAsia="zh-CN"/>
              </w:rPr>
              <w:t>0.193</w:t>
            </w:r>
            <w:r>
              <w:rPr>
                <w:rFonts w:hint="default" w:ascii="Times New Roman" w:hAnsi="Times New Roman" w:cs="Times New Roman"/>
                <w:sz w:val="24"/>
                <w:szCs w:val="24"/>
                <w:u w:val="none" w:color="auto"/>
              </w:rPr>
              <w:t>t/a，</w:t>
            </w:r>
            <w:r>
              <w:rPr>
                <w:rFonts w:hint="eastAsia" w:ascii="Times New Roman" w:hAnsi="Times New Roman" w:cs="Times New Roman"/>
                <w:sz w:val="24"/>
                <w:szCs w:val="24"/>
                <w:u w:val="none" w:color="auto"/>
                <w:lang w:val="en-US" w:eastAsia="zh-CN"/>
              </w:rPr>
              <w:t>0.0</w:t>
            </w:r>
            <w:r>
              <w:rPr>
                <w:rFonts w:hint="eastAsia" w:cs="Times New Roman"/>
                <w:sz w:val="24"/>
                <w:szCs w:val="24"/>
                <w:u w:val="none" w:color="auto"/>
                <w:lang w:val="en-US" w:eastAsia="zh-CN"/>
              </w:rPr>
              <w:t>804</w:t>
            </w:r>
            <w:r>
              <w:rPr>
                <w:rFonts w:hint="default" w:ascii="Times New Roman" w:hAnsi="Times New Roman" w:cs="Times New Roman"/>
                <w:sz w:val="24"/>
                <w:szCs w:val="24"/>
                <w:u w:val="none" w:color="auto"/>
              </w:rPr>
              <w:t>kg/h</w:t>
            </w:r>
          </w:p>
        </w:tc>
        <w:tc>
          <w:tcPr>
            <w:tcW w:w="2839" w:type="dxa"/>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r>
              <w:rPr>
                <w:rFonts w:hint="eastAsia" w:cs="Times New Roman"/>
                <w:sz w:val="24"/>
                <w:szCs w:val="24"/>
                <w:u w:val="none" w:color="auto"/>
                <w:lang w:val="en-US" w:eastAsia="zh-CN"/>
              </w:rPr>
              <w:t>0.0019</w:t>
            </w:r>
            <w:r>
              <w:rPr>
                <w:rFonts w:hint="default" w:ascii="Times New Roman" w:hAnsi="Times New Roman" w:cs="Times New Roman"/>
                <w:sz w:val="24"/>
                <w:szCs w:val="24"/>
                <w:u w:val="none" w:color="auto"/>
              </w:rPr>
              <w:t>t/a，</w:t>
            </w:r>
            <w:r>
              <w:rPr>
                <w:rFonts w:hint="eastAsia" w:cs="Times New Roman"/>
                <w:sz w:val="24"/>
                <w:szCs w:val="24"/>
                <w:u w:val="none" w:color="auto"/>
                <w:lang w:val="en-US" w:eastAsia="zh-CN"/>
              </w:rPr>
              <w:t>0.0008</w:t>
            </w:r>
            <w:r>
              <w:rPr>
                <w:rFonts w:hint="default" w:ascii="Times New Roman" w:hAnsi="Times New Roman" w:cs="Times New Roman"/>
                <w:sz w:val="24"/>
                <w:szCs w:val="24"/>
                <w:u w:val="none" w:color="auto"/>
              </w:rPr>
              <w:t>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11" w:type="dxa"/>
            <w:vMerge w:val="continue"/>
            <w:tcBorders>
              <w:tl2br w:val="nil"/>
              <w:tr2bl w:val="nil"/>
            </w:tcBorders>
            <w:vAlign w:val="center"/>
          </w:tcPr>
          <w:p>
            <w:pPr>
              <w:spacing w:line="360" w:lineRule="auto"/>
              <w:jc w:val="center"/>
              <w:rPr>
                <w:rFonts w:hint="default" w:ascii="Times New Roman" w:hAnsi="Times New Roman" w:cs="Times New Roman"/>
                <w:b/>
                <w:bCs/>
                <w:sz w:val="24"/>
                <w:szCs w:val="24"/>
                <w:u w:val="none" w:color="auto"/>
              </w:rPr>
            </w:pPr>
          </w:p>
        </w:tc>
        <w:tc>
          <w:tcPr>
            <w:tcW w:w="741" w:type="dxa"/>
            <w:vMerge w:val="continue"/>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p>
        </w:tc>
        <w:tc>
          <w:tcPr>
            <w:tcW w:w="1653" w:type="dxa"/>
            <w:tcBorders>
              <w:tl2br w:val="nil"/>
              <w:tr2bl w:val="nil"/>
            </w:tcBorders>
            <w:vAlign w:val="center"/>
          </w:tcPr>
          <w:p>
            <w:pPr>
              <w:spacing w:line="360" w:lineRule="auto"/>
              <w:jc w:val="center"/>
              <w:rPr>
                <w:rFonts w:hint="eastAsia" w:ascii="Times New Roman" w:hAnsi="Times New Roman" w:cs="Times New Roman"/>
                <w:sz w:val="24"/>
                <w:szCs w:val="24"/>
                <w:u w:val="none" w:color="auto"/>
                <w:lang w:eastAsia="zh-CN"/>
              </w:rPr>
            </w:pPr>
            <w:r>
              <w:rPr>
                <w:rFonts w:hint="default" w:ascii="Times New Roman" w:hAnsi="Times New Roman" w:eastAsia="宋体" w:cs="Times New Roman"/>
                <w:kern w:val="2"/>
                <w:sz w:val="24"/>
                <w:szCs w:val="20"/>
                <w:u w:val="none" w:color="auto"/>
                <w:lang w:val="en-US" w:eastAsia="zh-CN" w:bidi="ar-SA"/>
              </w:rPr>
              <w:t>刷胶、冷压、封边工序</w:t>
            </w:r>
          </w:p>
        </w:tc>
        <w:tc>
          <w:tcPr>
            <w:tcW w:w="1620" w:type="dxa"/>
            <w:tcBorders>
              <w:tl2br w:val="nil"/>
              <w:tr2bl w:val="nil"/>
            </w:tcBorders>
            <w:vAlign w:val="center"/>
          </w:tcPr>
          <w:p>
            <w:pPr>
              <w:spacing w:line="360" w:lineRule="auto"/>
              <w:jc w:val="center"/>
              <w:rPr>
                <w:rFonts w:hint="default" w:ascii="Times New Roman" w:hAnsi="Times New Roman" w:eastAsia="宋体" w:cs="Times New Roman"/>
                <w:sz w:val="24"/>
                <w:szCs w:val="24"/>
                <w:u w:val="none" w:color="auto"/>
                <w:lang w:val="en-US" w:eastAsia="zh-CN"/>
              </w:rPr>
            </w:pPr>
            <w:r>
              <w:rPr>
                <w:rFonts w:hint="eastAsia" w:cs="Times New Roman"/>
                <w:sz w:val="24"/>
                <w:szCs w:val="24"/>
                <w:u w:val="none" w:color="auto"/>
                <w:lang w:val="en-US" w:eastAsia="zh-CN"/>
              </w:rPr>
              <w:t>非甲烷总烃</w:t>
            </w:r>
          </w:p>
        </w:tc>
        <w:tc>
          <w:tcPr>
            <w:tcW w:w="2160" w:type="dxa"/>
            <w:tcBorders>
              <w:tl2br w:val="nil"/>
              <w:tr2bl w:val="nil"/>
            </w:tcBorders>
            <w:vAlign w:val="center"/>
          </w:tcPr>
          <w:p>
            <w:pPr>
              <w:spacing w:line="360" w:lineRule="auto"/>
              <w:jc w:val="center"/>
              <w:rPr>
                <w:rFonts w:hint="eastAsia" w:ascii="Times New Roman" w:hAnsi="Times New Roman" w:cs="Times New Roman"/>
                <w:sz w:val="24"/>
                <w:szCs w:val="24"/>
                <w:u w:val="none" w:color="auto"/>
                <w:lang w:val="en-US" w:eastAsia="zh-CN"/>
              </w:rPr>
            </w:pPr>
            <w:r>
              <w:rPr>
                <w:rFonts w:hint="eastAsia" w:ascii="Times New Roman" w:hAnsi="Times New Roman" w:cs="Times New Roman"/>
                <w:sz w:val="24"/>
                <w:szCs w:val="24"/>
                <w:u w:val="none" w:color="auto"/>
                <w:lang w:val="en-US" w:eastAsia="zh-CN"/>
              </w:rPr>
              <w:t>0.</w:t>
            </w:r>
            <w:r>
              <w:rPr>
                <w:rFonts w:hint="eastAsia" w:cs="Times New Roman"/>
                <w:sz w:val="24"/>
                <w:szCs w:val="24"/>
                <w:u w:val="none" w:color="auto"/>
                <w:lang w:val="en-US" w:eastAsia="zh-CN"/>
              </w:rPr>
              <w:t>25</w:t>
            </w:r>
            <w:r>
              <w:rPr>
                <w:rFonts w:hint="default" w:ascii="Times New Roman" w:hAnsi="Times New Roman" w:cs="Times New Roman"/>
                <w:sz w:val="24"/>
                <w:szCs w:val="24"/>
                <w:u w:val="none" w:color="auto"/>
              </w:rPr>
              <w:t>t/a，</w:t>
            </w:r>
            <w:r>
              <w:rPr>
                <w:rFonts w:hint="eastAsia" w:ascii="Times New Roman" w:hAnsi="Times New Roman" w:cs="Times New Roman"/>
                <w:sz w:val="24"/>
                <w:szCs w:val="24"/>
                <w:u w:val="none" w:color="auto"/>
                <w:lang w:val="en-US" w:eastAsia="zh-CN"/>
              </w:rPr>
              <w:t>0.</w:t>
            </w:r>
            <w:r>
              <w:rPr>
                <w:rFonts w:hint="eastAsia" w:cs="Times New Roman"/>
                <w:sz w:val="24"/>
                <w:szCs w:val="24"/>
                <w:u w:val="none" w:color="auto"/>
                <w:lang w:val="en-US" w:eastAsia="zh-CN"/>
              </w:rPr>
              <w:t>104</w:t>
            </w:r>
            <w:r>
              <w:rPr>
                <w:rFonts w:hint="default" w:ascii="Times New Roman" w:hAnsi="Times New Roman" w:cs="Times New Roman"/>
                <w:sz w:val="24"/>
                <w:szCs w:val="24"/>
                <w:u w:val="none" w:color="auto"/>
              </w:rPr>
              <w:t>kg/h</w:t>
            </w:r>
          </w:p>
        </w:tc>
        <w:tc>
          <w:tcPr>
            <w:tcW w:w="2839" w:type="dxa"/>
            <w:tcBorders>
              <w:tl2br w:val="nil"/>
              <w:tr2bl w:val="nil"/>
            </w:tcBorders>
            <w:vAlign w:val="center"/>
          </w:tcPr>
          <w:p>
            <w:pPr>
              <w:spacing w:line="360" w:lineRule="auto"/>
              <w:jc w:val="center"/>
              <w:rPr>
                <w:rFonts w:hint="eastAsia" w:ascii="Times New Roman" w:hAnsi="Times New Roman" w:cs="Times New Roman"/>
                <w:sz w:val="24"/>
                <w:szCs w:val="24"/>
                <w:u w:val="none" w:color="auto"/>
                <w:lang w:val="en-US" w:eastAsia="zh-CN"/>
              </w:rPr>
            </w:pPr>
            <w:r>
              <w:rPr>
                <w:rFonts w:hint="eastAsia" w:ascii="Times New Roman" w:hAnsi="Times New Roman" w:cs="Times New Roman"/>
                <w:sz w:val="24"/>
                <w:szCs w:val="24"/>
                <w:u w:val="none" w:color="auto"/>
                <w:lang w:val="en-US" w:eastAsia="zh-CN"/>
              </w:rPr>
              <w:t>0.</w:t>
            </w:r>
            <w:r>
              <w:rPr>
                <w:rFonts w:hint="eastAsia" w:cs="Times New Roman"/>
                <w:sz w:val="24"/>
                <w:szCs w:val="24"/>
                <w:u w:val="none" w:color="auto"/>
                <w:lang w:val="en-US" w:eastAsia="zh-CN"/>
              </w:rPr>
              <w:t>25</w:t>
            </w:r>
            <w:r>
              <w:rPr>
                <w:rFonts w:hint="default" w:ascii="Times New Roman" w:hAnsi="Times New Roman" w:cs="Times New Roman"/>
                <w:sz w:val="24"/>
                <w:szCs w:val="24"/>
                <w:u w:val="none" w:color="auto"/>
              </w:rPr>
              <w:t>t/a，</w:t>
            </w:r>
            <w:r>
              <w:rPr>
                <w:rFonts w:hint="eastAsia" w:ascii="Times New Roman" w:hAnsi="Times New Roman" w:cs="Times New Roman"/>
                <w:sz w:val="24"/>
                <w:szCs w:val="24"/>
                <w:u w:val="none" w:color="auto"/>
                <w:lang w:val="en-US" w:eastAsia="zh-CN"/>
              </w:rPr>
              <w:t>0.</w:t>
            </w:r>
            <w:r>
              <w:rPr>
                <w:rFonts w:hint="eastAsia" w:cs="Times New Roman"/>
                <w:sz w:val="24"/>
                <w:szCs w:val="24"/>
                <w:u w:val="none" w:color="auto"/>
                <w:lang w:val="en-US" w:eastAsia="zh-CN"/>
              </w:rPr>
              <w:t>104</w:t>
            </w:r>
            <w:r>
              <w:rPr>
                <w:rFonts w:hint="default" w:ascii="Times New Roman" w:hAnsi="Times New Roman" w:cs="Times New Roman"/>
                <w:sz w:val="24"/>
                <w:szCs w:val="24"/>
                <w:u w:val="none" w:color="auto"/>
              </w:rPr>
              <w:t>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11" w:type="dxa"/>
            <w:vMerge w:val="continue"/>
            <w:tcBorders>
              <w:tl2br w:val="nil"/>
              <w:tr2bl w:val="nil"/>
            </w:tcBorders>
            <w:vAlign w:val="center"/>
          </w:tcPr>
          <w:p>
            <w:pPr>
              <w:spacing w:line="360" w:lineRule="auto"/>
              <w:jc w:val="center"/>
              <w:rPr>
                <w:rFonts w:hint="default" w:ascii="Times New Roman" w:hAnsi="Times New Roman" w:cs="Times New Roman"/>
                <w:b/>
                <w:bCs/>
                <w:sz w:val="24"/>
                <w:szCs w:val="24"/>
                <w:u w:val="none" w:color="auto"/>
              </w:rPr>
            </w:pPr>
          </w:p>
        </w:tc>
        <w:tc>
          <w:tcPr>
            <w:tcW w:w="741" w:type="dxa"/>
            <w:vMerge w:val="continue"/>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p>
        </w:tc>
        <w:tc>
          <w:tcPr>
            <w:tcW w:w="1653" w:type="dxa"/>
            <w:tcBorders>
              <w:tl2br w:val="nil"/>
              <w:tr2bl w:val="nil"/>
            </w:tcBorders>
            <w:vAlign w:val="center"/>
          </w:tcPr>
          <w:p>
            <w:pPr>
              <w:spacing w:line="360" w:lineRule="auto"/>
              <w:jc w:val="center"/>
              <w:rPr>
                <w:rFonts w:hint="default" w:ascii="Times New Roman" w:hAnsi="Times New Roman" w:eastAsia="宋体" w:cs="Times New Roman"/>
                <w:kern w:val="2"/>
                <w:sz w:val="24"/>
                <w:szCs w:val="20"/>
                <w:u w:val="none" w:color="auto"/>
                <w:lang w:val="en-US" w:eastAsia="zh-CN" w:bidi="ar-SA"/>
              </w:rPr>
            </w:pPr>
            <w:r>
              <w:rPr>
                <w:rFonts w:hint="eastAsia" w:cs="Times New Roman"/>
                <w:kern w:val="2"/>
                <w:sz w:val="24"/>
                <w:szCs w:val="20"/>
                <w:u w:val="none" w:color="auto"/>
                <w:lang w:val="en-US" w:eastAsia="zh-CN" w:bidi="ar-SA"/>
              </w:rPr>
              <w:t>地面粉尘</w:t>
            </w:r>
          </w:p>
        </w:tc>
        <w:tc>
          <w:tcPr>
            <w:tcW w:w="6619" w:type="dxa"/>
            <w:gridSpan w:val="3"/>
            <w:tcBorders>
              <w:tl2br w:val="nil"/>
              <w:tr2bl w:val="nil"/>
            </w:tcBorders>
            <w:vAlign w:val="center"/>
          </w:tcPr>
          <w:p>
            <w:pPr>
              <w:spacing w:line="360" w:lineRule="auto"/>
              <w:jc w:val="center"/>
              <w:rPr>
                <w:rFonts w:hint="default" w:ascii="Times New Roman" w:hAnsi="Times New Roman" w:cs="Times New Roman"/>
                <w:sz w:val="24"/>
                <w:szCs w:val="24"/>
                <w:u w:val="none" w:color="auto"/>
                <w:lang w:val="en-US" w:eastAsia="zh-CN"/>
              </w:rPr>
            </w:pPr>
            <w:r>
              <w:rPr>
                <w:rFonts w:hint="eastAsia" w:cs="Times New Roman"/>
                <w:sz w:val="24"/>
                <w:szCs w:val="24"/>
                <w:u w:val="none" w:color="auto"/>
                <w:lang w:val="en-US" w:eastAsia="zh-CN"/>
              </w:rPr>
              <w:t>吸尘器吸尘处理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11" w:type="dxa"/>
            <w:vMerge w:val="restart"/>
            <w:tcBorders>
              <w:tl2br w:val="nil"/>
              <w:tr2bl w:val="nil"/>
            </w:tcBorders>
            <w:vAlign w:val="center"/>
          </w:tcPr>
          <w:p>
            <w:pPr>
              <w:spacing w:line="360" w:lineRule="auto"/>
              <w:jc w:val="center"/>
              <w:rPr>
                <w:rFonts w:hint="default" w:ascii="Times New Roman" w:hAnsi="Times New Roman" w:cs="Times New Roman"/>
                <w:b/>
                <w:bCs/>
                <w:sz w:val="24"/>
                <w:szCs w:val="24"/>
                <w:u w:val="none" w:color="auto"/>
              </w:rPr>
            </w:pPr>
            <w:r>
              <w:rPr>
                <w:rFonts w:hint="default" w:ascii="Times New Roman" w:hAnsi="Times New Roman" w:cs="Times New Roman"/>
                <w:b/>
                <w:bCs/>
                <w:sz w:val="24"/>
                <w:szCs w:val="24"/>
                <w:u w:val="none" w:color="auto"/>
              </w:rPr>
              <w:t>水污</w:t>
            </w:r>
          </w:p>
          <w:p>
            <w:pPr>
              <w:spacing w:line="360" w:lineRule="auto"/>
              <w:jc w:val="center"/>
              <w:rPr>
                <w:rFonts w:hint="default" w:ascii="Times New Roman" w:hAnsi="Times New Roman" w:cs="Times New Roman"/>
                <w:b/>
                <w:bCs/>
                <w:sz w:val="24"/>
                <w:szCs w:val="24"/>
                <w:u w:val="none" w:color="auto"/>
              </w:rPr>
            </w:pPr>
            <w:r>
              <w:rPr>
                <w:rFonts w:hint="default" w:ascii="Times New Roman" w:hAnsi="Times New Roman" w:cs="Times New Roman"/>
                <w:b/>
                <w:bCs/>
                <w:sz w:val="24"/>
                <w:szCs w:val="24"/>
                <w:u w:val="none" w:color="auto"/>
              </w:rPr>
              <w:t>染物</w:t>
            </w:r>
          </w:p>
        </w:tc>
        <w:tc>
          <w:tcPr>
            <w:tcW w:w="741" w:type="dxa"/>
            <w:vMerge w:val="restart"/>
            <w:tcBorders>
              <w:tl2br w:val="nil"/>
              <w:tr2bl w:val="nil"/>
            </w:tcBorders>
            <w:vAlign w:val="center"/>
          </w:tcPr>
          <w:p>
            <w:pPr>
              <w:tabs>
                <w:tab w:val="left" w:pos="4425"/>
              </w:tabs>
              <w:adjustRightInd w:val="0"/>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营</w:t>
            </w:r>
          </w:p>
          <w:p>
            <w:pPr>
              <w:tabs>
                <w:tab w:val="left" w:pos="4425"/>
              </w:tabs>
              <w:adjustRightInd w:val="0"/>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运</w:t>
            </w:r>
          </w:p>
          <w:p>
            <w:pPr>
              <w:tabs>
                <w:tab w:val="left" w:pos="4425"/>
              </w:tabs>
              <w:adjustRightInd w:val="0"/>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期</w:t>
            </w:r>
          </w:p>
        </w:tc>
        <w:tc>
          <w:tcPr>
            <w:tcW w:w="1653" w:type="dxa"/>
            <w:vMerge w:val="restart"/>
            <w:tcBorders>
              <w:tl2br w:val="nil"/>
              <w:tr2bl w:val="nil"/>
            </w:tcBorders>
            <w:vAlign w:val="center"/>
          </w:tcPr>
          <w:p>
            <w:pPr>
              <w:tabs>
                <w:tab w:val="left" w:pos="4425"/>
              </w:tabs>
              <w:adjustRightInd w:val="0"/>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生活污水</w:t>
            </w:r>
            <w:r>
              <w:rPr>
                <w:rFonts w:hint="eastAsia" w:cs="Times New Roman"/>
                <w:sz w:val="24"/>
                <w:szCs w:val="24"/>
                <w:u w:val="none" w:color="auto"/>
                <w:lang w:val="en-US" w:eastAsia="zh-CN"/>
              </w:rPr>
              <w:t>86.4</w:t>
            </w:r>
            <w:r>
              <w:rPr>
                <w:rFonts w:hint="default" w:ascii="Times New Roman" w:hAnsi="Times New Roman" w:cs="Times New Roman"/>
                <w:sz w:val="24"/>
                <w:szCs w:val="24"/>
                <w:u w:val="none" w:color="auto"/>
              </w:rPr>
              <w:t>m</w:t>
            </w:r>
            <w:r>
              <w:rPr>
                <w:rFonts w:hint="default" w:ascii="Times New Roman" w:hAnsi="Times New Roman" w:cs="Times New Roman"/>
                <w:sz w:val="24"/>
                <w:szCs w:val="24"/>
                <w:u w:val="none" w:color="auto"/>
                <w:vertAlign w:val="superscript"/>
              </w:rPr>
              <w:t>3</w:t>
            </w:r>
            <w:r>
              <w:rPr>
                <w:rFonts w:hint="default" w:ascii="Times New Roman" w:hAnsi="Times New Roman" w:cs="Times New Roman"/>
                <w:sz w:val="24"/>
                <w:szCs w:val="24"/>
                <w:u w:val="none" w:color="auto"/>
              </w:rPr>
              <w:t>/a</w:t>
            </w:r>
          </w:p>
          <w:p>
            <w:pPr>
              <w:spacing w:line="360" w:lineRule="auto"/>
              <w:jc w:val="center"/>
              <w:rPr>
                <w:rFonts w:hint="default" w:ascii="Times New Roman" w:hAnsi="Times New Roman" w:cs="Times New Roman"/>
                <w:sz w:val="24"/>
                <w:szCs w:val="24"/>
                <w:u w:val="none" w:color="auto"/>
              </w:rPr>
            </w:pPr>
          </w:p>
        </w:tc>
        <w:tc>
          <w:tcPr>
            <w:tcW w:w="1620" w:type="dxa"/>
            <w:tcBorders>
              <w:tl2br w:val="nil"/>
              <w:tr2bl w:val="nil"/>
            </w:tcBorders>
            <w:vAlign w:val="center"/>
          </w:tcPr>
          <w:p>
            <w:pPr>
              <w:tabs>
                <w:tab w:val="left" w:pos="4425"/>
              </w:tabs>
              <w:adjustRightInd w:val="0"/>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COD</w:t>
            </w:r>
          </w:p>
        </w:tc>
        <w:tc>
          <w:tcPr>
            <w:tcW w:w="2160" w:type="dxa"/>
            <w:tcBorders>
              <w:tl2br w:val="nil"/>
              <w:tr2bl w:val="nil"/>
            </w:tcBorders>
            <w:vAlign w:val="center"/>
          </w:tcPr>
          <w:p>
            <w:pPr>
              <w:adjustRightInd w:val="0"/>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300mg/L，0.0</w:t>
            </w:r>
            <w:r>
              <w:rPr>
                <w:rFonts w:hint="eastAsia" w:cs="Times New Roman"/>
                <w:sz w:val="24"/>
                <w:szCs w:val="24"/>
                <w:u w:val="none" w:color="auto"/>
                <w:lang w:val="en-US" w:eastAsia="zh-CN"/>
              </w:rPr>
              <w:t>26</w:t>
            </w:r>
            <w:r>
              <w:rPr>
                <w:rFonts w:hint="default" w:ascii="Times New Roman" w:hAnsi="Times New Roman" w:cs="Times New Roman"/>
                <w:sz w:val="24"/>
                <w:szCs w:val="24"/>
                <w:u w:val="none" w:color="auto"/>
              </w:rPr>
              <w:t xml:space="preserve"> t/a</w:t>
            </w:r>
          </w:p>
        </w:tc>
        <w:tc>
          <w:tcPr>
            <w:tcW w:w="2839" w:type="dxa"/>
            <w:vMerge w:val="restar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sz w:val="24"/>
                <w:szCs w:val="24"/>
                <w:u w:val="none" w:color="auto"/>
                <w:lang w:eastAsia="zh-CN"/>
              </w:rPr>
            </w:pPr>
            <w:r>
              <w:rPr>
                <w:rFonts w:hint="eastAsia" w:ascii="Times New Roman" w:hAnsi="Times New Roman" w:cs="Times New Roman"/>
                <w:sz w:val="24"/>
                <w:szCs w:val="24"/>
                <w:u w:val="none" w:color="auto"/>
                <w:lang w:eastAsia="zh-CN"/>
              </w:rPr>
              <w:t>经化粪池处理后回用于周边绿化施肥，不外排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11" w:type="dxa"/>
            <w:vMerge w:val="continue"/>
            <w:tcBorders>
              <w:tl2br w:val="nil"/>
              <w:tr2bl w:val="nil"/>
            </w:tcBorders>
            <w:vAlign w:val="center"/>
          </w:tcPr>
          <w:p>
            <w:pPr>
              <w:spacing w:line="360" w:lineRule="auto"/>
              <w:jc w:val="center"/>
              <w:rPr>
                <w:rFonts w:hint="default" w:ascii="Times New Roman" w:hAnsi="Times New Roman" w:cs="Times New Roman"/>
                <w:b/>
                <w:bCs/>
                <w:sz w:val="24"/>
                <w:szCs w:val="24"/>
                <w:u w:val="none" w:color="auto"/>
              </w:rPr>
            </w:pPr>
          </w:p>
        </w:tc>
        <w:tc>
          <w:tcPr>
            <w:tcW w:w="741" w:type="dxa"/>
            <w:vMerge w:val="continue"/>
            <w:tcBorders>
              <w:tl2br w:val="nil"/>
              <w:tr2bl w:val="nil"/>
            </w:tcBorders>
            <w:vAlign w:val="center"/>
          </w:tcPr>
          <w:p>
            <w:pPr>
              <w:tabs>
                <w:tab w:val="left" w:pos="4425"/>
              </w:tabs>
              <w:adjustRightInd w:val="0"/>
              <w:snapToGrid w:val="0"/>
              <w:spacing w:line="360" w:lineRule="auto"/>
              <w:jc w:val="center"/>
              <w:rPr>
                <w:rFonts w:hint="default" w:ascii="Times New Roman" w:hAnsi="Times New Roman" w:cs="Times New Roman"/>
                <w:sz w:val="24"/>
                <w:szCs w:val="24"/>
                <w:u w:val="none" w:color="auto"/>
              </w:rPr>
            </w:pPr>
          </w:p>
        </w:tc>
        <w:tc>
          <w:tcPr>
            <w:tcW w:w="1653" w:type="dxa"/>
            <w:vMerge w:val="continue"/>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p>
        </w:tc>
        <w:tc>
          <w:tcPr>
            <w:tcW w:w="1620" w:type="dxa"/>
            <w:tcBorders>
              <w:tl2br w:val="nil"/>
              <w:tr2bl w:val="nil"/>
            </w:tcBorders>
            <w:vAlign w:val="center"/>
          </w:tcPr>
          <w:p>
            <w:pPr>
              <w:tabs>
                <w:tab w:val="left" w:pos="4425"/>
              </w:tabs>
              <w:adjustRightInd w:val="0"/>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BOD</w:t>
            </w:r>
            <w:r>
              <w:rPr>
                <w:rFonts w:hint="default" w:ascii="Times New Roman" w:hAnsi="Times New Roman" w:cs="Times New Roman"/>
                <w:sz w:val="24"/>
                <w:szCs w:val="24"/>
                <w:u w:val="none" w:color="auto"/>
                <w:vertAlign w:val="subscript"/>
              </w:rPr>
              <w:t>5</w:t>
            </w:r>
          </w:p>
        </w:tc>
        <w:tc>
          <w:tcPr>
            <w:tcW w:w="2160" w:type="dxa"/>
            <w:tcBorders>
              <w:tl2br w:val="nil"/>
              <w:tr2bl w:val="nil"/>
            </w:tcBorders>
            <w:vAlign w:val="center"/>
          </w:tcPr>
          <w:p>
            <w:pPr>
              <w:adjustRightInd w:val="0"/>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200mg/L，0.0</w:t>
            </w:r>
            <w:r>
              <w:rPr>
                <w:rFonts w:hint="eastAsia" w:cs="Times New Roman"/>
                <w:sz w:val="24"/>
                <w:szCs w:val="24"/>
                <w:u w:val="none" w:color="auto"/>
                <w:lang w:val="en-US" w:eastAsia="zh-CN"/>
              </w:rPr>
              <w:t>17</w:t>
            </w:r>
            <w:r>
              <w:rPr>
                <w:rFonts w:hint="default" w:ascii="Times New Roman" w:hAnsi="Times New Roman" w:cs="Times New Roman"/>
                <w:sz w:val="24"/>
                <w:szCs w:val="24"/>
                <w:u w:val="none" w:color="auto"/>
              </w:rPr>
              <w:t xml:space="preserve"> t/a</w:t>
            </w:r>
          </w:p>
        </w:tc>
        <w:tc>
          <w:tcPr>
            <w:tcW w:w="2839" w:type="dxa"/>
            <w:vMerge w:val="continue"/>
            <w:tcBorders>
              <w:tl2br w:val="nil"/>
              <w:tr2bl w:val="nil"/>
            </w:tcBorders>
            <w:vAlign w:val="center"/>
          </w:tcPr>
          <w:p>
            <w:pPr>
              <w:adjustRightInd w:val="0"/>
              <w:snapToGrid w:val="0"/>
              <w:spacing w:line="360" w:lineRule="auto"/>
              <w:jc w:val="center"/>
              <w:rPr>
                <w:rFonts w:hint="default" w:ascii="Times New Roman" w:hAnsi="Times New Roman" w:cs="Times New Roman"/>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11" w:type="dxa"/>
            <w:vMerge w:val="continue"/>
            <w:tcBorders>
              <w:tl2br w:val="nil"/>
              <w:tr2bl w:val="nil"/>
            </w:tcBorders>
            <w:vAlign w:val="center"/>
          </w:tcPr>
          <w:p>
            <w:pPr>
              <w:spacing w:line="360" w:lineRule="auto"/>
              <w:jc w:val="center"/>
              <w:rPr>
                <w:rFonts w:hint="default" w:ascii="Times New Roman" w:hAnsi="Times New Roman" w:cs="Times New Roman"/>
                <w:b/>
                <w:bCs/>
                <w:sz w:val="24"/>
                <w:szCs w:val="24"/>
                <w:u w:val="none" w:color="auto"/>
              </w:rPr>
            </w:pPr>
          </w:p>
        </w:tc>
        <w:tc>
          <w:tcPr>
            <w:tcW w:w="741" w:type="dxa"/>
            <w:vMerge w:val="continue"/>
            <w:tcBorders>
              <w:tl2br w:val="nil"/>
              <w:tr2bl w:val="nil"/>
            </w:tcBorders>
            <w:vAlign w:val="center"/>
          </w:tcPr>
          <w:p>
            <w:pPr>
              <w:tabs>
                <w:tab w:val="left" w:pos="4425"/>
              </w:tabs>
              <w:adjustRightInd w:val="0"/>
              <w:snapToGrid w:val="0"/>
              <w:spacing w:line="360" w:lineRule="auto"/>
              <w:jc w:val="center"/>
              <w:rPr>
                <w:rFonts w:hint="default" w:ascii="Times New Roman" w:hAnsi="Times New Roman" w:cs="Times New Roman"/>
                <w:sz w:val="24"/>
                <w:szCs w:val="24"/>
                <w:u w:val="none" w:color="auto"/>
              </w:rPr>
            </w:pPr>
          </w:p>
        </w:tc>
        <w:tc>
          <w:tcPr>
            <w:tcW w:w="1653" w:type="dxa"/>
            <w:vMerge w:val="continue"/>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p>
        </w:tc>
        <w:tc>
          <w:tcPr>
            <w:tcW w:w="1620" w:type="dxa"/>
            <w:tcBorders>
              <w:tl2br w:val="nil"/>
              <w:tr2bl w:val="nil"/>
            </w:tcBorders>
            <w:vAlign w:val="center"/>
          </w:tcPr>
          <w:p>
            <w:pPr>
              <w:tabs>
                <w:tab w:val="left" w:pos="4425"/>
              </w:tabs>
              <w:adjustRightInd w:val="0"/>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SS</w:t>
            </w:r>
          </w:p>
        </w:tc>
        <w:tc>
          <w:tcPr>
            <w:tcW w:w="2160" w:type="dxa"/>
            <w:tcBorders>
              <w:tl2br w:val="nil"/>
              <w:tr2bl w:val="nil"/>
            </w:tcBorders>
            <w:vAlign w:val="center"/>
          </w:tcPr>
          <w:p>
            <w:pPr>
              <w:adjustRightInd w:val="0"/>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250mg/L，0.0</w:t>
            </w:r>
            <w:r>
              <w:rPr>
                <w:rFonts w:hint="eastAsia" w:cs="Times New Roman"/>
                <w:sz w:val="24"/>
                <w:szCs w:val="24"/>
                <w:u w:val="none" w:color="auto"/>
                <w:lang w:val="en-US" w:eastAsia="zh-CN"/>
              </w:rPr>
              <w:t>22</w:t>
            </w:r>
            <w:r>
              <w:rPr>
                <w:rFonts w:hint="default" w:ascii="Times New Roman" w:hAnsi="Times New Roman" w:cs="Times New Roman"/>
                <w:sz w:val="24"/>
                <w:szCs w:val="24"/>
                <w:u w:val="none" w:color="auto"/>
              </w:rPr>
              <w:t xml:space="preserve"> t/a</w:t>
            </w:r>
          </w:p>
        </w:tc>
        <w:tc>
          <w:tcPr>
            <w:tcW w:w="2839" w:type="dxa"/>
            <w:vMerge w:val="continue"/>
            <w:tcBorders>
              <w:tl2br w:val="nil"/>
              <w:tr2bl w:val="nil"/>
            </w:tcBorders>
            <w:vAlign w:val="center"/>
          </w:tcPr>
          <w:p>
            <w:pPr>
              <w:adjustRightInd w:val="0"/>
              <w:snapToGrid w:val="0"/>
              <w:spacing w:line="360" w:lineRule="auto"/>
              <w:jc w:val="center"/>
              <w:rPr>
                <w:rFonts w:hint="default" w:ascii="Times New Roman" w:hAnsi="Times New Roman" w:cs="Times New Roman"/>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27" w:hRule="atLeast"/>
          <w:jc w:val="center"/>
        </w:trPr>
        <w:tc>
          <w:tcPr>
            <w:tcW w:w="711" w:type="dxa"/>
            <w:vMerge w:val="continue"/>
            <w:tcBorders>
              <w:tl2br w:val="nil"/>
              <w:tr2bl w:val="nil"/>
            </w:tcBorders>
            <w:vAlign w:val="center"/>
          </w:tcPr>
          <w:p>
            <w:pPr>
              <w:spacing w:line="360" w:lineRule="auto"/>
              <w:jc w:val="center"/>
              <w:rPr>
                <w:rFonts w:hint="default" w:ascii="Times New Roman" w:hAnsi="Times New Roman" w:cs="Times New Roman"/>
                <w:b/>
                <w:bCs/>
                <w:sz w:val="24"/>
                <w:szCs w:val="24"/>
                <w:u w:val="none" w:color="auto"/>
              </w:rPr>
            </w:pPr>
          </w:p>
        </w:tc>
        <w:tc>
          <w:tcPr>
            <w:tcW w:w="741" w:type="dxa"/>
            <w:vMerge w:val="continue"/>
            <w:tcBorders>
              <w:tl2br w:val="nil"/>
              <w:tr2bl w:val="nil"/>
            </w:tcBorders>
            <w:vAlign w:val="center"/>
          </w:tcPr>
          <w:p>
            <w:pPr>
              <w:tabs>
                <w:tab w:val="left" w:pos="4425"/>
              </w:tabs>
              <w:adjustRightInd w:val="0"/>
              <w:snapToGrid w:val="0"/>
              <w:spacing w:line="360" w:lineRule="auto"/>
              <w:jc w:val="center"/>
              <w:rPr>
                <w:rFonts w:hint="default" w:ascii="Times New Roman" w:hAnsi="Times New Roman" w:cs="Times New Roman"/>
                <w:sz w:val="24"/>
                <w:szCs w:val="24"/>
                <w:u w:val="none" w:color="auto"/>
              </w:rPr>
            </w:pPr>
          </w:p>
        </w:tc>
        <w:tc>
          <w:tcPr>
            <w:tcW w:w="1653" w:type="dxa"/>
            <w:vMerge w:val="continue"/>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p>
        </w:tc>
        <w:tc>
          <w:tcPr>
            <w:tcW w:w="1620" w:type="dxa"/>
            <w:tcBorders>
              <w:tl2br w:val="nil"/>
              <w:tr2bl w:val="nil"/>
            </w:tcBorders>
            <w:vAlign w:val="center"/>
          </w:tcPr>
          <w:p>
            <w:pPr>
              <w:tabs>
                <w:tab w:val="left" w:pos="4425"/>
              </w:tabs>
              <w:adjustRightInd w:val="0"/>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NH</w:t>
            </w:r>
            <w:r>
              <w:rPr>
                <w:rFonts w:hint="default" w:ascii="Times New Roman" w:hAnsi="Times New Roman" w:cs="Times New Roman"/>
                <w:sz w:val="24"/>
                <w:szCs w:val="24"/>
                <w:u w:val="none" w:color="auto"/>
                <w:vertAlign w:val="subscript"/>
              </w:rPr>
              <w:t>3</w:t>
            </w:r>
            <w:r>
              <w:rPr>
                <w:rFonts w:hint="default" w:ascii="Times New Roman" w:hAnsi="Times New Roman" w:cs="Times New Roman"/>
                <w:sz w:val="24"/>
                <w:szCs w:val="24"/>
                <w:u w:val="none" w:color="auto"/>
              </w:rPr>
              <w:t>-N</w:t>
            </w:r>
          </w:p>
        </w:tc>
        <w:tc>
          <w:tcPr>
            <w:tcW w:w="2160" w:type="dxa"/>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30mg/L，0.00</w:t>
            </w:r>
            <w:r>
              <w:rPr>
                <w:rFonts w:hint="eastAsia" w:cs="Times New Roman"/>
                <w:sz w:val="24"/>
                <w:szCs w:val="24"/>
                <w:u w:val="none" w:color="auto"/>
                <w:lang w:val="en-US" w:eastAsia="zh-CN"/>
              </w:rPr>
              <w:t>2</w:t>
            </w:r>
            <w:r>
              <w:rPr>
                <w:rFonts w:hint="default" w:ascii="Times New Roman" w:hAnsi="Times New Roman" w:cs="Times New Roman"/>
                <w:sz w:val="24"/>
                <w:szCs w:val="24"/>
                <w:u w:val="none" w:color="auto"/>
              </w:rPr>
              <w:t>6t/a</w:t>
            </w:r>
          </w:p>
        </w:tc>
        <w:tc>
          <w:tcPr>
            <w:tcW w:w="2839" w:type="dxa"/>
            <w:vMerge w:val="continue"/>
            <w:tcBorders>
              <w:tl2br w:val="nil"/>
              <w:tr2bl w:val="nil"/>
            </w:tcBorders>
            <w:vAlign w:val="center"/>
          </w:tcPr>
          <w:p>
            <w:pPr>
              <w:adjustRightInd w:val="0"/>
              <w:snapToGrid w:val="0"/>
              <w:spacing w:line="360" w:lineRule="auto"/>
              <w:jc w:val="center"/>
              <w:rPr>
                <w:rFonts w:hint="default" w:ascii="Times New Roman" w:hAnsi="Times New Roman" w:cs="Times New Roman"/>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11" w:type="dxa"/>
            <w:vMerge w:val="restart"/>
            <w:tcBorders>
              <w:tl2br w:val="nil"/>
              <w:tr2bl w:val="nil"/>
            </w:tcBorders>
            <w:vAlign w:val="center"/>
          </w:tcPr>
          <w:p>
            <w:pPr>
              <w:spacing w:line="360" w:lineRule="auto"/>
              <w:jc w:val="center"/>
              <w:rPr>
                <w:rFonts w:hint="default" w:ascii="Times New Roman" w:hAnsi="Times New Roman" w:cs="Times New Roman"/>
                <w:b/>
                <w:bCs/>
                <w:sz w:val="24"/>
                <w:szCs w:val="24"/>
                <w:u w:val="none" w:color="auto"/>
              </w:rPr>
            </w:pPr>
            <w:r>
              <w:rPr>
                <w:rFonts w:hint="default" w:ascii="Times New Roman" w:hAnsi="Times New Roman" w:cs="Times New Roman"/>
                <w:b/>
                <w:bCs/>
                <w:sz w:val="24"/>
                <w:szCs w:val="24"/>
                <w:u w:val="none" w:color="auto"/>
              </w:rPr>
              <w:t>固体</w:t>
            </w:r>
          </w:p>
          <w:p>
            <w:pPr>
              <w:spacing w:line="360" w:lineRule="auto"/>
              <w:jc w:val="center"/>
              <w:rPr>
                <w:rFonts w:hint="default" w:ascii="Times New Roman" w:hAnsi="Times New Roman" w:cs="Times New Roman"/>
                <w:b/>
                <w:bCs/>
                <w:sz w:val="24"/>
                <w:szCs w:val="24"/>
                <w:u w:val="none" w:color="auto"/>
              </w:rPr>
            </w:pPr>
            <w:r>
              <w:rPr>
                <w:rFonts w:hint="default" w:ascii="Times New Roman" w:hAnsi="Times New Roman" w:cs="Times New Roman"/>
                <w:b/>
                <w:bCs/>
                <w:sz w:val="24"/>
                <w:szCs w:val="24"/>
                <w:u w:val="none" w:color="auto"/>
              </w:rPr>
              <w:t>废物</w:t>
            </w:r>
          </w:p>
        </w:tc>
        <w:tc>
          <w:tcPr>
            <w:tcW w:w="741" w:type="dxa"/>
            <w:vMerge w:val="restart"/>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营运期</w:t>
            </w:r>
          </w:p>
        </w:tc>
        <w:tc>
          <w:tcPr>
            <w:tcW w:w="1653" w:type="dxa"/>
            <w:vMerge w:val="restart"/>
            <w:tcBorders>
              <w:tl2br w:val="nil"/>
              <w:tr2bl w:val="nil"/>
            </w:tcBorders>
            <w:vAlign w:val="center"/>
          </w:tcPr>
          <w:p>
            <w:pPr>
              <w:spacing w:line="360" w:lineRule="auto"/>
              <w:ind w:firstLine="231" w:firstLineChars="1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加工车间</w:t>
            </w:r>
          </w:p>
        </w:tc>
        <w:tc>
          <w:tcPr>
            <w:tcW w:w="1620" w:type="dxa"/>
            <w:tcBorders>
              <w:tl2br w:val="nil"/>
              <w:tr2bl w:val="nil"/>
            </w:tcBorders>
            <w:vAlign w:val="center"/>
          </w:tcPr>
          <w:p>
            <w:pPr>
              <w:spacing w:line="360" w:lineRule="auto"/>
              <w:jc w:val="center"/>
              <w:rPr>
                <w:rFonts w:hint="eastAsia" w:ascii="Times New Roman" w:hAnsi="Times New Roman" w:eastAsia="宋体" w:cs="Times New Roman"/>
                <w:sz w:val="24"/>
                <w:szCs w:val="24"/>
                <w:u w:val="none" w:color="auto"/>
                <w:lang w:eastAsia="zh-CN"/>
              </w:rPr>
            </w:pPr>
            <w:r>
              <w:rPr>
                <w:rFonts w:hint="eastAsia" w:ascii="Times New Roman" w:hAnsi="Times New Roman" w:cs="Times New Roman"/>
                <w:sz w:val="24"/>
                <w:szCs w:val="24"/>
                <w:u w:val="none" w:color="auto"/>
                <w:lang w:eastAsia="zh-CN"/>
              </w:rPr>
              <w:t>废边角料</w:t>
            </w:r>
          </w:p>
        </w:tc>
        <w:tc>
          <w:tcPr>
            <w:tcW w:w="2160" w:type="dxa"/>
            <w:tcBorders>
              <w:tl2br w:val="nil"/>
              <w:tr2bl w:val="nil"/>
            </w:tcBorders>
            <w:vAlign w:val="center"/>
          </w:tcPr>
          <w:p>
            <w:pPr>
              <w:spacing w:line="360" w:lineRule="auto"/>
              <w:jc w:val="center"/>
              <w:rPr>
                <w:rFonts w:hint="default" w:ascii="Times New Roman" w:hAnsi="Times New Roman" w:eastAsia="宋体" w:cs="Times New Roman"/>
                <w:sz w:val="24"/>
                <w:szCs w:val="24"/>
                <w:u w:val="none" w:color="auto"/>
                <w:lang w:eastAsia="zh-CN"/>
              </w:rPr>
            </w:pPr>
            <w:r>
              <w:rPr>
                <w:rFonts w:hint="eastAsia" w:cs="Times New Roman"/>
                <w:sz w:val="24"/>
                <w:szCs w:val="24"/>
                <w:u w:val="none" w:color="auto"/>
                <w:lang w:val="en-US" w:eastAsia="zh-CN"/>
              </w:rPr>
              <w:t>1.8</w:t>
            </w:r>
            <w:r>
              <w:rPr>
                <w:rFonts w:hint="default" w:ascii="Times New Roman" w:hAnsi="Times New Roman" w:cs="Times New Roman"/>
                <w:sz w:val="24"/>
                <w:szCs w:val="24"/>
                <w:u w:val="none" w:color="auto"/>
                <w:lang w:eastAsia="zh-CN"/>
              </w:rPr>
              <w:t>t/a</w:t>
            </w:r>
          </w:p>
        </w:tc>
        <w:tc>
          <w:tcPr>
            <w:tcW w:w="2839" w:type="dxa"/>
            <w:vMerge w:val="restart"/>
            <w:tcBorders>
              <w:tl2br w:val="nil"/>
              <w:tr2bl w:val="nil"/>
            </w:tcBorders>
            <w:vAlign w:val="center"/>
          </w:tcPr>
          <w:p>
            <w:pPr>
              <w:spacing w:line="360" w:lineRule="auto"/>
              <w:jc w:val="center"/>
              <w:rPr>
                <w:rFonts w:hint="default" w:ascii="Times New Roman" w:hAnsi="Times New Roman" w:eastAsia="宋体" w:cs="Times New Roman"/>
                <w:sz w:val="24"/>
                <w:szCs w:val="24"/>
                <w:u w:val="none" w:color="auto"/>
                <w:lang w:eastAsia="zh-CN"/>
              </w:rPr>
            </w:pPr>
            <w:r>
              <w:rPr>
                <w:rFonts w:hint="default" w:ascii="Times New Roman" w:hAnsi="Times New Roman" w:cs="Times New Roman"/>
                <w:sz w:val="24"/>
                <w:szCs w:val="24"/>
                <w:u w:val="none" w:color="auto"/>
                <w:lang w:eastAsia="zh-CN"/>
              </w:rPr>
              <w:t>收集后外售</w:t>
            </w:r>
            <w:r>
              <w:rPr>
                <w:rFonts w:hint="eastAsia" w:ascii="Times New Roman" w:hAnsi="Times New Roman" w:cs="Times New Roman"/>
                <w:sz w:val="24"/>
                <w:szCs w:val="24"/>
                <w:u w:val="none" w:color="auto"/>
                <w:lang w:eastAsia="zh-CN"/>
              </w:rPr>
              <w:t>综合利用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11" w:type="dxa"/>
            <w:vMerge w:val="continue"/>
            <w:tcBorders>
              <w:tl2br w:val="nil"/>
              <w:tr2bl w:val="nil"/>
            </w:tcBorders>
            <w:vAlign w:val="center"/>
          </w:tcPr>
          <w:p>
            <w:pPr>
              <w:spacing w:line="360" w:lineRule="auto"/>
              <w:jc w:val="center"/>
              <w:rPr>
                <w:rFonts w:hint="default" w:ascii="Times New Roman" w:hAnsi="Times New Roman" w:cs="Times New Roman"/>
                <w:b/>
                <w:bCs/>
                <w:sz w:val="24"/>
                <w:szCs w:val="24"/>
                <w:u w:val="none" w:color="auto"/>
              </w:rPr>
            </w:pPr>
          </w:p>
        </w:tc>
        <w:tc>
          <w:tcPr>
            <w:tcW w:w="741" w:type="dxa"/>
            <w:vMerge w:val="continue"/>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p>
        </w:tc>
        <w:tc>
          <w:tcPr>
            <w:tcW w:w="1653" w:type="dxa"/>
            <w:vMerge w:val="continue"/>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p>
        </w:tc>
        <w:tc>
          <w:tcPr>
            <w:tcW w:w="1620" w:type="dxa"/>
            <w:tcBorders>
              <w:tl2br w:val="nil"/>
              <w:tr2bl w:val="nil"/>
            </w:tcBorders>
            <w:vAlign w:val="center"/>
          </w:tcPr>
          <w:p>
            <w:pPr>
              <w:spacing w:line="360" w:lineRule="auto"/>
              <w:jc w:val="center"/>
              <w:rPr>
                <w:rFonts w:hint="eastAsia" w:ascii="Times New Roman" w:hAnsi="Times New Roman" w:eastAsia="宋体" w:cs="Times New Roman"/>
                <w:sz w:val="24"/>
                <w:szCs w:val="24"/>
                <w:u w:val="none" w:color="auto"/>
                <w:lang w:eastAsia="zh-CN"/>
              </w:rPr>
            </w:pPr>
            <w:r>
              <w:rPr>
                <w:rFonts w:hint="eastAsia" w:ascii="Times New Roman" w:hAnsi="Times New Roman" w:cs="Times New Roman"/>
                <w:sz w:val="24"/>
                <w:szCs w:val="24"/>
                <w:u w:val="none" w:color="auto"/>
                <w:lang w:eastAsia="zh-CN"/>
              </w:rPr>
              <w:t>除尘器收集的粉尘</w:t>
            </w:r>
          </w:p>
        </w:tc>
        <w:tc>
          <w:tcPr>
            <w:tcW w:w="2160" w:type="dxa"/>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r>
              <w:rPr>
                <w:rFonts w:hint="eastAsia" w:cs="Times New Roman"/>
                <w:sz w:val="24"/>
                <w:szCs w:val="24"/>
                <w:u w:val="none" w:color="auto"/>
                <w:lang w:val="en-US" w:eastAsia="zh-CN"/>
              </w:rPr>
              <w:t>0.191</w:t>
            </w:r>
            <w:r>
              <w:rPr>
                <w:rFonts w:hint="default" w:ascii="Times New Roman" w:hAnsi="Times New Roman" w:cs="Times New Roman"/>
                <w:sz w:val="24"/>
                <w:szCs w:val="24"/>
                <w:u w:val="none" w:color="auto"/>
              </w:rPr>
              <w:t>t/a</w:t>
            </w:r>
          </w:p>
        </w:tc>
        <w:tc>
          <w:tcPr>
            <w:tcW w:w="2839" w:type="dxa"/>
            <w:vMerge w:val="continue"/>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11" w:type="dxa"/>
            <w:vMerge w:val="continue"/>
            <w:tcBorders>
              <w:tl2br w:val="nil"/>
              <w:tr2bl w:val="nil"/>
            </w:tcBorders>
            <w:vAlign w:val="center"/>
          </w:tcPr>
          <w:p>
            <w:pPr>
              <w:spacing w:line="360" w:lineRule="auto"/>
              <w:jc w:val="center"/>
              <w:rPr>
                <w:rFonts w:hint="default" w:ascii="Times New Roman" w:hAnsi="Times New Roman" w:cs="Times New Roman"/>
                <w:b/>
                <w:bCs/>
                <w:sz w:val="24"/>
                <w:szCs w:val="24"/>
                <w:u w:val="none" w:color="auto"/>
              </w:rPr>
            </w:pPr>
          </w:p>
        </w:tc>
        <w:tc>
          <w:tcPr>
            <w:tcW w:w="741" w:type="dxa"/>
            <w:vMerge w:val="continue"/>
            <w:tcBorders>
              <w:tl2br w:val="nil"/>
              <w:tr2bl w:val="nil"/>
            </w:tcBorders>
            <w:vAlign w:val="center"/>
          </w:tcPr>
          <w:p>
            <w:pPr>
              <w:spacing w:line="360" w:lineRule="auto"/>
              <w:jc w:val="center"/>
              <w:rPr>
                <w:rFonts w:hint="default" w:ascii="Times New Roman" w:hAnsi="Times New Roman" w:cs="Times New Roman"/>
                <w:b/>
                <w:bCs/>
                <w:sz w:val="24"/>
                <w:szCs w:val="24"/>
                <w:u w:val="none" w:color="auto"/>
              </w:rPr>
            </w:pPr>
          </w:p>
        </w:tc>
        <w:tc>
          <w:tcPr>
            <w:tcW w:w="1653" w:type="dxa"/>
            <w:vMerge w:val="continue"/>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p>
        </w:tc>
        <w:tc>
          <w:tcPr>
            <w:tcW w:w="1620" w:type="dxa"/>
            <w:tcBorders>
              <w:tl2br w:val="nil"/>
              <w:tr2bl w:val="nil"/>
            </w:tcBorders>
            <w:vAlign w:val="center"/>
          </w:tcPr>
          <w:p>
            <w:pPr>
              <w:spacing w:line="360" w:lineRule="auto"/>
              <w:jc w:val="center"/>
              <w:rPr>
                <w:rFonts w:hint="default" w:ascii="Times New Roman" w:hAnsi="Times New Roman" w:eastAsia="宋体" w:cs="Times New Roman"/>
                <w:sz w:val="24"/>
                <w:szCs w:val="24"/>
                <w:u w:val="none" w:color="auto"/>
                <w:lang w:eastAsia="zh-CN"/>
              </w:rPr>
            </w:pPr>
            <w:r>
              <w:rPr>
                <w:rFonts w:hint="eastAsia" w:cs="Times New Roman"/>
                <w:sz w:val="24"/>
                <w:szCs w:val="24"/>
                <w:u w:val="none" w:color="auto"/>
                <w:lang w:eastAsia="zh-CN"/>
              </w:rPr>
              <w:t>废白乳胶包装材料</w:t>
            </w:r>
          </w:p>
        </w:tc>
        <w:tc>
          <w:tcPr>
            <w:tcW w:w="2160" w:type="dxa"/>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lang w:val="en-US" w:eastAsia="zh-CN"/>
              </w:rPr>
              <w:t>0.</w:t>
            </w:r>
            <w:r>
              <w:rPr>
                <w:rFonts w:hint="eastAsia" w:cs="Times New Roman"/>
                <w:sz w:val="24"/>
                <w:szCs w:val="24"/>
                <w:u w:val="none" w:color="auto"/>
                <w:lang w:val="en-US" w:eastAsia="zh-CN"/>
              </w:rPr>
              <w:t>3</w:t>
            </w:r>
            <w:r>
              <w:rPr>
                <w:rFonts w:hint="default" w:ascii="Times New Roman" w:hAnsi="Times New Roman" w:cs="Times New Roman"/>
                <w:sz w:val="24"/>
                <w:szCs w:val="24"/>
                <w:u w:val="none" w:color="auto"/>
                <w:lang w:val="en-US" w:eastAsia="zh-CN"/>
              </w:rPr>
              <w:t>4</w:t>
            </w:r>
            <w:r>
              <w:rPr>
                <w:rFonts w:hint="default" w:ascii="Times New Roman" w:hAnsi="Times New Roman" w:cs="Times New Roman"/>
                <w:sz w:val="24"/>
                <w:szCs w:val="24"/>
                <w:u w:val="none" w:color="auto"/>
              </w:rPr>
              <w:t>t/a</w:t>
            </w:r>
          </w:p>
        </w:tc>
        <w:tc>
          <w:tcPr>
            <w:tcW w:w="2839" w:type="dxa"/>
            <w:tcBorders>
              <w:tl2br w:val="nil"/>
              <w:tr2bl w:val="nil"/>
            </w:tcBorders>
            <w:vAlign w:val="center"/>
          </w:tcPr>
          <w:p>
            <w:pPr>
              <w:spacing w:line="360" w:lineRule="auto"/>
              <w:jc w:val="center"/>
              <w:rPr>
                <w:rFonts w:hint="default" w:ascii="Times New Roman" w:hAnsi="Times New Roman" w:cs="Times New Roman"/>
                <w:sz w:val="24"/>
                <w:szCs w:val="24"/>
                <w:u w:val="none" w:color="auto"/>
                <w:lang w:val="en-US"/>
              </w:rPr>
            </w:pPr>
            <w:r>
              <w:rPr>
                <w:rFonts w:hint="default" w:ascii="Times New Roman" w:hAnsi="Times New Roman" w:cs="Times New Roman"/>
                <w:sz w:val="24"/>
                <w:szCs w:val="24"/>
                <w:u w:val="none" w:color="auto"/>
              </w:rPr>
              <w:t>暂存危废暂存间，定期交由</w:t>
            </w:r>
            <w:r>
              <w:rPr>
                <w:rFonts w:hint="default" w:ascii="Times New Roman" w:hAnsi="Times New Roman" w:cs="Times New Roman"/>
                <w:sz w:val="24"/>
                <w:szCs w:val="24"/>
                <w:u w:val="none" w:color="auto"/>
                <w:lang w:eastAsia="zh-CN"/>
              </w:rPr>
              <w:t>生产厂家回收</w:t>
            </w:r>
            <w:r>
              <w:rPr>
                <w:rFonts w:hint="eastAsia" w:cs="Times New Roman"/>
                <w:sz w:val="24"/>
                <w:szCs w:val="24"/>
                <w:u w:val="none" w:color="auto"/>
                <w:lang w:val="en-US" w:eastAsia="zh-CN"/>
              </w:rPr>
              <w:t>或者交由有资质单位进行处理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11" w:type="dxa"/>
            <w:vMerge w:val="continue"/>
            <w:tcBorders>
              <w:tl2br w:val="nil"/>
              <w:tr2bl w:val="nil"/>
            </w:tcBorders>
            <w:vAlign w:val="center"/>
          </w:tcPr>
          <w:p>
            <w:pPr>
              <w:spacing w:line="360" w:lineRule="auto"/>
              <w:jc w:val="center"/>
              <w:rPr>
                <w:rFonts w:hint="default" w:ascii="Times New Roman" w:hAnsi="Times New Roman" w:cs="Times New Roman"/>
                <w:b/>
                <w:bCs/>
                <w:sz w:val="24"/>
                <w:szCs w:val="24"/>
                <w:u w:val="none" w:color="auto"/>
              </w:rPr>
            </w:pPr>
          </w:p>
        </w:tc>
        <w:tc>
          <w:tcPr>
            <w:tcW w:w="741" w:type="dxa"/>
            <w:vMerge w:val="continue"/>
            <w:tcBorders>
              <w:tl2br w:val="nil"/>
              <w:tr2bl w:val="nil"/>
            </w:tcBorders>
            <w:vAlign w:val="center"/>
          </w:tcPr>
          <w:p>
            <w:pPr>
              <w:spacing w:line="360" w:lineRule="auto"/>
              <w:jc w:val="center"/>
              <w:rPr>
                <w:rFonts w:hint="default" w:ascii="Times New Roman" w:hAnsi="Times New Roman" w:cs="Times New Roman"/>
                <w:b/>
                <w:bCs/>
                <w:sz w:val="24"/>
                <w:szCs w:val="24"/>
                <w:u w:val="none" w:color="auto"/>
              </w:rPr>
            </w:pPr>
          </w:p>
        </w:tc>
        <w:tc>
          <w:tcPr>
            <w:tcW w:w="1653" w:type="dxa"/>
            <w:vMerge w:val="continue"/>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p>
        </w:tc>
        <w:tc>
          <w:tcPr>
            <w:tcW w:w="1620" w:type="dxa"/>
            <w:tcBorders>
              <w:tl2br w:val="nil"/>
              <w:tr2bl w:val="nil"/>
            </w:tcBorders>
            <w:vAlign w:val="center"/>
          </w:tcPr>
          <w:p>
            <w:pPr>
              <w:spacing w:line="360" w:lineRule="auto"/>
              <w:jc w:val="center"/>
              <w:rPr>
                <w:rFonts w:hint="default" w:ascii="Times New Roman" w:hAnsi="Times New Roman" w:cs="Times New Roman"/>
                <w:sz w:val="24"/>
                <w:szCs w:val="24"/>
                <w:u w:val="none" w:color="auto"/>
                <w:lang w:eastAsia="zh-CN"/>
              </w:rPr>
            </w:pPr>
            <w:r>
              <w:rPr>
                <w:rFonts w:hint="eastAsia" w:ascii="Times New Roman" w:hAnsi="Times New Roman" w:cs="Times New Roman"/>
                <w:sz w:val="24"/>
                <w:szCs w:val="24"/>
                <w:u w:val="none" w:color="auto"/>
                <w:lang w:eastAsia="zh-CN"/>
              </w:rPr>
              <w:t>废包装材料</w:t>
            </w:r>
          </w:p>
        </w:tc>
        <w:tc>
          <w:tcPr>
            <w:tcW w:w="2160" w:type="dxa"/>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lang w:val="en-US" w:eastAsia="zh-CN"/>
              </w:rPr>
              <w:t>0.0</w:t>
            </w:r>
            <w:r>
              <w:rPr>
                <w:rFonts w:hint="eastAsia" w:ascii="Times New Roman" w:hAnsi="Times New Roman" w:cs="Times New Roman"/>
                <w:sz w:val="24"/>
                <w:szCs w:val="24"/>
                <w:u w:val="none" w:color="auto"/>
                <w:lang w:val="en-US" w:eastAsia="zh-CN"/>
              </w:rPr>
              <w:t>8</w:t>
            </w:r>
            <w:r>
              <w:rPr>
                <w:rFonts w:hint="default" w:ascii="Times New Roman" w:hAnsi="Times New Roman" w:cs="Times New Roman"/>
                <w:sz w:val="24"/>
                <w:szCs w:val="24"/>
                <w:u w:val="none" w:color="auto"/>
              </w:rPr>
              <w:t>t/a</w:t>
            </w:r>
          </w:p>
        </w:tc>
        <w:tc>
          <w:tcPr>
            <w:tcW w:w="2839" w:type="dxa"/>
            <w:tcBorders>
              <w:tl2br w:val="nil"/>
              <w:tr2bl w:val="nil"/>
            </w:tcBorders>
            <w:vAlign w:val="center"/>
          </w:tcPr>
          <w:p>
            <w:pPr>
              <w:spacing w:line="360" w:lineRule="auto"/>
              <w:jc w:val="center"/>
              <w:rPr>
                <w:rFonts w:hint="default" w:ascii="Times New Roman" w:hAnsi="Times New Roman" w:eastAsia="宋体" w:cs="Times New Roman"/>
                <w:sz w:val="24"/>
                <w:szCs w:val="24"/>
                <w:u w:val="none" w:color="auto"/>
                <w:lang w:eastAsia="zh-CN"/>
              </w:rPr>
            </w:pPr>
            <w:r>
              <w:rPr>
                <w:rFonts w:hint="default" w:ascii="Times New Roman" w:hAnsi="Times New Roman" w:cs="Times New Roman"/>
                <w:sz w:val="24"/>
                <w:szCs w:val="24"/>
                <w:u w:val="none" w:color="auto"/>
                <w:lang w:eastAsia="zh-CN"/>
              </w:rPr>
              <w:t>收集后</w:t>
            </w:r>
            <w:r>
              <w:rPr>
                <w:rFonts w:hint="eastAsia" w:ascii="Times New Roman" w:hAnsi="Times New Roman" w:cs="Times New Roman"/>
                <w:sz w:val="24"/>
                <w:szCs w:val="24"/>
                <w:u w:val="none" w:color="auto"/>
                <w:lang w:eastAsia="zh-CN"/>
              </w:rPr>
              <w:t>外售废品回收站综合利用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1" w:type="dxa"/>
            <w:vMerge w:val="continue"/>
            <w:tcBorders>
              <w:tl2br w:val="nil"/>
              <w:tr2bl w:val="nil"/>
            </w:tcBorders>
            <w:vAlign w:val="center"/>
          </w:tcPr>
          <w:p>
            <w:pPr>
              <w:spacing w:line="360" w:lineRule="auto"/>
              <w:jc w:val="center"/>
              <w:rPr>
                <w:rFonts w:hint="default" w:ascii="Times New Roman" w:hAnsi="Times New Roman" w:cs="Times New Roman"/>
                <w:b/>
                <w:bCs/>
                <w:sz w:val="24"/>
                <w:szCs w:val="24"/>
                <w:u w:val="none" w:color="auto"/>
              </w:rPr>
            </w:pPr>
          </w:p>
        </w:tc>
        <w:tc>
          <w:tcPr>
            <w:tcW w:w="741" w:type="dxa"/>
            <w:vMerge w:val="continue"/>
            <w:tcBorders>
              <w:tl2br w:val="nil"/>
              <w:tr2bl w:val="nil"/>
            </w:tcBorders>
            <w:vAlign w:val="center"/>
          </w:tcPr>
          <w:p>
            <w:pPr>
              <w:spacing w:line="360" w:lineRule="auto"/>
              <w:jc w:val="center"/>
              <w:rPr>
                <w:rFonts w:hint="default" w:ascii="Times New Roman" w:hAnsi="Times New Roman" w:cs="Times New Roman"/>
                <w:b/>
                <w:bCs/>
                <w:sz w:val="24"/>
                <w:szCs w:val="24"/>
                <w:u w:val="none" w:color="auto"/>
              </w:rPr>
            </w:pPr>
          </w:p>
        </w:tc>
        <w:tc>
          <w:tcPr>
            <w:tcW w:w="1653" w:type="dxa"/>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职工</w:t>
            </w:r>
          </w:p>
        </w:tc>
        <w:tc>
          <w:tcPr>
            <w:tcW w:w="1620" w:type="dxa"/>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生活垃圾</w:t>
            </w:r>
          </w:p>
        </w:tc>
        <w:tc>
          <w:tcPr>
            <w:tcW w:w="2160" w:type="dxa"/>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1.</w:t>
            </w:r>
            <w:r>
              <w:rPr>
                <w:rFonts w:hint="eastAsia" w:cs="Times New Roman"/>
                <w:sz w:val="24"/>
                <w:szCs w:val="24"/>
                <w:u w:val="none" w:color="auto"/>
                <w:lang w:val="en-US" w:eastAsia="zh-CN"/>
              </w:rPr>
              <w:t>2</w:t>
            </w:r>
            <w:r>
              <w:rPr>
                <w:rFonts w:hint="default" w:ascii="Times New Roman" w:hAnsi="Times New Roman" w:cs="Times New Roman"/>
                <w:sz w:val="24"/>
                <w:szCs w:val="24"/>
                <w:u w:val="none" w:color="auto"/>
              </w:rPr>
              <w:t>t/a</w:t>
            </w:r>
          </w:p>
        </w:tc>
        <w:tc>
          <w:tcPr>
            <w:tcW w:w="2839" w:type="dxa"/>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收集后交环卫部门统一清运处理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27" w:hRule="atLeast"/>
          <w:jc w:val="center"/>
        </w:trPr>
        <w:tc>
          <w:tcPr>
            <w:tcW w:w="711" w:type="dxa"/>
            <w:tcBorders>
              <w:tl2br w:val="nil"/>
              <w:tr2bl w:val="nil"/>
            </w:tcBorders>
            <w:vAlign w:val="center"/>
          </w:tcPr>
          <w:p>
            <w:pPr>
              <w:spacing w:line="360" w:lineRule="auto"/>
              <w:jc w:val="center"/>
              <w:rPr>
                <w:rFonts w:hint="default" w:ascii="Times New Roman" w:hAnsi="Times New Roman" w:cs="Times New Roman"/>
                <w:b/>
                <w:bCs/>
                <w:sz w:val="24"/>
                <w:szCs w:val="24"/>
                <w:u w:val="none" w:color="auto"/>
              </w:rPr>
            </w:pPr>
            <w:r>
              <w:rPr>
                <w:rFonts w:hint="default" w:ascii="Times New Roman" w:hAnsi="Times New Roman" w:cs="Times New Roman"/>
                <w:b/>
                <w:bCs/>
                <w:sz w:val="24"/>
                <w:szCs w:val="24"/>
                <w:u w:val="none" w:color="auto"/>
              </w:rPr>
              <w:t>噪声</w:t>
            </w:r>
          </w:p>
        </w:tc>
        <w:tc>
          <w:tcPr>
            <w:tcW w:w="741" w:type="dxa"/>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营运期</w:t>
            </w:r>
          </w:p>
        </w:tc>
        <w:tc>
          <w:tcPr>
            <w:tcW w:w="1653" w:type="dxa"/>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运营噪声</w:t>
            </w:r>
          </w:p>
        </w:tc>
        <w:tc>
          <w:tcPr>
            <w:tcW w:w="1620" w:type="dxa"/>
            <w:tcBorders>
              <w:tl2br w:val="nil"/>
              <w:tr2bl w:val="nil"/>
            </w:tcBorders>
            <w:vAlign w:val="center"/>
          </w:tcPr>
          <w:p>
            <w:pPr>
              <w:spacing w:line="360" w:lineRule="auto"/>
              <w:ind w:firstLine="462"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设备噪声</w:t>
            </w:r>
          </w:p>
        </w:tc>
        <w:tc>
          <w:tcPr>
            <w:tcW w:w="2160" w:type="dxa"/>
            <w:tcBorders>
              <w:tl2br w:val="nil"/>
              <w:tr2bl w:val="nil"/>
            </w:tcBorders>
            <w:vAlign w:val="center"/>
          </w:tcPr>
          <w:p>
            <w:pPr>
              <w:spacing w:line="360" w:lineRule="auto"/>
              <w:jc w:val="center"/>
              <w:rPr>
                <w:rFonts w:hint="default" w:ascii="Times New Roman" w:hAnsi="Times New Roman" w:cs="Times New Roman"/>
                <w:sz w:val="24"/>
                <w:szCs w:val="24"/>
                <w:u w:val="none" w:color="auto"/>
              </w:rPr>
            </w:pPr>
            <w:r>
              <w:rPr>
                <w:rFonts w:hint="eastAsia" w:cs="Times New Roman"/>
                <w:sz w:val="24"/>
                <w:szCs w:val="24"/>
                <w:u w:val="none" w:color="auto"/>
                <w:lang w:val="en-US" w:eastAsia="zh-CN"/>
              </w:rPr>
              <w:t>65</w:t>
            </w:r>
            <w:r>
              <w:rPr>
                <w:rFonts w:hint="default" w:ascii="Times New Roman" w:hAnsi="Times New Roman" w:cs="Times New Roman"/>
                <w:sz w:val="24"/>
                <w:szCs w:val="24"/>
                <w:u w:val="none" w:color="auto"/>
                <w:lang w:val="en-US" w:eastAsia="zh-CN"/>
              </w:rPr>
              <w:t>-</w:t>
            </w:r>
            <w:r>
              <w:rPr>
                <w:rFonts w:hint="eastAsia" w:cs="Times New Roman"/>
                <w:sz w:val="24"/>
                <w:szCs w:val="24"/>
                <w:u w:val="none" w:color="auto"/>
                <w:lang w:val="en-US" w:eastAsia="zh-CN"/>
              </w:rPr>
              <w:t>80</w:t>
            </w:r>
            <w:r>
              <w:rPr>
                <w:rFonts w:hint="default" w:ascii="Times New Roman" w:hAnsi="Times New Roman" w:cs="Times New Roman"/>
                <w:sz w:val="24"/>
                <w:szCs w:val="24"/>
                <w:u w:val="none" w:color="auto"/>
              </w:rPr>
              <w:t>dB(A)</w:t>
            </w:r>
          </w:p>
        </w:tc>
        <w:tc>
          <w:tcPr>
            <w:tcW w:w="2839" w:type="dxa"/>
            <w:tcBorders>
              <w:tl2br w:val="nil"/>
              <w:tr2bl w:val="nil"/>
            </w:tcBorders>
            <w:vAlign w:val="center"/>
          </w:tcPr>
          <w:p>
            <w:pPr>
              <w:spacing w:line="360" w:lineRule="auto"/>
              <w:ind w:firstLine="462" w:firstLineChars="200"/>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昼间≤6</w:t>
            </w:r>
            <w:r>
              <w:rPr>
                <w:rFonts w:hint="default" w:ascii="Times New Roman" w:hAnsi="Times New Roman" w:cs="Times New Roman"/>
                <w:sz w:val="24"/>
                <w:szCs w:val="24"/>
                <w:u w:val="none" w:color="auto"/>
                <w:lang w:val="en-US" w:eastAsia="zh-CN"/>
              </w:rPr>
              <w:t>0</w:t>
            </w:r>
            <w:r>
              <w:rPr>
                <w:rFonts w:hint="default" w:ascii="Times New Roman" w:hAnsi="Times New Roman" w:cs="Times New Roman"/>
                <w:sz w:val="24"/>
                <w:szCs w:val="24"/>
                <w:u w:val="none" w:color="auto"/>
              </w:rPr>
              <w:t>dB(A)</w:t>
            </w:r>
          </w:p>
          <w:p>
            <w:pPr>
              <w:spacing w:line="360" w:lineRule="auto"/>
              <w:ind w:firstLine="462" w:firstLineChars="200"/>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夜间≤5</w:t>
            </w:r>
            <w:r>
              <w:rPr>
                <w:rFonts w:hint="default" w:ascii="Times New Roman" w:hAnsi="Times New Roman" w:cs="Times New Roman"/>
                <w:sz w:val="24"/>
                <w:szCs w:val="24"/>
                <w:u w:val="none" w:color="auto"/>
                <w:lang w:val="en-US" w:eastAsia="zh-CN"/>
              </w:rPr>
              <w:t>0</w:t>
            </w:r>
            <w:r>
              <w:rPr>
                <w:rFonts w:hint="default" w:ascii="Times New Roman" w:hAnsi="Times New Roman" w:cs="Times New Roman"/>
                <w:sz w:val="24"/>
                <w:szCs w:val="24"/>
                <w:u w:val="none" w:color="auto"/>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724" w:type="dxa"/>
            <w:gridSpan w:val="6"/>
            <w:tcBorders>
              <w:tl2br w:val="nil"/>
              <w:tr2bl w:val="nil"/>
            </w:tcBorders>
          </w:tcPr>
          <w:p>
            <w:pPr>
              <w:spacing w:line="360" w:lineRule="auto"/>
              <w:ind w:firstLine="494" w:firstLineChars="200"/>
              <w:rPr>
                <w:rFonts w:hint="default" w:ascii="Times New Roman" w:hAnsi="Times New Roman" w:cs="Times New Roman"/>
                <w:b/>
                <w:bCs/>
                <w:spacing w:val="8"/>
                <w:sz w:val="24"/>
                <w:szCs w:val="24"/>
                <w:u w:val="none" w:color="auto"/>
              </w:rPr>
            </w:pPr>
            <w:r>
              <w:rPr>
                <w:rFonts w:hint="default" w:ascii="Times New Roman" w:hAnsi="Times New Roman" w:cs="Times New Roman"/>
                <w:b/>
                <w:bCs/>
                <w:spacing w:val="8"/>
                <w:sz w:val="24"/>
                <w:szCs w:val="24"/>
                <w:u w:val="none" w:color="auto"/>
              </w:rPr>
              <w:t>主要生态影响</w:t>
            </w:r>
          </w:p>
          <w:p>
            <w:pPr>
              <w:adjustRightInd w:val="0"/>
              <w:snapToGrid w:val="0"/>
              <w:spacing w:line="360" w:lineRule="auto"/>
              <w:ind w:firstLine="462"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本项目所在地周边均为</w:t>
            </w:r>
            <w:r>
              <w:rPr>
                <w:rFonts w:hint="eastAsia" w:cs="Times New Roman"/>
                <w:sz w:val="24"/>
                <w:szCs w:val="24"/>
                <w:u w:val="none" w:color="auto"/>
                <w:lang w:val="en-US" w:eastAsia="zh-CN"/>
              </w:rPr>
              <w:t>山地、水塘、厂房等</w:t>
            </w:r>
            <w:r>
              <w:rPr>
                <w:rFonts w:hint="default" w:ascii="Times New Roman" w:hAnsi="Times New Roman" w:cs="Times New Roman"/>
                <w:sz w:val="24"/>
                <w:szCs w:val="24"/>
                <w:u w:val="none" w:color="auto"/>
              </w:rPr>
              <w:t>，周围无大面积自然植被群落及珍稀动植物资源等，营运期产生的“三废”经适当治理后，对周边生态环境影响较小。</w:t>
            </w:r>
          </w:p>
          <w:p>
            <w:pPr>
              <w:adjustRightInd w:val="0"/>
              <w:snapToGrid w:val="0"/>
              <w:spacing w:line="360" w:lineRule="auto"/>
              <w:rPr>
                <w:rFonts w:hint="default" w:ascii="Times New Roman" w:hAnsi="Times New Roman" w:cs="Times New Roman"/>
                <w:sz w:val="24"/>
                <w:szCs w:val="24"/>
                <w:u w:val="none" w:color="auto"/>
              </w:rPr>
            </w:pPr>
          </w:p>
        </w:tc>
      </w:tr>
    </w:tbl>
    <w:p>
      <w:pPr>
        <w:snapToGrid w:val="0"/>
        <w:outlineLvl w:val="0"/>
        <w:rPr>
          <w:rFonts w:eastAsia="黑体"/>
          <w:sz w:val="32"/>
          <w:u w:val="none" w:color="auto"/>
        </w:rPr>
      </w:pPr>
      <w:r>
        <w:rPr>
          <w:rFonts w:ascii="宋体" w:hAnsi="宋体"/>
          <w:sz w:val="24"/>
          <w:szCs w:val="24"/>
          <w:u w:val="none" w:color="auto"/>
        </w:rPr>
        <w:br w:type="page"/>
      </w:r>
      <w:bookmarkStart w:id="7" w:name="_Toc2458"/>
      <w:r>
        <w:rPr>
          <w:rFonts w:hint="eastAsia" w:ascii="黑体" w:hAnsi="黑体" w:eastAsia="黑体"/>
          <w:sz w:val="32"/>
          <w:szCs w:val="32"/>
          <w:u w:val="none" w:color="auto"/>
        </w:rPr>
        <w:t>七、环</w:t>
      </w:r>
      <w:r>
        <w:rPr>
          <w:rFonts w:ascii="黑体" w:hAnsi="黑体" w:eastAsia="黑体"/>
          <w:sz w:val="32"/>
          <w:szCs w:val="32"/>
          <w:u w:val="none" w:color="auto"/>
        </w:rPr>
        <w:t>境影响分析</w:t>
      </w:r>
      <w:bookmarkEnd w:id="7"/>
    </w:p>
    <w:tbl>
      <w:tblPr>
        <w:tblStyle w:val="39"/>
        <w:tblW w:w="926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176" w:hRule="atLeast"/>
          <w:jc w:val="center"/>
        </w:trPr>
        <w:tc>
          <w:tcPr>
            <w:tcW w:w="9268" w:type="dxa"/>
          </w:tcPr>
          <w:p>
            <w:pPr>
              <w:adjustRightInd w:val="0"/>
              <w:snapToGrid w:val="0"/>
              <w:spacing w:line="360" w:lineRule="auto"/>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营运期环境影响分析</w:t>
            </w:r>
          </w:p>
          <w:p>
            <w:pPr>
              <w:adjustRightInd w:val="0"/>
              <w:snapToGrid w:val="0"/>
              <w:spacing w:line="360" w:lineRule="auto"/>
              <w:ind w:firstLine="462"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1、大气环境影响分析</w:t>
            </w:r>
          </w:p>
          <w:p>
            <w:pPr>
              <w:snapToGrid w:val="0"/>
              <w:spacing w:line="360" w:lineRule="auto"/>
              <w:ind w:firstLine="453" w:firstLineChars="196"/>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本项目运营过程中产生的废气主要有</w:t>
            </w:r>
            <w:r>
              <w:rPr>
                <w:rFonts w:hint="eastAsia" w:cs="Times New Roman"/>
                <w:sz w:val="24"/>
                <w:szCs w:val="24"/>
                <w:u w:val="none" w:color="auto"/>
                <w:lang w:eastAsia="zh-CN"/>
              </w:rPr>
              <w:t>生产工艺</w:t>
            </w:r>
            <w:r>
              <w:rPr>
                <w:rFonts w:hint="default" w:ascii="Times New Roman" w:hAnsi="Times New Roman" w:cs="Times New Roman"/>
                <w:sz w:val="24"/>
                <w:szCs w:val="24"/>
                <w:u w:val="none" w:color="auto"/>
              </w:rPr>
              <w:t>粉尘</w:t>
            </w:r>
            <w:r>
              <w:rPr>
                <w:rFonts w:hint="eastAsia" w:cs="Times New Roman"/>
                <w:sz w:val="24"/>
                <w:szCs w:val="24"/>
                <w:u w:val="none" w:color="auto"/>
                <w:lang w:eastAsia="zh-CN"/>
              </w:rPr>
              <w:t>、刷胶、冷压、封边废气</w:t>
            </w:r>
            <w:r>
              <w:rPr>
                <w:rFonts w:hint="default" w:ascii="Times New Roman" w:hAnsi="Times New Roman" w:cs="Times New Roman"/>
                <w:sz w:val="24"/>
                <w:szCs w:val="24"/>
                <w:u w:val="none" w:color="auto"/>
              </w:rPr>
              <w:t>。</w:t>
            </w:r>
          </w:p>
          <w:p>
            <w:pPr>
              <w:pStyle w:val="32"/>
              <w:spacing w:line="360" w:lineRule="auto"/>
              <w:ind w:left="400" w:leftChars="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（1）废气排放源</w:t>
            </w:r>
          </w:p>
          <w:p>
            <w:pPr>
              <w:pStyle w:val="32"/>
              <w:spacing w:line="360" w:lineRule="auto"/>
              <w:ind w:left="0" w:leftChars="0" w:firstLine="462" w:firstLineChars="200"/>
              <w:jc w:val="left"/>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无组织排放废气污染源参数见表 7-</w:t>
            </w:r>
            <w:r>
              <w:rPr>
                <w:rFonts w:hint="eastAsia" w:cs="Times New Roman"/>
                <w:sz w:val="24"/>
                <w:szCs w:val="24"/>
                <w:u w:val="none" w:color="auto"/>
                <w:lang w:val="en-US" w:eastAsia="zh-CN"/>
              </w:rPr>
              <w:t>1</w:t>
            </w:r>
            <w:r>
              <w:rPr>
                <w:rFonts w:hint="default" w:ascii="Times New Roman" w:hAnsi="Times New Roman" w:cs="Times New Roman"/>
                <w:sz w:val="24"/>
                <w:szCs w:val="24"/>
                <w:u w:val="none" w:color="auto"/>
              </w:rPr>
              <w:t>。</w:t>
            </w:r>
          </w:p>
          <w:p>
            <w:pPr>
              <w:snapToGrid w:val="0"/>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表7-</w:t>
            </w:r>
            <w:r>
              <w:rPr>
                <w:rFonts w:hint="eastAsia" w:cs="Times New Roman"/>
                <w:sz w:val="24"/>
                <w:szCs w:val="24"/>
                <w:u w:val="none" w:color="auto"/>
                <w:lang w:val="en-US" w:eastAsia="zh-CN"/>
              </w:rPr>
              <w:t>1</w:t>
            </w:r>
            <w:r>
              <w:rPr>
                <w:rFonts w:hint="default" w:ascii="Times New Roman" w:hAnsi="Times New Roman" w:cs="Times New Roman"/>
                <w:sz w:val="24"/>
                <w:szCs w:val="24"/>
                <w:u w:val="none" w:color="auto"/>
              </w:rPr>
              <w:t xml:space="preserve">   无组织面源排放参数</w:t>
            </w:r>
          </w:p>
          <w:tbl>
            <w:tblPr>
              <w:tblStyle w:val="39"/>
              <w:tblW w:w="90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54"/>
              <w:gridCol w:w="1402"/>
              <w:gridCol w:w="1568"/>
              <w:gridCol w:w="1553"/>
              <w:gridCol w:w="1835"/>
              <w:gridCol w:w="15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1154" w:type="dxa"/>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污染源</w:t>
                  </w:r>
                </w:p>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位置</w:t>
                  </w:r>
                </w:p>
              </w:tc>
              <w:tc>
                <w:tcPr>
                  <w:tcW w:w="1402" w:type="dxa"/>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污染物</w:t>
                  </w:r>
                </w:p>
              </w:tc>
              <w:tc>
                <w:tcPr>
                  <w:tcW w:w="1568" w:type="dxa"/>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产生量（t/a）</w:t>
                  </w:r>
                </w:p>
              </w:tc>
              <w:tc>
                <w:tcPr>
                  <w:tcW w:w="1553" w:type="dxa"/>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排放速率（kg/h）</w:t>
                  </w:r>
                </w:p>
              </w:tc>
              <w:tc>
                <w:tcPr>
                  <w:tcW w:w="1835" w:type="dxa"/>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面源面积（m</w:t>
                  </w:r>
                  <w:r>
                    <w:rPr>
                      <w:rFonts w:hint="default" w:ascii="Times New Roman" w:hAnsi="Times New Roman" w:cs="Times New Roman"/>
                      <w:sz w:val="22"/>
                      <w:szCs w:val="22"/>
                      <w:u w:val="none" w:color="auto"/>
                      <w:vertAlign w:val="superscript"/>
                    </w:rPr>
                    <w:t>2</w:t>
                  </w:r>
                  <w:r>
                    <w:rPr>
                      <w:rFonts w:hint="default" w:ascii="Times New Roman" w:hAnsi="Times New Roman" w:cs="Times New Roman"/>
                      <w:sz w:val="22"/>
                      <w:szCs w:val="22"/>
                      <w:u w:val="none" w:color="auto"/>
                    </w:rPr>
                    <w:t>）</w:t>
                  </w:r>
                </w:p>
              </w:tc>
              <w:tc>
                <w:tcPr>
                  <w:tcW w:w="1510" w:type="dxa"/>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面源高度（m）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154" w:type="dxa"/>
                  <w:vAlign w:val="center"/>
                </w:tcPr>
                <w:p>
                  <w:pPr>
                    <w:spacing w:line="360" w:lineRule="auto"/>
                    <w:jc w:val="center"/>
                    <w:rPr>
                      <w:rFonts w:hint="eastAsia" w:ascii="Times New Roman" w:hAnsi="Times New Roman" w:eastAsia="宋体" w:cs="Times New Roman"/>
                      <w:sz w:val="22"/>
                      <w:szCs w:val="22"/>
                      <w:u w:val="none" w:color="auto"/>
                      <w:lang w:eastAsia="zh-CN"/>
                    </w:rPr>
                  </w:pPr>
                  <w:r>
                    <w:rPr>
                      <w:rFonts w:hint="eastAsia" w:cs="Times New Roman"/>
                      <w:sz w:val="22"/>
                      <w:szCs w:val="22"/>
                      <w:u w:val="none" w:color="auto"/>
                      <w:lang w:eastAsia="zh-CN"/>
                    </w:rPr>
                    <w:t>下料、钻孔、切割工序</w:t>
                  </w:r>
                </w:p>
              </w:tc>
              <w:tc>
                <w:tcPr>
                  <w:tcW w:w="1402" w:type="dxa"/>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粉尘</w:t>
                  </w:r>
                </w:p>
              </w:tc>
              <w:tc>
                <w:tcPr>
                  <w:tcW w:w="1568" w:type="dxa"/>
                  <w:vAlign w:val="center"/>
                </w:tcPr>
                <w:p>
                  <w:pPr>
                    <w:spacing w:line="360" w:lineRule="auto"/>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0.0019</w:t>
                  </w:r>
                </w:p>
              </w:tc>
              <w:tc>
                <w:tcPr>
                  <w:tcW w:w="1553" w:type="dxa"/>
                  <w:vAlign w:val="center"/>
                </w:tcPr>
                <w:p>
                  <w:pPr>
                    <w:spacing w:line="360" w:lineRule="auto"/>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0.0008</w:t>
                  </w:r>
                </w:p>
              </w:tc>
              <w:tc>
                <w:tcPr>
                  <w:tcW w:w="1835" w:type="dxa"/>
                  <w:vAlign w:val="center"/>
                </w:tcPr>
                <w:p>
                  <w:pPr>
                    <w:spacing w:line="360" w:lineRule="auto"/>
                    <w:jc w:val="center"/>
                    <w:rPr>
                      <w:rFonts w:hint="default" w:ascii="Times New Roman" w:hAnsi="Times New Roman" w:eastAsia="宋体" w:cs="Times New Roman"/>
                      <w:sz w:val="22"/>
                      <w:szCs w:val="22"/>
                      <w:u w:val="none" w:color="auto"/>
                      <w:lang w:val="en-US" w:eastAsia="zh-CN"/>
                    </w:rPr>
                  </w:pPr>
                  <w:r>
                    <w:rPr>
                      <w:rFonts w:hint="eastAsia" w:cs="Times New Roman"/>
                      <w:sz w:val="22"/>
                      <w:szCs w:val="22"/>
                      <w:u w:val="none" w:color="auto"/>
                      <w:lang w:val="en-US" w:eastAsia="zh-CN"/>
                    </w:rPr>
                    <w:t>800</w:t>
                  </w:r>
                </w:p>
              </w:tc>
              <w:tc>
                <w:tcPr>
                  <w:tcW w:w="1510" w:type="dxa"/>
                  <w:vAlign w:val="center"/>
                </w:tcPr>
                <w:p>
                  <w:pPr>
                    <w:spacing w:line="360" w:lineRule="auto"/>
                    <w:jc w:val="center"/>
                    <w:rPr>
                      <w:rFonts w:hint="eastAsia" w:ascii="Times New Roman" w:hAnsi="Times New Roman" w:eastAsia="宋体" w:cs="Times New Roman"/>
                      <w:sz w:val="22"/>
                      <w:szCs w:val="22"/>
                      <w:u w:val="none" w:color="auto"/>
                      <w:lang w:eastAsia="zh-CN"/>
                    </w:rPr>
                  </w:pPr>
                  <w:r>
                    <w:rPr>
                      <w:rFonts w:hint="eastAsia" w:cs="Times New Roman"/>
                      <w:sz w:val="22"/>
                      <w:szCs w:val="22"/>
                      <w:u w:val="none" w:color="auto"/>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154" w:type="dxa"/>
                  <w:vAlign w:val="center"/>
                </w:tcPr>
                <w:p>
                  <w:pPr>
                    <w:spacing w:line="360" w:lineRule="auto"/>
                    <w:jc w:val="center"/>
                    <w:rPr>
                      <w:rFonts w:hint="eastAsia" w:cs="Times New Roman"/>
                      <w:sz w:val="22"/>
                      <w:szCs w:val="22"/>
                      <w:u w:val="none" w:color="auto"/>
                      <w:lang w:eastAsia="zh-CN"/>
                    </w:rPr>
                  </w:pPr>
                  <w:r>
                    <w:rPr>
                      <w:rFonts w:hint="default" w:ascii="Times New Roman" w:hAnsi="Times New Roman" w:eastAsia="宋体" w:cs="Times New Roman"/>
                      <w:kern w:val="2"/>
                      <w:sz w:val="24"/>
                      <w:szCs w:val="20"/>
                      <w:u w:val="none" w:color="auto"/>
                      <w:lang w:val="en-US" w:eastAsia="zh-CN" w:bidi="ar-SA"/>
                    </w:rPr>
                    <w:t>刷胶、冷压、封边工序</w:t>
                  </w:r>
                </w:p>
              </w:tc>
              <w:tc>
                <w:tcPr>
                  <w:tcW w:w="1402" w:type="dxa"/>
                  <w:vAlign w:val="center"/>
                </w:tcPr>
                <w:p>
                  <w:pPr>
                    <w:spacing w:line="360" w:lineRule="auto"/>
                    <w:jc w:val="center"/>
                    <w:rPr>
                      <w:rFonts w:hint="default" w:ascii="Times New Roman" w:hAnsi="Times New Roman" w:cs="Times New Roman"/>
                      <w:sz w:val="22"/>
                      <w:szCs w:val="22"/>
                      <w:u w:val="none" w:color="auto"/>
                    </w:rPr>
                  </w:pPr>
                  <w:r>
                    <w:rPr>
                      <w:rFonts w:hint="eastAsia" w:cs="Times New Roman"/>
                      <w:sz w:val="24"/>
                      <w:szCs w:val="24"/>
                      <w:u w:val="none" w:color="auto"/>
                      <w:lang w:val="en-US" w:eastAsia="zh-CN"/>
                    </w:rPr>
                    <w:t>VOC</w:t>
                  </w:r>
                  <w:r>
                    <w:rPr>
                      <w:rFonts w:hint="eastAsia" w:cs="Times New Roman"/>
                      <w:sz w:val="24"/>
                      <w:szCs w:val="24"/>
                      <w:u w:val="none" w:color="auto"/>
                      <w:vertAlign w:val="subscript"/>
                      <w:lang w:val="en-US" w:eastAsia="zh-CN"/>
                    </w:rPr>
                    <w:t>S</w:t>
                  </w:r>
                </w:p>
              </w:tc>
              <w:tc>
                <w:tcPr>
                  <w:tcW w:w="1568" w:type="dxa"/>
                  <w:vAlign w:val="center"/>
                </w:tcPr>
                <w:p>
                  <w:pPr>
                    <w:spacing w:line="360" w:lineRule="auto"/>
                    <w:jc w:val="center"/>
                    <w:rPr>
                      <w:rFonts w:hint="default" w:cs="Times New Roman"/>
                      <w:sz w:val="22"/>
                      <w:szCs w:val="22"/>
                      <w:u w:val="none" w:color="auto"/>
                      <w:lang w:val="en-US" w:eastAsia="zh-CN"/>
                    </w:rPr>
                  </w:pPr>
                  <w:r>
                    <w:rPr>
                      <w:rFonts w:hint="eastAsia" w:cs="Times New Roman"/>
                      <w:sz w:val="22"/>
                      <w:szCs w:val="22"/>
                      <w:u w:val="none" w:color="auto"/>
                      <w:lang w:val="en-US" w:eastAsia="zh-CN"/>
                    </w:rPr>
                    <w:t>0.25</w:t>
                  </w:r>
                </w:p>
              </w:tc>
              <w:tc>
                <w:tcPr>
                  <w:tcW w:w="1553" w:type="dxa"/>
                  <w:vAlign w:val="center"/>
                </w:tcPr>
                <w:p>
                  <w:pPr>
                    <w:spacing w:line="360" w:lineRule="auto"/>
                    <w:jc w:val="center"/>
                    <w:rPr>
                      <w:rFonts w:hint="default" w:cs="Times New Roman"/>
                      <w:sz w:val="22"/>
                      <w:szCs w:val="22"/>
                      <w:u w:val="none" w:color="auto"/>
                      <w:lang w:val="en-US" w:eastAsia="zh-CN"/>
                    </w:rPr>
                  </w:pPr>
                  <w:r>
                    <w:rPr>
                      <w:rFonts w:hint="eastAsia" w:cs="Times New Roman"/>
                      <w:sz w:val="22"/>
                      <w:szCs w:val="22"/>
                      <w:u w:val="none" w:color="auto"/>
                      <w:lang w:val="en-US" w:eastAsia="zh-CN"/>
                    </w:rPr>
                    <w:t>0.104</w:t>
                  </w:r>
                </w:p>
              </w:tc>
              <w:tc>
                <w:tcPr>
                  <w:tcW w:w="1835" w:type="dxa"/>
                  <w:vAlign w:val="center"/>
                </w:tcPr>
                <w:p>
                  <w:pPr>
                    <w:spacing w:line="360" w:lineRule="auto"/>
                    <w:jc w:val="center"/>
                    <w:rPr>
                      <w:rFonts w:hint="default" w:cs="Times New Roman"/>
                      <w:sz w:val="22"/>
                      <w:szCs w:val="22"/>
                      <w:u w:val="none" w:color="auto"/>
                      <w:lang w:val="en-US" w:eastAsia="zh-CN"/>
                    </w:rPr>
                  </w:pPr>
                  <w:r>
                    <w:rPr>
                      <w:rFonts w:hint="eastAsia" w:cs="Times New Roman"/>
                      <w:sz w:val="22"/>
                      <w:szCs w:val="22"/>
                      <w:u w:val="none" w:color="auto"/>
                      <w:lang w:val="en-US" w:eastAsia="zh-CN"/>
                    </w:rPr>
                    <w:t>300</w:t>
                  </w:r>
                </w:p>
              </w:tc>
              <w:tc>
                <w:tcPr>
                  <w:tcW w:w="1510" w:type="dxa"/>
                  <w:vAlign w:val="center"/>
                </w:tcPr>
                <w:p>
                  <w:pPr>
                    <w:spacing w:line="360" w:lineRule="auto"/>
                    <w:jc w:val="center"/>
                    <w:rPr>
                      <w:rFonts w:hint="default" w:cs="Times New Roman"/>
                      <w:sz w:val="22"/>
                      <w:szCs w:val="22"/>
                      <w:u w:val="none" w:color="auto"/>
                      <w:lang w:val="en-US" w:eastAsia="zh-CN"/>
                    </w:rPr>
                  </w:pPr>
                  <w:r>
                    <w:rPr>
                      <w:rFonts w:hint="eastAsia" w:cs="Times New Roman"/>
                      <w:sz w:val="22"/>
                      <w:szCs w:val="22"/>
                      <w:u w:val="none" w:color="auto"/>
                      <w:lang w:val="en-US" w:eastAsia="zh-CN"/>
                    </w:rPr>
                    <w:t>7</w:t>
                  </w:r>
                </w:p>
              </w:tc>
            </w:tr>
          </w:tbl>
          <w:p>
            <w:pPr>
              <w:tabs>
                <w:tab w:val="left" w:pos="103"/>
              </w:tabs>
              <w:autoSpaceDE w:val="0"/>
              <w:autoSpaceDN w:val="0"/>
              <w:spacing w:line="360" w:lineRule="auto"/>
              <w:ind w:firstLine="462" w:firstLineChars="200"/>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大气环境影响预测</w:t>
            </w:r>
          </w:p>
          <w:p>
            <w:pPr>
              <w:tabs>
                <w:tab w:val="left" w:pos="103"/>
              </w:tabs>
              <w:autoSpaceDE w:val="0"/>
              <w:autoSpaceDN w:val="0"/>
              <w:spacing w:line="360" w:lineRule="auto"/>
              <w:ind w:firstLine="462" w:firstLineChars="200"/>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①评价等级的判定</w:t>
            </w:r>
          </w:p>
          <w:p>
            <w:pPr>
              <w:tabs>
                <w:tab w:val="left" w:pos="103"/>
              </w:tabs>
              <w:autoSpaceDE w:val="0"/>
              <w:autoSpaceDN w:val="0"/>
              <w:spacing w:line="360" w:lineRule="auto"/>
              <w:ind w:firstLine="462" w:firstLineChars="200"/>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根据《环境影响评价技术导则 大气环境》（HJ2.2-2018），采用推荐模式中的估算模型AERSCREEN对污染物的最大地面占标率Pi（第i个污染物）及第i个污染物的地面浓度达标准限值10%时所对应的最远距离D10%进行计算。其中Pi定义如下：</w:t>
            </w:r>
          </w:p>
          <w:p>
            <w:pPr>
              <w:tabs>
                <w:tab w:val="left" w:pos="103"/>
              </w:tabs>
              <w:autoSpaceDE w:val="0"/>
              <w:autoSpaceDN w:val="0"/>
              <w:spacing w:line="360" w:lineRule="auto"/>
              <w:ind w:firstLine="462" w:firstLineChars="200"/>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 xml:space="preserve">               </w:t>
            </w:r>
            <w:r>
              <w:rPr>
                <w:rFonts w:hint="default" w:ascii="Times New Roman" w:hAnsi="Times New Roman" w:cs="Times New Roman"/>
                <w:sz w:val="24"/>
                <w:szCs w:val="24"/>
                <w:u w:val="none" w:color="auto"/>
                <w:lang w:val="en-US" w:eastAsia="zh-CN"/>
              </w:rPr>
              <w:drawing>
                <wp:inline distT="0" distB="0" distL="114300" distR="114300">
                  <wp:extent cx="1400175" cy="619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a:stretch>
                            <a:fillRect/>
                          </a:stretch>
                        </pic:blipFill>
                        <pic:spPr>
                          <a:xfrm>
                            <a:off x="0" y="0"/>
                            <a:ext cx="1400175" cy="619125"/>
                          </a:xfrm>
                          <a:prstGeom prst="rect">
                            <a:avLst/>
                          </a:prstGeom>
                          <a:noFill/>
                          <a:ln>
                            <a:noFill/>
                          </a:ln>
                        </pic:spPr>
                      </pic:pic>
                    </a:graphicData>
                  </a:graphic>
                </wp:inline>
              </w:drawing>
            </w:r>
          </w:p>
          <w:p>
            <w:pPr>
              <w:tabs>
                <w:tab w:val="left" w:pos="103"/>
              </w:tabs>
              <w:autoSpaceDE w:val="0"/>
              <w:autoSpaceDN w:val="0"/>
              <w:spacing w:line="360" w:lineRule="auto"/>
              <w:ind w:firstLine="462" w:firstLineChars="200"/>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Pi—第i个污染物的最大地面浓度占标率，%；</w:t>
            </w:r>
          </w:p>
          <w:p>
            <w:pPr>
              <w:tabs>
                <w:tab w:val="left" w:pos="103"/>
              </w:tabs>
              <w:autoSpaceDE w:val="0"/>
              <w:autoSpaceDN w:val="0"/>
              <w:spacing w:line="360" w:lineRule="auto"/>
              <w:ind w:firstLine="462" w:firstLineChars="200"/>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Ci—采用估算模式计算出的第i个污染物的最大地面浓度，mg/m</w:t>
            </w:r>
            <w:r>
              <w:rPr>
                <w:rFonts w:hint="default" w:ascii="Times New Roman" w:hAnsi="Times New Roman" w:cs="Times New Roman"/>
                <w:sz w:val="24"/>
                <w:szCs w:val="24"/>
                <w:u w:val="none" w:color="auto"/>
                <w:vertAlign w:val="superscript"/>
                <w:lang w:val="en-US" w:eastAsia="zh-CN"/>
              </w:rPr>
              <w:t>3</w:t>
            </w:r>
            <w:r>
              <w:rPr>
                <w:rFonts w:hint="default" w:ascii="Times New Roman" w:hAnsi="Times New Roman" w:cs="Times New Roman"/>
                <w:sz w:val="24"/>
                <w:szCs w:val="24"/>
                <w:u w:val="none" w:color="auto"/>
                <w:lang w:val="en-US" w:eastAsia="zh-CN"/>
              </w:rPr>
              <w:t>；</w:t>
            </w:r>
          </w:p>
          <w:p>
            <w:pPr>
              <w:tabs>
                <w:tab w:val="left" w:pos="103"/>
              </w:tabs>
              <w:autoSpaceDE w:val="0"/>
              <w:autoSpaceDN w:val="0"/>
              <w:spacing w:line="360" w:lineRule="auto"/>
              <w:ind w:firstLine="462" w:firstLineChars="200"/>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C0i—第i 个污染物的环境空气质量标准，mg/m</w:t>
            </w:r>
            <w:r>
              <w:rPr>
                <w:rFonts w:hint="default" w:ascii="Times New Roman" w:hAnsi="Times New Roman" w:cs="Times New Roman"/>
                <w:sz w:val="24"/>
                <w:szCs w:val="24"/>
                <w:u w:val="none" w:color="auto"/>
                <w:vertAlign w:val="superscript"/>
                <w:lang w:val="en-US" w:eastAsia="zh-CN"/>
              </w:rPr>
              <w:t>3</w:t>
            </w:r>
            <w:r>
              <w:rPr>
                <w:rFonts w:hint="default" w:ascii="Times New Roman" w:hAnsi="Times New Roman" w:cs="Times New Roman"/>
                <w:sz w:val="24"/>
                <w:szCs w:val="24"/>
                <w:u w:val="none" w:color="auto"/>
                <w:lang w:val="en-US" w:eastAsia="zh-CN"/>
              </w:rPr>
              <w:t>。</w:t>
            </w:r>
          </w:p>
          <w:p>
            <w:pPr>
              <w:tabs>
                <w:tab w:val="left" w:pos="103"/>
              </w:tabs>
              <w:autoSpaceDE w:val="0"/>
              <w:autoSpaceDN w:val="0"/>
              <w:spacing w:line="360" w:lineRule="auto"/>
              <w:ind w:firstLine="462" w:firstLineChars="200"/>
              <w:jc w:val="center"/>
              <w:rPr>
                <w:rFonts w:hint="default" w:ascii="Times New Roman" w:hAnsi="Times New Roman" w:cs="Times New Roman"/>
                <w:sz w:val="24"/>
                <w:szCs w:val="24"/>
                <w:u w:val="none" w:color="auto"/>
                <w:lang w:val="en-US" w:eastAsia="zh-CN"/>
              </w:rPr>
            </w:pPr>
          </w:p>
          <w:p>
            <w:pPr>
              <w:tabs>
                <w:tab w:val="left" w:pos="103"/>
              </w:tabs>
              <w:autoSpaceDE w:val="0"/>
              <w:autoSpaceDN w:val="0"/>
              <w:spacing w:line="360" w:lineRule="auto"/>
              <w:ind w:firstLine="462" w:firstLineChars="200"/>
              <w:jc w:val="center"/>
              <w:rPr>
                <w:rFonts w:hint="default" w:ascii="Times New Roman" w:hAnsi="Times New Roman" w:cs="Times New Roman"/>
                <w:sz w:val="24"/>
                <w:szCs w:val="24"/>
                <w:u w:val="none" w:color="auto"/>
                <w:lang w:val="en-US" w:eastAsia="zh-CN"/>
              </w:rPr>
            </w:pPr>
          </w:p>
          <w:p>
            <w:pPr>
              <w:tabs>
                <w:tab w:val="left" w:pos="103"/>
              </w:tabs>
              <w:autoSpaceDE w:val="0"/>
              <w:autoSpaceDN w:val="0"/>
              <w:spacing w:line="360" w:lineRule="auto"/>
              <w:ind w:firstLine="462" w:firstLineChars="200"/>
              <w:jc w:val="center"/>
              <w:rPr>
                <w:rFonts w:hint="default" w:ascii="Times New Roman" w:hAnsi="Times New Roman" w:cs="Times New Roman"/>
                <w:sz w:val="24"/>
                <w:szCs w:val="24"/>
                <w:u w:val="none" w:color="auto"/>
                <w:lang w:val="en-US" w:eastAsia="zh-CN"/>
              </w:rPr>
            </w:pPr>
          </w:p>
          <w:p>
            <w:pPr>
              <w:tabs>
                <w:tab w:val="left" w:pos="103"/>
              </w:tabs>
              <w:autoSpaceDE w:val="0"/>
              <w:autoSpaceDN w:val="0"/>
              <w:spacing w:line="360" w:lineRule="auto"/>
              <w:ind w:firstLine="462" w:firstLineChars="200"/>
              <w:jc w:val="center"/>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表7-</w:t>
            </w:r>
            <w:r>
              <w:rPr>
                <w:rFonts w:hint="eastAsia" w:cs="Times New Roman"/>
                <w:sz w:val="24"/>
                <w:szCs w:val="24"/>
                <w:u w:val="none" w:color="auto"/>
                <w:lang w:val="en-US" w:eastAsia="zh-CN"/>
              </w:rPr>
              <w:t>2</w:t>
            </w:r>
            <w:r>
              <w:rPr>
                <w:rFonts w:hint="default" w:ascii="Times New Roman" w:hAnsi="Times New Roman" w:cs="Times New Roman"/>
                <w:sz w:val="24"/>
                <w:szCs w:val="24"/>
                <w:u w:val="none" w:color="auto"/>
                <w:lang w:val="en-US" w:eastAsia="zh-CN"/>
              </w:rPr>
              <w:t xml:space="preserve">  大气环境评价工作等级分级判据</w:t>
            </w:r>
          </w:p>
          <w:tbl>
            <w:tblPr>
              <w:tblStyle w:val="39"/>
              <w:tblW w:w="907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31"/>
              <w:gridCol w:w="59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31" w:type="dxa"/>
                  <w:noWrap w:val="0"/>
                  <w:vAlign w:val="center"/>
                </w:tcPr>
                <w:p>
                  <w:pPr>
                    <w:tabs>
                      <w:tab w:val="left" w:pos="103"/>
                    </w:tabs>
                    <w:autoSpaceDE w:val="0"/>
                    <w:autoSpaceDN w:val="0"/>
                    <w:spacing w:line="360" w:lineRule="auto"/>
                    <w:ind w:firstLine="422" w:firstLineChars="20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评价工作等级</w:t>
                  </w:r>
                </w:p>
              </w:tc>
              <w:tc>
                <w:tcPr>
                  <w:tcW w:w="5941" w:type="dxa"/>
                  <w:noWrap w:val="0"/>
                  <w:vAlign w:val="center"/>
                </w:tcPr>
                <w:p>
                  <w:pPr>
                    <w:tabs>
                      <w:tab w:val="left" w:pos="103"/>
                    </w:tabs>
                    <w:autoSpaceDE w:val="0"/>
                    <w:autoSpaceDN w:val="0"/>
                    <w:spacing w:line="360" w:lineRule="auto"/>
                    <w:ind w:firstLine="422" w:firstLineChars="20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评价工作分级判据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31" w:type="dxa"/>
                  <w:noWrap w:val="0"/>
                  <w:vAlign w:val="center"/>
                </w:tcPr>
                <w:p>
                  <w:pPr>
                    <w:tabs>
                      <w:tab w:val="left" w:pos="103"/>
                    </w:tabs>
                    <w:autoSpaceDE w:val="0"/>
                    <w:autoSpaceDN w:val="0"/>
                    <w:spacing w:line="360" w:lineRule="auto"/>
                    <w:ind w:firstLine="422" w:firstLineChars="20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一级</w:t>
                  </w:r>
                </w:p>
              </w:tc>
              <w:tc>
                <w:tcPr>
                  <w:tcW w:w="5941" w:type="dxa"/>
                  <w:noWrap w:val="0"/>
                  <w:vAlign w:val="center"/>
                </w:tcPr>
                <w:p>
                  <w:pPr>
                    <w:tabs>
                      <w:tab w:val="left" w:pos="103"/>
                    </w:tabs>
                    <w:autoSpaceDE w:val="0"/>
                    <w:autoSpaceDN w:val="0"/>
                    <w:spacing w:line="360" w:lineRule="auto"/>
                    <w:ind w:firstLine="422" w:firstLineChars="20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Pmax≥10%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31" w:type="dxa"/>
                  <w:noWrap w:val="0"/>
                  <w:vAlign w:val="center"/>
                </w:tcPr>
                <w:p>
                  <w:pPr>
                    <w:tabs>
                      <w:tab w:val="left" w:pos="103"/>
                    </w:tabs>
                    <w:autoSpaceDE w:val="0"/>
                    <w:autoSpaceDN w:val="0"/>
                    <w:spacing w:line="360" w:lineRule="auto"/>
                    <w:ind w:firstLine="422" w:firstLineChars="20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二级</w:t>
                  </w:r>
                </w:p>
              </w:tc>
              <w:tc>
                <w:tcPr>
                  <w:tcW w:w="5941" w:type="dxa"/>
                  <w:noWrap w:val="0"/>
                  <w:vAlign w:val="center"/>
                </w:tcPr>
                <w:p>
                  <w:pPr>
                    <w:tabs>
                      <w:tab w:val="left" w:pos="103"/>
                    </w:tabs>
                    <w:autoSpaceDE w:val="0"/>
                    <w:autoSpaceDN w:val="0"/>
                    <w:spacing w:line="360" w:lineRule="auto"/>
                    <w:ind w:firstLine="422" w:firstLineChars="20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1%≤Pmax＜10%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31" w:type="dxa"/>
                  <w:noWrap w:val="0"/>
                  <w:vAlign w:val="center"/>
                </w:tcPr>
                <w:p>
                  <w:pPr>
                    <w:tabs>
                      <w:tab w:val="left" w:pos="103"/>
                    </w:tabs>
                    <w:autoSpaceDE w:val="0"/>
                    <w:autoSpaceDN w:val="0"/>
                    <w:spacing w:line="360" w:lineRule="auto"/>
                    <w:ind w:firstLine="422" w:firstLineChars="20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三级</w:t>
                  </w:r>
                </w:p>
              </w:tc>
              <w:tc>
                <w:tcPr>
                  <w:tcW w:w="5941" w:type="dxa"/>
                  <w:noWrap w:val="0"/>
                  <w:vAlign w:val="center"/>
                </w:tcPr>
                <w:p>
                  <w:pPr>
                    <w:tabs>
                      <w:tab w:val="left" w:pos="103"/>
                    </w:tabs>
                    <w:autoSpaceDE w:val="0"/>
                    <w:autoSpaceDN w:val="0"/>
                    <w:spacing w:line="360" w:lineRule="auto"/>
                    <w:ind w:firstLine="422" w:firstLineChars="20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Pmax＜1%</w:t>
                  </w:r>
                </w:p>
              </w:tc>
            </w:tr>
          </w:tbl>
          <w:p>
            <w:pPr>
              <w:pStyle w:val="177"/>
              <w:spacing w:line="360" w:lineRule="auto"/>
              <w:ind w:firstLine="462"/>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表7-</w:t>
            </w:r>
            <w:r>
              <w:rPr>
                <w:rFonts w:hint="eastAsia" w:ascii="Times New Roman" w:hAnsi="Times New Roman" w:cs="Times New Roman"/>
                <w:sz w:val="24"/>
                <w:szCs w:val="24"/>
                <w:u w:val="none" w:color="auto"/>
                <w:lang w:val="en-US" w:eastAsia="zh-CN"/>
              </w:rPr>
              <w:t>3</w:t>
            </w:r>
            <w:r>
              <w:rPr>
                <w:rFonts w:hint="default" w:ascii="Times New Roman" w:hAnsi="Times New Roman" w:cs="Times New Roman"/>
                <w:sz w:val="24"/>
                <w:szCs w:val="24"/>
                <w:u w:val="none" w:color="auto"/>
              </w:rPr>
              <w:t xml:space="preserve"> 估算模型参数表</w:t>
            </w:r>
          </w:p>
          <w:tbl>
            <w:tblPr>
              <w:tblStyle w:val="39"/>
              <w:tblW w:w="90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008"/>
              <w:gridCol w:w="3008"/>
              <w:gridCol w:w="30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016" w:type="dxa"/>
                  <w:gridSpan w:val="2"/>
                </w:tcPr>
                <w:p>
                  <w:pPr>
                    <w:pStyle w:val="177"/>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参数</w:t>
                  </w:r>
                </w:p>
              </w:tc>
              <w:tc>
                <w:tcPr>
                  <w:tcW w:w="3006" w:type="dxa"/>
                </w:tcPr>
                <w:p>
                  <w:pPr>
                    <w:pStyle w:val="177"/>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取值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restart"/>
                  <w:vAlign w:val="center"/>
                </w:tcPr>
                <w:p>
                  <w:pPr>
                    <w:pStyle w:val="177"/>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城市/农村选项</w:t>
                  </w:r>
                </w:p>
              </w:tc>
              <w:tc>
                <w:tcPr>
                  <w:tcW w:w="3008" w:type="dxa"/>
                  <w:vAlign w:val="center"/>
                </w:tcPr>
                <w:p>
                  <w:pPr>
                    <w:pStyle w:val="177"/>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城市/农村</w:t>
                  </w:r>
                </w:p>
              </w:tc>
              <w:tc>
                <w:tcPr>
                  <w:tcW w:w="3006" w:type="dxa"/>
                  <w:vAlign w:val="center"/>
                </w:tcPr>
                <w:p>
                  <w:pPr>
                    <w:pStyle w:val="177"/>
                    <w:spacing w:line="360" w:lineRule="auto"/>
                    <w:ind w:firstLine="0" w:firstLineChars="0"/>
                    <w:jc w:val="center"/>
                    <w:rPr>
                      <w:rFonts w:hint="default" w:ascii="Times New Roman" w:hAnsi="Times New Roman" w:cs="Times New Roman"/>
                      <w:sz w:val="22"/>
                      <w:szCs w:val="22"/>
                      <w:u w:val="none" w:color="auto"/>
                      <w:lang w:eastAsia="zh-CN"/>
                    </w:rPr>
                  </w:pPr>
                  <w:r>
                    <w:rPr>
                      <w:rFonts w:hint="default" w:ascii="Times New Roman" w:hAnsi="Times New Roman" w:cs="Times New Roman"/>
                      <w:sz w:val="22"/>
                      <w:szCs w:val="22"/>
                      <w:u w:val="none" w:color="auto"/>
                      <w:lang w:eastAsia="zh-CN"/>
                    </w:rPr>
                    <w:t>农村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continue"/>
                  <w:vAlign w:val="center"/>
                </w:tcPr>
                <w:p>
                  <w:pPr>
                    <w:pStyle w:val="177"/>
                    <w:spacing w:line="360" w:lineRule="auto"/>
                    <w:ind w:firstLine="0" w:firstLineChars="0"/>
                    <w:jc w:val="center"/>
                    <w:rPr>
                      <w:rFonts w:hint="default" w:ascii="Times New Roman" w:hAnsi="Times New Roman" w:cs="Times New Roman"/>
                      <w:sz w:val="22"/>
                      <w:szCs w:val="22"/>
                      <w:u w:val="none" w:color="auto"/>
                    </w:rPr>
                  </w:pPr>
                </w:p>
              </w:tc>
              <w:tc>
                <w:tcPr>
                  <w:tcW w:w="3008" w:type="dxa"/>
                  <w:vAlign w:val="center"/>
                </w:tcPr>
                <w:p>
                  <w:pPr>
                    <w:pStyle w:val="177"/>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人口数（城市选项时）</w:t>
                  </w:r>
                </w:p>
              </w:tc>
              <w:tc>
                <w:tcPr>
                  <w:tcW w:w="3006" w:type="dxa"/>
                  <w:vAlign w:val="center"/>
                </w:tcPr>
                <w:p>
                  <w:pPr>
                    <w:pStyle w:val="177"/>
                    <w:spacing w:line="360" w:lineRule="auto"/>
                    <w:ind w:firstLine="0" w:firstLineChars="0"/>
                    <w:jc w:val="center"/>
                    <w:rPr>
                      <w:rFonts w:hint="default" w:ascii="Times New Roman" w:hAnsi="Times New Roman" w:cs="Times New Roman"/>
                      <w:sz w:val="22"/>
                      <w:szCs w:val="22"/>
                      <w:u w:val="none" w:color="auto"/>
                      <w:lang w:eastAsia="zh-CN"/>
                    </w:rPr>
                  </w:pPr>
                  <w:r>
                    <w:rPr>
                      <w:rFonts w:hint="default" w:ascii="Times New Roman" w:hAnsi="Times New Roman" w:cs="Times New Roman"/>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016" w:type="dxa"/>
                  <w:gridSpan w:val="2"/>
                  <w:vAlign w:val="center"/>
                </w:tcPr>
                <w:p>
                  <w:pPr>
                    <w:pStyle w:val="177"/>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最高环境温度/℃</w:t>
                  </w:r>
                </w:p>
              </w:tc>
              <w:tc>
                <w:tcPr>
                  <w:tcW w:w="3006" w:type="dxa"/>
                  <w:vAlign w:val="center"/>
                </w:tcPr>
                <w:p>
                  <w:pPr>
                    <w:pStyle w:val="177"/>
                    <w:spacing w:line="360" w:lineRule="auto"/>
                    <w:ind w:firstLine="0" w:firstLineChars="0"/>
                    <w:jc w:val="center"/>
                    <w:rPr>
                      <w:rFonts w:hint="default" w:ascii="Times New Roman" w:hAnsi="Times New Roman" w:eastAsia="宋体" w:cs="Times New Roman"/>
                      <w:sz w:val="22"/>
                      <w:szCs w:val="22"/>
                      <w:u w:val="none" w:color="auto"/>
                      <w:lang w:val="en-US" w:eastAsia="zh-CN"/>
                    </w:rPr>
                  </w:pPr>
                  <w:r>
                    <w:rPr>
                      <w:rFonts w:hint="eastAsia" w:ascii="Times New Roman" w:hAnsi="Times New Roman" w:cs="Times New Roman"/>
                      <w:sz w:val="22"/>
                      <w:szCs w:val="22"/>
                      <w:u w:val="none" w:color="auto"/>
                      <w:lang w:val="en-US" w:eastAsia="zh-CN"/>
                    </w:rPr>
                    <w:t>38.4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016" w:type="dxa"/>
                  <w:gridSpan w:val="2"/>
                  <w:vAlign w:val="center"/>
                </w:tcPr>
                <w:p>
                  <w:pPr>
                    <w:pStyle w:val="177"/>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最低环境温度/℃</w:t>
                  </w:r>
                </w:p>
              </w:tc>
              <w:tc>
                <w:tcPr>
                  <w:tcW w:w="3006" w:type="dxa"/>
                  <w:vAlign w:val="center"/>
                </w:tcPr>
                <w:p>
                  <w:pPr>
                    <w:pStyle w:val="177"/>
                    <w:spacing w:line="360" w:lineRule="auto"/>
                    <w:ind w:firstLine="0" w:firstLineChars="0"/>
                    <w:jc w:val="center"/>
                    <w:rPr>
                      <w:rFonts w:hint="default" w:ascii="Times New Roman" w:hAnsi="Times New Roman" w:eastAsia="宋体" w:cs="Times New Roman"/>
                      <w:sz w:val="22"/>
                      <w:szCs w:val="22"/>
                      <w:u w:val="none" w:color="auto"/>
                      <w:lang w:val="en-US" w:eastAsia="zh-CN"/>
                    </w:rPr>
                  </w:pPr>
                  <w:r>
                    <w:rPr>
                      <w:rFonts w:hint="eastAsia" w:ascii="Times New Roman" w:hAnsi="Times New Roman" w:cs="Times New Roman"/>
                      <w:sz w:val="22"/>
                      <w:szCs w:val="22"/>
                      <w:u w:val="none" w:color="auto"/>
                      <w:lang w:val="en-US" w:eastAsia="zh-CN"/>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016" w:type="dxa"/>
                  <w:gridSpan w:val="2"/>
                  <w:vAlign w:val="center"/>
                </w:tcPr>
                <w:p>
                  <w:pPr>
                    <w:pStyle w:val="177"/>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土地利用类型</w:t>
                  </w:r>
                </w:p>
              </w:tc>
              <w:tc>
                <w:tcPr>
                  <w:tcW w:w="3006" w:type="dxa"/>
                  <w:vAlign w:val="center"/>
                </w:tcPr>
                <w:p>
                  <w:pPr>
                    <w:pStyle w:val="177"/>
                    <w:spacing w:line="360" w:lineRule="auto"/>
                    <w:ind w:firstLine="0" w:firstLineChars="0"/>
                    <w:jc w:val="center"/>
                    <w:rPr>
                      <w:rFonts w:hint="eastAsia" w:ascii="Times New Roman" w:hAnsi="Times New Roman" w:eastAsia="宋体" w:cs="Times New Roman"/>
                      <w:sz w:val="22"/>
                      <w:szCs w:val="22"/>
                      <w:u w:val="none" w:color="auto"/>
                      <w:lang w:eastAsia="zh-CN"/>
                    </w:rPr>
                  </w:pPr>
                  <w:r>
                    <w:rPr>
                      <w:rFonts w:hint="eastAsia" w:ascii="Times New Roman" w:hAnsi="Times New Roman" w:cs="Times New Roman"/>
                      <w:sz w:val="22"/>
                      <w:szCs w:val="22"/>
                      <w:u w:val="none" w:color="auto"/>
                      <w:lang w:val="en-US" w:eastAsia="zh-CN"/>
                    </w:rPr>
                    <w:t>集体</w:t>
                  </w:r>
                  <w:r>
                    <w:rPr>
                      <w:rFonts w:hint="eastAsia" w:ascii="Times New Roman" w:hAnsi="Times New Roman" w:cs="Times New Roman"/>
                      <w:sz w:val="22"/>
                      <w:szCs w:val="22"/>
                      <w:u w:val="none" w:color="auto"/>
                      <w:lang w:eastAsia="zh-CN"/>
                    </w:rPr>
                    <w:t>用地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016" w:type="dxa"/>
                  <w:gridSpan w:val="2"/>
                  <w:vAlign w:val="center"/>
                </w:tcPr>
                <w:p>
                  <w:pPr>
                    <w:pStyle w:val="177"/>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区域湿度条件</w:t>
                  </w:r>
                </w:p>
              </w:tc>
              <w:tc>
                <w:tcPr>
                  <w:tcW w:w="3006" w:type="dxa"/>
                  <w:vAlign w:val="center"/>
                </w:tcPr>
                <w:p>
                  <w:pPr>
                    <w:pStyle w:val="177"/>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潮湿气候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restart"/>
                  <w:vAlign w:val="center"/>
                </w:tcPr>
                <w:p>
                  <w:pPr>
                    <w:pStyle w:val="177"/>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是否考虑地形</w:t>
                  </w:r>
                </w:p>
              </w:tc>
              <w:tc>
                <w:tcPr>
                  <w:tcW w:w="3008" w:type="dxa"/>
                  <w:vAlign w:val="center"/>
                </w:tcPr>
                <w:p>
                  <w:pPr>
                    <w:pStyle w:val="177"/>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考虑地形</w:t>
                  </w:r>
                </w:p>
              </w:tc>
              <w:tc>
                <w:tcPr>
                  <w:tcW w:w="3006" w:type="dxa"/>
                  <w:vAlign w:val="center"/>
                </w:tcPr>
                <w:p>
                  <w:pPr>
                    <w:pStyle w:val="177"/>
                    <w:spacing w:line="360" w:lineRule="auto"/>
                    <w:ind w:firstLine="0" w:firstLineChars="0"/>
                    <w:jc w:val="center"/>
                    <w:rPr>
                      <w:rFonts w:hint="eastAsia" w:ascii="Times New Roman" w:hAnsi="Times New Roman" w:eastAsia="宋体" w:cs="Times New Roman"/>
                      <w:sz w:val="22"/>
                      <w:szCs w:val="22"/>
                      <w:u w:val="none" w:color="auto"/>
                      <w:lang w:val="en-US" w:eastAsia="zh-CN"/>
                    </w:rPr>
                  </w:pPr>
                  <w:r>
                    <w:rPr>
                      <w:rFonts w:hint="eastAsia" w:ascii="Times New Roman" w:hAnsi="Times New Roman" w:cs="Times New Roman"/>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continue"/>
                  <w:vAlign w:val="center"/>
                </w:tcPr>
                <w:p>
                  <w:pPr>
                    <w:pStyle w:val="177"/>
                    <w:spacing w:line="360" w:lineRule="auto"/>
                    <w:ind w:firstLine="0" w:firstLineChars="0"/>
                    <w:jc w:val="center"/>
                    <w:rPr>
                      <w:rFonts w:hint="default" w:ascii="Times New Roman" w:hAnsi="Times New Roman" w:cs="Times New Roman"/>
                      <w:sz w:val="22"/>
                      <w:szCs w:val="22"/>
                      <w:u w:val="none" w:color="auto"/>
                    </w:rPr>
                  </w:pPr>
                </w:p>
              </w:tc>
              <w:tc>
                <w:tcPr>
                  <w:tcW w:w="3008" w:type="dxa"/>
                  <w:vAlign w:val="center"/>
                </w:tcPr>
                <w:p>
                  <w:pPr>
                    <w:pStyle w:val="177"/>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地形数据分辨率/m</w:t>
                  </w:r>
                </w:p>
              </w:tc>
              <w:tc>
                <w:tcPr>
                  <w:tcW w:w="3006" w:type="dxa"/>
                  <w:vAlign w:val="center"/>
                </w:tcPr>
                <w:p>
                  <w:pPr>
                    <w:pStyle w:val="177"/>
                    <w:spacing w:line="360" w:lineRule="auto"/>
                    <w:ind w:firstLine="0" w:firstLineChars="0"/>
                    <w:jc w:val="center"/>
                    <w:rPr>
                      <w:rFonts w:hint="eastAsia" w:ascii="Times New Roman" w:hAnsi="Times New Roman" w:eastAsia="宋体" w:cs="Times New Roman"/>
                      <w:sz w:val="22"/>
                      <w:szCs w:val="22"/>
                      <w:u w:val="none" w:color="auto"/>
                      <w:lang w:val="en-US" w:eastAsia="zh-CN"/>
                    </w:rPr>
                  </w:pPr>
                  <w:r>
                    <w:rPr>
                      <w:rFonts w:hint="eastAsia" w:ascii="Times New Roman" w:hAnsi="Times New Roman" w:cs="Times New Roman"/>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restart"/>
                  <w:vAlign w:val="center"/>
                </w:tcPr>
                <w:p>
                  <w:pPr>
                    <w:pStyle w:val="177"/>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是否考虑岸线熏烟</w:t>
                  </w:r>
                </w:p>
              </w:tc>
              <w:tc>
                <w:tcPr>
                  <w:tcW w:w="3008" w:type="dxa"/>
                  <w:vAlign w:val="center"/>
                </w:tcPr>
                <w:p>
                  <w:pPr>
                    <w:pStyle w:val="177"/>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考虑岸线熏烟</w:t>
                  </w:r>
                </w:p>
              </w:tc>
              <w:tc>
                <w:tcPr>
                  <w:tcW w:w="3006" w:type="dxa"/>
                  <w:vAlign w:val="center"/>
                </w:tcPr>
                <w:p>
                  <w:pPr>
                    <w:pStyle w:val="177"/>
                    <w:spacing w:line="360" w:lineRule="auto"/>
                    <w:ind w:firstLine="0" w:firstLineChars="0"/>
                    <w:jc w:val="center"/>
                    <w:rPr>
                      <w:rFonts w:hint="eastAsia" w:ascii="Times New Roman" w:hAnsi="Times New Roman" w:eastAsia="宋体" w:cs="Times New Roman"/>
                      <w:sz w:val="22"/>
                      <w:szCs w:val="22"/>
                      <w:u w:val="none" w:color="auto"/>
                      <w:lang w:val="en-US" w:eastAsia="zh-CN"/>
                    </w:rPr>
                  </w:pPr>
                  <w:r>
                    <w:rPr>
                      <w:rFonts w:hint="eastAsia" w:ascii="Times New Roman" w:hAnsi="Times New Roman" w:cs="Times New Roman"/>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continue"/>
                  <w:vAlign w:val="center"/>
                </w:tcPr>
                <w:p>
                  <w:pPr>
                    <w:pStyle w:val="177"/>
                    <w:spacing w:line="360" w:lineRule="auto"/>
                    <w:ind w:firstLine="0" w:firstLineChars="0"/>
                    <w:jc w:val="center"/>
                    <w:rPr>
                      <w:rFonts w:hint="default" w:ascii="Times New Roman" w:hAnsi="Times New Roman" w:cs="Times New Roman"/>
                      <w:sz w:val="22"/>
                      <w:szCs w:val="22"/>
                      <w:u w:val="none" w:color="auto"/>
                    </w:rPr>
                  </w:pPr>
                </w:p>
              </w:tc>
              <w:tc>
                <w:tcPr>
                  <w:tcW w:w="3008" w:type="dxa"/>
                  <w:vAlign w:val="center"/>
                </w:tcPr>
                <w:p>
                  <w:pPr>
                    <w:pStyle w:val="177"/>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岸线距离/km</w:t>
                  </w:r>
                </w:p>
              </w:tc>
              <w:tc>
                <w:tcPr>
                  <w:tcW w:w="3006" w:type="dxa"/>
                  <w:vAlign w:val="center"/>
                </w:tcPr>
                <w:p>
                  <w:pPr>
                    <w:pStyle w:val="177"/>
                    <w:spacing w:line="360" w:lineRule="auto"/>
                    <w:ind w:firstLine="0" w:firstLineChars="0"/>
                    <w:jc w:val="center"/>
                    <w:rPr>
                      <w:rFonts w:hint="eastAsia" w:ascii="Times New Roman" w:hAnsi="Times New Roman" w:eastAsia="宋体" w:cs="Times New Roman"/>
                      <w:sz w:val="22"/>
                      <w:szCs w:val="22"/>
                      <w:u w:val="none" w:color="auto"/>
                      <w:lang w:val="en-US" w:eastAsia="zh-CN"/>
                    </w:rPr>
                  </w:pPr>
                  <w:r>
                    <w:rPr>
                      <w:rFonts w:hint="eastAsia" w:ascii="Times New Roman" w:hAnsi="Times New Roman" w:cs="Times New Roman"/>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continue"/>
                  <w:vAlign w:val="center"/>
                </w:tcPr>
                <w:p>
                  <w:pPr>
                    <w:pStyle w:val="177"/>
                    <w:spacing w:line="360" w:lineRule="auto"/>
                    <w:ind w:firstLine="0" w:firstLineChars="0"/>
                    <w:jc w:val="center"/>
                    <w:rPr>
                      <w:rFonts w:hint="default" w:ascii="Times New Roman" w:hAnsi="Times New Roman" w:cs="Times New Roman"/>
                      <w:sz w:val="22"/>
                      <w:szCs w:val="22"/>
                      <w:u w:val="none" w:color="auto"/>
                    </w:rPr>
                  </w:pPr>
                </w:p>
              </w:tc>
              <w:tc>
                <w:tcPr>
                  <w:tcW w:w="3008" w:type="dxa"/>
                  <w:vAlign w:val="center"/>
                </w:tcPr>
                <w:p>
                  <w:pPr>
                    <w:pStyle w:val="177"/>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岸线方向/°</w:t>
                  </w:r>
                </w:p>
              </w:tc>
              <w:tc>
                <w:tcPr>
                  <w:tcW w:w="3006" w:type="dxa"/>
                  <w:vAlign w:val="center"/>
                </w:tcPr>
                <w:p>
                  <w:pPr>
                    <w:pStyle w:val="177"/>
                    <w:spacing w:line="360" w:lineRule="auto"/>
                    <w:ind w:firstLine="0" w:firstLineChars="0"/>
                    <w:jc w:val="center"/>
                    <w:rPr>
                      <w:rFonts w:hint="eastAsia" w:ascii="Times New Roman" w:hAnsi="Times New Roman" w:eastAsia="宋体" w:cs="Times New Roman"/>
                      <w:sz w:val="22"/>
                      <w:szCs w:val="22"/>
                      <w:u w:val="none" w:color="auto"/>
                      <w:lang w:val="en-US" w:eastAsia="zh-CN"/>
                    </w:rPr>
                  </w:pPr>
                  <w:r>
                    <w:rPr>
                      <w:rFonts w:hint="eastAsia" w:ascii="Times New Roman" w:hAnsi="Times New Roman" w:cs="Times New Roman"/>
                      <w:sz w:val="22"/>
                      <w:szCs w:val="22"/>
                      <w:u w:val="none" w:color="auto"/>
                      <w:lang w:val="en-US" w:eastAsia="zh-CN"/>
                    </w:rPr>
                    <w:t>/</w:t>
                  </w:r>
                </w:p>
              </w:tc>
            </w:tr>
          </w:tbl>
          <w:p>
            <w:pPr>
              <w:tabs>
                <w:tab w:val="left" w:pos="103"/>
              </w:tabs>
              <w:autoSpaceDE w:val="0"/>
              <w:autoSpaceDN w:val="0"/>
              <w:spacing w:line="360" w:lineRule="auto"/>
              <w:ind w:firstLine="462" w:firstLineChars="200"/>
              <w:rPr>
                <w:rFonts w:hint="default" w:ascii="Times New Roman" w:hAnsi="Times New Roman" w:cs="Times New Roman"/>
                <w:sz w:val="24"/>
                <w:szCs w:val="24"/>
                <w:u w:val="single" w:color="auto"/>
                <w:lang w:val="en-US" w:eastAsia="zh-CN"/>
              </w:rPr>
            </w:pPr>
            <w:r>
              <w:rPr>
                <w:rFonts w:hint="default" w:ascii="Calibri" w:hAnsi="Calibri" w:cs="Calibri"/>
                <w:sz w:val="24"/>
                <w:szCs w:val="24"/>
                <w:u w:val="single" w:color="auto"/>
                <w:lang w:val="en-US" w:eastAsia="zh-CN"/>
              </w:rPr>
              <w:t>②</w:t>
            </w:r>
            <w:r>
              <w:rPr>
                <w:rFonts w:hint="default" w:ascii="Times New Roman" w:hAnsi="Times New Roman" w:cs="Times New Roman"/>
                <w:sz w:val="24"/>
                <w:szCs w:val="24"/>
                <w:u w:val="single" w:color="auto"/>
                <w:lang w:val="en-US" w:eastAsia="zh-CN"/>
              </w:rPr>
              <w:t>预测结果</w:t>
            </w:r>
          </w:p>
          <w:p>
            <w:pPr>
              <w:spacing w:line="360" w:lineRule="auto"/>
              <w:ind w:firstLine="462" w:firstLineChars="200"/>
              <w:jc w:val="both"/>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lang w:val="en-US" w:eastAsia="zh-CN"/>
              </w:rPr>
              <w:t>采用《环境影响评价技术导则-大气环境》（HJ2.2-2018）中推荐的估算模式—AERSCREEN进行估算，估算模式已考虑了最不利的气象条件，根据预测结果，各污染物下风向预测最大地面浓度、占标率见表7-</w:t>
            </w:r>
            <w:r>
              <w:rPr>
                <w:rFonts w:hint="eastAsia" w:cs="Times New Roman"/>
                <w:sz w:val="24"/>
                <w:szCs w:val="24"/>
                <w:u w:val="single" w:color="auto"/>
                <w:lang w:val="en-US" w:eastAsia="zh-CN"/>
              </w:rPr>
              <w:t>4。</w:t>
            </w:r>
          </w:p>
          <w:p>
            <w:pPr>
              <w:tabs>
                <w:tab w:val="left" w:pos="103"/>
              </w:tabs>
              <w:autoSpaceDE w:val="0"/>
              <w:autoSpaceDN w:val="0"/>
              <w:spacing w:line="360" w:lineRule="auto"/>
              <w:ind w:firstLine="462" w:firstLineChars="200"/>
              <w:jc w:val="center"/>
              <w:rPr>
                <w:rFonts w:hint="default" w:ascii="Times New Roman" w:hAnsi="Times New Roman" w:cs="Times New Roman"/>
                <w:sz w:val="24"/>
                <w:szCs w:val="24"/>
                <w:u w:val="single" w:color="auto"/>
                <w:lang w:val="en-US" w:eastAsia="zh-CN"/>
              </w:rPr>
            </w:pPr>
            <w:r>
              <w:rPr>
                <w:rFonts w:hint="default" w:ascii="Times New Roman" w:hAnsi="Times New Roman" w:cs="Times New Roman"/>
                <w:sz w:val="24"/>
                <w:szCs w:val="24"/>
                <w:u w:val="single" w:color="auto"/>
                <w:lang w:val="en-US" w:eastAsia="zh-CN"/>
              </w:rPr>
              <w:t>表7-</w:t>
            </w:r>
            <w:r>
              <w:rPr>
                <w:rFonts w:hint="eastAsia" w:cs="Times New Roman"/>
                <w:sz w:val="24"/>
                <w:szCs w:val="24"/>
                <w:u w:val="single" w:color="auto"/>
                <w:lang w:val="en-US" w:eastAsia="zh-CN"/>
              </w:rPr>
              <w:t xml:space="preserve">4 </w:t>
            </w:r>
            <w:r>
              <w:rPr>
                <w:rFonts w:hint="default" w:ascii="Times New Roman" w:hAnsi="Times New Roman" w:cs="Times New Roman"/>
                <w:sz w:val="24"/>
                <w:szCs w:val="24"/>
                <w:u w:val="single" w:color="auto"/>
                <w:lang w:val="en-US" w:eastAsia="zh-CN"/>
              </w:rPr>
              <w:t>污染物下风向预测最大地面浓度、占标率一览表</w:t>
            </w:r>
          </w:p>
          <w:tbl>
            <w:tblPr>
              <w:tblStyle w:val="39"/>
              <w:tblW w:w="905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966"/>
              <w:gridCol w:w="1425"/>
              <w:gridCol w:w="1742"/>
              <w:gridCol w:w="1645"/>
              <w:gridCol w:w="16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6" w:type="dxa"/>
                  <w:tcBorders>
                    <w:tl2br w:val="nil"/>
                    <w:tr2bl w:val="nil"/>
                  </w:tcBorders>
                  <w:noWrap w:val="0"/>
                  <w:vAlign w:val="center"/>
                </w:tcPr>
                <w:p>
                  <w:pPr>
                    <w:keepNext w:val="0"/>
                    <w:keepLines w:val="0"/>
                    <w:pageBreakBefore w:val="0"/>
                    <w:widowControl w:val="0"/>
                    <w:tabs>
                      <w:tab w:val="left" w:pos="103"/>
                    </w:tabs>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类别</w:t>
                  </w:r>
                </w:p>
              </w:tc>
              <w:tc>
                <w:tcPr>
                  <w:tcW w:w="1966" w:type="dxa"/>
                  <w:tcBorders>
                    <w:tl2br w:val="nil"/>
                    <w:tr2bl w:val="nil"/>
                  </w:tcBorders>
                  <w:noWrap w:val="0"/>
                  <w:vAlign w:val="center"/>
                </w:tcPr>
                <w:p>
                  <w:pPr>
                    <w:keepNext w:val="0"/>
                    <w:keepLines w:val="0"/>
                    <w:pageBreakBefore w:val="0"/>
                    <w:widowControl w:val="0"/>
                    <w:tabs>
                      <w:tab w:val="left" w:pos="103"/>
                    </w:tabs>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污染因子</w:t>
                  </w:r>
                </w:p>
              </w:tc>
              <w:tc>
                <w:tcPr>
                  <w:tcW w:w="1425" w:type="dxa"/>
                  <w:tcBorders>
                    <w:tl2br w:val="nil"/>
                    <w:tr2bl w:val="nil"/>
                  </w:tcBorders>
                  <w:noWrap w:val="0"/>
                  <w:vAlign w:val="center"/>
                </w:tcPr>
                <w:p>
                  <w:pPr>
                    <w:keepNext w:val="0"/>
                    <w:keepLines w:val="0"/>
                    <w:pageBreakBefore w:val="0"/>
                    <w:widowControl w:val="0"/>
                    <w:tabs>
                      <w:tab w:val="left" w:pos="103"/>
                    </w:tabs>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最大落地浓度（</w:t>
                  </w:r>
                  <w:r>
                    <w:rPr>
                      <w:rFonts w:hint="eastAsia" w:cs="Times New Roman"/>
                      <w:sz w:val="22"/>
                      <w:szCs w:val="22"/>
                      <w:u w:val="single" w:color="auto"/>
                      <w:lang w:val="en-US" w:eastAsia="zh-CN"/>
                    </w:rPr>
                    <w:t>m</w:t>
                  </w:r>
                  <w:r>
                    <w:rPr>
                      <w:rFonts w:hint="default" w:ascii="Times New Roman" w:hAnsi="Times New Roman" w:cs="Times New Roman"/>
                      <w:sz w:val="22"/>
                      <w:szCs w:val="22"/>
                      <w:u w:val="single" w:color="auto"/>
                      <w:lang w:val="en-US" w:eastAsia="zh-CN"/>
                    </w:rPr>
                    <w:t>g/m</w:t>
                  </w:r>
                  <w:r>
                    <w:rPr>
                      <w:rFonts w:hint="default" w:ascii="Times New Roman" w:hAnsi="Times New Roman" w:cs="Times New Roman"/>
                      <w:sz w:val="22"/>
                      <w:szCs w:val="22"/>
                      <w:u w:val="single" w:color="auto"/>
                      <w:vertAlign w:val="superscript"/>
                      <w:lang w:val="en-US" w:eastAsia="zh-CN"/>
                    </w:rPr>
                    <w:t>3</w:t>
                  </w:r>
                  <w:r>
                    <w:rPr>
                      <w:rFonts w:hint="default" w:ascii="Times New Roman" w:hAnsi="Times New Roman" w:cs="Times New Roman"/>
                      <w:sz w:val="22"/>
                      <w:szCs w:val="22"/>
                      <w:u w:val="single" w:color="auto"/>
                      <w:lang w:val="en-US" w:eastAsia="zh-CN"/>
                    </w:rPr>
                    <w:t>）</w:t>
                  </w:r>
                </w:p>
              </w:tc>
              <w:tc>
                <w:tcPr>
                  <w:tcW w:w="1742" w:type="dxa"/>
                  <w:tcBorders>
                    <w:tl2br w:val="nil"/>
                    <w:tr2bl w:val="nil"/>
                  </w:tcBorders>
                  <w:noWrap w:val="0"/>
                  <w:vAlign w:val="center"/>
                </w:tcPr>
                <w:p>
                  <w:pPr>
                    <w:keepNext w:val="0"/>
                    <w:keepLines w:val="0"/>
                    <w:pageBreakBefore w:val="0"/>
                    <w:widowControl w:val="0"/>
                    <w:tabs>
                      <w:tab w:val="left" w:pos="103"/>
                    </w:tabs>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最大落地浓度占标率Pmax（%）</w:t>
                  </w:r>
                </w:p>
              </w:tc>
              <w:tc>
                <w:tcPr>
                  <w:tcW w:w="1645" w:type="dxa"/>
                  <w:tcBorders>
                    <w:tl2br w:val="nil"/>
                    <w:tr2bl w:val="nil"/>
                  </w:tcBorders>
                  <w:noWrap w:val="0"/>
                  <w:vAlign w:val="center"/>
                </w:tcPr>
                <w:p>
                  <w:pPr>
                    <w:keepNext w:val="0"/>
                    <w:keepLines w:val="0"/>
                    <w:pageBreakBefore w:val="0"/>
                    <w:widowControl w:val="0"/>
                    <w:tabs>
                      <w:tab w:val="left" w:pos="103"/>
                    </w:tabs>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下风向最大浓度出现距离m</w:t>
                  </w:r>
                </w:p>
              </w:tc>
              <w:tc>
                <w:tcPr>
                  <w:tcW w:w="1608" w:type="dxa"/>
                  <w:tcBorders>
                    <w:tl2br w:val="nil"/>
                    <w:tr2bl w:val="nil"/>
                  </w:tcBorders>
                  <w:noWrap w:val="0"/>
                  <w:vAlign w:val="center"/>
                </w:tcPr>
                <w:p>
                  <w:pPr>
                    <w:keepNext w:val="0"/>
                    <w:keepLines w:val="0"/>
                    <w:pageBreakBefore w:val="0"/>
                    <w:widowControl w:val="0"/>
                    <w:tabs>
                      <w:tab w:val="left" w:pos="103"/>
                    </w:tabs>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评价等级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66" w:type="dxa"/>
                  <w:vMerge w:val="restart"/>
                  <w:tcBorders>
                    <w:tl2br w:val="nil"/>
                    <w:tr2bl w:val="nil"/>
                  </w:tcBorders>
                  <w:noWrap w:val="0"/>
                  <w:vAlign w:val="center"/>
                </w:tcPr>
                <w:p>
                  <w:pPr>
                    <w:keepNext w:val="0"/>
                    <w:keepLines w:val="0"/>
                    <w:pageBreakBefore w:val="0"/>
                    <w:widowControl w:val="0"/>
                    <w:tabs>
                      <w:tab w:val="left" w:pos="103"/>
                    </w:tabs>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无组织</w:t>
                  </w:r>
                </w:p>
              </w:tc>
              <w:tc>
                <w:tcPr>
                  <w:tcW w:w="1966" w:type="dxa"/>
                  <w:tcBorders>
                    <w:tl2br w:val="nil"/>
                    <w:tr2bl w:val="nil"/>
                  </w:tcBorders>
                  <w:noWrap w:val="0"/>
                  <w:vAlign w:val="center"/>
                </w:tcPr>
                <w:p>
                  <w:pPr>
                    <w:keepNext w:val="0"/>
                    <w:keepLines w:val="0"/>
                    <w:pageBreakBefore w:val="0"/>
                    <w:widowControl w:val="0"/>
                    <w:tabs>
                      <w:tab w:val="left" w:pos="103"/>
                    </w:tabs>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颗粒物</w:t>
                  </w:r>
                </w:p>
              </w:tc>
              <w:tc>
                <w:tcPr>
                  <w:tcW w:w="1425" w:type="dxa"/>
                  <w:tcBorders>
                    <w:tl2br w:val="nil"/>
                    <w:tr2bl w:val="nil"/>
                  </w:tcBorders>
                  <w:noWrap w:val="0"/>
                  <w:vAlign w:val="center"/>
                </w:tcPr>
                <w:p>
                  <w:pPr>
                    <w:keepNext w:val="0"/>
                    <w:keepLines w:val="0"/>
                    <w:widowControl/>
                    <w:suppressLineNumbers w:val="0"/>
                    <w:spacing w:line="360" w:lineRule="auto"/>
                    <w:jc w:val="center"/>
                    <w:textAlignment w:val="center"/>
                    <w:rPr>
                      <w:rFonts w:hint="default" w:ascii="Times New Roman" w:hAnsi="Times New Roman" w:cs="Times New Roman"/>
                      <w:sz w:val="22"/>
                      <w:szCs w:val="22"/>
                      <w:u w:val="single" w:color="auto"/>
                      <w:lang w:val="en-US" w:eastAsia="zh-CN"/>
                    </w:rPr>
                  </w:pPr>
                  <w:r>
                    <w:rPr>
                      <w:rFonts w:hint="eastAsia" w:ascii="Times New Roman" w:hAnsi="Times New Roman" w:eastAsia="宋体" w:cs="Times New Roman"/>
                      <w:sz w:val="22"/>
                      <w:szCs w:val="22"/>
                      <w:u w:val="single" w:color="auto"/>
                      <w:lang w:val="en-US" w:eastAsia="zh-CN"/>
                    </w:rPr>
                    <w:t>0.</w:t>
                  </w:r>
                  <w:r>
                    <w:rPr>
                      <w:rFonts w:hint="eastAsia" w:cs="Times New Roman"/>
                      <w:sz w:val="22"/>
                      <w:szCs w:val="22"/>
                      <w:u w:val="single" w:color="auto"/>
                      <w:lang w:val="en-US" w:eastAsia="zh-CN"/>
                    </w:rPr>
                    <w:t>033</w:t>
                  </w:r>
                  <w:r>
                    <w:rPr>
                      <w:rFonts w:hint="eastAsia" w:ascii="Times New Roman" w:hAnsi="Times New Roman" w:eastAsia="宋体" w:cs="Times New Roman"/>
                      <w:sz w:val="22"/>
                      <w:szCs w:val="22"/>
                      <w:u w:val="single" w:color="auto"/>
                      <w:lang w:val="en-US" w:eastAsia="zh-CN"/>
                    </w:rPr>
                    <w:t xml:space="preserve">2 </w:t>
                  </w:r>
                </w:p>
              </w:tc>
              <w:tc>
                <w:tcPr>
                  <w:tcW w:w="1742" w:type="dxa"/>
                  <w:tcBorders>
                    <w:tl2br w:val="nil"/>
                    <w:tr2bl w:val="nil"/>
                  </w:tcBorders>
                  <w:noWrap w:val="0"/>
                  <w:vAlign w:val="center"/>
                </w:tcPr>
                <w:p>
                  <w:pPr>
                    <w:keepNext w:val="0"/>
                    <w:keepLines w:val="0"/>
                    <w:widowControl/>
                    <w:suppressLineNumbers w:val="0"/>
                    <w:spacing w:line="360" w:lineRule="auto"/>
                    <w:jc w:val="center"/>
                    <w:textAlignment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2</w:t>
                  </w:r>
                  <w:r>
                    <w:rPr>
                      <w:rFonts w:hint="eastAsia" w:ascii="Times New Roman" w:hAnsi="Times New Roman" w:eastAsia="宋体" w:cs="Times New Roman"/>
                      <w:sz w:val="22"/>
                      <w:szCs w:val="22"/>
                      <w:u w:val="single" w:color="auto"/>
                      <w:lang w:val="en-US" w:eastAsia="zh-CN"/>
                    </w:rPr>
                    <w:t>.</w:t>
                  </w:r>
                  <w:r>
                    <w:rPr>
                      <w:rFonts w:hint="eastAsia" w:cs="Times New Roman"/>
                      <w:sz w:val="22"/>
                      <w:szCs w:val="22"/>
                      <w:u w:val="single" w:color="auto"/>
                      <w:lang w:val="en-US" w:eastAsia="zh-CN"/>
                    </w:rPr>
                    <w:t>7</w:t>
                  </w:r>
                  <w:r>
                    <w:rPr>
                      <w:rFonts w:hint="eastAsia" w:ascii="Times New Roman" w:hAnsi="Times New Roman" w:eastAsia="宋体" w:cs="Times New Roman"/>
                      <w:sz w:val="22"/>
                      <w:szCs w:val="22"/>
                      <w:u w:val="single" w:color="auto"/>
                      <w:lang w:val="en-US" w:eastAsia="zh-CN"/>
                    </w:rPr>
                    <w:t xml:space="preserve">5 </w:t>
                  </w:r>
                </w:p>
              </w:tc>
              <w:tc>
                <w:tcPr>
                  <w:tcW w:w="1645" w:type="dxa"/>
                  <w:tcBorders>
                    <w:tl2br w:val="nil"/>
                    <w:tr2bl w:val="nil"/>
                  </w:tcBorders>
                  <w:noWrap w:val="0"/>
                  <w:vAlign w:val="center"/>
                </w:tcPr>
                <w:p>
                  <w:pPr>
                    <w:keepNext w:val="0"/>
                    <w:keepLines w:val="0"/>
                    <w:pageBreakBefore w:val="0"/>
                    <w:widowControl w:val="0"/>
                    <w:tabs>
                      <w:tab w:val="left" w:pos="103"/>
                    </w:tabs>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75</w:t>
                  </w:r>
                </w:p>
              </w:tc>
              <w:tc>
                <w:tcPr>
                  <w:tcW w:w="160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二</w:t>
                  </w:r>
                  <w:r>
                    <w:rPr>
                      <w:rFonts w:hint="default" w:ascii="Times New Roman" w:hAnsi="Times New Roman" w:cs="Times New Roman"/>
                      <w:sz w:val="22"/>
                      <w:szCs w:val="22"/>
                      <w:u w:val="single" w:color="auto"/>
                      <w:lang w:val="en-US" w:eastAsia="zh-CN"/>
                    </w:rPr>
                    <w:t>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66" w:type="dxa"/>
                  <w:vMerge w:val="continue"/>
                  <w:tcBorders>
                    <w:tl2br w:val="nil"/>
                    <w:tr2bl w:val="nil"/>
                  </w:tcBorders>
                  <w:noWrap w:val="0"/>
                  <w:vAlign w:val="center"/>
                </w:tcPr>
                <w:p>
                  <w:pPr>
                    <w:keepNext w:val="0"/>
                    <w:keepLines w:val="0"/>
                    <w:pageBreakBefore w:val="0"/>
                    <w:widowControl w:val="0"/>
                    <w:tabs>
                      <w:tab w:val="left" w:pos="103"/>
                    </w:tabs>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Times New Roman"/>
                      <w:sz w:val="22"/>
                      <w:szCs w:val="22"/>
                      <w:u w:val="single" w:color="auto"/>
                      <w:lang w:val="en-US" w:eastAsia="zh-CN"/>
                    </w:rPr>
                  </w:pPr>
                </w:p>
              </w:tc>
              <w:tc>
                <w:tcPr>
                  <w:tcW w:w="1966" w:type="dxa"/>
                  <w:tcBorders>
                    <w:tl2br w:val="nil"/>
                    <w:tr2bl w:val="nil"/>
                  </w:tcBorders>
                  <w:noWrap w:val="0"/>
                  <w:vAlign w:val="center"/>
                </w:tcPr>
                <w:p>
                  <w:pPr>
                    <w:keepNext w:val="0"/>
                    <w:keepLines w:val="0"/>
                    <w:pageBreakBefore w:val="0"/>
                    <w:widowControl w:val="0"/>
                    <w:tabs>
                      <w:tab w:val="left" w:pos="103"/>
                    </w:tabs>
                    <w:kinsoku/>
                    <w:wordWrap/>
                    <w:overflowPunct/>
                    <w:topLinePunct w:val="0"/>
                    <w:autoSpaceDE w:val="0"/>
                    <w:autoSpaceDN w:val="0"/>
                    <w:bidi w:val="0"/>
                    <w:adjustRightInd/>
                    <w:snapToGrid/>
                    <w:spacing w:line="360" w:lineRule="auto"/>
                    <w:ind w:firstLine="0" w:firstLineChars="0"/>
                    <w:jc w:val="center"/>
                    <w:textAlignment w:val="auto"/>
                    <w:rPr>
                      <w:rFonts w:hint="default" w:cs="Times New Roman"/>
                      <w:sz w:val="22"/>
                      <w:szCs w:val="22"/>
                      <w:u w:val="single" w:color="auto"/>
                      <w:lang w:val="en-US" w:eastAsia="zh-CN"/>
                    </w:rPr>
                  </w:pPr>
                  <w:r>
                    <w:rPr>
                      <w:rFonts w:hint="eastAsia" w:cs="Times New Roman"/>
                      <w:sz w:val="22"/>
                      <w:szCs w:val="22"/>
                      <w:u w:val="single" w:color="auto"/>
                      <w:lang w:val="en-US" w:eastAsia="zh-CN"/>
                    </w:rPr>
                    <w:t>VOC</w:t>
                  </w:r>
                  <w:r>
                    <w:rPr>
                      <w:rFonts w:hint="eastAsia" w:cs="Times New Roman"/>
                      <w:sz w:val="22"/>
                      <w:szCs w:val="22"/>
                      <w:u w:val="single" w:color="auto"/>
                      <w:vertAlign w:val="subscript"/>
                      <w:lang w:val="en-US" w:eastAsia="zh-CN"/>
                    </w:rPr>
                    <w:t>S</w:t>
                  </w:r>
                </w:p>
              </w:tc>
              <w:tc>
                <w:tcPr>
                  <w:tcW w:w="1425" w:type="dxa"/>
                  <w:tcBorders>
                    <w:tl2br w:val="nil"/>
                    <w:tr2bl w:val="nil"/>
                  </w:tcBorders>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0.07596</w:t>
                  </w:r>
                </w:p>
              </w:tc>
              <w:tc>
                <w:tcPr>
                  <w:tcW w:w="1742" w:type="dxa"/>
                  <w:tcBorders>
                    <w:tl2br w:val="nil"/>
                    <w:tr2bl w:val="nil"/>
                  </w:tcBorders>
                  <w:noWrap w:val="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4.33</w:t>
                  </w:r>
                </w:p>
              </w:tc>
              <w:tc>
                <w:tcPr>
                  <w:tcW w:w="1645" w:type="dxa"/>
                  <w:tcBorders>
                    <w:tl2br w:val="nil"/>
                    <w:tr2bl w:val="nil"/>
                  </w:tcBorders>
                  <w:noWrap w:val="0"/>
                  <w:vAlign w:val="center"/>
                </w:tcPr>
                <w:p>
                  <w:pPr>
                    <w:keepNext w:val="0"/>
                    <w:keepLines w:val="0"/>
                    <w:pageBreakBefore w:val="0"/>
                    <w:widowControl w:val="0"/>
                    <w:tabs>
                      <w:tab w:val="left" w:pos="103"/>
                    </w:tabs>
                    <w:kinsoku/>
                    <w:wordWrap/>
                    <w:overflowPunct/>
                    <w:topLinePunct w:val="0"/>
                    <w:autoSpaceDE w:val="0"/>
                    <w:autoSpaceDN w:val="0"/>
                    <w:bidi w:val="0"/>
                    <w:adjustRightInd/>
                    <w:snapToGrid/>
                    <w:spacing w:line="360" w:lineRule="auto"/>
                    <w:ind w:firstLine="0" w:firstLineChars="0"/>
                    <w:jc w:val="center"/>
                    <w:textAlignment w:val="auto"/>
                    <w:rPr>
                      <w:rFonts w:hint="default" w:cs="Times New Roman"/>
                      <w:sz w:val="22"/>
                      <w:szCs w:val="22"/>
                      <w:u w:val="single" w:color="auto"/>
                      <w:lang w:val="en-US" w:eastAsia="zh-CN"/>
                    </w:rPr>
                  </w:pPr>
                  <w:r>
                    <w:rPr>
                      <w:rFonts w:hint="eastAsia" w:cs="Times New Roman"/>
                      <w:sz w:val="22"/>
                      <w:szCs w:val="22"/>
                      <w:u w:val="single" w:color="auto"/>
                      <w:lang w:val="en-US" w:eastAsia="zh-CN"/>
                    </w:rPr>
                    <w:t>68</w:t>
                  </w:r>
                </w:p>
              </w:tc>
              <w:tc>
                <w:tcPr>
                  <w:tcW w:w="160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二级</w:t>
                  </w:r>
                </w:p>
              </w:tc>
            </w:tr>
          </w:tbl>
          <w:p>
            <w:pPr>
              <w:spacing w:line="360" w:lineRule="auto"/>
              <w:ind w:firstLine="462" w:firstLineChars="200"/>
              <w:jc w:val="left"/>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对于同一个项目有多个污染源时，按各污染源分别确定评价等级，并取评价等级最高者作为项目的评价等级。综上计算可知，本项目评价等级为</w:t>
            </w:r>
            <w:r>
              <w:rPr>
                <w:rFonts w:hint="eastAsia" w:cs="Times New Roman"/>
                <w:sz w:val="24"/>
                <w:szCs w:val="24"/>
                <w:u w:val="single" w:color="auto"/>
                <w:lang w:val="en-US" w:eastAsia="zh-CN"/>
              </w:rPr>
              <w:t>二</w:t>
            </w:r>
            <w:r>
              <w:rPr>
                <w:rFonts w:hint="default" w:ascii="Times New Roman" w:hAnsi="Times New Roman" w:cs="Times New Roman"/>
                <w:sz w:val="24"/>
                <w:szCs w:val="24"/>
                <w:u w:val="single" w:color="auto"/>
              </w:rPr>
              <w:t>级。</w:t>
            </w:r>
          </w:p>
          <w:p>
            <w:pPr>
              <w:snapToGrid w:val="0"/>
              <w:spacing w:line="360" w:lineRule="auto"/>
              <w:ind w:firstLine="470"/>
              <w:rPr>
                <w:rFonts w:hint="eastAsia" w:eastAsia="宋体" w:cs="Times New Roman"/>
                <w:color w:val="auto"/>
                <w:sz w:val="24"/>
                <w:szCs w:val="24"/>
                <w:u w:val="single" w:color="auto"/>
                <w:lang w:val="en-US" w:eastAsia="zh-CN"/>
              </w:rPr>
            </w:pPr>
            <w:r>
              <w:rPr>
                <w:rFonts w:hint="default" w:ascii="Times New Roman" w:hAnsi="Times New Roman" w:cs="Times New Roman"/>
                <w:sz w:val="24"/>
                <w:szCs w:val="24"/>
                <w:u w:val="single" w:color="auto"/>
              </w:rPr>
              <w:t>根据估算模式预测</w:t>
            </w:r>
            <w:r>
              <w:rPr>
                <w:rFonts w:hint="default" w:ascii="Times New Roman" w:hAnsi="Times New Roman" w:cs="Times New Roman"/>
                <w:color w:val="auto"/>
                <w:sz w:val="24"/>
                <w:szCs w:val="24"/>
                <w:u w:val="single" w:color="auto"/>
              </w:rPr>
              <w:t>结果</w:t>
            </w:r>
            <w:r>
              <w:rPr>
                <w:rFonts w:hint="eastAsia" w:cs="Times New Roman"/>
                <w:color w:val="auto"/>
                <w:sz w:val="24"/>
                <w:szCs w:val="24"/>
                <w:u w:val="single" w:color="auto"/>
                <w:lang w:val="en-US" w:eastAsia="zh-CN"/>
              </w:rPr>
              <w:t>可知，</w:t>
            </w:r>
            <w:r>
              <w:rPr>
                <w:rFonts w:hint="default" w:ascii="Times New Roman" w:hAnsi="Times New Roman" w:cs="Times New Roman"/>
                <w:color w:val="auto"/>
                <w:sz w:val="24"/>
                <w:szCs w:val="24"/>
                <w:u w:val="single" w:color="auto"/>
              </w:rPr>
              <w:t>营运期产生的粉尘排放能够满足《大气污染物综合排放标准》（GB16297-1996）无组织排放最高浓度排放限值，</w:t>
            </w:r>
            <w:r>
              <w:rPr>
                <w:rFonts w:hint="eastAsia" w:cs="Times New Roman"/>
                <w:color w:val="auto"/>
                <w:sz w:val="24"/>
                <w:szCs w:val="24"/>
                <w:u w:val="single" w:color="auto"/>
                <w:lang w:val="en-US" w:eastAsia="zh-CN"/>
              </w:rPr>
              <w:t>非甲烷总烃</w:t>
            </w:r>
            <w:r>
              <w:rPr>
                <w:rFonts w:hint="default" w:ascii="Times New Roman" w:hAnsi="Times New Roman" w:cs="Times New Roman"/>
                <w:color w:val="auto"/>
                <w:sz w:val="24"/>
                <w:szCs w:val="24"/>
                <w:u w:val="single" w:color="auto"/>
              </w:rPr>
              <w:t>能满足湖南省地方标准《家具制造行</w:t>
            </w:r>
            <w:r>
              <w:rPr>
                <w:rFonts w:hint="default" w:ascii="Times New Roman" w:hAnsi="Times New Roman" w:cs="Times New Roman"/>
                <w:sz w:val="24"/>
                <w:szCs w:val="24"/>
                <w:u w:val="single" w:color="auto"/>
              </w:rPr>
              <w:t>业挥发性有机物排放标准》（DB43/1355-2017）表2中的无组织排放最高浓度限值，对周围环境影响较小。</w:t>
            </w:r>
          </w:p>
          <w:p>
            <w:pPr>
              <w:spacing w:line="360" w:lineRule="auto"/>
              <w:ind w:firstLine="578" w:firstLineChars="250"/>
              <w:rPr>
                <w:rFonts w:hint="default" w:ascii="Times New Roman" w:hAnsi="Times New Roman" w:cs="Times New Roman"/>
                <w:color w:val="auto"/>
                <w:sz w:val="24"/>
                <w:szCs w:val="24"/>
                <w:u w:val="single" w:color="auto"/>
                <w:lang w:val="en-US" w:eastAsia="zh-CN"/>
              </w:rPr>
            </w:pPr>
            <w:r>
              <w:rPr>
                <w:rFonts w:hint="eastAsia" w:cs="Times New Roman"/>
                <w:color w:val="auto"/>
                <w:sz w:val="24"/>
                <w:u w:val="single" w:color="auto"/>
                <w:lang w:eastAsia="zh-CN"/>
              </w:rPr>
              <w:t>根据湖南精准通检测技术有限公司于</w:t>
            </w:r>
            <w:r>
              <w:rPr>
                <w:rFonts w:hint="eastAsia" w:cs="Times New Roman"/>
                <w:color w:val="auto"/>
                <w:sz w:val="24"/>
                <w:u w:val="single" w:color="auto"/>
                <w:lang w:val="en-US" w:eastAsia="zh-CN"/>
              </w:rPr>
              <w:t>2020年5月26-27日对其厂界上风向及下风向颗粒物、非甲烷总烃进行了监测，</w:t>
            </w:r>
            <w:r>
              <w:rPr>
                <w:rFonts w:hint="eastAsia" w:cs="Times New Roman"/>
                <w:color w:val="auto"/>
                <w:sz w:val="24"/>
                <w:szCs w:val="24"/>
                <w:u w:val="single" w:color="auto"/>
                <w:lang w:eastAsia="zh-CN"/>
              </w:rPr>
              <w:t>监测期间项目正常运行（</w:t>
            </w:r>
            <w:r>
              <w:rPr>
                <w:rFonts w:hint="eastAsia" w:cs="Times New Roman"/>
                <w:color w:val="auto"/>
                <w:sz w:val="24"/>
                <w:szCs w:val="24"/>
                <w:u w:val="single" w:color="auto"/>
                <w:lang w:val="en-US" w:eastAsia="zh-CN"/>
              </w:rPr>
              <w:t>工况为75%</w:t>
            </w:r>
            <w:r>
              <w:rPr>
                <w:rFonts w:hint="eastAsia" w:cs="Times New Roman"/>
                <w:color w:val="auto"/>
                <w:sz w:val="24"/>
                <w:szCs w:val="24"/>
                <w:u w:val="single" w:color="auto"/>
                <w:lang w:eastAsia="zh-CN"/>
              </w:rPr>
              <w:t>）</w:t>
            </w:r>
            <w:r>
              <w:rPr>
                <w:rFonts w:hint="default" w:ascii="Times New Roman" w:hAnsi="Times New Roman" w:cs="Times New Roman"/>
                <w:color w:val="auto"/>
                <w:sz w:val="24"/>
                <w:szCs w:val="24"/>
                <w:u w:val="single" w:color="auto"/>
                <w:lang w:eastAsia="zh-CN"/>
              </w:rPr>
              <w:t>，具体</w:t>
            </w:r>
            <w:r>
              <w:rPr>
                <w:rFonts w:hint="eastAsia" w:cs="Times New Roman"/>
                <w:color w:val="auto"/>
                <w:sz w:val="24"/>
                <w:szCs w:val="24"/>
                <w:u w:val="single" w:color="auto"/>
                <w:lang w:eastAsia="zh-CN"/>
              </w:rPr>
              <w:t>监测结果</w:t>
            </w:r>
            <w:r>
              <w:rPr>
                <w:rFonts w:hint="default" w:ascii="Times New Roman" w:hAnsi="Times New Roman" w:cs="Times New Roman"/>
                <w:color w:val="auto"/>
                <w:sz w:val="24"/>
                <w:szCs w:val="24"/>
                <w:u w:val="single" w:color="auto"/>
                <w:lang w:eastAsia="zh-CN"/>
              </w:rPr>
              <w:t>详见表</w:t>
            </w:r>
            <w:r>
              <w:rPr>
                <w:rFonts w:hint="eastAsia" w:cs="Times New Roman"/>
                <w:color w:val="auto"/>
                <w:sz w:val="24"/>
                <w:szCs w:val="24"/>
                <w:u w:val="single" w:color="auto"/>
                <w:lang w:val="en-US" w:eastAsia="zh-CN"/>
              </w:rPr>
              <w:t>7-5</w:t>
            </w:r>
            <w:r>
              <w:rPr>
                <w:rFonts w:hint="default" w:ascii="Times New Roman" w:hAnsi="Times New Roman" w:cs="Times New Roman"/>
                <w:color w:val="auto"/>
                <w:sz w:val="24"/>
                <w:szCs w:val="24"/>
                <w:u w:val="single" w:color="auto"/>
                <w:lang w:val="en-US" w:eastAsia="zh-CN"/>
              </w:rPr>
              <w:t>。</w:t>
            </w:r>
          </w:p>
          <w:p>
            <w:pPr>
              <w:bidi w:val="0"/>
              <w:spacing w:line="360" w:lineRule="auto"/>
              <w:jc w:val="center"/>
              <w:rPr>
                <w:rFonts w:hint="default" w:ascii="Times New Roman" w:hAnsi="Times New Roman" w:cs="Times New Roman"/>
                <w:sz w:val="24"/>
                <w:szCs w:val="24"/>
                <w:u w:val="single" w:color="auto"/>
                <w:lang w:val="en-US" w:eastAsia="zh-CN"/>
              </w:rPr>
            </w:pPr>
            <w:r>
              <w:rPr>
                <w:rFonts w:hint="default" w:ascii="Times New Roman" w:hAnsi="Times New Roman" w:cs="Times New Roman"/>
                <w:sz w:val="24"/>
                <w:szCs w:val="24"/>
                <w:u w:val="single" w:color="auto"/>
                <w:lang w:val="en-US" w:eastAsia="zh-CN"/>
              </w:rPr>
              <w:t>表</w:t>
            </w:r>
            <w:r>
              <w:rPr>
                <w:rFonts w:hint="eastAsia" w:cs="Times New Roman"/>
                <w:sz w:val="24"/>
                <w:szCs w:val="24"/>
                <w:u w:val="single" w:color="auto"/>
                <w:lang w:val="en-US" w:eastAsia="zh-CN"/>
              </w:rPr>
              <w:t xml:space="preserve">7-5 </w:t>
            </w:r>
            <w:r>
              <w:rPr>
                <w:rFonts w:hint="default" w:ascii="Times New Roman" w:hAnsi="Times New Roman" w:cs="Times New Roman"/>
                <w:sz w:val="24"/>
                <w:szCs w:val="24"/>
                <w:u w:val="single" w:color="auto"/>
                <w:lang w:val="en-US" w:eastAsia="zh-CN"/>
              </w:rPr>
              <w:t>厂界无组</w:t>
            </w:r>
            <w:r>
              <w:rPr>
                <w:rFonts w:hint="eastAsia" w:cs="Times New Roman"/>
                <w:sz w:val="24"/>
                <w:szCs w:val="24"/>
                <w:u w:val="single" w:color="auto"/>
                <w:lang w:val="en-US" w:eastAsia="zh-CN"/>
              </w:rPr>
              <w:t>织</w:t>
            </w:r>
            <w:r>
              <w:rPr>
                <w:rFonts w:hint="default" w:ascii="Times New Roman" w:hAnsi="Times New Roman" w:cs="Times New Roman"/>
                <w:sz w:val="24"/>
                <w:szCs w:val="24"/>
                <w:u w:val="single" w:color="auto"/>
                <w:lang w:val="en-US" w:eastAsia="zh-CN"/>
              </w:rPr>
              <w:t>废气检测结果一览表</w:t>
            </w:r>
          </w:p>
          <w:tbl>
            <w:tblPr>
              <w:tblStyle w:val="40"/>
              <w:tblW w:w="904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063"/>
              <w:gridCol w:w="1554"/>
              <w:gridCol w:w="1809"/>
              <w:gridCol w:w="18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9" w:type="dxa"/>
                  <w:vMerge w:val="restart"/>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监测点位</w:t>
                  </w:r>
                </w:p>
              </w:tc>
              <w:tc>
                <w:tcPr>
                  <w:tcW w:w="3617" w:type="dxa"/>
                  <w:gridSpan w:val="2"/>
                  <w:vMerge w:val="restart"/>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采样日期</w:t>
                  </w:r>
                </w:p>
              </w:tc>
              <w:tc>
                <w:tcPr>
                  <w:tcW w:w="3616" w:type="dxa"/>
                  <w:gridSpan w:val="2"/>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检测结果mg/m</w:t>
                  </w:r>
                  <w:r>
                    <w:rPr>
                      <w:rFonts w:hint="default" w:ascii="Times New Roman" w:hAnsi="Times New Roman" w:cs="Times New Roman"/>
                      <w:sz w:val="22"/>
                      <w:szCs w:val="22"/>
                      <w:u w:val="single" w:color="auto"/>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3617" w:type="dxa"/>
                  <w:gridSpan w:val="2"/>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颗粒物</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非甲烷总烃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809" w:type="dxa"/>
                  <w:vMerge w:val="restart"/>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厂界上风向</w:t>
                  </w:r>
                </w:p>
              </w:tc>
              <w:tc>
                <w:tcPr>
                  <w:tcW w:w="2063" w:type="dxa"/>
                  <w:vMerge w:val="restart"/>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20</w:t>
                  </w:r>
                  <w:r>
                    <w:rPr>
                      <w:rFonts w:hint="eastAsia" w:cs="Times New Roman"/>
                      <w:sz w:val="22"/>
                      <w:szCs w:val="22"/>
                      <w:u w:val="single" w:color="auto"/>
                      <w:lang w:val="en-US" w:eastAsia="zh-CN"/>
                    </w:rPr>
                    <w:t>20年5月26日</w:t>
                  </w: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第一次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0.134</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2063"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第二次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0.150</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2063"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第三次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0.156</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2063" w:type="dxa"/>
                  <w:vMerge w:val="restart"/>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20</w:t>
                  </w:r>
                  <w:r>
                    <w:rPr>
                      <w:rFonts w:hint="eastAsia" w:cs="Times New Roman"/>
                      <w:sz w:val="22"/>
                      <w:szCs w:val="22"/>
                      <w:u w:val="single" w:color="auto"/>
                      <w:lang w:val="en-US" w:eastAsia="zh-CN"/>
                    </w:rPr>
                    <w:t>20年5月27日</w:t>
                  </w: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第一次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0.143</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2063"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第二次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0.158</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2063"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第三次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0.155</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809" w:type="dxa"/>
                  <w:vMerge w:val="restart"/>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厂界下风向</w:t>
                  </w:r>
                  <w:r>
                    <w:rPr>
                      <w:rFonts w:hint="eastAsia" w:cs="Times New Roman"/>
                      <w:sz w:val="22"/>
                      <w:szCs w:val="22"/>
                      <w:u w:val="single" w:color="auto"/>
                      <w:lang w:val="en-US" w:eastAsia="zh-CN"/>
                    </w:rPr>
                    <w:t>1#</w:t>
                  </w:r>
                </w:p>
              </w:tc>
              <w:tc>
                <w:tcPr>
                  <w:tcW w:w="2063" w:type="dxa"/>
                  <w:vMerge w:val="restart"/>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20</w:t>
                  </w:r>
                  <w:r>
                    <w:rPr>
                      <w:rFonts w:hint="eastAsia" w:cs="Times New Roman"/>
                      <w:sz w:val="22"/>
                      <w:szCs w:val="22"/>
                      <w:u w:val="single" w:color="auto"/>
                      <w:lang w:val="en-US" w:eastAsia="zh-CN"/>
                    </w:rPr>
                    <w:t>20年5月26日</w:t>
                  </w: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第一次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0.168</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2063"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第二次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0.170</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0.46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2063"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第三次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0.183</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0.48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2063" w:type="dxa"/>
                  <w:vMerge w:val="restart"/>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20</w:t>
                  </w:r>
                  <w:r>
                    <w:rPr>
                      <w:rFonts w:hint="eastAsia" w:cs="Times New Roman"/>
                      <w:sz w:val="22"/>
                      <w:szCs w:val="22"/>
                      <w:u w:val="single" w:color="auto"/>
                      <w:lang w:val="en-US" w:eastAsia="zh-CN"/>
                    </w:rPr>
                    <w:t>20年5月27日</w:t>
                  </w: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第一次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0.175</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2063"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第二次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0.188</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2063"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第三次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0.200</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09" w:type="dxa"/>
                  <w:vMerge w:val="restart"/>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厂界下风向</w:t>
                  </w:r>
                  <w:r>
                    <w:rPr>
                      <w:rFonts w:hint="eastAsia" w:cs="Times New Roman"/>
                      <w:sz w:val="22"/>
                      <w:szCs w:val="22"/>
                      <w:u w:val="single" w:color="auto"/>
                      <w:lang w:val="en-US" w:eastAsia="zh-CN"/>
                    </w:rPr>
                    <w:t>2#</w:t>
                  </w:r>
                </w:p>
              </w:tc>
              <w:tc>
                <w:tcPr>
                  <w:tcW w:w="2063" w:type="dxa"/>
                  <w:vMerge w:val="restart"/>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20</w:t>
                  </w:r>
                  <w:r>
                    <w:rPr>
                      <w:rFonts w:hint="eastAsia" w:cs="Times New Roman"/>
                      <w:sz w:val="22"/>
                      <w:szCs w:val="22"/>
                      <w:u w:val="single" w:color="auto"/>
                      <w:lang w:val="en-US" w:eastAsia="zh-CN"/>
                    </w:rPr>
                    <w:t>20年5月26日</w:t>
                  </w: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第一次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0.327</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0.51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2063"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第二次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0.345</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2063"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第三次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0.344</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2063" w:type="dxa"/>
                  <w:vMerge w:val="restart"/>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20</w:t>
                  </w:r>
                  <w:r>
                    <w:rPr>
                      <w:rFonts w:hint="eastAsia" w:cs="Times New Roman"/>
                      <w:sz w:val="22"/>
                      <w:szCs w:val="22"/>
                      <w:u w:val="single" w:color="auto"/>
                      <w:lang w:val="en-US" w:eastAsia="zh-CN"/>
                    </w:rPr>
                    <w:t>20年5月27日</w:t>
                  </w: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第一次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0.339</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2063"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第二次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0.346</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809"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2063" w:type="dxa"/>
                  <w:vMerge w:val="continue"/>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p>
              </w:tc>
              <w:tc>
                <w:tcPr>
                  <w:tcW w:w="1554"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第三次</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0.370</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0.53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26" w:type="dxa"/>
                  <w:gridSpan w:val="3"/>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标准限值</w:t>
                  </w:r>
                </w:p>
              </w:tc>
              <w:tc>
                <w:tcPr>
                  <w:tcW w:w="1809"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1.0</w:t>
                  </w:r>
                </w:p>
              </w:tc>
              <w:tc>
                <w:tcPr>
                  <w:tcW w:w="1807" w:type="dxa"/>
                  <w:tcBorders>
                    <w:tl2br w:val="nil"/>
                    <w:tr2bl w:val="nil"/>
                  </w:tcBorders>
                  <w:vAlign w:val="center"/>
                </w:tcPr>
                <w:p>
                  <w:pPr>
                    <w:pStyle w:val="38"/>
                    <w:spacing w:line="360" w:lineRule="auto"/>
                    <w:ind w:left="0" w:leftChars="0" w:firstLine="0" w:firstLineChars="0"/>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2.0</w:t>
                  </w:r>
                </w:p>
              </w:tc>
            </w:tr>
          </w:tbl>
          <w:p>
            <w:pPr>
              <w:snapToGrid w:val="0"/>
              <w:spacing w:line="360" w:lineRule="auto"/>
              <w:ind w:firstLine="470"/>
              <w:rPr>
                <w:rFonts w:hint="eastAsia" w:eastAsia="宋体" w:cs="Times New Roman"/>
                <w:color w:val="auto"/>
                <w:sz w:val="24"/>
                <w:szCs w:val="24"/>
                <w:u w:val="single" w:color="auto"/>
                <w:lang w:eastAsia="zh-CN"/>
              </w:rPr>
            </w:pPr>
            <w:r>
              <w:rPr>
                <w:rFonts w:hint="eastAsia" w:cs="Times New Roman"/>
                <w:sz w:val="24"/>
                <w:u w:val="single" w:color="auto"/>
                <w:lang w:eastAsia="zh-CN"/>
              </w:rPr>
              <w:t>通过上表监测结果可知，</w:t>
            </w:r>
            <w:r>
              <w:rPr>
                <w:rFonts w:hint="eastAsia"/>
                <w:sz w:val="24"/>
                <w:szCs w:val="24"/>
                <w:u w:val="single" w:color="auto"/>
              </w:rPr>
              <w:t>颗粒物</w:t>
            </w:r>
            <w:r>
              <w:rPr>
                <w:rFonts w:hint="eastAsia"/>
                <w:sz w:val="24"/>
                <w:szCs w:val="24"/>
                <w:u w:val="single" w:color="auto"/>
                <w:lang w:eastAsia="zh-CN"/>
              </w:rPr>
              <w:t>监测结果达到了</w:t>
            </w:r>
            <w:r>
              <w:rPr>
                <w:rFonts w:hint="eastAsia"/>
                <w:sz w:val="24"/>
                <w:szCs w:val="24"/>
                <w:u w:val="single" w:color="auto"/>
              </w:rPr>
              <w:t>《大气污染物综合排放标准》（GB16297-1996）无组织监控限值，</w:t>
            </w:r>
            <w:r>
              <w:rPr>
                <w:rFonts w:hint="eastAsia"/>
                <w:sz w:val="24"/>
                <w:szCs w:val="24"/>
                <w:u w:val="single" w:color="auto"/>
                <w:lang w:val="en-US" w:eastAsia="zh-CN"/>
              </w:rPr>
              <w:t>非甲烷总烃</w:t>
            </w:r>
            <w:r>
              <w:rPr>
                <w:rFonts w:hint="eastAsia"/>
                <w:sz w:val="24"/>
                <w:szCs w:val="24"/>
                <w:u w:val="single" w:color="auto"/>
                <w:lang w:eastAsia="zh-CN"/>
              </w:rPr>
              <w:t>监测结果达到</w:t>
            </w:r>
            <w:r>
              <w:rPr>
                <w:rFonts w:hint="eastAsia"/>
                <w:sz w:val="24"/>
                <w:szCs w:val="24"/>
                <w:u w:val="single" w:color="auto"/>
              </w:rPr>
              <w:t>湖南省地方标准《</w:t>
            </w:r>
            <w:r>
              <w:rPr>
                <w:rFonts w:hint="eastAsia"/>
                <w:sz w:val="24"/>
                <w:szCs w:val="24"/>
                <w:u w:val="single" w:color="auto"/>
                <w:lang w:eastAsia="zh-CN"/>
              </w:rPr>
              <w:t>家具制造行业</w:t>
            </w:r>
            <w:r>
              <w:rPr>
                <w:rFonts w:hint="eastAsia"/>
                <w:sz w:val="24"/>
                <w:szCs w:val="24"/>
                <w:u w:val="single" w:color="auto"/>
              </w:rPr>
              <w:t>挥发性有机物排放标准》（DB43/1355-2017）</w:t>
            </w:r>
            <w:r>
              <w:rPr>
                <w:rFonts w:hint="eastAsia"/>
                <w:sz w:val="24"/>
                <w:szCs w:val="24"/>
                <w:u w:val="single" w:color="auto"/>
                <w:lang w:eastAsia="zh-CN"/>
              </w:rPr>
              <w:t>中</w:t>
            </w:r>
            <w:r>
              <w:rPr>
                <w:rFonts w:hint="eastAsia"/>
                <w:sz w:val="24"/>
                <w:szCs w:val="24"/>
                <w:u w:val="single" w:color="auto"/>
              </w:rPr>
              <w:t>的排放浓度限值</w:t>
            </w:r>
            <w:r>
              <w:rPr>
                <w:rFonts w:hint="eastAsia"/>
                <w:sz w:val="24"/>
                <w:szCs w:val="24"/>
                <w:u w:val="single" w:color="auto"/>
                <w:lang w:eastAsia="zh-CN"/>
              </w:rPr>
              <w:t>。</w:t>
            </w:r>
          </w:p>
          <w:p>
            <w:pPr>
              <w:snapToGrid w:val="0"/>
              <w:spacing w:line="360" w:lineRule="auto"/>
              <w:ind w:firstLine="470"/>
              <w:rPr>
                <w:rFonts w:hint="default" w:ascii="Times New Roman" w:hAnsi="Times New Roman" w:cs="Times New Roman"/>
                <w:sz w:val="24"/>
                <w:szCs w:val="24"/>
                <w:u w:val="single" w:color="auto"/>
              </w:rPr>
            </w:pPr>
            <w:r>
              <w:rPr>
                <w:rFonts w:hint="eastAsia" w:cs="Times New Roman"/>
                <w:color w:val="auto"/>
                <w:sz w:val="24"/>
                <w:szCs w:val="24"/>
                <w:u w:val="single" w:color="auto"/>
                <w:lang w:val="en-US" w:eastAsia="zh-CN"/>
              </w:rPr>
              <w:t>根据现场勘查可知，本项目现场较为凌乱，地面粉尘较多，卫生较差，平面布置不是很合理，</w:t>
            </w:r>
            <w:r>
              <w:rPr>
                <w:rFonts w:hint="eastAsia" w:cs="Times New Roman"/>
                <w:bCs/>
                <w:sz w:val="24"/>
                <w:szCs w:val="24"/>
                <w:u w:val="single" w:color="auto"/>
                <w:lang w:val="en-US" w:eastAsia="zh-CN"/>
              </w:rPr>
              <w:t>钻孔、下料无双桶式布袋除尘器，且实际检测点位为厂界，故预测浓度低于现场实际测量值，但企业进行整改后其现场实测浓度会相应降低。</w:t>
            </w:r>
          </w:p>
          <w:p>
            <w:pPr>
              <w:keepNext w:val="0"/>
              <w:keepLines w:val="0"/>
              <w:pageBreakBefore w:val="0"/>
              <w:widowControl w:val="0"/>
              <w:kinsoku/>
              <w:wordWrap/>
              <w:overflowPunct/>
              <w:topLinePunct w:val="0"/>
              <w:autoSpaceDE/>
              <w:autoSpaceDN/>
              <w:bidi w:val="0"/>
              <w:adjustRightInd/>
              <w:snapToGrid/>
              <w:spacing w:line="360" w:lineRule="auto"/>
              <w:ind w:firstLine="462" w:firstLineChars="200"/>
              <w:jc w:val="left"/>
              <w:textAlignment w:val="auto"/>
              <w:rPr>
                <w:rFonts w:hint="eastAsia" w:cs="Times New Roman"/>
                <w:sz w:val="24"/>
                <w:szCs w:val="24"/>
                <w:u w:val="single" w:color="auto"/>
                <w:lang w:eastAsia="zh-CN"/>
              </w:rPr>
            </w:pPr>
            <w:r>
              <w:rPr>
                <w:rFonts w:hint="eastAsia" w:cs="Times New Roman"/>
                <w:sz w:val="24"/>
                <w:szCs w:val="24"/>
                <w:u w:val="single" w:color="auto"/>
                <w:lang w:eastAsia="zh-CN"/>
              </w:rPr>
              <w:t>由于本项目现已建设完成，</w:t>
            </w:r>
            <w:r>
              <w:rPr>
                <w:rFonts w:hint="eastAsia" w:cs="Times New Roman"/>
                <w:sz w:val="24"/>
                <w:szCs w:val="24"/>
                <w:u w:val="single" w:color="auto"/>
                <w:lang w:val="en-US" w:eastAsia="zh-CN"/>
              </w:rPr>
              <w:t>但现场及生产均存在不合理情况</w:t>
            </w:r>
            <w:r>
              <w:rPr>
                <w:rFonts w:hint="eastAsia" w:cs="Times New Roman"/>
                <w:sz w:val="24"/>
                <w:szCs w:val="24"/>
                <w:u w:val="single" w:color="auto"/>
                <w:lang w:eastAsia="zh-CN"/>
              </w:rPr>
              <w:t>，因此本环评提出以下几点建议：</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62" w:firstLineChars="200"/>
              <w:textAlignment w:val="auto"/>
              <w:rPr>
                <w:rFonts w:hint="eastAsia" w:cs="Times New Roman"/>
                <w:kern w:val="2"/>
                <w:sz w:val="24"/>
                <w:szCs w:val="20"/>
                <w:u w:val="single" w:color="auto"/>
                <w:lang w:val="en-US" w:eastAsia="zh-CN" w:bidi="ar-SA"/>
              </w:rPr>
            </w:pPr>
            <w:r>
              <w:rPr>
                <w:rFonts w:hint="eastAsia"/>
                <w:sz w:val="24"/>
                <w:szCs w:val="22"/>
                <w:u w:val="single" w:color="auto"/>
                <w:lang w:val="en-US" w:eastAsia="zh-CN"/>
              </w:rPr>
              <w:t>项目</w:t>
            </w:r>
            <w:r>
              <w:rPr>
                <w:rFonts w:hint="default" w:ascii="Times New Roman" w:hAnsi="Times New Roman" w:eastAsia="宋体" w:cs="Times New Roman"/>
                <w:kern w:val="2"/>
                <w:sz w:val="24"/>
                <w:szCs w:val="20"/>
                <w:u w:val="single" w:color="auto"/>
                <w:lang w:val="en-US" w:eastAsia="zh-CN" w:bidi="ar-SA"/>
              </w:rPr>
              <w:t>刷胶、冷压、封边</w:t>
            </w:r>
            <w:r>
              <w:rPr>
                <w:rFonts w:hint="eastAsia" w:cs="Times New Roman"/>
                <w:kern w:val="2"/>
                <w:sz w:val="24"/>
                <w:szCs w:val="20"/>
                <w:u w:val="single" w:color="auto"/>
                <w:lang w:val="en-US" w:eastAsia="zh-CN" w:bidi="ar-SA"/>
              </w:rPr>
              <w:t>时及时对车间进行强制抽排风。</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62" w:firstLineChars="200"/>
              <w:textAlignment w:val="auto"/>
              <w:rPr>
                <w:rFonts w:hint="default"/>
                <w:sz w:val="24"/>
                <w:szCs w:val="22"/>
                <w:u w:val="single" w:color="auto"/>
                <w:lang w:val="en-US" w:eastAsia="zh-CN"/>
              </w:rPr>
            </w:pPr>
            <w:r>
              <w:rPr>
                <w:rFonts w:hint="eastAsia" w:cs="Times New Roman"/>
                <w:kern w:val="2"/>
                <w:sz w:val="24"/>
                <w:szCs w:val="20"/>
                <w:u w:val="single" w:color="auto"/>
                <w:lang w:val="en-US" w:eastAsia="zh-CN" w:bidi="ar-SA"/>
              </w:rPr>
              <w:t>白乳胶储存区需设置专门的储存间。</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62" w:firstLineChars="200"/>
              <w:textAlignment w:val="auto"/>
              <w:rPr>
                <w:rFonts w:hint="default"/>
                <w:sz w:val="24"/>
                <w:szCs w:val="22"/>
                <w:u w:val="single" w:color="auto"/>
                <w:lang w:val="en-US" w:eastAsia="zh-CN"/>
              </w:rPr>
            </w:pPr>
            <w:r>
              <w:rPr>
                <w:rFonts w:hint="eastAsia" w:cs="Times New Roman"/>
                <w:kern w:val="2"/>
                <w:sz w:val="24"/>
                <w:szCs w:val="20"/>
                <w:u w:val="single" w:color="auto"/>
                <w:lang w:val="en-US" w:eastAsia="zh-CN" w:bidi="ar-SA"/>
              </w:rPr>
              <w:t>在进行</w:t>
            </w:r>
            <w:r>
              <w:rPr>
                <w:rFonts w:hint="default" w:ascii="Times New Roman" w:hAnsi="Times New Roman" w:eastAsia="宋体" w:cs="Times New Roman"/>
                <w:kern w:val="2"/>
                <w:sz w:val="24"/>
                <w:szCs w:val="20"/>
                <w:u w:val="single" w:color="auto"/>
                <w:lang w:val="en-US" w:eastAsia="zh-CN" w:bidi="ar-SA"/>
              </w:rPr>
              <w:t>刷胶、冷压、封边工序</w:t>
            </w:r>
            <w:r>
              <w:rPr>
                <w:rFonts w:hint="eastAsia" w:cs="Times New Roman"/>
                <w:kern w:val="2"/>
                <w:sz w:val="24"/>
                <w:szCs w:val="20"/>
                <w:u w:val="single" w:color="auto"/>
                <w:lang w:val="en-US" w:eastAsia="zh-CN" w:bidi="ar-SA"/>
              </w:rPr>
              <w:t>中员工需要做好相关防护措施。</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62" w:firstLineChars="200"/>
              <w:textAlignment w:val="auto"/>
              <w:rPr>
                <w:rFonts w:hint="default"/>
                <w:sz w:val="24"/>
                <w:szCs w:val="22"/>
                <w:u w:val="single" w:color="auto"/>
                <w:lang w:val="en-US" w:eastAsia="zh-CN"/>
              </w:rPr>
            </w:pPr>
            <w:r>
              <w:rPr>
                <w:rFonts w:hint="eastAsia" w:cs="Times New Roman"/>
                <w:kern w:val="2"/>
                <w:sz w:val="24"/>
                <w:szCs w:val="20"/>
                <w:u w:val="single" w:color="auto"/>
                <w:lang w:val="en-US" w:eastAsia="zh-CN" w:bidi="ar-SA"/>
              </w:rPr>
              <w:t>需增加双桶式布袋除尘器（每个产生粉尘的工序均设置有除尘设施），加强除尘器的收集效率，减少无组织粉尘排放。</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62" w:firstLineChars="200"/>
              <w:textAlignment w:val="auto"/>
              <w:rPr>
                <w:rFonts w:hint="default"/>
                <w:sz w:val="24"/>
                <w:szCs w:val="22"/>
                <w:u w:val="single" w:color="auto"/>
                <w:lang w:val="en-US" w:eastAsia="zh-CN"/>
              </w:rPr>
            </w:pPr>
            <w:r>
              <w:rPr>
                <w:rFonts w:hint="eastAsia" w:cs="Times New Roman"/>
                <w:kern w:val="2"/>
                <w:sz w:val="24"/>
                <w:szCs w:val="20"/>
                <w:u w:val="single" w:color="auto"/>
                <w:lang w:val="en-US" w:eastAsia="zh-CN" w:bidi="ar-SA"/>
              </w:rPr>
              <w:t>及时清理除尘器粉尘，防止堵塞或者损坏。</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62" w:firstLineChars="200"/>
              <w:textAlignment w:val="auto"/>
              <w:rPr>
                <w:rFonts w:hint="default"/>
                <w:sz w:val="24"/>
                <w:szCs w:val="22"/>
                <w:u w:val="single" w:color="auto"/>
                <w:lang w:val="en-US" w:eastAsia="zh-CN"/>
              </w:rPr>
            </w:pPr>
            <w:r>
              <w:rPr>
                <w:rFonts w:hint="eastAsia" w:cs="Times New Roman"/>
                <w:kern w:val="2"/>
                <w:sz w:val="24"/>
                <w:szCs w:val="20"/>
                <w:u w:val="single" w:color="auto"/>
                <w:lang w:val="en-US" w:eastAsia="zh-CN" w:bidi="ar-SA"/>
              </w:rPr>
              <w:t>项目现车间窗户均为开启状态，需全部进行封闭，防止生产过程中对周边居民产生影响。</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62" w:firstLineChars="200"/>
              <w:textAlignment w:val="auto"/>
              <w:rPr>
                <w:rFonts w:hint="default"/>
                <w:sz w:val="24"/>
                <w:szCs w:val="22"/>
                <w:u w:val="single" w:color="auto"/>
                <w:lang w:val="en-US" w:eastAsia="zh-CN"/>
              </w:rPr>
            </w:pPr>
            <w:r>
              <w:rPr>
                <w:rFonts w:hint="eastAsia" w:cs="Times New Roman"/>
                <w:kern w:val="2"/>
                <w:sz w:val="24"/>
                <w:szCs w:val="20"/>
                <w:u w:val="single" w:color="auto"/>
                <w:lang w:val="en-US" w:eastAsia="zh-CN" w:bidi="ar-SA"/>
              </w:rPr>
              <w:t>地面粉尘较多，需定期使用吸尘器进行吸尘。</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62" w:firstLineChars="200"/>
              <w:textAlignment w:val="auto"/>
              <w:rPr>
                <w:rFonts w:hint="default"/>
                <w:sz w:val="24"/>
                <w:szCs w:val="22"/>
                <w:u w:val="single" w:color="auto"/>
                <w:lang w:val="en-US" w:eastAsia="zh-CN"/>
              </w:rPr>
            </w:pPr>
            <w:r>
              <w:rPr>
                <w:rFonts w:hint="eastAsia" w:cs="Times New Roman"/>
                <w:kern w:val="2"/>
                <w:sz w:val="24"/>
                <w:szCs w:val="20"/>
                <w:u w:val="single" w:color="auto"/>
                <w:lang w:val="en-US" w:eastAsia="zh-CN" w:bidi="ar-SA"/>
              </w:rPr>
              <w:t>厂区卫生较差，需定期清理厂区卫生。</w:t>
            </w:r>
          </w:p>
          <w:p>
            <w:pPr>
              <w:spacing w:line="360" w:lineRule="auto"/>
              <w:ind w:firstLine="462" w:firstLineChars="200"/>
              <w:jc w:val="left"/>
              <w:rPr>
                <w:rFonts w:hint="default" w:ascii="Times New Roman" w:hAnsi="Times New Roman" w:cs="Times New Roman"/>
                <w:sz w:val="24"/>
                <w:szCs w:val="24"/>
                <w:u w:val="none" w:color="auto"/>
              </w:rPr>
            </w:pPr>
          </w:p>
          <w:p>
            <w:pPr>
              <w:spacing w:line="360" w:lineRule="auto"/>
              <w:ind w:firstLine="462" w:firstLineChars="200"/>
              <w:jc w:val="left"/>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w:t>
            </w:r>
            <w:r>
              <w:rPr>
                <w:rFonts w:hint="eastAsia" w:cs="Times New Roman"/>
                <w:sz w:val="24"/>
                <w:szCs w:val="24"/>
                <w:u w:val="none" w:color="auto"/>
                <w:lang w:val="en-US" w:eastAsia="zh-CN"/>
              </w:rPr>
              <w:t>3</w:t>
            </w:r>
            <w:r>
              <w:rPr>
                <w:rFonts w:hint="default" w:ascii="Times New Roman" w:hAnsi="Times New Roman" w:cs="Times New Roman"/>
                <w:sz w:val="24"/>
                <w:szCs w:val="24"/>
                <w:u w:val="none" w:color="auto"/>
              </w:rPr>
              <w:t>）污染物排放量核算</w:t>
            </w:r>
          </w:p>
          <w:p>
            <w:pPr>
              <w:spacing w:line="360" w:lineRule="auto"/>
              <w:ind w:firstLine="462" w:firstLineChars="200"/>
              <w:jc w:val="left"/>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无组织排放量核算</w:t>
            </w:r>
          </w:p>
          <w:p>
            <w:pPr>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表7-</w:t>
            </w:r>
            <w:r>
              <w:rPr>
                <w:rFonts w:hint="eastAsia" w:cs="Times New Roman"/>
                <w:sz w:val="24"/>
                <w:szCs w:val="24"/>
                <w:u w:val="none" w:color="auto"/>
                <w:lang w:val="en-US" w:eastAsia="zh-CN"/>
              </w:rPr>
              <w:t>6</w:t>
            </w:r>
            <w:r>
              <w:rPr>
                <w:rFonts w:hint="default" w:ascii="Times New Roman" w:hAnsi="Times New Roman" w:cs="Times New Roman"/>
                <w:sz w:val="24"/>
                <w:szCs w:val="24"/>
                <w:u w:val="none" w:color="auto"/>
              </w:rPr>
              <w:t xml:space="preserve"> 大气污染物无组织排放量核算表</w:t>
            </w:r>
          </w:p>
          <w:tbl>
            <w:tblPr>
              <w:tblStyle w:val="3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1"/>
              <w:gridCol w:w="1043"/>
              <w:gridCol w:w="1340"/>
              <w:gridCol w:w="786"/>
              <w:gridCol w:w="1032"/>
              <w:gridCol w:w="1999"/>
              <w:gridCol w:w="1273"/>
              <w:gridCol w:w="11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75" w:hRule="atLeast"/>
              </w:trPr>
              <w:tc>
                <w:tcPr>
                  <w:tcW w:w="233" w:type="pct"/>
                  <w:vMerge w:val="restar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序号</w:t>
                  </w:r>
                </w:p>
              </w:tc>
              <w:tc>
                <w:tcPr>
                  <w:tcW w:w="577" w:type="pct"/>
                  <w:vMerge w:val="restar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排放口编号</w:t>
                  </w:r>
                </w:p>
              </w:tc>
              <w:tc>
                <w:tcPr>
                  <w:tcW w:w="741" w:type="pct"/>
                  <w:vMerge w:val="restar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产污环节</w:t>
                  </w:r>
                </w:p>
              </w:tc>
              <w:tc>
                <w:tcPr>
                  <w:tcW w:w="435" w:type="pct"/>
                  <w:vMerge w:val="restar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污染物</w:t>
                  </w:r>
                </w:p>
              </w:tc>
              <w:tc>
                <w:tcPr>
                  <w:tcW w:w="571" w:type="pct"/>
                  <w:vMerge w:val="restar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主要污染防治措施</w:t>
                  </w:r>
                </w:p>
              </w:tc>
              <w:tc>
                <w:tcPr>
                  <w:tcW w:w="1808" w:type="pct"/>
                  <w:gridSpan w:val="2"/>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国家或地方污染物排放标准</w:t>
                  </w:r>
                </w:p>
              </w:tc>
              <w:tc>
                <w:tcPr>
                  <w:tcW w:w="632" w:type="pct"/>
                  <w:vMerge w:val="restar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7" w:hRule="atLeast"/>
              </w:trPr>
              <w:tc>
                <w:tcPr>
                  <w:tcW w:w="233" w:type="pct"/>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577" w:type="pct"/>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741" w:type="pct"/>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435" w:type="pct"/>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571" w:type="pct"/>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1106" w:type="pc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标准名称</w:t>
                  </w:r>
                </w:p>
              </w:tc>
              <w:tc>
                <w:tcPr>
                  <w:tcW w:w="702" w:type="pc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浓度限值（mg/m</w:t>
                  </w:r>
                  <w:r>
                    <w:rPr>
                      <w:rFonts w:hint="default" w:ascii="Times New Roman" w:hAnsi="Times New Roman" w:cs="Times New Roman"/>
                      <w:sz w:val="22"/>
                      <w:szCs w:val="22"/>
                      <w:u w:val="none" w:color="auto"/>
                      <w:vertAlign w:val="superscript"/>
                    </w:rPr>
                    <w:t>3</w:t>
                  </w:r>
                  <w:r>
                    <w:rPr>
                      <w:rFonts w:hint="default" w:ascii="Times New Roman" w:hAnsi="Times New Roman" w:cs="Times New Roman"/>
                      <w:sz w:val="22"/>
                      <w:szCs w:val="22"/>
                      <w:u w:val="none" w:color="auto"/>
                    </w:rPr>
                    <w:t>）</w:t>
                  </w:r>
                </w:p>
              </w:tc>
              <w:tc>
                <w:tcPr>
                  <w:tcW w:w="632" w:type="pct"/>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72" w:hRule="atLeast"/>
              </w:trPr>
              <w:tc>
                <w:tcPr>
                  <w:tcW w:w="233" w:type="pct"/>
                  <w:tcBorders>
                    <w:tl2br w:val="nil"/>
                    <w:tr2bl w:val="nil"/>
                  </w:tcBorders>
                  <w:vAlign w:val="center"/>
                </w:tcPr>
                <w:p>
                  <w:pPr>
                    <w:spacing w:line="360" w:lineRule="auto"/>
                    <w:jc w:val="center"/>
                    <w:rPr>
                      <w:rFonts w:hint="eastAsia" w:ascii="Times New Roman" w:hAnsi="Times New Roman" w:eastAsia="宋体" w:cs="Times New Roman"/>
                      <w:sz w:val="22"/>
                      <w:szCs w:val="22"/>
                      <w:u w:val="none" w:color="auto"/>
                      <w:lang w:eastAsia="zh-CN"/>
                    </w:rPr>
                  </w:pPr>
                  <w:r>
                    <w:rPr>
                      <w:rFonts w:hint="eastAsia" w:cs="Times New Roman"/>
                      <w:sz w:val="22"/>
                      <w:szCs w:val="22"/>
                      <w:u w:val="none" w:color="auto"/>
                      <w:lang w:val="en-US" w:eastAsia="zh-CN"/>
                    </w:rPr>
                    <w:t>1</w:t>
                  </w:r>
                </w:p>
              </w:tc>
              <w:tc>
                <w:tcPr>
                  <w:tcW w:w="577" w:type="pct"/>
                  <w:tcBorders>
                    <w:tl2br w:val="nil"/>
                    <w:tr2bl w:val="nil"/>
                  </w:tcBorders>
                  <w:vAlign w:val="center"/>
                </w:tcPr>
                <w:p>
                  <w:pPr>
                    <w:spacing w:line="360" w:lineRule="auto"/>
                    <w:jc w:val="center"/>
                    <w:rPr>
                      <w:rFonts w:hint="eastAsia" w:ascii="Times New Roman" w:hAnsi="Times New Roman" w:eastAsia="宋体" w:cs="Times New Roman"/>
                      <w:sz w:val="22"/>
                      <w:szCs w:val="22"/>
                      <w:u w:val="none" w:color="auto"/>
                      <w:lang w:eastAsia="zh-CN"/>
                    </w:rPr>
                  </w:pPr>
                  <w:r>
                    <w:rPr>
                      <w:rFonts w:hint="eastAsia" w:cs="Times New Roman"/>
                      <w:sz w:val="22"/>
                      <w:szCs w:val="22"/>
                      <w:u w:val="none" w:color="auto"/>
                      <w:lang w:eastAsia="zh-CN"/>
                    </w:rPr>
                    <w:t>下料、钻孔、切割工序</w:t>
                  </w:r>
                </w:p>
              </w:tc>
              <w:tc>
                <w:tcPr>
                  <w:tcW w:w="741" w:type="pc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eastAsia" w:cs="Times New Roman"/>
                      <w:sz w:val="22"/>
                      <w:szCs w:val="22"/>
                      <w:u w:val="none" w:color="auto"/>
                      <w:lang w:eastAsia="zh-CN"/>
                    </w:rPr>
                    <w:t>下料、钻孔、切割</w:t>
                  </w:r>
                </w:p>
              </w:tc>
              <w:tc>
                <w:tcPr>
                  <w:tcW w:w="435" w:type="pc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粉尘</w:t>
                  </w:r>
                </w:p>
              </w:tc>
              <w:tc>
                <w:tcPr>
                  <w:tcW w:w="571" w:type="pct"/>
                  <w:tcBorders>
                    <w:tl2br w:val="nil"/>
                    <w:tr2bl w:val="nil"/>
                  </w:tcBorders>
                  <w:vAlign w:val="center"/>
                </w:tcPr>
                <w:p>
                  <w:pPr>
                    <w:spacing w:line="360" w:lineRule="auto"/>
                    <w:jc w:val="center"/>
                    <w:rPr>
                      <w:rFonts w:hint="eastAsia" w:ascii="Times New Roman" w:hAnsi="Times New Roman" w:eastAsia="宋体" w:cs="Times New Roman"/>
                      <w:sz w:val="22"/>
                      <w:szCs w:val="22"/>
                      <w:u w:val="none" w:color="auto"/>
                      <w:lang w:eastAsia="zh-CN"/>
                    </w:rPr>
                  </w:pPr>
                  <w:r>
                    <w:rPr>
                      <w:rFonts w:hint="eastAsia" w:cs="Times New Roman"/>
                      <w:sz w:val="22"/>
                      <w:szCs w:val="22"/>
                      <w:u w:val="none" w:color="auto"/>
                      <w:lang w:eastAsia="zh-CN"/>
                    </w:rPr>
                    <w:t>双桶式布袋除尘器</w:t>
                  </w:r>
                </w:p>
              </w:tc>
              <w:tc>
                <w:tcPr>
                  <w:tcW w:w="1106" w:type="pc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（GB16297-1996）</w:t>
                  </w:r>
                </w:p>
              </w:tc>
              <w:tc>
                <w:tcPr>
                  <w:tcW w:w="702" w:type="pc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1.0</w:t>
                  </w:r>
                </w:p>
              </w:tc>
              <w:tc>
                <w:tcPr>
                  <w:tcW w:w="632" w:type="pct"/>
                  <w:tcBorders>
                    <w:tl2br w:val="nil"/>
                    <w:tr2bl w:val="nil"/>
                  </w:tcBorders>
                  <w:vAlign w:val="center"/>
                </w:tcPr>
                <w:p>
                  <w:pPr>
                    <w:spacing w:line="360" w:lineRule="auto"/>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0.0019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53" w:hRule="atLeast"/>
              </w:trPr>
              <w:tc>
                <w:tcPr>
                  <w:tcW w:w="233" w:type="pct"/>
                  <w:tcBorders>
                    <w:tl2br w:val="nil"/>
                    <w:tr2bl w:val="nil"/>
                  </w:tcBorders>
                  <w:vAlign w:val="center"/>
                </w:tcPr>
                <w:p>
                  <w:pPr>
                    <w:spacing w:line="360" w:lineRule="auto"/>
                    <w:jc w:val="center"/>
                    <w:rPr>
                      <w:rFonts w:hint="default" w:cs="Times New Roman"/>
                      <w:sz w:val="22"/>
                      <w:szCs w:val="22"/>
                      <w:u w:val="none" w:color="auto"/>
                      <w:lang w:val="en-US" w:eastAsia="zh-CN"/>
                    </w:rPr>
                  </w:pPr>
                  <w:r>
                    <w:rPr>
                      <w:rFonts w:hint="eastAsia" w:cs="Times New Roman"/>
                      <w:sz w:val="22"/>
                      <w:szCs w:val="22"/>
                      <w:u w:val="none" w:color="auto"/>
                      <w:lang w:val="en-US" w:eastAsia="zh-CN"/>
                    </w:rPr>
                    <w:t>2</w:t>
                  </w:r>
                </w:p>
              </w:tc>
              <w:tc>
                <w:tcPr>
                  <w:tcW w:w="577" w:type="pct"/>
                  <w:tcBorders>
                    <w:tl2br w:val="nil"/>
                    <w:tr2bl w:val="nil"/>
                  </w:tcBorders>
                  <w:vAlign w:val="center"/>
                </w:tcPr>
                <w:p>
                  <w:pPr>
                    <w:spacing w:line="360" w:lineRule="auto"/>
                    <w:jc w:val="center"/>
                    <w:rPr>
                      <w:rFonts w:hint="eastAsia" w:cs="Times New Roman"/>
                      <w:sz w:val="22"/>
                      <w:szCs w:val="22"/>
                      <w:u w:val="none" w:color="auto"/>
                      <w:lang w:eastAsia="zh-CN"/>
                    </w:rPr>
                  </w:pPr>
                  <w:r>
                    <w:rPr>
                      <w:rFonts w:hint="default" w:ascii="Times New Roman" w:hAnsi="Times New Roman" w:eastAsia="宋体" w:cs="Times New Roman"/>
                      <w:kern w:val="2"/>
                      <w:sz w:val="22"/>
                      <w:szCs w:val="22"/>
                      <w:u w:val="none" w:color="auto"/>
                      <w:lang w:val="en-US" w:eastAsia="zh-CN" w:bidi="ar-SA"/>
                    </w:rPr>
                    <w:t>刷胶、冷压、封边工序</w:t>
                  </w:r>
                </w:p>
              </w:tc>
              <w:tc>
                <w:tcPr>
                  <w:tcW w:w="741" w:type="pct"/>
                  <w:tcBorders>
                    <w:tl2br w:val="nil"/>
                    <w:tr2bl w:val="nil"/>
                  </w:tcBorders>
                  <w:vAlign w:val="center"/>
                </w:tcPr>
                <w:p>
                  <w:pPr>
                    <w:spacing w:line="360" w:lineRule="auto"/>
                    <w:jc w:val="center"/>
                    <w:rPr>
                      <w:rFonts w:hint="eastAsia" w:cs="Times New Roman"/>
                      <w:sz w:val="22"/>
                      <w:szCs w:val="22"/>
                      <w:u w:val="none" w:color="auto"/>
                      <w:lang w:eastAsia="zh-CN"/>
                    </w:rPr>
                  </w:pPr>
                  <w:r>
                    <w:rPr>
                      <w:rFonts w:hint="default" w:ascii="Times New Roman" w:hAnsi="Times New Roman" w:eastAsia="宋体" w:cs="Times New Roman"/>
                      <w:kern w:val="2"/>
                      <w:sz w:val="22"/>
                      <w:szCs w:val="22"/>
                      <w:u w:val="none" w:color="auto"/>
                      <w:lang w:val="en-US" w:eastAsia="zh-CN" w:bidi="ar-SA"/>
                    </w:rPr>
                    <w:t>刷胶、冷压、封边</w:t>
                  </w:r>
                </w:p>
              </w:tc>
              <w:tc>
                <w:tcPr>
                  <w:tcW w:w="435" w:type="pct"/>
                  <w:tcBorders>
                    <w:tl2br w:val="nil"/>
                    <w:tr2bl w:val="nil"/>
                  </w:tcBorders>
                  <w:vAlign w:val="center"/>
                </w:tcPr>
                <w:p>
                  <w:pPr>
                    <w:spacing w:line="360" w:lineRule="auto"/>
                    <w:jc w:val="center"/>
                    <w:rPr>
                      <w:rFonts w:hint="default" w:ascii="Times New Roman" w:hAnsi="Times New Roman" w:eastAsia="宋体" w:cs="Times New Roman"/>
                      <w:sz w:val="22"/>
                      <w:szCs w:val="22"/>
                      <w:u w:val="none" w:color="auto"/>
                      <w:lang w:val="en-US" w:eastAsia="zh-CN"/>
                    </w:rPr>
                  </w:pPr>
                  <w:r>
                    <w:rPr>
                      <w:rFonts w:hint="eastAsia" w:cs="Times New Roman"/>
                      <w:sz w:val="22"/>
                      <w:szCs w:val="22"/>
                      <w:u w:val="none" w:color="auto"/>
                      <w:lang w:val="en-US" w:eastAsia="zh-CN"/>
                    </w:rPr>
                    <w:t>非甲烷总烃</w:t>
                  </w:r>
                </w:p>
              </w:tc>
              <w:tc>
                <w:tcPr>
                  <w:tcW w:w="571" w:type="pct"/>
                  <w:tcBorders>
                    <w:tl2br w:val="nil"/>
                    <w:tr2bl w:val="nil"/>
                  </w:tcBorders>
                  <w:vAlign w:val="center"/>
                </w:tcPr>
                <w:p>
                  <w:pPr>
                    <w:spacing w:line="360" w:lineRule="auto"/>
                    <w:jc w:val="center"/>
                    <w:rPr>
                      <w:rFonts w:hint="default" w:cs="Times New Roman"/>
                      <w:sz w:val="22"/>
                      <w:szCs w:val="22"/>
                      <w:u w:val="none" w:color="auto"/>
                      <w:lang w:val="en-US" w:eastAsia="zh-CN"/>
                    </w:rPr>
                  </w:pPr>
                  <w:r>
                    <w:rPr>
                      <w:rFonts w:hint="eastAsia" w:cs="Times New Roman"/>
                      <w:sz w:val="22"/>
                      <w:szCs w:val="22"/>
                      <w:u w:val="none" w:color="auto"/>
                      <w:lang w:val="en-US" w:eastAsia="zh-CN"/>
                    </w:rPr>
                    <w:t>车间通风</w:t>
                  </w:r>
                </w:p>
              </w:tc>
              <w:tc>
                <w:tcPr>
                  <w:tcW w:w="1106" w:type="pc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DB43/1355-2017</w:t>
                  </w:r>
                </w:p>
              </w:tc>
              <w:tc>
                <w:tcPr>
                  <w:tcW w:w="702" w:type="pct"/>
                  <w:tcBorders>
                    <w:tl2br w:val="nil"/>
                    <w:tr2bl w:val="nil"/>
                  </w:tcBorders>
                  <w:vAlign w:val="center"/>
                </w:tcPr>
                <w:p>
                  <w:pPr>
                    <w:spacing w:line="360" w:lineRule="auto"/>
                    <w:jc w:val="center"/>
                    <w:rPr>
                      <w:rFonts w:hint="default" w:ascii="Times New Roman" w:hAnsi="Times New Roman" w:eastAsia="宋体" w:cs="Times New Roman"/>
                      <w:sz w:val="22"/>
                      <w:szCs w:val="22"/>
                      <w:u w:val="none" w:color="auto"/>
                      <w:lang w:val="en-US" w:eastAsia="zh-CN"/>
                    </w:rPr>
                  </w:pPr>
                  <w:r>
                    <w:rPr>
                      <w:rFonts w:hint="eastAsia" w:cs="Times New Roman"/>
                      <w:sz w:val="22"/>
                      <w:szCs w:val="22"/>
                      <w:u w:val="none" w:color="auto"/>
                      <w:lang w:val="en-US" w:eastAsia="zh-CN"/>
                    </w:rPr>
                    <w:t>2..0</w:t>
                  </w:r>
                </w:p>
              </w:tc>
              <w:tc>
                <w:tcPr>
                  <w:tcW w:w="632" w:type="pct"/>
                  <w:tcBorders>
                    <w:tl2br w:val="nil"/>
                    <w:tr2bl w:val="nil"/>
                  </w:tcBorders>
                  <w:vAlign w:val="center"/>
                </w:tcPr>
                <w:p>
                  <w:pPr>
                    <w:spacing w:line="360" w:lineRule="auto"/>
                    <w:jc w:val="center"/>
                    <w:rPr>
                      <w:rFonts w:hint="default" w:cs="Times New Roman"/>
                      <w:sz w:val="22"/>
                      <w:szCs w:val="22"/>
                      <w:u w:val="none" w:color="auto"/>
                      <w:lang w:val="en-US" w:eastAsia="zh-CN"/>
                    </w:rPr>
                  </w:pPr>
                  <w:r>
                    <w:rPr>
                      <w:rFonts w:hint="eastAsia" w:cs="Times New Roman"/>
                      <w:sz w:val="22"/>
                      <w:szCs w:val="22"/>
                      <w:u w:val="none" w:color="auto"/>
                      <w:lang w:val="en-US" w:eastAsia="zh-CN"/>
                    </w:rPr>
                    <w:t>0.2655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6" w:hRule="atLeast"/>
              </w:trPr>
              <w:tc>
                <w:tcPr>
                  <w:tcW w:w="4367" w:type="pct"/>
                  <w:gridSpan w:val="7"/>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无组织排放量总计</w:t>
                  </w:r>
                </w:p>
              </w:tc>
              <w:tc>
                <w:tcPr>
                  <w:tcW w:w="632" w:type="pct"/>
                  <w:tcBorders>
                    <w:tl2br w:val="nil"/>
                    <w:tr2bl w:val="nil"/>
                  </w:tcBorders>
                  <w:vAlign w:val="center"/>
                </w:tcPr>
                <w:p>
                  <w:pPr>
                    <w:spacing w:line="360" w:lineRule="auto"/>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0.2674</w:t>
                  </w:r>
                </w:p>
              </w:tc>
            </w:tr>
          </w:tbl>
          <w:p>
            <w:pPr>
              <w:spacing w:line="360" w:lineRule="auto"/>
              <w:ind w:firstLine="462" w:firstLineChars="200"/>
              <w:jc w:val="left"/>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项目大气污染物年排放量核算</w:t>
            </w:r>
          </w:p>
          <w:p>
            <w:pPr>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表7-</w:t>
            </w:r>
            <w:r>
              <w:rPr>
                <w:rFonts w:hint="eastAsia" w:cs="Times New Roman"/>
                <w:sz w:val="24"/>
                <w:szCs w:val="24"/>
                <w:u w:val="none" w:color="auto"/>
                <w:lang w:val="en-US" w:eastAsia="zh-CN"/>
              </w:rPr>
              <w:t>7</w:t>
            </w:r>
            <w:r>
              <w:rPr>
                <w:rFonts w:hint="default" w:ascii="Times New Roman" w:hAnsi="Times New Roman" w:cs="Times New Roman"/>
                <w:sz w:val="24"/>
                <w:szCs w:val="24"/>
                <w:u w:val="none" w:color="auto"/>
              </w:rPr>
              <w:t xml:space="preserve"> 大气污染物年排放量核算表</w:t>
            </w:r>
          </w:p>
          <w:tbl>
            <w:tblPr>
              <w:tblStyle w:val="39"/>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15"/>
              <w:gridCol w:w="3003"/>
              <w:gridCol w:w="42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4" w:type="pct"/>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序号</w:t>
                  </w:r>
                </w:p>
              </w:tc>
              <w:tc>
                <w:tcPr>
                  <w:tcW w:w="1661" w:type="pct"/>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污染物</w:t>
                  </w:r>
                </w:p>
              </w:tc>
              <w:tc>
                <w:tcPr>
                  <w:tcW w:w="2334" w:type="pct"/>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年排放量（t/a）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4" w:type="pct"/>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1</w:t>
                  </w:r>
                </w:p>
              </w:tc>
              <w:tc>
                <w:tcPr>
                  <w:tcW w:w="1661" w:type="pct"/>
                  <w:vAlign w:val="center"/>
                </w:tcPr>
                <w:p>
                  <w:pPr>
                    <w:spacing w:line="360" w:lineRule="auto"/>
                    <w:jc w:val="center"/>
                    <w:rPr>
                      <w:rFonts w:hint="eastAsia" w:ascii="Times New Roman" w:hAnsi="Times New Roman" w:eastAsia="宋体" w:cs="Times New Roman"/>
                      <w:sz w:val="22"/>
                      <w:szCs w:val="22"/>
                      <w:u w:val="none" w:color="auto"/>
                      <w:lang w:eastAsia="zh-CN"/>
                    </w:rPr>
                  </w:pPr>
                  <w:r>
                    <w:rPr>
                      <w:rFonts w:hint="default" w:ascii="Times New Roman" w:hAnsi="Times New Roman" w:cs="Times New Roman"/>
                      <w:sz w:val="22"/>
                      <w:szCs w:val="22"/>
                      <w:u w:val="none" w:color="auto"/>
                    </w:rPr>
                    <w:t>颗粒物</w:t>
                  </w:r>
                </w:p>
              </w:tc>
              <w:tc>
                <w:tcPr>
                  <w:tcW w:w="4219" w:type="dxa"/>
                  <w:vAlign w:val="center"/>
                </w:tcPr>
                <w:p>
                  <w:pPr>
                    <w:spacing w:line="360" w:lineRule="auto"/>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0.0019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4" w:type="pct"/>
                  <w:vAlign w:val="center"/>
                </w:tcPr>
                <w:p>
                  <w:pPr>
                    <w:spacing w:line="360" w:lineRule="auto"/>
                    <w:jc w:val="center"/>
                    <w:rPr>
                      <w:rFonts w:hint="eastAsia" w:ascii="Times New Roman" w:hAnsi="Times New Roman" w:eastAsia="宋体" w:cs="Times New Roman"/>
                      <w:sz w:val="22"/>
                      <w:szCs w:val="22"/>
                      <w:u w:val="none" w:color="auto"/>
                      <w:lang w:val="en-US" w:eastAsia="zh-CN"/>
                    </w:rPr>
                  </w:pPr>
                  <w:r>
                    <w:rPr>
                      <w:rFonts w:hint="eastAsia" w:cs="Times New Roman"/>
                      <w:sz w:val="22"/>
                      <w:szCs w:val="22"/>
                      <w:u w:val="none" w:color="auto"/>
                      <w:lang w:val="en-US" w:eastAsia="zh-CN"/>
                    </w:rPr>
                    <w:t>2</w:t>
                  </w:r>
                </w:p>
              </w:tc>
              <w:tc>
                <w:tcPr>
                  <w:tcW w:w="1661" w:type="pct"/>
                  <w:vAlign w:val="center"/>
                </w:tcPr>
                <w:p>
                  <w:pPr>
                    <w:spacing w:line="360" w:lineRule="auto"/>
                    <w:jc w:val="center"/>
                    <w:rPr>
                      <w:rFonts w:hint="default" w:ascii="Times New Roman" w:hAnsi="Times New Roman" w:cs="Times New Roman"/>
                      <w:sz w:val="22"/>
                      <w:szCs w:val="22"/>
                      <w:u w:val="none" w:color="auto"/>
                      <w:lang w:val="en-US"/>
                    </w:rPr>
                  </w:pPr>
                  <w:r>
                    <w:rPr>
                      <w:rFonts w:hint="eastAsia" w:cs="Times New Roman"/>
                      <w:sz w:val="22"/>
                      <w:szCs w:val="22"/>
                      <w:u w:val="none" w:color="auto"/>
                      <w:lang w:val="en-US" w:eastAsia="zh-CN"/>
                    </w:rPr>
                    <w:t>非甲烷总烃</w:t>
                  </w:r>
                </w:p>
              </w:tc>
              <w:tc>
                <w:tcPr>
                  <w:tcW w:w="4219" w:type="dxa"/>
                  <w:vAlign w:val="center"/>
                </w:tcPr>
                <w:p>
                  <w:pPr>
                    <w:spacing w:line="360" w:lineRule="auto"/>
                    <w:jc w:val="center"/>
                    <w:rPr>
                      <w:rFonts w:hint="default" w:cs="Times New Roman"/>
                      <w:sz w:val="22"/>
                      <w:szCs w:val="22"/>
                      <w:u w:val="none" w:color="auto"/>
                      <w:lang w:val="en-US" w:eastAsia="zh-CN"/>
                    </w:rPr>
                  </w:pPr>
                  <w:r>
                    <w:rPr>
                      <w:rFonts w:hint="eastAsia" w:cs="Times New Roman"/>
                      <w:sz w:val="22"/>
                      <w:szCs w:val="22"/>
                      <w:u w:val="none" w:color="auto"/>
                      <w:lang w:val="en-US" w:eastAsia="zh-CN"/>
                    </w:rPr>
                    <w:t>0.2655</w:t>
                  </w:r>
                </w:p>
              </w:tc>
            </w:tr>
          </w:tbl>
          <w:p>
            <w:pPr>
              <w:numPr>
                <w:ilvl w:val="0"/>
                <w:numId w:val="7"/>
              </w:numPr>
              <w:adjustRightInd w:val="0"/>
              <w:snapToGrid w:val="0"/>
              <w:spacing w:line="360" w:lineRule="auto"/>
              <w:ind w:firstLine="462"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地表水环境影响分析</w:t>
            </w:r>
          </w:p>
          <w:p>
            <w:pPr>
              <w:pStyle w:val="32"/>
              <w:adjustRightInd w:val="0"/>
              <w:snapToGrid w:val="0"/>
              <w:spacing w:line="360" w:lineRule="auto"/>
              <w:ind w:left="4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根据工程分析内容可知，本项目产生的废水主要来自于员工的生活污水。</w:t>
            </w:r>
          </w:p>
          <w:p>
            <w:pPr>
              <w:snapToGrid w:val="0"/>
              <w:spacing w:line="360" w:lineRule="auto"/>
              <w:ind w:firstLine="453" w:firstLineChars="196"/>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本项目生活污水中各污染物经化粪池处理后</w:t>
            </w:r>
            <w:r>
              <w:rPr>
                <w:rFonts w:hint="default" w:ascii="Times New Roman" w:hAnsi="Times New Roman" w:cs="Times New Roman"/>
                <w:sz w:val="24"/>
                <w:szCs w:val="24"/>
                <w:u w:val="none" w:color="auto"/>
                <w:lang w:eastAsia="zh-CN"/>
              </w:rPr>
              <w:t>回用于周边绿化施肥不外排</w:t>
            </w:r>
            <w:r>
              <w:rPr>
                <w:rFonts w:hint="default" w:ascii="Times New Roman" w:hAnsi="Times New Roman" w:cs="Times New Roman"/>
                <w:sz w:val="24"/>
                <w:szCs w:val="24"/>
                <w:u w:val="none" w:color="auto"/>
              </w:rPr>
              <w:t>。因此对区域水环境影响较小。</w:t>
            </w:r>
          </w:p>
          <w:p>
            <w:pPr>
              <w:pStyle w:val="180"/>
              <w:keepNext w:val="0"/>
              <w:keepLines w:val="0"/>
              <w:pageBreakBefore w:val="0"/>
              <w:widowControl w:val="0"/>
              <w:kinsoku/>
              <w:wordWrap/>
              <w:overflowPunct/>
              <w:topLinePunct w:val="0"/>
              <w:autoSpaceDE/>
              <w:autoSpaceDN/>
              <w:bidi w:val="0"/>
              <w:adjustRightInd/>
              <w:snapToGrid/>
              <w:spacing w:line="360" w:lineRule="auto"/>
              <w:ind w:left="0" w:right="0"/>
              <w:jc w:val="both"/>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地表水评价等级确定</w:t>
            </w:r>
          </w:p>
          <w:p>
            <w:pPr>
              <w:pStyle w:val="32"/>
              <w:adjustRightInd w:val="0"/>
              <w:snapToGrid w:val="0"/>
              <w:spacing w:line="360" w:lineRule="auto"/>
              <w:ind w:left="0" w:leftChars="0" w:firstLine="462" w:firstLineChars="200"/>
              <w:rPr>
                <w:rFonts w:hint="default" w:ascii="Times New Roman" w:hAnsi="Times New Roman" w:cs="Times New Roman"/>
                <w:sz w:val="24"/>
                <w:szCs w:val="24"/>
                <w:u w:val="none" w:color="auto"/>
              </w:rPr>
            </w:pPr>
            <w:r>
              <w:rPr>
                <w:rFonts w:hint="default" w:ascii="Times New Roman" w:hAnsi="Times New Roman" w:cs="Times New Roman"/>
                <w:color w:val="auto"/>
                <w:sz w:val="24"/>
                <w:szCs w:val="24"/>
                <w:u w:val="none" w:color="auto"/>
                <w:lang w:val="en-US" w:eastAsia="zh-CN"/>
              </w:rPr>
              <w:t>根据《环境评价技术导则</w:t>
            </w:r>
            <w:r>
              <w:rPr>
                <w:rFonts w:hint="eastAsia" w:cs="Times New Roman"/>
                <w:color w:val="auto"/>
                <w:sz w:val="24"/>
                <w:szCs w:val="24"/>
                <w:u w:val="none" w:color="auto"/>
                <w:lang w:val="en-US" w:eastAsia="zh-CN"/>
              </w:rPr>
              <w:t xml:space="preserve">   </w:t>
            </w:r>
            <w:r>
              <w:rPr>
                <w:rFonts w:hint="default" w:ascii="Times New Roman" w:hAnsi="Times New Roman" w:cs="Times New Roman"/>
                <w:color w:val="auto"/>
                <w:sz w:val="24"/>
                <w:szCs w:val="24"/>
                <w:u w:val="none" w:color="auto"/>
                <w:lang w:val="en-US" w:eastAsia="zh-CN"/>
              </w:rPr>
              <w:t>地</w:t>
            </w:r>
            <w:r>
              <w:rPr>
                <w:rFonts w:hint="eastAsia" w:cs="Times New Roman"/>
                <w:color w:val="auto"/>
                <w:sz w:val="24"/>
                <w:szCs w:val="24"/>
                <w:u w:val="none" w:color="auto"/>
                <w:lang w:val="en-US" w:eastAsia="zh-CN"/>
              </w:rPr>
              <w:t>表</w:t>
            </w:r>
            <w:r>
              <w:rPr>
                <w:rFonts w:hint="default" w:ascii="Times New Roman" w:hAnsi="Times New Roman" w:cs="Times New Roman"/>
                <w:color w:val="auto"/>
                <w:sz w:val="24"/>
                <w:szCs w:val="24"/>
                <w:u w:val="none" w:color="auto"/>
                <w:lang w:val="en-US" w:eastAsia="zh-CN"/>
              </w:rPr>
              <w:t>水环境》（HJ/T2.3-2018）分级原则，结合本项目的工程特点和项目所在地的环境特征，确定项目地表水环境影响评价等级为</w:t>
            </w:r>
            <w:r>
              <w:rPr>
                <w:rFonts w:hint="default" w:ascii="Times New Roman" w:hAnsi="Times New Roman" w:cs="Times New Roman"/>
                <w:b w:val="0"/>
                <w:bCs w:val="0"/>
                <w:color w:val="auto"/>
                <w:sz w:val="24"/>
                <w:szCs w:val="24"/>
                <w:u w:val="none" w:color="auto"/>
                <w:lang w:val="en-US" w:eastAsia="zh-CN"/>
              </w:rPr>
              <w:t>三级</w:t>
            </w:r>
            <w:r>
              <w:rPr>
                <w:rFonts w:hint="eastAsia" w:cs="Times New Roman"/>
                <w:b w:val="0"/>
                <w:bCs w:val="0"/>
                <w:color w:val="auto"/>
                <w:sz w:val="24"/>
                <w:szCs w:val="24"/>
                <w:u w:val="none" w:color="auto"/>
                <w:lang w:val="en-US" w:eastAsia="zh-CN"/>
              </w:rPr>
              <w:t>B。需对其进行简单分析</w:t>
            </w:r>
            <w:r>
              <w:rPr>
                <w:rFonts w:hint="eastAsia" w:ascii="Times New Roman" w:hAnsi="Times New Roman"/>
                <w:color w:val="auto"/>
                <w:sz w:val="24"/>
                <w:szCs w:val="24"/>
                <w:highlight w:val="none"/>
                <w:u w:val="none" w:color="auto"/>
                <w:lang w:val="en-US" w:eastAsia="zh-CN"/>
              </w:rPr>
              <w:t>。</w:t>
            </w:r>
          </w:p>
          <w:p>
            <w:pPr>
              <w:bidi w:val="0"/>
              <w:spacing w:line="360" w:lineRule="auto"/>
              <w:ind w:firstLine="462" w:firstLineChars="200"/>
              <w:rPr>
                <w:rFonts w:hint="default" w:eastAsia="宋体"/>
                <w:sz w:val="24"/>
                <w:szCs w:val="24"/>
                <w:u w:val="none" w:color="auto"/>
                <w:lang w:val="en-US" w:eastAsia="zh-CN"/>
              </w:rPr>
            </w:pPr>
            <w:r>
              <w:rPr>
                <w:rFonts w:hint="eastAsia"/>
                <w:sz w:val="24"/>
                <w:szCs w:val="24"/>
                <w:u w:val="none" w:color="auto"/>
                <w:lang w:eastAsia="zh-CN"/>
              </w:rPr>
              <w:t>项目生产过程中不产生生产废水，运营期废水主要为员工生活办公产生的生活污水，企业周边有林地及菜地，项目年排放的生活污水量较少，周边林地及菜单完全可以消纳所产生的生活污水。</w:t>
            </w:r>
          </w:p>
          <w:p>
            <w:pPr>
              <w:pStyle w:val="32"/>
              <w:adjustRightInd w:val="0"/>
              <w:snapToGrid w:val="0"/>
              <w:spacing w:line="360" w:lineRule="auto"/>
              <w:ind w:left="0" w:leftChars="0" w:firstLine="462"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3、声环境影响分析</w:t>
            </w:r>
          </w:p>
          <w:p>
            <w:pPr>
              <w:spacing w:line="360" w:lineRule="auto"/>
              <w:ind w:firstLine="578" w:firstLineChars="250"/>
              <w:rPr>
                <w:rFonts w:hint="eastAsia" w:cs="Times New Roman"/>
                <w:color w:val="auto"/>
                <w:sz w:val="24"/>
                <w:szCs w:val="24"/>
                <w:u w:val="none" w:color="auto"/>
                <w:lang w:eastAsia="zh-CN"/>
              </w:rPr>
            </w:pPr>
            <w:r>
              <w:rPr>
                <w:rFonts w:hint="default" w:ascii="Times New Roman" w:hAnsi="Times New Roman" w:cs="Times New Roman"/>
                <w:sz w:val="24"/>
                <w:szCs w:val="24"/>
                <w:u w:val="none" w:color="auto"/>
              </w:rPr>
              <w:t>本项目建设单位应合理安排厂区平面布置，高噪声设备布置在车间中部；选用低噪声设备，尤</w:t>
            </w:r>
            <w:r>
              <w:rPr>
                <w:rFonts w:hint="eastAsia" w:cs="Times New Roman"/>
                <w:sz w:val="24"/>
                <w:szCs w:val="24"/>
                <w:u w:val="none" w:color="auto"/>
                <w:lang w:eastAsia="zh-CN"/>
              </w:rPr>
              <w:t>其</w:t>
            </w:r>
            <w:r>
              <w:rPr>
                <w:rFonts w:hint="default" w:ascii="Times New Roman" w:hAnsi="Times New Roman" w:cs="Times New Roman"/>
                <w:sz w:val="24"/>
                <w:szCs w:val="24"/>
                <w:u w:val="none" w:color="auto"/>
              </w:rPr>
              <w:t>高噪声设备；同时，</w:t>
            </w:r>
            <w:r>
              <w:rPr>
                <w:rFonts w:hint="default" w:ascii="Times New Roman" w:hAnsi="Times New Roman" w:cs="Times New Roman"/>
                <w:color w:val="auto"/>
                <w:sz w:val="24"/>
                <w:szCs w:val="24"/>
                <w:u w:val="none" w:color="auto"/>
              </w:rPr>
              <w:t>对生产设备加强日常维护和管理，确保其良好的运行状态，避免机械设备“带病”运行产生的噪声；采用基础减振；厂房内吸声墙壁；采取以上措施可有效隔声降噪</w:t>
            </w:r>
            <w:r>
              <w:rPr>
                <w:rFonts w:hint="eastAsia" w:cs="Times New Roman"/>
                <w:color w:val="auto"/>
                <w:sz w:val="24"/>
                <w:szCs w:val="24"/>
                <w:u w:val="none" w:color="auto"/>
                <w:lang w:eastAsia="zh-CN"/>
              </w:rPr>
              <w:t>，</w:t>
            </w:r>
            <w:r>
              <w:rPr>
                <w:rFonts w:hint="eastAsia" w:cs="Times New Roman"/>
                <w:color w:val="auto"/>
                <w:sz w:val="24"/>
                <w:u w:val="none" w:color="auto"/>
                <w:lang w:eastAsia="zh-CN"/>
              </w:rPr>
              <w:t>根据湖南精准通检测技术有限公司于</w:t>
            </w:r>
            <w:r>
              <w:rPr>
                <w:rFonts w:hint="eastAsia" w:cs="Times New Roman"/>
                <w:color w:val="auto"/>
                <w:sz w:val="24"/>
                <w:u w:val="none" w:color="auto"/>
                <w:lang w:val="en-US" w:eastAsia="zh-CN"/>
              </w:rPr>
              <w:t>2020年5月26-27日对其厂界四周及居民敏感点进行了监测。</w:t>
            </w: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w:t>
            </w:r>
            <w:r>
              <w:rPr>
                <w:rFonts w:hint="eastAsia" w:cs="Times New Roman"/>
                <w:color w:val="auto"/>
                <w:sz w:val="24"/>
                <w:szCs w:val="24"/>
                <w:u w:val="none" w:color="auto"/>
                <w:lang w:val="en-US" w:eastAsia="zh-CN"/>
              </w:rPr>
              <w:t>7-8</w:t>
            </w:r>
            <w:r>
              <w:rPr>
                <w:rFonts w:hint="default" w:ascii="Times New Roman" w:hAnsi="Times New Roman" w:cs="Times New Roman"/>
                <w:color w:val="auto"/>
                <w:sz w:val="24"/>
                <w:szCs w:val="24"/>
                <w:u w:val="none" w:color="auto"/>
              </w:rPr>
              <w:t xml:space="preserve"> </w:t>
            </w:r>
            <w:r>
              <w:rPr>
                <w:rFonts w:hint="eastAsia" w:cs="Times New Roman"/>
                <w:color w:val="auto"/>
                <w:sz w:val="24"/>
                <w:szCs w:val="24"/>
                <w:u w:val="none" w:color="auto"/>
                <w:lang w:eastAsia="zh-CN"/>
              </w:rPr>
              <w:t>噪声监测结果一览表</w:t>
            </w:r>
            <w:r>
              <w:rPr>
                <w:rFonts w:hint="default" w:ascii="Times New Roman" w:hAnsi="Times New Roman" w:cs="Times New Roman"/>
                <w:color w:val="auto"/>
                <w:sz w:val="24"/>
                <w:szCs w:val="24"/>
                <w:u w:val="none" w:color="auto"/>
              </w:rPr>
              <w:t xml:space="preserve">    单位：dB(A)</w:t>
            </w:r>
          </w:p>
          <w:tbl>
            <w:tblPr>
              <w:tblStyle w:val="39"/>
              <w:tblW w:w="905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848"/>
              <w:gridCol w:w="1369"/>
              <w:gridCol w:w="972"/>
              <w:gridCol w:w="973"/>
              <w:gridCol w:w="974"/>
              <w:gridCol w:w="973"/>
              <w:gridCol w:w="975"/>
              <w:gridCol w:w="9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1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监测点</w:t>
                  </w:r>
                </w:p>
              </w:tc>
              <w:tc>
                <w:tcPr>
                  <w:tcW w:w="1369"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监测日期</w:t>
                  </w:r>
                </w:p>
              </w:tc>
              <w:tc>
                <w:tcPr>
                  <w:tcW w:w="2919"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昼间</w:t>
                  </w:r>
                </w:p>
              </w:tc>
              <w:tc>
                <w:tcPr>
                  <w:tcW w:w="2920"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055"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东</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sz w:val="22"/>
                      <w:szCs w:val="22"/>
                      <w:u w:val="none" w:color="auto"/>
                      <w:lang w:val="en-US" w:eastAsia="zh-CN"/>
                    </w:rPr>
                    <w:t>5月26日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52.4</w:t>
                  </w:r>
                </w:p>
              </w:tc>
              <w:tc>
                <w:tcPr>
                  <w:tcW w:w="973"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37.0</w:t>
                  </w:r>
                </w:p>
              </w:tc>
              <w:tc>
                <w:tcPr>
                  <w:tcW w:w="975"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sz w:val="22"/>
                      <w:szCs w:val="22"/>
                      <w:u w:val="none" w:color="auto"/>
                      <w:lang w:val="en-US" w:eastAsia="zh-CN"/>
                    </w:rPr>
                    <w:t>5月27日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54.8</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u w:val="none" w:color="auto"/>
                      <w:lang w:val="en-US" w:eastAsia="zh-CN"/>
                    </w:rPr>
                  </w:pPr>
                  <w:r>
                    <w:rPr>
                      <w:rFonts w:hint="eastAsia"/>
                      <w:u w:val="none" w:color="auto"/>
                      <w:lang w:val="en-US" w:eastAsia="zh-CN"/>
                    </w:rPr>
                    <w:t>38.7</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南</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sz w:val="22"/>
                      <w:szCs w:val="22"/>
                      <w:u w:val="none" w:color="auto"/>
                      <w:lang w:val="en-US" w:eastAsia="zh-CN"/>
                    </w:rPr>
                    <w:t>5月26日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55.2</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39.5</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sz w:val="22"/>
                      <w:szCs w:val="22"/>
                      <w:u w:val="none" w:color="auto"/>
                      <w:lang w:val="en-US" w:eastAsia="zh-CN"/>
                    </w:rPr>
                    <w:t>5月27日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52.4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40.5</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西</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sz w:val="22"/>
                      <w:szCs w:val="22"/>
                      <w:u w:val="none" w:color="auto"/>
                      <w:lang w:val="en-US" w:eastAsia="zh-CN"/>
                    </w:rPr>
                    <w:t>5月26日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54.3</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40.3</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sz w:val="22"/>
                      <w:szCs w:val="22"/>
                      <w:u w:val="none" w:color="auto"/>
                      <w:lang w:val="en-US" w:eastAsia="zh-CN"/>
                    </w:rPr>
                    <w:t>5月27日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55.4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37.0</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北</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sz w:val="22"/>
                      <w:szCs w:val="22"/>
                      <w:u w:val="none" w:color="auto"/>
                      <w:lang w:val="en-US" w:eastAsia="zh-CN"/>
                    </w:rPr>
                    <w:t>5月26日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58.2</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41.0</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87"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sz w:val="22"/>
                      <w:szCs w:val="22"/>
                      <w:u w:val="none" w:color="auto"/>
                      <w:lang w:val="en-US" w:eastAsia="zh-CN"/>
                    </w:rPr>
                    <w:t>5月27日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57.8</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42.4</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1848" w:type="dxa"/>
                  <w:vMerge w:val="restart"/>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eastAsia="zh-CN"/>
                    </w:rPr>
                    <w:t>居民敏感点</w:t>
                  </w:r>
                </w:p>
              </w:tc>
              <w:tc>
                <w:tcPr>
                  <w:tcW w:w="1369" w:type="dxa"/>
                  <w:tcBorders>
                    <w:tl2br w:val="nil"/>
                    <w:tr2bl w:val="nil"/>
                  </w:tcBorders>
                  <w:noWrap w:val="0"/>
                  <w:vAlign w:val="center"/>
                </w:tcPr>
                <w:p>
                  <w:pPr>
                    <w:spacing w:line="360" w:lineRule="auto"/>
                    <w:jc w:val="center"/>
                    <w:rPr>
                      <w:rFonts w:hint="eastAsia" w:cs="Times New Roman"/>
                      <w:color w:val="auto"/>
                      <w:sz w:val="22"/>
                      <w:szCs w:val="22"/>
                      <w:u w:val="none" w:color="auto"/>
                      <w:lang w:val="en-US" w:eastAsia="zh-CN"/>
                    </w:rPr>
                  </w:pPr>
                  <w:r>
                    <w:rPr>
                      <w:rFonts w:hint="eastAsia" w:cs="Times New Roman"/>
                      <w:sz w:val="22"/>
                      <w:szCs w:val="22"/>
                      <w:u w:val="none" w:color="auto"/>
                      <w:lang w:val="en-US" w:eastAsia="zh-CN"/>
                    </w:rPr>
                    <w:t>5月26日</w:t>
                  </w:r>
                </w:p>
              </w:tc>
              <w:tc>
                <w:tcPr>
                  <w:tcW w:w="972" w:type="dxa"/>
                  <w:tcBorders>
                    <w:tl2br w:val="nil"/>
                    <w:tr2bl w:val="nil"/>
                  </w:tcBorders>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50.7</w:t>
                  </w:r>
                </w:p>
              </w:tc>
              <w:tc>
                <w:tcPr>
                  <w:tcW w:w="973" w:type="dxa"/>
                  <w:tcBorders>
                    <w:tl2br w:val="nil"/>
                    <w:tr2bl w:val="nil"/>
                  </w:tcBorders>
                  <w:noWrap w:val="0"/>
                  <w:vAlign w:val="center"/>
                </w:tcPr>
                <w:p>
                  <w:pPr>
                    <w:spacing w:line="360" w:lineRule="auto"/>
                    <w:jc w:val="center"/>
                    <w:rPr>
                      <w:rFonts w:hint="eastAsia" w:cs="Times New Roman"/>
                      <w:color w:val="auto"/>
                      <w:sz w:val="22"/>
                      <w:szCs w:val="22"/>
                      <w:u w:val="none" w:color="auto"/>
                      <w:lang w:val="en-US" w:eastAsia="zh-CN"/>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37.0</w:t>
                  </w:r>
                </w:p>
              </w:tc>
              <w:tc>
                <w:tcPr>
                  <w:tcW w:w="975" w:type="dxa"/>
                  <w:tcBorders>
                    <w:tl2br w:val="nil"/>
                    <w:tr2bl w:val="nil"/>
                  </w:tcBorders>
                  <w:noWrap w:val="0"/>
                  <w:vAlign w:val="center"/>
                </w:tcPr>
                <w:p>
                  <w:pPr>
                    <w:spacing w:line="360" w:lineRule="auto"/>
                    <w:jc w:val="center"/>
                    <w:rPr>
                      <w:rFonts w:hint="eastAsia" w:cs="Times New Roman"/>
                      <w:color w:val="auto"/>
                      <w:sz w:val="22"/>
                      <w:szCs w:val="22"/>
                      <w:u w:val="none" w:color="auto"/>
                      <w:lang w:val="en-US" w:eastAsia="zh-CN"/>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eastAsia" w:cs="Times New Roman"/>
                      <w:color w:val="auto"/>
                      <w:sz w:val="22"/>
                      <w:szCs w:val="22"/>
                      <w:u w:val="none" w:color="auto"/>
                      <w:lang w:val="en-US" w:eastAsia="zh-CN"/>
                    </w:rPr>
                  </w:pPr>
                  <w:r>
                    <w:rPr>
                      <w:rFonts w:hint="eastAsia" w:cs="Times New Roman"/>
                      <w:sz w:val="22"/>
                      <w:szCs w:val="22"/>
                      <w:u w:val="none" w:color="auto"/>
                      <w:lang w:val="en-US" w:eastAsia="zh-CN"/>
                    </w:rPr>
                    <w:t>5月27日</w:t>
                  </w:r>
                </w:p>
              </w:tc>
              <w:tc>
                <w:tcPr>
                  <w:tcW w:w="972" w:type="dxa"/>
                  <w:tcBorders>
                    <w:tl2br w:val="nil"/>
                    <w:tr2bl w:val="nil"/>
                  </w:tcBorders>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52.4</w:t>
                  </w:r>
                </w:p>
              </w:tc>
              <w:tc>
                <w:tcPr>
                  <w:tcW w:w="973" w:type="dxa"/>
                  <w:tcBorders>
                    <w:tl2br w:val="nil"/>
                    <w:tr2bl w:val="nil"/>
                  </w:tcBorders>
                  <w:noWrap w:val="0"/>
                  <w:vAlign w:val="center"/>
                </w:tcPr>
                <w:p>
                  <w:pPr>
                    <w:spacing w:line="360" w:lineRule="auto"/>
                    <w:jc w:val="center"/>
                    <w:rPr>
                      <w:rFonts w:hint="eastAsia" w:cs="Times New Roman"/>
                      <w:color w:val="auto"/>
                      <w:sz w:val="22"/>
                      <w:szCs w:val="22"/>
                      <w:u w:val="none" w:color="auto"/>
                      <w:lang w:val="en-US" w:eastAsia="zh-CN"/>
                    </w:rPr>
                  </w:pPr>
                  <w:r>
                    <w:rPr>
                      <w:rFonts w:hint="eastAsia"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39.0</w:t>
                  </w:r>
                </w:p>
              </w:tc>
              <w:tc>
                <w:tcPr>
                  <w:tcW w:w="975" w:type="dxa"/>
                  <w:tcBorders>
                    <w:tl2br w:val="nil"/>
                    <w:tr2bl w:val="nil"/>
                  </w:tcBorders>
                  <w:noWrap w:val="0"/>
                  <w:vAlign w:val="center"/>
                </w:tcPr>
                <w:p>
                  <w:pPr>
                    <w:spacing w:line="360" w:lineRule="auto"/>
                    <w:jc w:val="center"/>
                    <w:rPr>
                      <w:rFonts w:hint="eastAsia" w:cs="Times New Roman"/>
                      <w:color w:val="auto"/>
                      <w:sz w:val="22"/>
                      <w:szCs w:val="22"/>
                      <w:u w:val="none" w:color="auto"/>
                      <w:lang w:val="en-US" w:eastAsia="zh-CN"/>
                    </w:rPr>
                  </w:pPr>
                  <w:r>
                    <w:rPr>
                      <w:rFonts w:hint="eastAsia"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bl>
          <w:p>
            <w:pPr>
              <w:spacing w:line="360" w:lineRule="auto"/>
              <w:ind w:firstLine="578" w:firstLineChars="250"/>
              <w:rPr>
                <w:rFonts w:hint="eastAsia" w:ascii="Times New Roman" w:hAnsi="Times New Roman" w:eastAsia="宋体" w:cs="Times New Roman"/>
                <w:sz w:val="24"/>
                <w:u w:val="none" w:color="auto"/>
                <w:lang w:eastAsia="zh-CN"/>
              </w:rPr>
            </w:pPr>
            <w:r>
              <w:rPr>
                <w:rFonts w:hint="eastAsia" w:cs="Times New Roman"/>
                <w:sz w:val="24"/>
                <w:szCs w:val="24"/>
                <w:u w:val="none" w:color="auto"/>
                <w:lang w:eastAsia="zh-CN"/>
              </w:rPr>
              <w:t>监测结果表明，本项目厂界四周噪声满足</w:t>
            </w:r>
            <w:r>
              <w:rPr>
                <w:sz w:val="24"/>
                <w:szCs w:val="24"/>
                <w:u w:val="none" w:color="auto"/>
              </w:rPr>
              <w:t>《工业企业厂界环境噪声排放标准》（GB12348-2008）</w:t>
            </w:r>
            <w:r>
              <w:rPr>
                <w:rFonts w:hint="eastAsia"/>
                <w:sz w:val="24"/>
                <w:szCs w:val="24"/>
                <w:u w:val="none" w:color="auto"/>
                <w:lang w:val="en-US" w:eastAsia="zh-CN"/>
              </w:rPr>
              <w:t>2</w:t>
            </w:r>
            <w:r>
              <w:rPr>
                <w:sz w:val="24"/>
                <w:szCs w:val="24"/>
                <w:u w:val="none" w:color="auto"/>
              </w:rPr>
              <w:t>类标准</w:t>
            </w:r>
            <w:r>
              <w:rPr>
                <w:rFonts w:hint="eastAsia"/>
                <w:sz w:val="24"/>
                <w:szCs w:val="24"/>
                <w:u w:val="none" w:color="auto"/>
                <w:lang w:eastAsia="zh-CN"/>
              </w:rPr>
              <w:t>；居民敏感点环境噪声满足</w:t>
            </w:r>
            <w:r>
              <w:rPr>
                <w:sz w:val="24"/>
                <w:u w:val="none" w:color="auto"/>
              </w:rPr>
              <w:t>《声环境质量标准》（GB3096-</w:t>
            </w:r>
            <w:r>
              <w:rPr>
                <w:rFonts w:hint="eastAsia"/>
                <w:sz w:val="24"/>
                <w:u w:val="none" w:color="auto"/>
                <w:lang w:val="en-US" w:eastAsia="zh-CN"/>
              </w:rPr>
              <w:t>2008</w:t>
            </w:r>
            <w:r>
              <w:rPr>
                <w:sz w:val="24"/>
                <w:u w:val="none" w:color="auto"/>
              </w:rPr>
              <w:t>）中的</w:t>
            </w:r>
            <w:r>
              <w:rPr>
                <w:rFonts w:hint="eastAsia"/>
                <w:sz w:val="24"/>
                <w:u w:val="none" w:color="auto"/>
                <w:lang w:val="en-US" w:eastAsia="zh-CN"/>
              </w:rPr>
              <w:t>2</w:t>
            </w:r>
            <w:r>
              <w:rPr>
                <w:sz w:val="24"/>
                <w:u w:val="none" w:color="auto"/>
              </w:rPr>
              <w:t>类标准</w:t>
            </w:r>
            <w:r>
              <w:rPr>
                <w:rFonts w:hint="eastAsia"/>
                <w:sz w:val="24"/>
                <w:u w:val="none" w:color="auto"/>
                <w:lang w:eastAsia="zh-CN"/>
              </w:rPr>
              <w:t>。</w:t>
            </w:r>
          </w:p>
          <w:p>
            <w:pPr>
              <w:spacing w:line="360" w:lineRule="auto"/>
              <w:ind w:firstLine="462"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为最大程度减轻噪声对外环境的影响，</w:t>
            </w:r>
            <w:r>
              <w:rPr>
                <w:rFonts w:hint="eastAsia" w:cs="Times New Roman"/>
                <w:sz w:val="24"/>
                <w:szCs w:val="24"/>
                <w:u w:val="none" w:color="auto"/>
                <w:lang w:eastAsia="zh-CN"/>
              </w:rPr>
              <w:t>本</w:t>
            </w:r>
            <w:r>
              <w:rPr>
                <w:rFonts w:hint="default" w:ascii="Times New Roman" w:hAnsi="Times New Roman" w:cs="Times New Roman"/>
                <w:sz w:val="24"/>
                <w:szCs w:val="24"/>
                <w:u w:val="none" w:color="auto"/>
              </w:rPr>
              <w:t>建设单位采取</w:t>
            </w:r>
            <w:r>
              <w:rPr>
                <w:rFonts w:hint="eastAsia" w:cs="Times New Roman"/>
                <w:sz w:val="24"/>
                <w:szCs w:val="24"/>
                <w:u w:val="none" w:color="auto"/>
                <w:lang w:eastAsia="zh-CN"/>
              </w:rPr>
              <w:t>了</w:t>
            </w:r>
            <w:r>
              <w:rPr>
                <w:rFonts w:hint="default" w:ascii="Times New Roman" w:hAnsi="Times New Roman" w:cs="Times New Roman"/>
                <w:sz w:val="24"/>
                <w:szCs w:val="24"/>
                <w:u w:val="none" w:color="auto"/>
              </w:rPr>
              <w:t>如下噪声防治措施：</w:t>
            </w:r>
          </w:p>
          <w:p>
            <w:pPr>
              <w:spacing w:line="360" w:lineRule="auto"/>
              <w:ind w:firstLine="462"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①选用低噪声高性能的产品，从声源上降低设备本身噪声，同时在设备上安装减振设施；</w:t>
            </w:r>
          </w:p>
          <w:p>
            <w:pPr>
              <w:spacing w:line="360" w:lineRule="auto"/>
              <w:ind w:firstLine="462"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②合理布局，主要产噪设备均布置在厂房内，利用厂房及隔音设施进行隔声；</w:t>
            </w:r>
          </w:p>
          <w:p>
            <w:pPr>
              <w:spacing w:line="360" w:lineRule="auto"/>
              <w:ind w:firstLine="462" w:firstLineChars="200"/>
              <w:rPr>
                <w:rFonts w:hint="eastAsia" w:cs="Times New Roman"/>
                <w:sz w:val="24"/>
                <w:szCs w:val="24"/>
                <w:u w:val="none" w:color="auto"/>
                <w:lang w:eastAsia="zh-CN"/>
              </w:rPr>
            </w:pPr>
            <w:r>
              <w:rPr>
                <w:rFonts w:hint="default" w:ascii="Times New Roman" w:hAnsi="Times New Roman" w:cs="Times New Roman"/>
                <w:sz w:val="24"/>
                <w:szCs w:val="24"/>
                <w:u w:val="none" w:color="auto"/>
              </w:rPr>
              <w:t>③加强设备的维护，安排专人负责设备的日常维护和保养，确保设备处于良好的运转状态，杜绝因</w:t>
            </w:r>
            <w:r>
              <w:rPr>
                <w:rFonts w:hint="default" w:ascii="Times New Roman" w:hAnsi="Times New Roman" w:cs="Times New Roman"/>
                <w:sz w:val="24"/>
                <w:szCs w:val="24"/>
                <w:u w:val="none" w:color="auto"/>
                <w:lang w:eastAsia="zh-CN"/>
              </w:rPr>
              <w:t>设备</w:t>
            </w:r>
            <w:r>
              <w:rPr>
                <w:rFonts w:hint="default" w:ascii="Times New Roman" w:hAnsi="Times New Roman" w:cs="Times New Roman"/>
                <w:sz w:val="24"/>
                <w:szCs w:val="24"/>
                <w:u w:val="none" w:color="auto"/>
              </w:rPr>
              <w:t>不正常运转时产生的高噪声现象</w:t>
            </w:r>
            <w:r>
              <w:rPr>
                <w:rFonts w:hint="eastAsia" w:cs="Times New Roman"/>
                <w:sz w:val="24"/>
                <w:szCs w:val="24"/>
                <w:u w:val="none" w:color="auto"/>
                <w:lang w:eastAsia="zh-CN"/>
              </w:rPr>
              <w:t>；</w:t>
            </w:r>
          </w:p>
          <w:p>
            <w:pPr>
              <w:spacing w:line="360" w:lineRule="auto"/>
              <w:ind w:firstLine="462" w:firstLineChars="200"/>
              <w:rPr>
                <w:rFonts w:hint="default" w:ascii="Times New Roman" w:hAnsi="Times New Roman" w:cs="Times New Roman"/>
                <w:sz w:val="24"/>
                <w:szCs w:val="24"/>
                <w:u w:val="none" w:color="auto"/>
              </w:rPr>
            </w:pPr>
            <w:r>
              <w:rPr>
                <w:rFonts w:hint="eastAsia" w:ascii="宋体" w:hAnsi="宋体" w:eastAsia="宋体" w:cs="宋体"/>
                <w:sz w:val="24"/>
                <w:szCs w:val="24"/>
                <w:u w:val="none" w:color="auto"/>
              </w:rPr>
              <w:t>④</w:t>
            </w:r>
            <w:r>
              <w:rPr>
                <w:rFonts w:hint="eastAsia" w:cs="Times New Roman"/>
                <w:sz w:val="24"/>
                <w:szCs w:val="24"/>
                <w:u w:val="none" w:color="auto"/>
                <w:lang w:eastAsia="zh-CN"/>
              </w:rPr>
              <w:t>项目白天作业，晚上不生产</w:t>
            </w:r>
            <w:r>
              <w:rPr>
                <w:rFonts w:hint="default" w:ascii="Times New Roman" w:hAnsi="Times New Roman" w:cs="Times New Roman"/>
                <w:sz w:val="24"/>
                <w:szCs w:val="24"/>
                <w:u w:val="none" w:color="auto"/>
              </w:rPr>
              <w:t>；</w:t>
            </w:r>
          </w:p>
          <w:p>
            <w:pPr>
              <w:snapToGrid w:val="0"/>
              <w:spacing w:line="360" w:lineRule="auto"/>
              <w:ind w:firstLine="462"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综上，在采取相应降噪措施后，对厂界外声环境产生的影响极小。</w:t>
            </w:r>
          </w:p>
          <w:p>
            <w:pPr>
              <w:adjustRightInd w:val="0"/>
              <w:snapToGrid w:val="0"/>
              <w:spacing w:line="360" w:lineRule="auto"/>
              <w:ind w:firstLine="462"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4、固体废物影响分析</w:t>
            </w:r>
          </w:p>
          <w:p>
            <w:pPr>
              <w:pStyle w:val="32"/>
              <w:spacing w:line="360" w:lineRule="auto"/>
              <w:ind w:left="0" w:leftChars="0" w:firstLine="462" w:firstLineChars="200"/>
              <w:rPr>
                <w:rFonts w:ascii="宋体" w:hAnsi="宋体"/>
                <w:sz w:val="24"/>
                <w:szCs w:val="32"/>
                <w:u w:val="single" w:color="auto"/>
              </w:rPr>
            </w:pPr>
            <w:r>
              <w:rPr>
                <w:rFonts w:hint="eastAsia" w:ascii="宋体" w:hAnsi="宋体"/>
                <w:sz w:val="24"/>
                <w:szCs w:val="32"/>
                <w:u w:val="single" w:color="auto"/>
              </w:rPr>
              <w:t>本项目产生的固体废物有废</w:t>
            </w:r>
            <w:r>
              <w:rPr>
                <w:rFonts w:hint="eastAsia" w:ascii="宋体" w:hAnsi="宋体"/>
                <w:sz w:val="24"/>
                <w:szCs w:val="32"/>
                <w:u w:val="single" w:color="auto"/>
                <w:lang w:eastAsia="zh-CN"/>
              </w:rPr>
              <w:t>边角料</w:t>
            </w:r>
            <w:r>
              <w:rPr>
                <w:rFonts w:hint="eastAsia" w:ascii="宋体" w:hAnsi="宋体"/>
                <w:sz w:val="24"/>
                <w:szCs w:val="32"/>
                <w:u w:val="single" w:color="auto"/>
              </w:rPr>
              <w:t>、废</w:t>
            </w:r>
            <w:r>
              <w:rPr>
                <w:rFonts w:hint="eastAsia" w:ascii="宋体" w:hAnsi="宋体"/>
                <w:sz w:val="24"/>
                <w:szCs w:val="32"/>
                <w:u w:val="single" w:color="auto"/>
                <w:lang w:eastAsia="zh-CN"/>
              </w:rPr>
              <w:t>包装材料</w:t>
            </w:r>
            <w:r>
              <w:rPr>
                <w:rFonts w:hint="eastAsia" w:ascii="宋体" w:hAnsi="宋体"/>
                <w:sz w:val="24"/>
                <w:szCs w:val="32"/>
                <w:u w:val="single" w:color="auto"/>
              </w:rPr>
              <w:t>、生活垃圾</w:t>
            </w:r>
            <w:r>
              <w:rPr>
                <w:rFonts w:hint="eastAsia" w:ascii="宋体" w:hAnsi="宋体"/>
                <w:sz w:val="24"/>
                <w:szCs w:val="32"/>
                <w:u w:val="single" w:color="auto"/>
                <w:lang w:eastAsia="zh-CN"/>
              </w:rPr>
              <w:t>、除尘器收集的粉尘、废白乳胶包装材料</w:t>
            </w:r>
            <w:r>
              <w:rPr>
                <w:rFonts w:hint="eastAsia" w:ascii="宋体" w:hAnsi="宋体"/>
                <w:sz w:val="24"/>
                <w:szCs w:val="32"/>
                <w:u w:val="single" w:color="auto"/>
              </w:rPr>
              <w:t>。</w:t>
            </w:r>
          </w:p>
          <w:p>
            <w:pPr>
              <w:pStyle w:val="32"/>
              <w:spacing w:line="360" w:lineRule="auto"/>
              <w:ind w:left="0" w:leftChars="0" w:firstLine="462" w:firstLineChars="200"/>
              <w:jc w:val="left"/>
              <w:rPr>
                <w:rFonts w:hint="eastAsia" w:ascii="Times New Roman" w:hAnsi="Times New Roman" w:eastAsia="宋体"/>
                <w:color w:val="auto"/>
                <w:sz w:val="24"/>
                <w:highlight w:val="none"/>
                <w:u w:val="single" w:color="auto"/>
                <w:lang w:eastAsia="zh-CN"/>
              </w:rPr>
            </w:pPr>
            <w:r>
              <w:rPr>
                <w:rFonts w:hint="eastAsia" w:ascii="宋体" w:hAnsi="宋体"/>
                <w:sz w:val="24"/>
                <w:szCs w:val="32"/>
                <w:u w:val="single" w:color="auto"/>
                <w:lang w:eastAsia="zh-CN"/>
              </w:rPr>
              <w:t>废边角料</w:t>
            </w:r>
            <w:r>
              <w:rPr>
                <w:rFonts w:hint="default" w:ascii="Times New Roman" w:hAnsi="Times New Roman" w:cs="Times New Roman"/>
                <w:sz w:val="24"/>
                <w:u w:val="single" w:color="auto"/>
              </w:rPr>
              <w:t>收集后均外售</w:t>
            </w:r>
            <w:r>
              <w:rPr>
                <w:rFonts w:hint="eastAsia" w:cs="Times New Roman"/>
                <w:sz w:val="24"/>
                <w:u w:val="single" w:color="auto"/>
                <w:lang w:eastAsia="zh-CN"/>
              </w:rPr>
              <w:t>综合利用</w:t>
            </w:r>
            <w:r>
              <w:rPr>
                <w:rFonts w:hint="default" w:ascii="Times New Roman" w:hAnsi="Times New Roman" w:cs="Times New Roman"/>
                <w:sz w:val="24"/>
                <w:u w:val="single" w:color="auto"/>
              </w:rPr>
              <w:t>。</w:t>
            </w:r>
            <w:r>
              <w:rPr>
                <w:rFonts w:hint="default" w:ascii="Times New Roman" w:hAnsi="Times New Roman" w:cs="Times New Roman"/>
                <w:sz w:val="24"/>
                <w:szCs w:val="24"/>
                <w:u w:val="single" w:color="auto"/>
              </w:rPr>
              <w:t>生活垃圾集中收集后交环卫部门统一清运处理。</w:t>
            </w:r>
            <w:r>
              <w:rPr>
                <w:rFonts w:hint="default" w:ascii="Times New Roman" w:hAnsi="Times New Roman" w:cs="Times New Roman"/>
                <w:sz w:val="24"/>
                <w:u w:val="single" w:color="auto"/>
                <w:lang w:eastAsia="zh-CN"/>
              </w:rPr>
              <w:t>废</w:t>
            </w:r>
            <w:r>
              <w:rPr>
                <w:rFonts w:hint="eastAsia" w:cs="Times New Roman"/>
                <w:sz w:val="24"/>
                <w:u w:val="single" w:color="auto"/>
                <w:lang w:eastAsia="zh-CN"/>
              </w:rPr>
              <w:t>包装材料</w:t>
            </w:r>
            <w:r>
              <w:rPr>
                <w:rFonts w:hint="default" w:ascii="Times New Roman" w:hAnsi="Times New Roman" w:cs="Times New Roman"/>
                <w:sz w:val="24"/>
                <w:u w:val="single" w:color="auto"/>
                <w:lang w:val="en-US" w:eastAsia="zh-CN"/>
              </w:rPr>
              <w:t>收集后</w:t>
            </w:r>
            <w:r>
              <w:rPr>
                <w:rFonts w:hint="eastAsia" w:cs="Times New Roman"/>
                <w:sz w:val="24"/>
                <w:u w:val="single" w:color="auto"/>
                <w:lang w:val="en-US" w:eastAsia="zh-CN"/>
              </w:rPr>
              <w:t>外售废品回收站综合利用</w:t>
            </w:r>
            <w:r>
              <w:rPr>
                <w:rFonts w:hint="default" w:ascii="Times New Roman" w:hAnsi="Times New Roman" w:cs="Times New Roman"/>
                <w:sz w:val="24"/>
                <w:u w:val="single" w:color="auto"/>
                <w:lang w:val="en-US" w:eastAsia="zh-CN"/>
              </w:rPr>
              <w:t>。</w:t>
            </w:r>
            <w:r>
              <w:rPr>
                <w:rFonts w:hint="eastAsia" w:cs="Times New Roman"/>
                <w:sz w:val="24"/>
                <w:szCs w:val="32"/>
                <w:u w:val="single" w:color="auto"/>
                <w:lang w:eastAsia="zh-CN"/>
              </w:rPr>
              <w:t>除尘器收集的粉尘</w:t>
            </w:r>
            <w:r>
              <w:rPr>
                <w:rFonts w:hint="eastAsia"/>
                <w:sz w:val="24"/>
                <w:szCs w:val="24"/>
                <w:u w:val="single" w:color="auto"/>
                <w:lang w:val="en-US" w:eastAsia="zh-CN"/>
              </w:rPr>
              <w:t>收集后外售综合利用</w:t>
            </w:r>
            <w:r>
              <w:rPr>
                <w:rFonts w:hint="eastAsia"/>
                <w:sz w:val="24"/>
                <w:szCs w:val="24"/>
                <w:u w:val="single" w:color="auto"/>
              </w:rPr>
              <w:t>。</w:t>
            </w:r>
          </w:p>
          <w:p>
            <w:pPr>
              <w:spacing w:line="360" w:lineRule="auto"/>
              <w:ind w:firstLine="462" w:firstLineChars="200"/>
              <w:jc w:val="left"/>
              <w:rPr>
                <w:rFonts w:hint="default" w:ascii="Times New Roman" w:hAnsi="Times New Roman" w:cs="Times New Roman"/>
                <w:sz w:val="24"/>
                <w:szCs w:val="24"/>
                <w:u w:val="single" w:color="auto"/>
              </w:rPr>
            </w:pPr>
            <w:r>
              <w:rPr>
                <w:rFonts w:hint="eastAsia"/>
                <w:sz w:val="24"/>
                <w:szCs w:val="24"/>
                <w:u w:val="single" w:color="auto"/>
                <w:lang w:eastAsia="zh-CN"/>
              </w:rPr>
              <w:t>废白乳胶包装材料：</w:t>
            </w:r>
            <w:r>
              <w:rPr>
                <w:rFonts w:hint="eastAsia" w:hAnsi="宋体"/>
                <w:sz w:val="24"/>
                <w:u w:val="single" w:color="auto"/>
                <w:lang w:val="en-US" w:eastAsia="zh-CN"/>
              </w:rPr>
              <w:t>根据《国家危险废物名录》可知，项目废白乳胶包装材料属于危险废物（代码：HW49  900-041-49），</w:t>
            </w:r>
            <w:r>
              <w:rPr>
                <w:rFonts w:hint="eastAsia"/>
                <w:sz w:val="24"/>
                <w:u w:val="single" w:color="auto"/>
                <w:lang w:val="sq-AL"/>
              </w:rPr>
              <w:t>根据《关于用于原始用途的含有或直接沾染危险废物的包装物、容器是否属于危险废物问题的复函》（环函[2014]126号）的说明，</w:t>
            </w:r>
            <w:r>
              <w:rPr>
                <w:rFonts w:hint="eastAsia"/>
                <w:sz w:val="24"/>
                <w:u w:val="single" w:color="auto"/>
                <w:lang w:eastAsia="zh-CN"/>
              </w:rPr>
              <w:t>废白乳胶包装材料</w:t>
            </w:r>
            <w:r>
              <w:rPr>
                <w:rFonts w:hint="eastAsia"/>
                <w:sz w:val="24"/>
                <w:u w:val="single" w:color="auto"/>
                <w:lang w:val="sq-AL"/>
              </w:rPr>
              <w:t>可交由生产厂家回收后综合利用</w:t>
            </w:r>
            <w:r>
              <w:rPr>
                <w:rFonts w:hint="eastAsia"/>
                <w:sz w:val="24"/>
                <w:u w:val="single" w:color="auto"/>
                <w:lang w:val="sq-AL" w:eastAsia="zh-CN"/>
              </w:rPr>
              <w:t>，故废白乳胶包装材料</w:t>
            </w:r>
            <w:r>
              <w:rPr>
                <w:rFonts w:hint="eastAsia" w:hAnsi="宋体"/>
                <w:sz w:val="24"/>
                <w:u w:val="single" w:color="auto"/>
                <w:lang w:val="en-US" w:eastAsia="zh-CN"/>
              </w:rPr>
              <w:t>需收集于危险废物储存间，再交由生产厂家回收</w:t>
            </w:r>
            <w:r>
              <w:rPr>
                <w:rFonts w:hint="default" w:ascii="Times New Roman" w:hAnsi="Times New Roman" w:cs="Times New Roman"/>
                <w:sz w:val="24"/>
                <w:szCs w:val="24"/>
                <w:u w:val="single" w:color="auto"/>
              </w:rPr>
              <w:t>。</w:t>
            </w:r>
          </w:p>
          <w:p>
            <w:pPr>
              <w:keepNext w:val="0"/>
              <w:keepLines w:val="0"/>
              <w:pageBreakBefore w:val="0"/>
              <w:widowControl w:val="0"/>
              <w:kinsoku/>
              <w:wordWrap/>
              <w:overflowPunct/>
              <w:topLinePunct w:val="0"/>
              <w:autoSpaceDE/>
              <w:autoSpaceDN/>
              <w:bidi w:val="0"/>
              <w:spacing w:line="360" w:lineRule="auto"/>
              <w:ind w:firstLine="512"/>
              <w:textAlignment w:val="auto"/>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固体废物在外售前，分类放入仓库暂存，避免下雨冲刷，污染环境，并做好防渗措施，避免因雨水淋溶而污染区域地表水和地下水。</w:t>
            </w:r>
          </w:p>
          <w:p>
            <w:pPr>
              <w:keepNext w:val="0"/>
              <w:keepLines w:val="0"/>
              <w:pageBreakBefore w:val="0"/>
              <w:widowControl w:val="0"/>
              <w:kinsoku/>
              <w:wordWrap/>
              <w:overflowPunct/>
              <w:topLinePunct w:val="0"/>
              <w:autoSpaceDE/>
              <w:autoSpaceDN/>
              <w:bidi w:val="0"/>
              <w:spacing w:line="360" w:lineRule="auto"/>
              <w:ind w:firstLine="480"/>
              <w:textAlignment w:val="auto"/>
              <w:rPr>
                <w:rFonts w:hint="default" w:ascii="Times New Roman" w:hAnsi="Times New Roman" w:cs="Times New Roman"/>
                <w:sz w:val="24"/>
                <w:szCs w:val="24"/>
                <w:u w:val="single" w:color="auto"/>
                <w:lang w:eastAsia="zh-CN"/>
              </w:rPr>
            </w:pPr>
            <w:r>
              <w:rPr>
                <w:rFonts w:hint="default" w:ascii="Times New Roman" w:hAnsi="Times New Roman" w:cs="Times New Roman"/>
                <w:sz w:val="24"/>
                <w:szCs w:val="24"/>
                <w:u w:val="single" w:color="auto"/>
              </w:rPr>
              <w:t>一般固体废物暂存库建设要求：（1）为防止雨水径流进入暂存场地，场地周边应设置导流渠和集水池；（2）为加强监督管理，暂存场地应按环境《保护图形标志--固体废物贮存(处置)场》(GB 15562.2-1995) 设置环境保护图形标志</w:t>
            </w:r>
            <w:r>
              <w:rPr>
                <w:rFonts w:hint="default" w:ascii="Times New Roman" w:hAnsi="Times New Roman" w:cs="Times New Roman"/>
                <w:sz w:val="24"/>
                <w:szCs w:val="24"/>
                <w:u w:val="single" w:color="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62" w:firstLineChars="200"/>
              <w:textAlignment w:val="auto"/>
              <w:rPr>
                <w:rFonts w:hint="default" w:ascii="Times New Roman" w:hAnsi="Times New Roman" w:cs="Times New Roman"/>
                <w:sz w:val="24"/>
                <w:szCs w:val="24"/>
                <w:u w:val="single" w:color="auto"/>
              </w:rPr>
            </w:pPr>
            <w:r>
              <w:rPr>
                <w:rFonts w:hint="eastAsia" w:cs="Times New Roman"/>
                <w:color w:val="auto"/>
                <w:sz w:val="24"/>
                <w:szCs w:val="24"/>
                <w:u w:val="single" w:color="auto"/>
                <w:lang w:val="en-US" w:eastAsia="zh-CN"/>
              </w:rPr>
              <w:t>根据现场勘查，本项目现未建设危险废物储存间，故本</w:t>
            </w:r>
            <w:r>
              <w:rPr>
                <w:rFonts w:hint="default" w:ascii="Times New Roman" w:hAnsi="Times New Roman" w:cs="Times New Roman"/>
                <w:color w:val="auto"/>
                <w:sz w:val="24"/>
                <w:szCs w:val="24"/>
                <w:u w:val="single" w:color="auto"/>
                <w:lang w:eastAsia="zh-CN"/>
              </w:rPr>
              <w:t>环评建议危险废物储存间设置于</w:t>
            </w:r>
            <w:r>
              <w:rPr>
                <w:rFonts w:hint="eastAsia" w:cs="Times New Roman"/>
                <w:color w:val="auto"/>
                <w:sz w:val="24"/>
                <w:szCs w:val="24"/>
                <w:u w:val="single" w:color="auto"/>
                <w:lang w:eastAsia="zh-CN"/>
              </w:rPr>
              <w:t>公司北侧，</w:t>
            </w:r>
            <w:r>
              <w:rPr>
                <w:rFonts w:hint="eastAsia" w:cs="Times New Roman"/>
                <w:color w:val="auto"/>
                <w:sz w:val="24"/>
                <w:szCs w:val="24"/>
                <w:u w:val="single" w:color="auto"/>
                <w:lang w:val="en-US" w:eastAsia="zh-CN"/>
              </w:rPr>
              <w:t>面积为5m</w:t>
            </w:r>
            <w:r>
              <w:rPr>
                <w:rFonts w:hint="eastAsia" w:cs="Times New Roman"/>
                <w:color w:val="auto"/>
                <w:sz w:val="24"/>
                <w:szCs w:val="24"/>
                <w:u w:val="single" w:color="auto"/>
                <w:vertAlign w:val="superscript"/>
                <w:lang w:val="en-US" w:eastAsia="zh-CN"/>
              </w:rPr>
              <w:t>2</w:t>
            </w:r>
            <w:r>
              <w:rPr>
                <w:rFonts w:hint="default" w:ascii="Times New Roman" w:hAnsi="Times New Roman" w:cs="Times New Roman"/>
                <w:color w:val="auto"/>
                <w:sz w:val="24"/>
                <w:szCs w:val="24"/>
                <w:u w:val="single" w:color="auto"/>
                <w:lang w:eastAsia="zh-CN"/>
              </w:rPr>
              <w:t>，且危险废物</w:t>
            </w:r>
            <w:r>
              <w:rPr>
                <w:rFonts w:hint="default" w:ascii="Times New Roman" w:hAnsi="Times New Roman" w:cs="Times New Roman"/>
                <w:sz w:val="24"/>
                <w:szCs w:val="24"/>
                <w:u w:val="single" w:color="auto"/>
                <w:lang w:eastAsia="zh-CN"/>
              </w:rPr>
              <w:t>储存区建设要求：</w:t>
            </w:r>
            <w:r>
              <w:rPr>
                <w:rFonts w:hint="default" w:ascii="Times New Roman" w:hAnsi="Times New Roman" w:cs="Times New Roman"/>
                <w:sz w:val="24"/>
                <w:szCs w:val="24"/>
                <w:u w:val="single" w:color="auto"/>
              </w:rPr>
              <w:t>根据国家《危险废物贮存污染控制标准》（GB18597-2001）的有关规定，危险废物在厂内存放期间，储存间地面进行防渗处理，同时采取“防扬散、防流失、防渗漏”的三防措施，用标签明示危险废物种类，在堆放场地处设置标志，并远离电源、火源，并设专人管理。</w:t>
            </w:r>
          </w:p>
          <w:p>
            <w:pPr>
              <w:keepNext w:val="0"/>
              <w:keepLines w:val="0"/>
              <w:pageBreakBefore w:val="0"/>
              <w:widowControl w:val="0"/>
              <w:kinsoku/>
              <w:wordWrap/>
              <w:overflowPunct/>
              <w:topLinePunct w:val="0"/>
              <w:autoSpaceDE/>
              <w:autoSpaceDN/>
              <w:bidi w:val="0"/>
              <w:adjustRightInd w:val="0"/>
              <w:snapToGrid w:val="0"/>
              <w:spacing w:line="360" w:lineRule="auto"/>
              <w:ind w:firstLine="462" w:firstLineChars="200"/>
              <w:textAlignment w:val="auto"/>
              <w:rPr>
                <w:rFonts w:hint="default" w:ascii="Times New Roman" w:hAnsi="Times New Roman" w:cs="Times New Roman"/>
                <w:sz w:val="24"/>
                <w:szCs w:val="24"/>
                <w:u w:val="single" w:color="auto"/>
                <w:lang w:eastAsia="zh-CN"/>
              </w:rPr>
            </w:pPr>
            <w:r>
              <w:rPr>
                <w:rFonts w:hint="default" w:ascii="Times New Roman" w:hAnsi="Times New Roman" w:cs="Times New Roman"/>
                <w:sz w:val="24"/>
                <w:szCs w:val="24"/>
                <w:u w:val="single" w:color="auto"/>
              </w:rPr>
              <w:t>危险废物不可以随意排放、放置和转移，由专人负责管理其入、完善出入登记台帐，应集中收集后交由具有危险废物经营许可证的单位统一处理，并签订危废处理协议。盛装危险废物的容器和胶带必须贴符合《危险废物贮存污染控制标准》（GB18597-2001）附录A所示的标签等，防止造成二次污染。</w:t>
            </w:r>
          </w:p>
          <w:p>
            <w:pPr>
              <w:snapToGrid w:val="0"/>
              <w:spacing w:line="360" w:lineRule="auto"/>
              <w:ind w:firstLine="462" w:firstLineChars="200"/>
              <w:rPr>
                <w:rFonts w:hint="eastAsia" w:eastAsia="宋体"/>
                <w:u w:val="single" w:color="auto"/>
                <w:lang w:val="en-US" w:eastAsia="zh-CN"/>
              </w:rPr>
            </w:pPr>
            <w:r>
              <w:rPr>
                <w:rFonts w:hint="default" w:ascii="Times New Roman" w:hAnsi="Times New Roman" w:cs="Times New Roman"/>
                <w:sz w:val="24"/>
                <w:szCs w:val="24"/>
                <w:u w:val="single" w:color="auto"/>
              </w:rPr>
              <w:t>采取上述措施后，本工程固体废物可得到妥善的处理，对周围环境造影响较小</w:t>
            </w:r>
            <w:r>
              <w:rPr>
                <w:rFonts w:hint="eastAsia"/>
                <w:bCs/>
                <w:color w:val="auto"/>
                <w:spacing w:val="4"/>
                <w:sz w:val="24"/>
                <w:u w:val="single" w:color="auto"/>
                <w:lang w:eastAsia="zh-CN"/>
              </w:rPr>
              <w:t>。</w:t>
            </w:r>
          </w:p>
          <w:p>
            <w:pPr>
              <w:pStyle w:val="182"/>
              <w:spacing w:line="360" w:lineRule="auto"/>
              <w:rPr>
                <w:rFonts w:hint="default" w:ascii="Times New Roman" w:hAnsi="Times New Roman" w:cs="Times New Roman"/>
                <w:sz w:val="24"/>
                <w:szCs w:val="24"/>
                <w:u w:val="none" w:color="auto"/>
                <w:lang w:val="en-US" w:eastAsia="zh-CN"/>
              </w:rPr>
            </w:pPr>
            <w:r>
              <w:rPr>
                <w:rFonts w:hint="eastAsia" w:cs="Times New Roman"/>
                <w:sz w:val="24"/>
                <w:szCs w:val="24"/>
                <w:u w:val="none" w:color="auto"/>
                <w:lang w:val="en-US" w:eastAsia="zh-CN"/>
              </w:rPr>
              <w:t>5、土壤环境质量分析</w:t>
            </w:r>
          </w:p>
          <w:p>
            <w:pPr>
              <w:pStyle w:val="2"/>
              <w:spacing w:after="0" w:line="480" w:lineRule="exact"/>
              <w:ind w:firstLine="482"/>
              <w:rPr>
                <w:rFonts w:hint="default" w:ascii="Times New Roman" w:hAnsi="Times New Roman" w:cs="Times New Roman"/>
                <w:kern w:val="0"/>
                <w:sz w:val="24"/>
                <w:u w:val="none" w:color="auto"/>
              </w:rPr>
            </w:pPr>
            <w:r>
              <w:rPr>
                <w:rFonts w:hint="default" w:ascii="Times New Roman" w:hAnsi="Times New Roman" w:cs="Times New Roman"/>
                <w:kern w:val="0"/>
                <w:sz w:val="24"/>
                <w:u w:val="none" w:color="auto"/>
              </w:rPr>
              <w:t>（1）土壤评价等级确定</w:t>
            </w:r>
          </w:p>
          <w:p>
            <w:pPr>
              <w:pStyle w:val="2"/>
              <w:spacing w:after="0" w:line="480" w:lineRule="exact"/>
              <w:ind w:firstLine="482"/>
              <w:rPr>
                <w:rFonts w:hint="default" w:ascii="Times New Roman" w:hAnsi="Times New Roman" w:cs="Times New Roman"/>
                <w:kern w:val="0"/>
                <w:sz w:val="24"/>
                <w:u w:val="none" w:color="auto"/>
              </w:rPr>
            </w:pPr>
            <w:r>
              <w:rPr>
                <w:rFonts w:hint="default" w:ascii="Times New Roman" w:hAnsi="Times New Roman" w:cs="Times New Roman"/>
                <w:kern w:val="0"/>
                <w:sz w:val="24"/>
                <w:u w:val="none" w:color="auto"/>
              </w:rPr>
              <w:t>按照《HJ 964-2018 环境影响评价技术导则 土壤环境》可知，本项目属于污染影响型项目，占地规模为≤5hm</w:t>
            </w:r>
            <w:r>
              <w:rPr>
                <w:rFonts w:hint="default" w:ascii="Times New Roman" w:hAnsi="Times New Roman" w:cs="Times New Roman"/>
                <w:kern w:val="0"/>
                <w:sz w:val="24"/>
                <w:u w:val="none" w:color="auto"/>
                <w:vertAlign w:val="superscript"/>
              </w:rPr>
              <w:t>2</w:t>
            </w:r>
            <w:r>
              <w:rPr>
                <w:rFonts w:hint="default" w:ascii="Times New Roman" w:hAnsi="Times New Roman" w:cs="Times New Roman"/>
                <w:kern w:val="0"/>
                <w:sz w:val="24"/>
                <w:u w:val="none" w:color="auto"/>
              </w:rPr>
              <w:t>（</w:t>
            </w:r>
            <w:r>
              <w:rPr>
                <w:rFonts w:hint="eastAsia" w:cs="Times New Roman"/>
                <w:color w:val="auto"/>
                <w:sz w:val="24"/>
                <w:u w:val="none" w:color="auto"/>
                <w:lang w:val="en-US" w:eastAsia="zh-CN"/>
              </w:rPr>
              <w:t>1500</w:t>
            </w:r>
            <w:r>
              <w:rPr>
                <w:rFonts w:hint="default" w:ascii="Times New Roman" w:hAnsi="Times New Roman" w:cs="Times New Roman"/>
                <w:kern w:val="0"/>
                <w:sz w:val="24"/>
                <w:u w:val="none" w:color="auto"/>
              </w:rPr>
              <w:t>m</w:t>
            </w:r>
            <w:r>
              <w:rPr>
                <w:rFonts w:hint="default" w:ascii="Times New Roman" w:hAnsi="Times New Roman" w:cs="Times New Roman"/>
                <w:kern w:val="0"/>
                <w:sz w:val="24"/>
                <w:u w:val="none" w:color="auto"/>
                <w:vertAlign w:val="superscript"/>
              </w:rPr>
              <w:t>2</w:t>
            </w:r>
            <w:r>
              <w:rPr>
                <w:rFonts w:hint="default" w:ascii="Times New Roman" w:hAnsi="Times New Roman" w:cs="Times New Roman"/>
                <w:kern w:val="0"/>
                <w:sz w:val="24"/>
                <w:u w:val="none" w:color="auto"/>
              </w:rPr>
              <w:t>）属于小型；依据附录A可知，本项目属于</w:t>
            </w:r>
            <w:r>
              <w:rPr>
                <w:rFonts w:hint="eastAsia"/>
                <w:bCs/>
                <w:color w:val="auto"/>
                <w:spacing w:val="4"/>
                <w:sz w:val="24"/>
                <w:u w:val="none" w:color="auto"/>
                <w:lang w:val="en-US" w:eastAsia="zh-CN"/>
              </w:rPr>
              <w:t>“设备制造、金属制品、汽车制造及其他用品制造中的其他”</w:t>
            </w:r>
            <w:r>
              <w:rPr>
                <w:rFonts w:hint="default" w:ascii="Times New Roman" w:hAnsi="Times New Roman" w:cs="Times New Roman"/>
                <w:kern w:val="0"/>
                <w:sz w:val="24"/>
                <w:u w:val="none" w:color="auto"/>
              </w:rPr>
              <w:t>，土壤环境影响评价项目类别为III类。建设项目所在地周边的土壤环境敏感程度分级依据见表7-</w:t>
            </w:r>
            <w:r>
              <w:rPr>
                <w:rFonts w:hint="eastAsia" w:cs="Times New Roman"/>
                <w:kern w:val="0"/>
                <w:sz w:val="24"/>
                <w:u w:val="none" w:color="auto"/>
                <w:lang w:val="en-US" w:eastAsia="zh-CN"/>
              </w:rPr>
              <w:t>9</w:t>
            </w:r>
            <w:r>
              <w:rPr>
                <w:rFonts w:hint="default" w:ascii="Times New Roman" w:hAnsi="Times New Roman" w:cs="Times New Roman"/>
                <w:kern w:val="0"/>
                <w:sz w:val="24"/>
                <w:u w:val="none" w:color="auto"/>
              </w:rPr>
              <w:t>，评价等级划分依据见表7-</w:t>
            </w:r>
            <w:r>
              <w:rPr>
                <w:rFonts w:hint="eastAsia" w:ascii="Times New Roman" w:hAnsi="Times New Roman" w:cs="Times New Roman"/>
                <w:kern w:val="0"/>
                <w:sz w:val="24"/>
                <w:u w:val="none" w:color="auto"/>
                <w:lang w:val="en-US" w:eastAsia="zh-CN"/>
              </w:rPr>
              <w:t>1</w:t>
            </w:r>
            <w:r>
              <w:rPr>
                <w:rFonts w:hint="eastAsia" w:cs="Times New Roman"/>
                <w:kern w:val="0"/>
                <w:sz w:val="24"/>
                <w:u w:val="none" w:color="auto"/>
                <w:lang w:val="en-US" w:eastAsia="zh-CN"/>
              </w:rPr>
              <w:t>0</w:t>
            </w:r>
            <w:r>
              <w:rPr>
                <w:rFonts w:hint="default" w:ascii="Times New Roman" w:hAnsi="Times New Roman" w:cs="Times New Roman"/>
                <w:kern w:val="0"/>
                <w:sz w:val="24"/>
                <w:u w:val="none" w:color="auto"/>
              </w:rPr>
              <w:t>。</w:t>
            </w:r>
          </w:p>
          <w:p>
            <w:pPr>
              <w:pStyle w:val="2"/>
              <w:spacing w:line="360" w:lineRule="auto"/>
              <w:ind w:firstLine="484"/>
              <w:jc w:val="center"/>
              <w:rPr>
                <w:rFonts w:hint="default" w:ascii="Times New Roman" w:hAnsi="Times New Roman" w:cs="Times New Roman"/>
                <w:b/>
                <w:kern w:val="0"/>
                <w:sz w:val="24"/>
                <w:u w:val="none" w:color="auto"/>
              </w:rPr>
            </w:pPr>
            <w:r>
              <w:rPr>
                <w:rFonts w:hint="default" w:ascii="Times New Roman" w:hAnsi="Times New Roman" w:cs="Times New Roman"/>
                <w:b/>
                <w:kern w:val="0"/>
                <w:sz w:val="24"/>
                <w:u w:val="none" w:color="auto"/>
              </w:rPr>
              <w:t>表7-</w:t>
            </w:r>
            <w:r>
              <w:rPr>
                <w:rFonts w:hint="eastAsia" w:cs="Times New Roman"/>
                <w:b/>
                <w:kern w:val="0"/>
                <w:sz w:val="24"/>
                <w:u w:val="none" w:color="auto"/>
                <w:lang w:val="en-US" w:eastAsia="zh-CN"/>
              </w:rPr>
              <w:t>9</w:t>
            </w:r>
            <w:r>
              <w:rPr>
                <w:rFonts w:hint="default" w:ascii="Times New Roman" w:hAnsi="Times New Roman" w:cs="Times New Roman"/>
                <w:b/>
                <w:kern w:val="0"/>
                <w:sz w:val="24"/>
                <w:u w:val="none" w:color="auto"/>
              </w:rPr>
              <w:t>污染影响型敏感程度分级表</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7"/>
              <w:gridCol w:w="7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07" w:type="pct"/>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敏感程度</w:t>
                  </w:r>
                </w:p>
              </w:tc>
              <w:tc>
                <w:tcPr>
                  <w:tcW w:w="3892"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判别依据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107" w:type="pct"/>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敏感</w:t>
                  </w:r>
                </w:p>
              </w:tc>
              <w:tc>
                <w:tcPr>
                  <w:tcW w:w="3892" w:type="pct"/>
                  <w:tcBorders>
                    <w:top w:val="single" w:color="auto" w:sz="4" w:space="0"/>
                    <w:left w:val="nil"/>
                    <w:bottom w:val="single" w:color="auto" w:sz="4" w:space="0"/>
                    <w:right w:val="single" w:color="auto" w:sz="4" w:space="0"/>
                  </w:tcBorders>
                  <w:noWrap w:val="0"/>
                  <w:vAlign w:val="center"/>
                </w:tcPr>
                <w:p>
                  <w:pPr>
                    <w:pStyle w:val="2"/>
                    <w:spacing w:line="360" w:lineRule="auto"/>
                    <w:jc w:val="both"/>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建设项目周边存在耕地、园地、牧草地、饮用水水源地或居民区、学校、医院、疗养院、养老院等土壤环境敏感目标的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trPr>
              <w:tc>
                <w:tcPr>
                  <w:tcW w:w="1107" w:type="pct"/>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较敏感</w:t>
                  </w:r>
                </w:p>
              </w:tc>
              <w:tc>
                <w:tcPr>
                  <w:tcW w:w="3892"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建设项目周边存在其他土壤环境敏感目标的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1107" w:type="pct"/>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不敏感</w:t>
                  </w:r>
                </w:p>
              </w:tc>
              <w:tc>
                <w:tcPr>
                  <w:tcW w:w="3892"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其他情况</w:t>
                  </w:r>
                </w:p>
              </w:tc>
            </w:tr>
          </w:tbl>
          <w:p>
            <w:pPr>
              <w:spacing w:line="360" w:lineRule="auto"/>
              <w:jc w:val="center"/>
              <w:rPr>
                <w:rFonts w:hint="default" w:ascii="Times New Roman" w:hAnsi="Times New Roman" w:cs="Times New Roman"/>
                <w:b/>
                <w:kern w:val="0"/>
                <w:sz w:val="24"/>
                <w:u w:val="none" w:color="auto"/>
              </w:rPr>
            </w:pPr>
            <w:r>
              <w:rPr>
                <w:rFonts w:hint="default" w:ascii="Times New Roman" w:hAnsi="Times New Roman" w:cs="Times New Roman"/>
                <w:kern w:val="0"/>
                <w:szCs w:val="21"/>
                <w:u w:val="none" w:color="auto"/>
              </w:rPr>
              <mc:AlternateContent>
                <mc:Choice Requires="wps">
                  <w:drawing>
                    <wp:anchor distT="0" distB="0" distL="114300" distR="114300" simplePos="0" relativeHeight="297903104" behindDoc="0" locked="0" layoutInCell="1" allowOverlap="1">
                      <wp:simplePos x="0" y="0"/>
                      <wp:positionH relativeFrom="column">
                        <wp:posOffset>226060</wp:posOffset>
                      </wp:positionH>
                      <wp:positionV relativeFrom="paragraph">
                        <wp:posOffset>270510</wp:posOffset>
                      </wp:positionV>
                      <wp:extent cx="563245" cy="4889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63525" cy="488950"/>
                              </a:xfrm>
                              <a:prstGeom prst="rect">
                                <a:avLst/>
                              </a:prstGeom>
                              <a:noFill/>
                              <a:ln w="6350">
                                <a:noFill/>
                              </a:ln>
                              <a:effectLst/>
                            </wps:spPr>
                            <wps:txbx>
                              <w:txbxContent>
                                <w:p>
                                  <w:r>
                                    <w:rPr>
                                      <w:rFonts w:hint="eastAsia"/>
                                    </w:rPr>
                                    <w:t>项目</w:t>
                                  </w:r>
                                </w:p>
                                <w:p>
                                  <w:r>
                                    <w:rPr>
                                      <w:rFonts w:hint="eastAsia"/>
                                    </w:rPr>
                                    <w:t>类别</w:t>
                                  </w:r>
                                </w:p>
                                <w:p>
                                  <w:pPr>
                                    <w:ind w:firstLine="315" w:firstLineChars="150"/>
                                  </w:pPr>
                                  <w:r>
                                    <w:rPr>
                                      <w:rFonts w:hint="eastAsia"/>
                                    </w:rPr>
                                    <w:t>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pt;margin-top:21.3pt;height:38.5pt;width:44.35pt;z-index:297903104;mso-width-relative:page;mso-height-relative:page;" filled="f" stroked="f" coordsize="21600,21600" o:gfxdata="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AwR+HbAAAACQEAAA8AAAAAAAAAAQAgAAAA&#10;IgAAAGRycy9kb3ducmV2LnhtbFBLAQIUABQAAAAIAIdO4kBiJxl9QQIAAHMEAAAOAAAAAAAAAAEA&#10;IAAAACoBAABkcnMvZTJvRG9jLnhtbFBLBQYAAAAABgAGAFkBAADdBQAAAAA=&#10;">
                      <v:fill on="f" focussize="0,0"/>
                      <v:stroke on="f" weight="0.5pt"/>
                      <v:imagedata o:title=""/>
                      <o:lock v:ext="edit" aspectratio="f"/>
                      <v:textbox>
                        <w:txbxContent>
                          <w:p>
                            <w:r>
                              <w:rPr>
                                <w:rFonts w:hint="eastAsia"/>
                              </w:rPr>
                              <w:t>项目</w:t>
                            </w:r>
                          </w:p>
                          <w:p>
                            <w:r>
                              <w:rPr>
                                <w:rFonts w:hint="eastAsia"/>
                              </w:rPr>
                              <w:t>类别</w:t>
                            </w:r>
                          </w:p>
                          <w:p>
                            <w:pPr>
                              <w:ind w:firstLine="315" w:firstLineChars="150"/>
                            </w:pPr>
                            <w:r>
                              <w:rPr>
                                <w:rFonts w:hint="eastAsia"/>
                              </w:rPr>
                              <w:t>别</w:t>
                            </w:r>
                          </w:p>
                        </w:txbxContent>
                      </v:textbox>
                    </v:shape>
                  </w:pict>
                </mc:Fallback>
              </mc:AlternateContent>
            </w:r>
            <w:r>
              <w:rPr>
                <w:rFonts w:hint="default" w:ascii="Times New Roman" w:hAnsi="Times New Roman" w:cs="Times New Roman"/>
                <w:b/>
                <w:kern w:val="0"/>
                <w:sz w:val="24"/>
                <w:u w:val="none" w:color="auto"/>
              </w:rPr>
              <w:t>表7-</w:t>
            </w:r>
            <w:r>
              <w:rPr>
                <w:rFonts w:hint="eastAsia" w:ascii="Times New Roman" w:hAnsi="Times New Roman" w:cs="Times New Roman"/>
                <w:b/>
                <w:kern w:val="0"/>
                <w:sz w:val="24"/>
                <w:u w:val="none" w:color="auto"/>
                <w:lang w:val="en-US" w:eastAsia="zh-CN"/>
              </w:rPr>
              <w:t>1</w:t>
            </w:r>
            <w:r>
              <w:rPr>
                <w:rFonts w:hint="eastAsia" w:cs="Times New Roman"/>
                <w:b/>
                <w:kern w:val="0"/>
                <w:sz w:val="24"/>
                <w:u w:val="none" w:color="auto"/>
                <w:lang w:val="en-US" w:eastAsia="zh-CN"/>
              </w:rPr>
              <w:t>0</w:t>
            </w:r>
            <w:r>
              <w:rPr>
                <w:rFonts w:hint="default" w:ascii="Times New Roman" w:hAnsi="Times New Roman" w:cs="Times New Roman"/>
                <w:b/>
                <w:kern w:val="0"/>
                <w:sz w:val="24"/>
                <w:u w:val="none" w:color="auto"/>
              </w:rPr>
              <w:t>污染影响型评价工作等级划分表</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734"/>
              <w:gridCol w:w="906"/>
              <w:gridCol w:w="906"/>
              <w:gridCol w:w="906"/>
              <w:gridCol w:w="906"/>
              <w:gridCol w:w="906"/>
              <w:gridCol w:w="906"/>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pct"/>
                  <w:vMerge w:val="restart"/>
                  <w:tcBorders>
                    <w:top w:val="single" w:color="auto" w:sz="4" w:space="0"/>
                    <w:left w:val="single" w:color="auto" w:sz="4" w:space="0"/>
                    <w:bottom w:val="single" w:color="auto" w:sz="4" w:space="0"/>
                    <w:right w:val="single" w:color="auto" w:sz="4" w:space="0"/>
                    <w:tl2br w:val="single" w:color="auto" w:sz="4" w:space="0"/>
                  </w:tcBorders>
                  <w:noWrap w:val="0"/>
                  <w:vAlign w:val="center"/>
                </w:tcPr>
                <w:p>
                  <w:pPr>
                    <w:pStyle w:val="2"/>
                    <w:spacing w:after="0"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mc:AlternateContent>
                      <mc:Choice Requires="wps">
                        <w:drawing>
                          <wp:anchor distT="0" distB="0" distL="114300" distR="114300" simplePos="0" relativeHeight="297904128" behindDoc="0" locked="0" layoutInCell="1" allowOverlap="1">
                            <wp:simplePos x="0" y="0"/>
                            <wp:positionH relativeFrom="column">
                              <wp:posOffset>-114300</wp:posOffset>
                            </wp:positionH>
                            <wp:positionV relativeFrom="paragraph">
                              <wp:posOffset>304165</wp:posOffset>
                            </wp:positionV>
                            <wp:extent cx="563245" cy="48895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563245" cy="488950"/>
                                    </a:xfrm>
                                    <a:prstGeom prst="rect">
                                      <a:avLst/>
                                    </a:prstGeom>
                                    <a:noFill/>
                                    <a:ln w="6350">
                                      <a:noFill/>
                                    </a:ln>
                                    <a:effectLst/>
                                  </wps:spPr>
                                  <wps:txbx>
                                    <w:txbxContent>
                                      <w:p>
                                        <w:r>
                                          <w:rPr>
                                            <w:rFonts w:hint="eastAsia"/>
                                          </w:rPr>
                                          <w:t>敏感</w:t>
                                        </w:r>
                                      </w:p>
                                      <w:p>
                                        <w:r>
                                          <w:rPr>
                                            <w:rFonts w:hint="eastAsia"/>
                                          </w:rPr>
                                          <w:t>程度</w:t>
                                        </w:r>
                                      </w:p>
                                      <w:p>
                                        <w:pPr>
                                          <w:ind w:firstLine="315" w:firstLineChars="150"/>
                                        </w:pPr>
                                        <w:r>
                                          <w:rPr>
                                            <w:rFonts w:hint="eastAsia"/>
                                          </w:rPr>
                                          <w:t>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pt;margin-top:23.95pt;height:38.5pt;width:44.35pt;z-index:297904128;mso-width-relative:page;mso-height-relative:page;" filled="f" stroked="f" coordsize="21600,21600" o:gfxdata="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TVg//aAAAACQEAAA8AAAAAAAAAAQAgAAAA&#10;IgAAAGRycy9kb3ducmV2LnhtbFBLAQIUABQAAAAIAIdO4kAKh3vVQgIAAHcEAAAOAAAAAAAAAAEA&#10;IAAAACkBAABkcnMvZTJvRG9jLnhtbFBLBQYAAAAABgAGAFkBAADdBQAAAAA=&#10;">
                            <v:fill on="f" focussize="0,0"/>
                            <v:stroke on="f" weight="0.5pt"/>
                            <v:imagedata o:title=""/>
                            <o:lock v:ext="edit" aspectratio="f"/>
                            <v:textbox>
                              <w:txbxContent>
                                <w:p>
                                  <w:r>
                                    <w:rPr>
                                      <w:rFonts w:hint="eastAsia"/>
                                    </w:rPr>
                                    <w:t>敏感</w:t>
                                  </w:r>
                                </w:p>
                                <w:p>
                                  <w:r>
                                    <w:rPr>
                                      <w:rFonts w:hint="eastAsia"/>
                                    </w:rPr>
                                    <w:t>程度</w:t>
                                  </w:r>
                                </w:p>
                                <w:p>
                                  <w:pPr>
                                    <w:ind w:firstLine="315" w:firstLineChars="150"/>
                                  </w:pPr>
                                  <w:r>
                                    <w:rPr>
                                      <w:rFonts w:hint="eastAsia"/>
                                    </w:rPr>
                                    <w:t>别</w:t>
                                  </w:r>
                                </w:p>
                              </w:txbxContent>
                            </v:textbox>
                          </v:shape>
                        </w:pict>
                      </mc:Fallback>
                    </mc:AlternateContent>
                  </w:r>
                </w:p>
              </w:tc>
              <w:tc>
                <w:tcPr>
                  <w:tcW w:w="1404" w:type="pct"/>
                  <w:gridSpan w:val="3"/>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I</w:t>
                  </w:r>
                  <w:r>
                    <w:rPr>
                      <w:rFonts w:hint="default" w:ascii="Times New Roman" w:hAnsi="Times New Roman" w:cs="Times New Roman"/>
                      <w:sz w:val="22"/>
                      <w:szCs w:val="22"/>
                      <w:u w:val="none" w:color="auto"/>
                    </w:rPr>
                    <w:t>类</w:t>
                  </w:r>
                </w:p>
              </w:tc>
              <w:tc>
                <w:tcPr>
                  <w:tcW w:w="1500" w:type="pct"/>
                  <w:gridSpan w:val="3"/>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II</w:t>
                  </w:r>
                  <w:r>
                    <w:rPr>
                      <w:rFonts w:hint="default" w:ascii="Times New Roman" w:hAnsi="Times New Roman" w:cs="Times New Roman"/>
                      <w:sz w:val="22"/>
                      <w:szCs w:val="22"/>
                      <w:u w:val="none" w:color="auto"/>
                    </w:rPr>
                    <w:t>类</w:t>
                  </w:r>
                </w:p>
              </w:tc>
              <w:tc>
                <w:tcPr>
                  <w:tcW w:w="1501" w:type="pct"/>
                  <w:gridSpan w:val="3"/>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III</w:t>
                  </w:r>
                  <w:r>
                    <w:rPr>
                      <w:rFonts w:hint="default" w:ascii="Times New Roman" w:hAnsi="Times New Roman" w:cs="Times New Roman"/>
                      <w:sz w:val="22"/>
                      <w:szCs w:val="22"/>
                      <w:u w:val="none" w:color="auto"/>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Times New Roman" w:hAnsi="Times New Roman" w:cs="Times New Roman"/>
                      <w:kern w:val="0"/>
                      <w:sz w:val="22"/>
                      <w:szCs w:val="22"/>
                      <w:u w:val="none" w:color="auto"/>
                    </w:rPr>
                  </w:pPr>
                </w:p>
              </w:tc>
              <w:tc>
                <w:tcPr>
                  <w:tcW w:w="405"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中</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小</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中</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小</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中</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敏感</w:t>
                  </w:r>
                </w:p>
              </w:tc>
              <w:tc>
                <w:tcPr>
                  <w:tcW w:w="405"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较敏感</w:t>
                  </w:r>
                </w:p>
              </w:tc>
              <w:tc>
                <w:tcPr>
                  <w:tcW w:w="405"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不敏感</w:t>
                  </w:r>
                </w:p>
              </w:tc>
              <w:tc>
                <w:tcPr>
                  <w:tcW w:w="405"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w:t>
                  </w:r>
                </w:p>
              </w:tc>
              <w:tc>
                <w:tcPr>
                  <w:tcW w:w="500" w:type="pct"/>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jc w:val="left"/>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注：“--”表示可不开展土壤环境影响评价工作。</w:t>
                  </w:r>
                </w:p>
              </w:tc>
            </w:tr>
          </w:tbl>
          <w:p>
            <w:pPr>
              <w:keepNext w:val="0"/>
              <w:keepLines w:val="0"/>
              <w:pageBreakBefore w:val="0"/>
              <w:widowControl w:val="0"/>
              <w:kinsoku/>
              <w:wordWrap/>
              <w:overflowPunct/>
              <w:topLinePunct w:val="0"/>
              <w:autoSpaceDE/>
              <w:autoSpaceDN/>
              <w:bidi w:val="0"/>
              <w:adjustRightInd/>
              <w:snapToGrid/>
              <w:spacing w:line="360" w:lineRule="auto"/>
              <w:ind w:firstLine="478" w:firstLineChars="200"/>
              <w:textAlignment w:val="auto"/>
              <w:rPr>
                <w:rFonts w:hint="eastAsia" w:cs="Times New Roman"/>
                <w:sz w:val="24"/>
                <w:szCs w:val="24"/>
                <w:u w:val="none" w:color="auto"/>
                <w:lang w:val="en-US" w:eastAsia="zh-CN"/>
              </w:rPr>
            </w:pPr>
            <w:r>
              <w:rPr>
                <w:rFonts w:hint="eastAsia"/>
                <w:bCs/>
                <w:color w:val="auto"/>
                <w:spacing w:val="4"/>
                <w:sz w:val="24"/>
                <w:u w:val="none" w:color="auto"/>
                <w:lang w:val="en-US" w:eastAsia="zh-CN"/>
              </w:rPr>
              <w:t>项目位于</w:t>
            </w:r>
            <w:r>
              <w:rPr>
                <w:rFonts w:hint="eastAsia" w:cs="Times New Roman"/>
                <w:sz w:val="24"/>
                <w:u w:val="none" w:color="auto"/>
                <w:lang w:eastAsia="zh-CN"/>
              </w:rPr>
              <w:t>湘阴县石塘乡高山村红星组，</w:t>
            </w:r>
            <w:r>
              <w:rPr>
                <w:rFonts w:hint="eastAsia" w:cs="Times New Roman"/>
                <w:sz w:val="24"/>
                <w:u w:val="none" w:color="auto"/>
                <w:lang w:val="en-US" w:eastAsia="zh-CN"/>
              </w:rPr>
              <w:t>周边100m范围内</w:t>
            </w:r>
            <w:r>
              <w:rPr>
                <w:rFonts w:hint="eastAsia" w:cs="Times New Roman"/>
                <w:sz w:val="24"/>
                <w:u w:val="none" w:color="auto"/>
                <w:lang w:eastAsia="zh-CN"/>
              </w:rPr>
              <w:t>无耕地、园地、饮用水源保护区、学校、医院等土壤敏感目标</w:t>
            </w:r>
            <w:r>
              <w:rPr>
                <w:rFonts w:hint="default" w:ascii="Times New Roman" w:hAnsi="Times New Roman" w:cs="Times New Roman"/>
                <w:kern w:val="0"/>
                <w:sz w:val="24"/>
                <w:u w:val="none" w:color="auto"/>
              </w:rPr>
              <w:t>，</w:t>
            </w:r>
            <w:r>
              <w:rPr>
                <w:rFonts w:hint="eastAsia" w:cs="Times New Roman"/>
                <w:kern w:val="0"/>
                <w:sz w:val="24"/>
                <w:u w:val="none" w:color="auto"/>
                <w:lang w:val="en-US" w:eastAsia="zh-CN"/>
              </w:rPr>
              <w:t>但存在其他土壤环境敏感目标（居民散户），</w:t>
            </w:r>
            <w:r>
              <w:rPr>
                <w:rFonts w:hint="default" w:ascii="Times New Roman" w:hAnsi="Times New Roman" w:cs="Times New Roman"/>
                <w:kern w:val="0"/>
                <w:sz w:val="24"/>
                <w:u w:val="none" w:color="auto"/>
              </w:rPr>
              <w:t>因此土壤环境敏感程度为</w:t>
            </w:r>
            <w:r>
              <w:rPr>
                <w:rFonts w:hint="eastAsia" w:cs="Times New Roman"/>
                <w:kern w:val="0"/>
                <w:sz w:val="24"/>
                <w:u w:val="none" w:color="auto"/>
                <w:lang w:eastAsia="zh-CN"/>
              </w:rPr>
              <w:t>较</w:t>
            </w:r>
            <w:r>
              <w:rPr>
                <w:rFonts w:hint="default" w:ascii="Times New Roman" w:hAnsi="Times New Roman" w:cs="Times New Roman"/>
                <w:kern w:val="0"/>
                <w:sz w:val="24"/>
                <w:u w:val="none" w:color="auto"/>
              </w:rPr>
              <w:t>敏感，</w:t>
            </w:r>
            <w:r>
              <w:rPr>
                <w:rFonts w:hint="eastAsia" w:cs="Times New Roman"/>
                <w:kern w:val="0"/>
                <w:sz w:val="24"/>
                <w:u w:val="none" w:color="auto"/>
                <w:lang w:eastAsia="zh-CN"/>
              </w:rPr>
              <w:t>对照等级划分表可知，</w:t>
            </w:r>
            <w:r>
              <w:rPr>
                <w:rFonts w:hint="eastAsia"/>
                <w:bCs/>
                <w:color w:val="auto"/>
                <w:spacing w:val="4"/>
                <w:sz w:val="24"/>
                <w:u w:val="none" w:color="auto"/>
                <w:lang w:val="en-US" w:eastAsia="zh-CN"/>
              </w:rPr>
              <w:t>本项目可不开展土壤环境影响评价工作。</w:t>
            </w:r>
          </w:p>
          <w:p>
            <w:pPr>
              <w:pStyle w:val="182"/>
              <w:spacing w:line="360" w:lineRule="auto"/>
              <w:rPr>
                <w:rFonts w:hint="default" w:ascii="Times New Roman" w:hAnsi="Times New Roman" w:cs="Times New Roman"/>
                <w:sz w:val="24"/>
                <w:szCs w:val="24"/>
                <w:u w:val="single" w:color="auto"/>
              </w:rPr>
            </w:pPr>
            <w:r>
              <w:rPr>
                <w:rFonts w:hint="eastAsia" w:cs="Times New Roman"/>
                <w:sz w:val="24"/>
                <w:szCs w:val="24"/>
                <w:u w:val="single" w:color="auto"/>
                <w:lang w:val="en-US" w:eastAsia="zh-CN"/>
              </w:rPr>
              <w:t>6</w:t>
            </w:r>
            <w:r>
              <w:rPr>
                <w:rFonts w:hint="default" w:ascii="Times New Roman" w:hAnsi="Times New Roman" w:cs="Times New Roman"/>
                <w:sz w:val="24"/>
                <w:szCs w:val="24"/>
                <w:u w:val="single" w:color="auto"/>
              </w:rPr>
              <w:t>、环境风险分析及防范措施</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eastAsia" w:cs="Times New Roman"/>
                <w:b/>
                <w:bCs/>
                <w:color w:val="auto"/>
                <w:sz w:val="24"/>
                <w:szCs w:val="24"/>
                <w:u w:val="single" w:color="auto"/>
                <w:lang w:eastAsia="zh-CN"/>
              </w:rPr>
            </w:pPr>
            <w:r>
              <w:rPr>
                <w:rFonts w:hint="default" w:ascii="Times New Roman" w:hAnsi="Times New Roman" w:cs="Times New Roman"/>
                <w:color w:val="auto"/>
                <w:sz w:val="24"/>
                <w:szCs w:val="24"/>
                <w:u w:val="single" w:color="auto"/>
                <w:lang w:val="en-US" w:eastAsia="zh-CN"/>
              </w:rPr>
              <w:t>本次环境风险评价采用《建设项目环境风险评价技术导则》（HJ169-2018）中要求对建设项目的环境风险进行分析、计算和评估，提出环境风险预防、控制、减缓措施，明确环境风险监控及应急建议要求，为建设项目环境风险防控提供科学依据。</w:t>
            </w:r>
          </w:p>
          <w:p>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default" w:ascii="Times New Roman" w:hAnsi="Times New Roman" w:cs="Times New Roman"/>
                <w:b/>
                <w:bCs/>
                <w:color w:val="auto"/>
                <w:sz w:val="24"/>
                <w:szCs w:val="24"/>
                <w:u w:val="single" w:color="auto"/>
                <w:lang w:eastAsia="zh-CN"/>
              </w:rPr>
            </w:pPr>
            <w:r>
              <w:rPr>
                <w:rFonts w:hint="eastAsia" w:cs="Times New Roman"/>
                <w:b/>
                <w:bCs/>
                <w:color w:val="auto"/>
                <w:sz w:val="24"/>
                <w:szCs w:val="24"/>
                <w:u w:val="single" w:color="auto"/>
                <w:lang w:eastAsia="zh-CN"/>
              </w:rPr>
              <w:t>（</w:t>
            </w:r>
            <w:r>
              <w:rPr>
                <w:rFonts w:hint="eastAsia" w:cs="Times New Roman"/>
                <w:b/>
                <w:bCs/>
                <w:color w:val="auto"/>
                <w:sz w:val="24"/>
                <w:szCs w:val="24"/>
                <w:u w:val="single" w:color="auto"/>
                <w:lang w:val="en-US" w:eastAsia="zh-CN"/>
              </w:rPr>
              <w:t>1</w:t>
            </w:r>
            <w:r>
              <w:rPr>
                <w:rFonts w:hint="eastAsia" w:cs="Times New Roman"/>
                <w:b/>
                <w:bCs/>
                <w:color w:val="auto"/>
                <w:sz w:val="24"/>
                <w:szCs w:val="24"/>
                <w:u w:val="single" w:color="auto"/>
                <w:lang w:eastAsia="zh-CN"/>
              </w:rPr>
              <w:t>）</w:t>
            </w:r>
            <w:r>
              <w:rPr>
                <w:rFonts w:hint="default" w:ascii="Times New Roman" w:hAnsi="Times New Roman" w:cs="Times New Roman"/>
                <w:b/>
                <w:bCs/>
                <w:color w:val="auto"/>
                <w:sz w:val="24"/>
                <w:szCs w:val="24"/>
                <w:u w:val="single" w:color="auto"/>
                <w:lang w:eastAsia="zh-CN"/>
              </w:rPr>
              <w:t>风险识别</w:t>
            </w:r>
          </w:p>
          <w:p>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cs="Times New Roman"/>
                <w:b/>
                <w:bCs/>
                <w:color w:val="auto"/>
                <w:sz w:val="24"/>
                <w:szCs w:val="24"/>
                <w:u w:val="single" w:color="auto"/>
                <w:lang w:eastAsia="zh-CN"/>
              </w:rPr>
            </w:pPr>
            <w:r>
              <w:rPr>
                <w:rFonts w:hint="default" w:ascii="Times New Roman" w:hAnsi="Times New Roman" w:eastAsia="宋体" w:cs="Times New Roman"/>
                <w:color w:val="auto"/>
                <w:kern w:val="0"/>
                <w:sz w:val="24"/>
                <w:szCs w:val="24"/>
                <w:u w:val="single" w:color="auto"/>
                <w:lang w:val="en-US" w:eastAsia="zh-CN" w:bidi="ar"/>
              </w:rPr>
              <w:t>根据</w:t>
            </w:r>
            <w:r>
              <w:rPr>
                <w:rFonts w:hint="default" w:ascii="Times New Roman" w:hAnsi="Times New Roman" w:cs="Times New Roman"/>
                <w:b w:val="0"/>
                <w:bCs w:val="0"/>
                <w:color w:val="auto"/>
                <w:sz w:val="24"/>
                <w:szCs w:val="24"/>
                <w:u w:val="single" w:color="auto"/>
                <w:lang w:eastAsia="zh-CN"/>
              </w:rPr>
              <w:t>《建设项目环境风险评价技术导则》(HJ/T169-2018)中</w:t>
            </w:r>
            <w:r>
              <w:rPr>
                <w:rFonts w:hint="default" w:ascii="Times New Roman" w:hAnsi="Times New Roman" w:eastAsia="宋体" w:cs="Times New Roman"/>
                <w:color w:val="auto"/>
                <w:kern w:val="0"/>
                <w:sz w:val="24"/>
                <w:szCs w:val="24"/>
                <w:u w:val="single" w:color="auto"/>
                <w:lang w:val="en-US" w:eastAsia="zh-CN" w:bidi="ar"/>
              </w:rPr>
              <w:t>附录</w:t>
            </w:r>
            <w:r>
              <w:rPr>
                <w:rFonts w:hint="default" w:ascii="Times New Roman" w:hAnsi="Times New Roman" w:eastAsia="TimesNewRomanPSMT" w:cs="Times New Roman"/>
                <w:color w:val="auto"/>
                <w:kern w:val="0"/>
                <w:sz w:val="24"/>
                <w:szCs w:val="24"/>
                <w:u w:val="single" w:color="auto"/>
                <w:lang w:val="en-US" w:eastAsia="zh-CN" w:bidi="ar"/>
              </w:rPr>
              <w:t>B.1</w:t>
            </w:r>
            <w:r>
              <w:rPr>
                <w:rFonts w:hint="default" w:ascii="Times New Roman" w:hAnsi="Times New Roman" w:eastAsia="宋体" w:cs="Times New Roman"/>
                <w:color w:val="auto"/>
                <w:kern w:val="0"/>
                <w:sz w:val="24"/>
                <w:szCs w:val="24"/>
                <w:u w:val="single" w:color="auto"/>
                <w:lang w:val="en-US" w:eastAsia="zh-CN" w:bidi="ar"/>
              </w:rPr>
              <w:t>和</w:t>
            </w:r>
            <w:r>
              <w:rPr>
                <w:rFonts w:hint="default" w:ascii="Times New Roman" w:hAnsi="Times New Roman" w:eastAsia="TimesNewRomanPSMT" w:cs="Times New Roman"/>
                <w:color w:val="auto"/>
                <w:kern w:val="0"/>
                <w:sz w:val="24"/>
                <w:szCs w:val="24"/>
                <w:u w:val="single" w:color="auto"/>
                <w:lang w:val="en-US" w:eastAsia="zh-CN" w:bidi="ar"/>
              </w:rPr>
              <w:t>B.2</w:t>
            </w:r>
            <w:r>
              <w:rPr>
                <w:rFonts w:hint="default" w:ascii="Times New Roman" w:hAnsi="Times New Roman" w:eastAsia="宋体" w:cs="Times New Roman"/>
                <w:color w:val="auto"/>
                <w:kern w:val="0"/>
                <w:sz w:val="24"/>
                <w:szCs w:val="24"/>
                <w:u w:val="single" w:color="auto"/>
                <w:lang w:val="en-US" w:eastAsia="zh-CN" w:bidi="ar"/>
              </w:rPr>
              <w:t>，本项目生产运营过程中无附录中物质。故</w:t>
            </w:r>
            <w:r>
              <w:rPr>
                <w:rFonts w:hint="default" w:ascii="Times New Roman" w:hAnsi="Times New Roman" w:cs="Times New Roman"/>
                <w:color w:val="auto"/>
                <w:sz w:val="24"/>
                <w:szCs w:val="24"/>
                <w:u w:val="single" w:color="auto"/>
              </w:rPr>
              <w:t>可知，项目</w:t>
            </w:r>
            <w:r>
              <w:rPr>
                <w:rFonts w:hint="default" w:ascii="Times New Roman" w:hAnsi="Times New Roman" w:cs="Times New Roman"/>
                <w:color w:val="auto"/>
                <w:sz w:val="24"/>
                <w:szCs w:val="24"/>
                <w:u w:val="single" w:color="auto"/>
                <w:lang w:val="en-US" w:eastAsia="zh-CN"/>
              </w:rPr>
              <w:t>qi/Qi=0</w:t>
            </w:r>
            <w:r>
              <w:rPr>
                <w:rFonts w:hint="default" w:ascii="Times New Roman" w:hAnsi="Times New Roman" w:cs="Times New Roman"/>
                <w:color w:val="auto"/>
                <w:sz w:val="24"/>
                <w:szCs w:val="24"/>
                <w:u w:val="single" w:color="auto"/>
              </w:rPr>
              <w:t>＜1</w:t>
            </w:r>
            <w:r>
              <w:rPr>
                <w:rFonts w:hint="default" w:ascii="Times New Roman" w:hAnsi="Times New Roman" w:cs="Times New Roman"/>
                <w:b w:val="0"/>
                <w:bCs w:val="0"/>
                <w:color w:val="auto"/>
                <w:sz w:val="24"/>
                <w:szCs w:val="24"/>
                <w:u w:val="single" w:color="auto"/>
                <w:lang w:eastAsia="zh-CN"/>
              </w:rPr>
              <w:t>。因此可直接判断企业环境风险潜势为Ⅰ。</w:t>
            </w:r>
          </w:p>
          <w:p>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default" w:ascii="Times New Roman" w:hAnsi="Times New Roman" w:cs="Times New Roman"/>
                <w:b/>
                <w:bCs/>
                <w:color w:val="auto"/>
                <w:sz w:val="24"/>
                <w:szCs w:val="24"/>
                <w:u w:val="single" w:color="auto"/>
                <w:lang w:eastAsia="zh-CN"/>
              </w:rPr>
            </w:pPr>
            <w:r>
              <w:rPr>
                <w:rFonts w:hint="eastAsia" w:cs="Times New Roman"/>
                <w:b/>
                <w:bCs/>
                <w:color w:val="auto"/>
                <w:sz w:val="24"/>
                <w:szCs w:val="24"/>
                <w:u w:val="single" w:color="auto"/>
                <w:lang w:eastAsia="zh-CN"/>
              </w:rPr>
              <w:t>（</w:t>
            </w:r>
            <w:r>
              <w:rPr>
                <w:rFonts w:hint="eastAsia" w:cs="Times New Roman"/>
                <w:b/>
                <w:bCs/>
                <w:color w:val="auto"/>
                <w:sz w:val="24"/>
                <w:szCs w:val="24"/>
                <w:u w:val="single" w:color="auto"/>
                <w:lang w:val="en-US" w:eastAsia="zh-CN"/>
              </w:rPr>
              <w:t>2</w:t>
            </w:r>
            <w:r>
              <w:rPr>
                <w:rFonts w:hint="eastAsia" w:cs="Times New Roman"/>
                <w:b/>
                <w:bCs/>
                <w:color w:val="auto"/>
                <w:sz w:val="24"/>
                <w:szCs w:val="24"/>
                <w:u w:val="single" w:color="auto"/>
                <w:lang w:eastAsia="zh-CN"/>
              </w:rPr>
              <w:t>）</w:t>
            </w:r>
            <w:r>
              <w:rPr>
                <w:rFonts w:hint="default" w:ascii="Times New Roman" w:hAnsi="Times New Roman" w:cs="Times New Roman"/>
                <w:b/>
                <w:bCs/>
                <w:color w:val="auto"/>
                <w:sz w:val="24"/>
                <w:szCs w:val="24"/>
                <w:u w:val="single" w:color="auto"/>
                <w:lang w:eastAsia="zh-CN"/>
              </w:rPr>
              <w:t>评价等级</w:t>
            </w:r>
          </w:p>
          <w:p>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default" w:ascii="Times New Roman" w:hAnsi="Times New Roman" w:cs="Times New Roman"/>
                <w:b w:val="0"/>
                <w:bCs w:val="0"/>
                <w:color w:val="auto"/>
                <w:sz w:val="24"/>
                <w:szCs w:val="24"/>
                <w:u w:val="single" w:color="auto"/>
                <w:lang w:eastAsia="zh-CN"/>
              </w:rPr>
            </w:pPr>
            <w:r>
              <w:rPr>
                <w:rFonts w:hint="default" w:ascii="Times New Roman" w:hAnsi="Times New Roman" w:cs="Times New Roman"/>
                <w:b w:val="0"/>
                <w:bCs w:val="0"/>
                <w:color w:val="auto"/>
                <w:sz w:val="24"/>
                <w:szCs w:val="24"/>
                <w:u w:val="single" w:color="auto"/>
                <w:lang w:eastAsia="zh-CN"/>
              </w:rPr>
              <w:t>企业环境风险潜势为</w:t>
            </w:r>
            <w:r>
              <w:rPr>
                <w:rFonts w:hint="default" w:ascii="Times New Roman" w:hAnsi="Times New Roman" w:cs="Times New Roman"/>
                <w:b w:val="0"/>
                <w:bCs w:val="0"/>
                <w:color w:val="auto"/>
                <w:sz w:val="24"/>
                <w:szCs w:val="24"/>
                <w:u w:val="single" w:color="auto"/>
                <w:lang w:eastAsia="zh-CN"/>
              </w:rPr>
              <w:fldChar w:fldCharType="begin"/>
            </w:r>
            <w:r>
              <w:rPr>
                <w:rFonts w:hint="default" w:ascii="Times New Roman" w:hAnsi="Times New Roman" w:cs="Times New Roman"/>
                <w:b w:val="0"/>
                <w:bCs w:val="0"/>
                <w:color w:val="auto"/>
                <w:sz w:val="24"/>
                <w:szCs w:val="24"/>
                <w:u w:val="single" w:color="auto"/>
                <w:lang w:eastAsia="zh-CN"/>
              </w:rPr>
              <w:instrText xml:space="preserve"> = 1 \* ROMAN \* MERGEFORMAT </w:instrText>
            </w:r>
            <w:r>
              <w:rPr>
                <w:rFonts w:hint="default" w:ascii="Times New Roman" w:hAnsi="Times New Roman" w:cs="Times New Roman"/>
                <w:b w:val="0"/>
                <w:bCs w:val="0"/>
                <w:color w:val="auto"/>
                <w:sz w:val="24"/>
                <w:szCs w:val="24"/>
                <w:u w:val="single" w:color="auto"/>
                <w:lang w:eastAsia="zh-CN"/>
              </w:rPr>
              <w:fldChar w:fldCharType="separate"/>
            </w:r>
            <w:r>
              <w:rPr>
                <w:rFonts w:hint="default" w:ascii="Times New Roman" w:hAnsi="Times New Roman" w:cs="Times New Roman"/>
                <w:u w:val="single" w:color="auto"/>
              </w:rPr>
              <w:t>I</w:t>
            </w:r>
            <w:r>
              <w:rPr>
                <w:rFonts w:hint="default" w:ascii="Times New Roman" w:hAnsi="Times New Roman" w:cs="Times New Roman"/>
                <w:b w:val="0"/>
                <w:bCs w:val="0"/>
                <w:color w:val="auto"/>
                <w:sz w:val="24"/>
                <w:szCs w:val="24"/>
                <w:u w:val="single" w:color="auto"/>
                <w:lang w:eastAsia="zh-CN"/>
              </w:rPr>
              <w:fldChar w:fldCharType="end"/>
            </w:r>
            <w:r>
              <w:rPr>
                <w:rFonts w:hint="default" w:ascii="Times New Roman" w:hAnsi="Times New Roman" w:cs="Times New Roman"/>
                <w:b w:val="0"/>
                <w:bCs w:val="0"/>
                <w:color w:val="auto"/>
                <w:sz w:val="24"/>
                <w:szCs w:val="24"/>
                <w:u w:val="single" w:color="auto"/>
                <w:lang w:eastAsia="zh-CN"/>
              </w:rPr>
              <w:t>，因此确定公司环境风险评价等级为简单分析，见表7-</w:t>
            </w:r>
            <w:r>
              <w:rPr>
                <w:rFonts w:hint="eastAsia" w:cs="Times New Roman"/>
                <w:b w:val="0"/>
                <w:bCs w:val="0"/>
                <w:color w:val="auto"/>
                <w:sz w:val="24"/>
                <w:szCs w:val="24"/>
                <w:u w:val="single" w:color="auto"/>
                <w:lang w:val="en-US" w:eastAsia="zh-CN"/>
              </w:rPr>
              <w:t>11</w:t>
            </w:r>
            <w:r>
              <w:rPr>
                <w:rFonts w:hint="default" w:ascii="Times New Roman" w:hAnsi="Times New Roman" w:cs="Times New Roman"/>
                <w:b w:val="0"/>
                <w:bCs w:val="0"/>
                <w:color w:val="auto"/>
                <w:sz w:val="24"/>
                <w:szCs w:val="24"/>
                <w:u w:val="single" w:color="auto"/>
                <w:lang w:eastAsia="zh-CN"/>
              </w:rPr>
              <w:t>。</w:t>
            </w:r>
          </w:p>
          <w:p>
            <w:pPr>
              <w:adjustRightInd w:val="0"/>
              <w:snapToGrid w:val="0"/>
              <w:spacing w:line="500" w:lineRule="exact"/>
              <w:ind w:firstLine="378" w:firstLineChars="200"/>
              <w:jc w:val="center"/>
              <w:rPr>
                <w:rFonts w:hint="default" w:ascii="Times New Roman" w:hAnsi="Times New Roman" w:eastAsia="宋体" w:cs="Times New Roman"/>
                <w:b/>
                <w:color w:val="auto"/>
                <w:spacing w:val="-6"/>
                <w:sz w:val="21"/>
                <w:szCs w:val="21"/>
                <w:u w:val="single" w:color="auto"/>
              </w:rPr>
            </w:pPr>
            <w:r>
              <w:rPr>
                <w:rFonts w:hint="default" w:ascii="Times New Roman" w:hAnsi="Times New Roman" w:eastAsia="宋体" w:cs="Times New Roman"/>
                <w:b/>
                <w:color w:val="auto"/>
                <w:spacing w:val="-6"/>
                <w:sz w:val="21"/>
                <w:szCs w:val="21"/>
                <w:u w:val="single" w:color="auto"/>
              </w:rPr>
              <w:t>表7-</w:t>
            </w:r>
            <w:r>
              <w:rPr>
                <w:rFonts w:hint="eastAsia" w:cs="Times New Roman"/>
                <w:b/>
                <w:color w:val="auto"/>
                <w:spacing w:val="-6"/>
                <w:sz w:val="21"/>
                <w:szCs w:val="21"/>
                <w:u w:val="single" w:color="auto"/>
                <w:lang w:val="en-US" w:eastAsia="zh-CN"/>
              </w:rPr>
              <w:t xml:space="preserve">11 </w:t>
            </w:r>
            <w:r>
              <w:rPr>
                <w:rFonts w:hint="default" w:ascii="Times New Roman" w:hAnsi="Times New Roman" w:eastAsia="宋体" w:cs="Times New Roman"/>
                <w:b/>
                <w:color w:val="auto"/>
                <w:spacing w:val="-6"/>
                <w:sz w:val="21"/>
                <w:szCs w:val="21"/>
                <w:u w:val="single" w:color="auto"/>
              </w:rPr>
              <w:t xml:space="preserve"> 评价工作等级划分表</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46"/>
              <w:gridCol w:w="1846"/>
              <w:gridCol w:w="1846"/>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1"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color w:val="auto"/>
                      <w:sz w:val="22"/>
                      <w:szCs w:val="22"/>
                      <w:u w:val="single" w:color="auto"/>
                    </w:rPr>
                  </w:pPr>
                  <w:r>
                    <w:rPr>
                      <w:rFonts w:hint="default" w:ascii="Times New Roman" w:hAnsi="Times New Roman" w:eastAsia="宋体" w:cs="Times New Roman"/>
                      <w:color w:val="auto"/>
                      <w:sz w:val="22"/>
                      <w:szCs w:val="22"/>
                      <w:u w:val="single" w:color="auto"/>
                    </w:rPr>
                    <w:t>环境风险潜势</w:t>
                  </w:r>
                </w:p>
              </w:tc>
              <w:tc>
                <w:tcPr>
                  <w:tcW w:w="1019"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Ⅳ、Ⅳ+</w:t>
                  </w:r>
                </w:p>
              </w:tc>
              <w:tc>
                <w:tcPr>
                  <w:tcW w:w="1019"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Ⅲ</w:t>
                  </w:r>
                </w:p>
              </w:tc>
              <w:tc>
                <w:tcPr>
                  <w:tcW w:w="1019"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Ⅱ</w:t>
                  </w:r>
                </w:p>
              </w:tc>
              <w:tc>
                <w:tcPr>
                  <w:tcW w:w="1018"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1"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color w:val="auto"/>
                      <w:sz w:val="22"/>
                      <w:szCs w:val="22"/>
                      <w:u w:val="single" w:color="auto"/>
                    </w:rPr>
                  </w:pPr>
                  <w:r>
                    <w:rPr>
                      <w:rFonts w:hint="default" w:ascii="Times New Roman" w:hAnsi="Times New Roman" w:eastAsia="宋体" w:cs="Times New Roman"/>
                      <w:color w:val="auto"/>
                      <w:sz w:val="22"/>
                      <w:szCs w:val="22"/>
                      <w:u w:val="single" w:color="auto"/>
                    </w:rPr>
                    <w:t>评价工作等级</w:t>
                  </w:r>
                </w:p>
              </w:tc>
              <w:tc>
                <w:tcPr>
                  <w:tcW w:w="1019"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一</w:t>
                  </w:r>
                </w:p>
              </w:tc>
              <w:tc>
                <w:tcPr>
                  <w:tcW w:w="1019"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二</w:t>
                  </w:r>
                </w:p>
              </w:tc>
              <w:tc>
                <w:tcPr>
                  <w:tcW w:w="1019"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三</w:t>
                  </w:r>
                </w:p>
              </w:tc>
              <w:tc>
                <w:tcPr>
                  <w:tcW w:w="1018"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简单分析*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tcBorders>
                    <w:tl2br w:val="nil"/>
                    <w:tr2bl w:val="nil"/>
                  </w:tcBorders>
                  <w:noWrap w:val="0"/>
                  <w:vAlign w:val="center"/>
                </w:tcPr>
                <w:p>
                  <w:pPr>
                    <w:adjustRightInd w:val="0"/>
                    <w:snapToGrid w:val="0"/>
                    <w:spacing w:line="360" w:lineRule="auto"/>
                    <w:jc w:val="left"/>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*是相对于详细评价工作</w:t>
                  </w:r>
                </w:p>
              </w:tc>
            </w:tr>
          </w:tbl>
          <w:p>
            <w:pPr>
              <w:pStyle w:val="169"/>
              <w:spacing w:line="360" w:lineRule="auto"/>
              <w:ind w:firstLine="480"/>
              <w:rPr>
                <w:rFonts w:hint="default" w:ascii="Times New Roman" w:hAnsi="Times New Roman" w:cs="Times New Roman"/>
                <w:b/>
                <w:bCs/>
                <w:sz w:val="24"/>
                <w:szCs w:val="24"/>
                <w:u w:val="single" w:color="auto"/>
              </w:rPr>
            </w:pPr>
            <w:r>
              <w:rPr>
                <w:rFonts w:hint="eastAsia" w:cs="Times New Roman"/>
                <w:b/>
                <w:bCs/>
                <w:sz w:val="24"/>
                <w:szCs w:val="24"/>
                <w:u w:val="single" w:color="auto"/>
                <w:lang w:eastAsia="zh-CN"/>
              </w:rPr>
              <w:t>环境风险分析</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single" w:color="auto"/>
                <w:lang w:val="en-US" w:eastAsia="zh-CN" w:bidi="ar"/>
              </w:rPr>
            </w:pPr>
            <w:r>
              <w:rPr>
                <w:rFonts w:hint="eastAsia" w:ascii="Times New Roman" w:hAnsi="Times New Roman" w:eastAsia="宋体" w:cs="Times New Roman"/>
                <w:color w:val="auto"/>
                <w:kern w:val="0"/>
                <w:sz w:val="24"/>
                <w:szCs w:val="24"/>
                <w:u w:val="single" w:color="auto"/>
                <w:lang w:val="en-US" w:eastAsia="zh-CN" w:bidi="ar"/>
              </w:rPr>
              <w:t xml:space="preserve">环境风险：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single" w:color="auto"/>
                <w:lang w:val="en-US" w:eastAsia="zh-CN" w:bidi="ar"/>
              </w:rPr>
            </w:pPr>
            <w:r>
              <w:rPr>
                <w:rFonts w:hint="eastAsia" w:ascii="Times New Roman" w:hAnsi="Times New Roman" w:eastAsia="宋体" w:cs="Times New Roman"/>
                <w:color w:val="auto"/>
                <w:kern w:val="0"/>
                <w:sz w:val="24"/>
                <w:szCs w:val="24"/>
                <w:u w:val="single" w:color="auto"/>
                <w:lang w:val="en-US" w:eastAsia="zh-CN" w:bidi="ar"/>
              </w:rPr>
              <w:t>（</w:t>
            </w:r>
            <w:r>
              <w:rPr>
                <w:rFonts w:hint="default" w:ascii="Times New Roman" w:hAnsi="Times New Roman" w:eastAsia="宋体" w:cs="Times New Roman"/>
                <w:color w:val="auto"/>
                <w:kern w:val="0"/>
                <w:sz w:val="24"/>
                <w:szCs w:val="24"/>
                <w:u w:val="single" w:color="auto"/>
                <w:lang w:val="en-US" w:eastAsia="zh-CN" w:bidi="ar"/>
              </w:rPr>
              <w:t>1</w:t>
            </w:r>
            <w:r>
              <w:rPr>
                <w:rFonts w:hint="eastAsia" w:ascii="Times New Roman" w:hAnsi="Times New Roman" w:eastAsia="宋体" w:cs="Times New Roman"/>
                <w:color w:val="auto"/>
                <w:kern w:val="0"/>
                <w:sz w:val="24"/>
                <w:szCs w:val="24"/>
                <w:u w:val="single" w:color="auto"/>
                <w:lang w:val="en-US" w:eastAsia="zh-CN" w:bidi="ar"/>
              </w:rPr>
              <w:t>）项目营运期会用到</w:t>
            </w:r>
            <w:r>
              <w:rPr>
                <w:rFonts w:hint="eastAsia" w:cs="Times New Roman"/>
                <w:color w:val="auto"/>
                <w:kern w:val="0"/>
                <w:sz w:val="24"/>
                <w:szCs w:val="24"/>
                <w:u w:val="single" w:color="auto"/>
                <w:lang w:val="en-US" w:eastAsia="zh-CN" w:bidi="ar"/>
              </w:rPr>
              <w:t>白乳胶，使用桶装</w:t>
            </w:r>
            <w:r>
              <w:rPr>
                <w:rFonts w:hint="eastAsia" w:ascii="Times New Roman" w:hAnsi="Times New Roman" w:eastAsia="宋体" w:cs="Times New Roman"/>
                <w:color w:val="auto"/>
                <w:kern w:val="0"/>
                <w:sz w:val="24"/>
                <w:szCs w:val="24"/>
                <w:u w:val="single" w:color="auto"/>
                <w:lang w:val="en-US" w:eastAsia="zh-CN" w:bidi="ar"/>
              </w:rPr>
              <w:t>。如泄漏经雨水</w:t>
            </w:r>
            <w:r>
              <w:rPr>
                <w:rFonts w:hint="eastAsia" w:cs="Times New Roman"/>
                <w:color w:val="auto"/>
                <w:kern w:val="0"/>
                <w:sz w:val="24"/>
                <w:szCs w:val="24"/>
                <w:u w:val="single" w:color="auto"/>
                <w:lang w:val="en-US" w:eastAsia="zh-CN" w:bidi="ar"/>
              </w:rPr>
              <w:t>沟</w:t>
            </w:r>
            <w:r>
              <w:rPr>
                <w:rFonts w:hint="eastAsia" w:ascii="Times New Roman" w:hAnsi="Times New Roman" w:eastAsia="宋体" w:cs="Times New Roman"/>
                <w:color w:val="auto"/>
                <w:kern w:val="0"/>
                <w:sz w:val="24"/>
                <w:szCs w:val="24"/>
                <w:u w:val="single" w:color="auto"/>
                <w:lang w:val="en-US" w:eastAsia="zh-CN" w:bidi="ar"/>
              </w:rPr>
              <w:t>进入</w:t>
            </w:r>
            <w:r>
              <w:rPr>
                <w:rFonts w:hint="eastAsia" w:cs="Times New Roman"/>
                <w:color w:val="auto"/>
                <w:kern w:val="0"/>
                <w:sz w:val="24"/>
                <w:szCs w:val="24"/>
                <w:u w:val="single" w:color="auto"/>
                <w:lang w:val="en-US" w:eastAsia="zh-CN" w:bidi="ar"/>
              </w:rPr>
              <w:t>水塘</w:t>
            </w:r>
            <w:r>
              <w:rPr>
                <w:rFonts w:hint="eastAsia" w:ascii="Times New Roman" w:hAnsi="Times New Roman" w:eastAsia="宋体" w:cs="Times New Roman"/>
                <w:color w:val="auto"/>
                <w:kern w:val="0"/>
                <w:sz w:val="24"/>
                <w:szCs w:val="24"/>
                <w:u w:val="single" w:color="auto"/>
                <w:lang w:val="en-US" w:eastAsia="zh-CN" w:bidi="ar"/>
              </w:rPr>
              <w:t>，将会对</w:t>
            </w:r>
            <w:r>
              <w:rPr>
                <w:rFonts w:hint="eastAsia" w:cs="Times New Roman"/>
                <w:color w:val="auto"/>
                <w:kern w:val="0"/>
                <w:sz w:val="24"/>
                <w:szCs w:val="24"/>
                <w:u w:val="single" w:color="auto"/>
                <w:lang w:val="en-US" w:eastAsia="zh-CN" w:bidi="ar"/>
              </w:rPr>
              <w:t>水塘</w:t>
            </w:r>
            <w:r>
              <w:rPr>
                <w:rFonts w:hint="eastAsia" w:ascii="Times New Roman" w:hAnsi="Times New Roman" w:eastAsia="宋体" w:cs="Times New Roman"/>
                <w:color w:val="auto"/>
                <w:kern w:val="0"/>
                <w:sz w:val="24"/>
                <w:szCs w:val="24"/>
                <w:u w:val="single" w:color="auto"/>
                <w:lang w:val="en-US" w:eastAsia="zh-CN" w:bidi="ar"/>
              </w:rPr>
              <w:t xml:space="preserve">水质造成影响。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single" w:color="auto"/>
                <w:lang w:val="en-US" w:eastAsia="zh-CN" w:bidi="ar"/>
              </w:rPr>
            </w:pPr>
            <w:r>
              <w:rPr>
                <w:rFonts w:hint="default" w:ascii="Times New Roman" w:hAnsi="Times New Roman" w:eastAsia="宋体" w:cs="Times New Roman"/>
                <w:color w:val="auto"/>
                <w:kern w:val="0"/>
                <w:sz w:val="24"/>
                <w:szCs w:val="24"/>
                <w:u w:val="single" w:color="auto"/>
                <w:lang w:val="en-US" w:eastAsia="zh-CN" w:bidi="ar"/>
              </w:rPr>
              <w:t xml:space="preserve"> </w:t>
            </w:r>
            <w:r>
              <w:rPr>
                <w:rFonts w:hint="eastAsia" w:ascii="Times New Roman" w:hAnsi="Times New Roman" w:eastAsia="宋体" w:cs="Times New Roman"/>
                <w:color w:val="auto"/>
                <w:kern w:val="0"/>
                <w:sz w:val="24"/>
                <w:szCs w:val="24"/>
                <w:u w:val="single" w:color="auto"/>
                <w:lang w:val="en-US" w:eastAsia="zh-CN" w:bidi="ar"/>
              </w:rPr>
              <w:t xml:space="preserve">环境风险分析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single" w:color="auto"/>
                <w:lang w:val="en-US" w:eastAsia="zh-CN" w:bidi="ar"/>
              </w:rPr>
            </w:pPr>
            <w:r>
              <w:rPr>
                <w:rFonts w:hint="eastAsia" w:ascii="Times New Roman" w:hAnsi="Times New Roman" w:eastAsia="宋体" w:cs="Times New Roman"/>
                <w:color w:val="auto"/>
                <w:kern w:val="0"/>
                <w:sz w:val="24"/>
                <w:szCs w:val="24"/>
                <w:u w:val="single" w:color="auto"/>
                <w:lang w:val="en-US" w:eastAsia="zh-CN" w:bidi="ar"/>
              </w:rPr>
              <w:t>环评参照过往已经发生的事故情况确定本次评价的最大可信事故为：</w:t>
            </w:r>
            <w:r>
              <w:rPr>
                <w:rFonts w:hint="eastAsia" w:cs="Times New Roman"/>
                <w:color w:val="auto"/>
                <w:kern w:val="0"/>
                <w:sz w:val="24"/>
                <w:szCs w:val="24"/>
                <w:u w:val="single" w:color="auto"/>
                <w:lang w:val="en-US" w:eastAsia="zh-CN" w:bidi="ar"/>
              </w:rPr>
              <w:t>白乳胶</w:t>
            </w:r>
            <w:r>
              <w:rPr>
                <w:rFonts w:hint="eastAsia" w:ascii="Times New Roman" w:hAnsi="Times New Roman" w:eastAsia="宋体" w:cs="Times New Roman"/>
                <w:color w:val="auto"/>
                <w:kern w:val="0"/>
                <w:sz w:val="24"/>
                <w:szCs w:val="24"/>
                <w:u w:val="single" w:color="auto"/>
                <w:lang w:val="en-US" w:eastAsia="zh-CN" w:bidi="ar"/>
              </w:rPr>
              <w:t>泄漏事故</w:t>
            </w:r>
            <w:r>
              <w:rPr>
                <w:rFonts w:hint="eastAsia" w:cs="Times New Roman"/>
                <w:color w:val="auto"/>
                <w:kern w:val="0"/>
                <w:sz w:val="24"/>
                <w:szCs w:val="24"/>
                <w:u w:val="single" w:color="auto"/>
                <w:lang w:val="en-US" w:eastAsia="zh-CN" w:bidi="ar"/>
              </w:rPr>
              <w:t>、火灾事件</w:t>
            </w:r>
            <w:r>
              <w:rPr>
                <w:rFonts w:hint="eastAsia" w:ascii="Times New Roman" w:hAnsi="Times New Roman" w:eastAsia="宋体" w:cs="Times New Roman"/>
                <w:color w:val="auto"/>
                <w:kern w:val="0"/>
                <w:sz w:val="24"/>
                <w:szCs w:val="24"/>
                <w:u w:val="single" w:color="auto"/>
                <w:lang w:val="en-US" w:eastAsia="zh-CN" w:bidi="ar"/>
              </w:rPr>
              <w:t xml:space="preserve">。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single" w:color="auto"/>
                <w:lang w:val="en-US" w:eastAsia="zh-CN" w:bidi="ar"/>
              </w:rPr>
            </w:pPr>
            <w:r>
              <w:rPr>
                <w:rFonts w:hint="eastAsia" w:ascii="Times New Roman" w:hAnsi="Times New Roman" w:eastAsia="宋体" w:cs="Times New Roman"/>
                <w:color w:val="auto"/>
                <w:kern w:val="0"/>
                <w:sz w:val="24"/>
                <w:szCs w:val="24"/>
                <w:u w:val="single" w:color="auto"/>
                <w:lang w:val="en-US" w:eastAsia="zh-CN" w:bidi="ar"/>
              </w:rPr>
              <w:t>（</w:t>
            </w:r>
            <w:r>
              <w:rPr>
                <w:rFonts w:hint="default" w:ascii="Times New Roman" w:hAnsi="Times New Roman" w:eastAsia="宋体" w:cs="Times New Roman"/>
                <w:color w:val="auto"/>
                <w:kern w:val="0"/>
                <w:sz w:val="24"/>
                <w:szCs w:val="24"/>
                <w:u w:val="single" w:color="auto"/>
                <w:lang w:val="en-US" w:eastAsia="zh-CN" w:bidi="ar"/>
              </w:rPr>
              <w:t>1</w:t>
            </w:r>
            <w:r>
              <w:rPr>
                <w:rFonts w:hint="eastAsia" w:ascii="Times New Roman" w:hAnsi="Times New Roman" w:eastAsia="宋体" w:cs="Times New Roman"/>
                <w:color w:val="auto"/>
                <w:kern w:val="0"/>
                <w:sz w:val="24"/>
                <w:szCs w:val="24"/>
                <w:u w:val="single" w:color="auto"/>
                <w:lang w:val="en-US" w:eastAsia="zh-CN" w:bidi="ar"/>
              </w:rPr>
              <w:t xml:space="preserve">）泄漏事故影响分析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single" w:color="auto"/>
                <w:lang w:val="en-US" w:eastAsia="zh-CN" w:bidi="ar"/>
              </w:rPr>
            </w:pPr>
            <w:r>
              <w:rPr>
                <w:rFonts w:hint="eastAsia" w:ascii="Times New Roman" w:hAnsi="Times New Roman" w:eastAsia="宋体" w:cs="Times New Roman"/>
                <w:color w:val="auto"/>
                <w:kern w:val="0"/>
                <w:sz w:val="24"/>
                <w:szCs w:val="24"/>
                <w:u w:val="single" w:color="auto"/>
                <w:lang w:val="en-US" w:eastAsia="zh-CN" w:bidi="ar"/>
              </w:rPr>
              <w:t>本项目若管理操作不当或意外事故，如贮桶遇昼夜温差变化较大</w:t>
            </w:r>
            <w:r>
              <w:rPr>
                <w:rFonts w:hint="eastAsia" w:cs="Times New Roman"/>
                <w:color w:val="auto"/>
                <w:kern w:val="0"/>
                <w:sz w:val="24"/>
                <w:szCs w:val="24"/>
                <w:u w:val="single" w:color="auto"/>
                <w:lang w:val="en-US" w:eastAsia="zh-CN" w:bidi="ar"/>
              </w:rPr>
              <w:t>、操作不当</w:t>
            </w:r>
            <w:r>
              <w:rPr>
                <w:rFonts w:hint="eastAsia" w:ascii="Times New Roman" w:hAnsi="Times New Roman" w:eastAsia="宋体" w:cs="Times New Roman"/>
                <w:color w:val="auto"/>
                <w:kern w:val="0"/>
                <w:sz w:val="24"/>
                <w:szCs w:val="24"/>
                <w:u w:val="single" w:color="auto"/>
                <w:lang w:val="en-US" w:eastAsia="zh-CN" w:bidi="ar"/>
              </w:rPr>
              <w:t>而导致泄漏，存在</w:t>
            </w:r>
            <w:r>
              <w:rPr>
                <w:rFonts w:hint="eastAsia" w:cs="Times New Roman"/>
                <w:color w:val="auto"/>
                <w:kern w:val="0"/>
                <w:sz w:val="24"/>
                <w:szCs w:val="24"/>
                <w:u w:val="single" w:color="auto"/>
                <w:lang w:val="en-US" w:eastAsia="zh-CN" w:bidi="ar"/>
              </w:rPr>
              <w:t>白乳胶</w:t>
            </w:r>
            <w:r>
              <w:rPr>
                <w:rFonts w:hint="eastAsia" w:ascii="Times New Roman" w:hAnsi="Times New Roman" w:eastAsia="宋体" w:cs="Times New Roman"/>
                <w:color w:val="auto"/>
                <w:kern w:val="0"/>
                <w:sz w:val="24"/>
                <w:szCs w:val="24"/>
                <w:u w:val="single" w:color="auto"/>
                <w:lang w:val="en-US" w:eastAsia="zh-CN" w:bidi="ar"/>
              </w:rPr>
              <w:t xml:space="preserve">泄漏事故风险。会对周围环境产生的污染影响。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single" w:color="auto"/>
                <w:lang w:val="en-US" w:eastAsia="zh-CN" w:bidi="ar"/>
              </w:rPr>
            </w:pPr>
            <w:r>
              <w:rPr>
                <w:rFonts w:hint="eastAsia" w:ascii="Times New Roman" w:hAnsi="Times New Roman" w:eastAsia="宋体" w:cs="Times New Roman"/>
                <w:color w:val="auto"/>
                <w:kern w:val="0"/>
                <w:sz w:val="24"/>
                <w:szCs w:val="24"/>
                <w:u w:val="single" w:color="auto"/>
                <w:lang w:val="en-US" w:eastAsia="zh-CN" w:bidi="ar"/>
              </w:rPr>
              <w:t>（</w:t>
            </w:r>
            <w:r>
              <w:rPr>
                <w:rFonts w:hint="default" w:ascii="Times New Roman" w:hAnsi="Times New Roman" w:eastAsia="宋体" w:cs="Times New Roman"/>
                <w:color w:val="auto"/>
                <w:kern w:val="0"/>
                <w:sz w:val="24"/>
                <w:szCs w:val="24"/>
                <w:u w:val="single" w:color="auto"/>
                <w:lang w:val="en-US" w:eastAsia="zh-CN" w:bidi="ar"/>
              </w:rPr>
              <w:t>2</w:t>
            </w:r>
            <w:r>
              <w:rPr>
                <w:rFonts w:hint="eastAsia" w:ascii="Times New Roman" w:hAnsi="Times New Roman" w:eastAsia="宋体" w:cs="Times New Roman"/>
                <w:color w:val="auto"/>
                <w:kern w:val="0"/>
                <w:sz w:val="24"/>
                <w:szCs w:val="24"/>
                <w:u w:val="single" w:color="auto"/>
                <w:lang w:val="en-US" w:eastAsia="zh-CN" w:bidi="ar"/>
              </w:rPr>
              <w:t xml:space="preserve">）火灾事故影响分析 </w:t>
            </w:r>
          </w:p>
          <w:p>
            <w:pPr>
              <w:keepNext w:val="0"/>
              <w:keepLines w:val="0"/>
              <w:widowControl/>
              <w:suppressLineNumbers w:val="0"/>
              <w:spacing w:line="360" w:lineRule="auto"/>
              <w:ind w:firstLine="462" w:firstLineChars="200"/>
              <w:jc w:val="left"/>
              <w:rPr>
                <w:rFonts w:hint="eastAsia" w:ascii="Times New Roman" w:hAnsi="Times New Roman" w:eastAsia="宋体" w:cs="Times New Roman"/>
                <w:color w:val="auto"/>
                <w:kern w:val="0"/>
                <w:sz w:val="24"/>
                <w:szCs w:val="24"/>
                <w:u w:val="single" w:color="auto"/>
                <w:lang w:val="en-US" w:eastAsia="zh-CN" w:bidi="ar"/>
              </w:rPr>
            </w:pPr>
            <w:r>
              <w:rPr>
                <w:rFonts w:hint="eastAsia" w:ascii="Times New Roman" w:hAnsi="Times New Roman" w:eastAsia="宋体" w:cs="Times New Roman"/>
                <w:color w:val="auto"/>
                <w:kern w:val="0"/>
                <w:sz w:val="24"/>
                <w:szCs w:val="24"/>
                <w:u w:val="single" w:color="auto"/>
                <w:lang w:val="en-US" w:eastAsia="zh-CN" w:bidi="ar"/>
              </w:rPr>
              <w:t>一旦发生火灾事故，有毒有害气体可通过热辐射、烟雾及冲击波等形式扩散至空气中，泄漏液体和消防水将进入排水系统以及渗透到土壤中，会造成财产损失和人员伤亡，以及水环境、土壤环境的污染。</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single" w:color="auto"/>
                <w:lang w:val="en-US" w:eastAsia="zh-CN" w:bidi="ar"/>
              </w:rPr>
            </w:pPr>
            <w:r>
              <w:rPr>
                <w:rFonts w:hint="eastAsia" w:ascii="Times New Roman" w:hAnsi="Times New Roman" w:eastAsia="宋体" w:cs="Times New Roman"/>
                <w:color w:val="auto"/>
                <w:kern w:val="0"/>
                <w:sz w:val="24"/>
                <w:szCs w:val="24"/>
                <w:u w:val="single" w:color="auto"/>
                <w:lang w:val="en-US" w:eastAsia="zh-CN" w:bidi="ar"/>
              </w:rPr>
              <w:t xml:space="preserve">环境风险防范措施及应急要求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single" w:color="auto"/>
                <w:lang w:val="en-US" w:eastAsia="zh-CN" w:bidi="ar"/>
              </w:rPr>
            </w:pPr>
            <w:r>
              <w:rPr>
                <w:rFonts w:hint="eastAsia" w:ascii="Times New Roman" w:hAnsi="Times New Roman" w:eastAsia="宋体" w:cs="Times New Roman"/>
                <w:color w:val="auto"/>
                <w:kern w:val="0"/>
                <w:sz w:val="24"/>
                <w:szCs w:val="24"/>
                <w:u w:val="single" w:color="auto"/>
                <w:lang w:val="en-US" w:eastAsia="zh-CN" w:bidi="ar"/>
              </w:rPr>
              <w:t>（</w:t>
            </w:r>
            <w:r>
              <w:rPr>
                <w:rFonts w:hint="default" w:ascii="Times New Roman" w:hAnsi="Times New Roman" w:eastAsia="宋体" w:cs="Times New Roman"/>
                <w:color w:val="auto"/>
                <w:kern w:val="0"/>
                <w:sz w:val="24"/>
                <w:szCs w:val="24"/>
                <w:u w:val="single" w:color="auto"/>
                <w:lang w:val="en-US" w:eastAsia="zh-CN" w:bidi="ar"/>
              </w:rPr>
              <w:t>1</w:t>
            </w:r>
            <w:r>
              <w:rPr>
                <w:rFonts w:hint="eastAsia" w:ascii="Times New Roman" w:hAnsi="Times New Roman" w:eastAsia="宋体" w:cs="Times New Roman"/>
                <w:color w:val="auto"/>
                <w:kern w:val="0"/>
                <w:sz w:val="24"/>
                <w:szCs w:val="24"/>
                <w:u w:val="single" w:color="auto"/>
                <w:lang w:val="en-US" w:eastAsia="zh-CN" w:bidi="ar"/>
              </w:rPr>
              <w:t xml:space="preserve">）火灾风险防范措施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single" w:color="auto"/>
                <w:lang w:val="en-US" w:eastAsia="zh-CN" w:bidi="ar"/>
              </w:rPr>
            </w:pPr>
            <w:r>
              <w:rPr>
                <w:rFonts w:hint="default" w:ascii="Times New Roman" w:hAnsi="Times New Roman" w:eastAsia="宋体" w:cs="Times New Roman"/>
                <w:color w:val="auto"/>
                <w:kern w:val="0"/>
                <w:sz w:val="24"/>
                <w:szCs w:val="24"/>
                <w:u w:val="single" w:color="auto"/>
                <w:lang w:val="en-US" w:eastAsia="zh-CN" w:bidi="ar"/>
              </w:rPr>
              <w:t>a</w:t>
            </w:r>
            <w:r>
              <w:rPr>
                <w:rFonts w:hint="eastAsia" w:ascii="Times New Roman" w:hAnsi="Times New Roman" w:eastAsia="宋体" w:cs="Times New Roman"/>
                <w:color w:val="auto"/>
                <w:kern w:val="0"/>
                <w:sz w:val="24"/>
                <w:szCs w:val="24"/>
                <w:u w:val="single" w:color="auto"/>
                <w:lang w:val="en-US" w:eastAsia="zh-CN" w:bidi="ar"/>
              </w:rPr>
              <w:t xml:space="preserve">、火患往往起于细微之处，要格外注意用电的安全，合理布置电源电线的使用。不要同时使用大功率电器，也不要把所有电器设备的插头都插在一个接线板上，避免线路老化，短路发生火灾。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single" w:color="auto"/>
                <w:lang w:val="en-US" w:eastAsia="zh-CN" w:bidi="ar"/>
              </w:rPr>
            </w:pPr>
            <w:r>
              <w:rPr>
                <w:rFonts w:hint="default" w:ascii="Times New Roman" w:hAnsi="Times New Roman" w:eastAsia="宋体" w:cs="Times New Roman"/>
                <w:color w:val="auto"/>
                <w:kern w:val="0"/>
                <w:sz w:val="24"/>
                <w:szCs w:val="24"/>
                <w:u w:val="single" w:color="auto"/>
                <w:lang w:val="en-US" w:eastAsia="zh-CN" w:bidi="ar"/>
              </w:rPr>
              <w:t>b</w:t>
            </w:r>
            <w:r>
              <w:rPr>
                <w:rFonts w:hint="eastAsia" w:ascii="Times New Roman" w:hAnsi="Times New Roman" w:eastAsia="宋体" w:cs="Times New Roman"/>
                <w:color w:val="auto"/>
                <w:kern w:val="0"/>
                <w:sz w:val="24"/>
                <w:szCs w:val="24"/>
                <w:u w:val="single" w:color="auto"/>
                <w:lang w:val="en-US" w:eastAsia="zh-CN" w:bidi="ar"/>
              </w:rPr>
              <w:t xml:space="preserve">、严禁吸烟。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single" w:color="auto"/>
                <w:lang w:val="en-US" w:eastAsia="zh-CN" w:bidi="ar"/>
              </w:rPr>
            </w:pPr>
            <w:r>
              <w:rPr>
                <w:rFonts w:hint="default" w:ascii="Times New Roman" w:hAnsi="Times New Roman" w:eastAsia="宋体" w:cs="Times New Roman"/>
                <w:color w:val="auto"/>
                <w:kern w:val="0"/>
                <w:sz w:val="24"/>
                <w:szCs w:val="24"/>
                <w:u w:val="single" w:color="auto"/>
                <w:lang w:val="en-US" w:eastAsia="zh-CN" w:bidi="ar"/>
              </w:rPr>
              <w:t>c</w:t>
            </w:r>
            <w:r>
              <w:rPr>
                <w:rFonts w:hint="eastAsia" w:ascii="Times New Roman" w:hAnsi="Times New Roman" w:eastAsia="宋体" w:cs="Times New Roman"/>
                <w:color w:val="auto"/>
                <w:kern w:val="0"/>
                <w:sz w:val="24"/>
                <w:szCs w:val="24"/>
                <w:u w:val="single" w:color="auto"/>
                <w:lang w:val="en-US" w:eastAsia="zh-CN" w:bidi="ar"/>
              </w:rPr>
              <w:t xml:space="preserve">、生产厂房、易燃物品贮存区须确保全面通风、配备相应品种和数量的消防器材，预留必要的安全间距，远离火种和热源，防止阳光直射。车间工作人员及相关责任人均应熟悉其放置地点，用法，而且要经常检查，消防通道保持畅通。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single" w:color="auto"/>
                <w:lang w:val="en-US" w:eastAsia="zh-CN" w:bidi="ar"/>
              </w:rPr>
            </w:pPr>
            <w:r>
              <w:rPr>
                <w:rFonts w:hint="default" w:ascii="Times New Roman" w:hAnsi="Times New Roman" w:eastAsia="宋体" w:cs="Times New Roman"/>
                <w:color w:val="auto"/>
                <w:kern w:val="0"/>
                <w:sz w:val="24"/>
                <w:szCs w:val="24"/>
                <w:u w:val="single" w:color="auto"/>
                <w:lang w:val="en-US" w:eastAsia="zh-CN" w:bidi="ar"/>
              </w:rPr>
              <w:t>d</w:t>
            </w:r>
            <w:r>
              <w:rPr>
                <w:rFonts w:hint="eastAsia" w:ascii="Times New Roman" w:hAnsi="Times New Roman" w:eastAsia="宋体" w:cs="Times New Roman"/>
                <w:color w:val="auto"/>
                <w:kern w:val="0"/>
                <w:sz w:val="24"/>
                <w:szCs w:val="24"/>
                <w:u w:val="single" w:color="auto"/>
                <w:lang w:val="en-US" w:eastAsia="zh-CN" w:bidi="ar"/>
              </w:rPr>
              <w:t xml:space="preserve">、应加强消防设施及消防教育建设，对重要场所需要重点防范，制定严格的操作规范，避免火灾等事故发生。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single" w:color="auto"/>
                <w:lang w:val="en-US" w:eastAsia="zh-CN" w:bidi="ar"/>
              </w:rPr>
            </w:pPr>
            <w:r>
              <w:rPr>
                <w:rFonts w:hint="default" w:ascii="Times New Roman" w:hAnsi="Times New Roman" w:eastAsia="宋体" w:cs="Times New Roman"/>
                <w:color w:val="auto"/>
                <w:kern w:val="0"/>
                <w:sz w:val="24"/>
                <w:szCs w:val="24"/>
                <w:u w:val="single" w:color="auto"/>
                <w:lang w:val="en-US" w:eastAsia="zh-CN" w:bidi="ar"/>
              </w:rPr>
              <w:t>e</w:t>
            </w:r>
            <w:r>
              <w:rPr>
                <w:rFonts w:hint="eastAsia" w:ascii="Times New Roman" w:hAnsi="Times New Roman" w:eastAsia="宋体" w:cs="Times New Roman"/>
                <w:color w:val="auto"/>
                <w:kern w:val="0"/>
                <w:sz w:val="24"/>
                <w:szCs w:val="24"/>
                <w:u w:val="single" w:color="auto"/>
                <w:lang w:val="en-US" w:eastAsia="zh-CN" w:bidi="ar"/>
              </w:rPr>
              <w:t xml:space="preserve">、确保安全出口和疏散通道畅通无阻。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single" w:color="auto"/>
                <w:lang w:val="en-US" w:eastAsia="zh-CN" w:bidi="ar"/>
              </w:rPr>
            </w:pPr>
            <w:r>
              <w:rPr>
                <w:rFonts w:hint="default" w:ascii="Times New Roman" w:hAnsi="Times New Roman" w:eastAsia="宋体" w:cs="Times New Roman"/>
                <w:color w:val="auto"/>
                <w:kern w:val="0"/>
                <w:sz w:val="24"/>
                <w:szCs w:val="24"/>
                <w:u w:val="single" w:color="auto"/>
                <w:lang w:val="en-US" w:eastAsia="zh-CN" w:bidi="ar"/>
              </w:rPr>
              <w:t>f</w:t>
            </w:r>
            <w:r>
              <w:rPr>
                <w:rFonts w:hint="eastAsia" w:ascii="Times New Roman" w:hAnsi="Times New Roman" w:eastAsia="宋体" w:cs="Times New Roman"/>
                <w:color w:val="auto"/>
                <w:kern w:val="0"/>
                <w:sz w:val="24"/>
                <w:szCs w:val="24"/>
                <w:u w:val="single" w:color="auto"/>
                <w:lang w:val="en-US" w:eastAsia="zh-CN" w:bidi="ar"/>
              </w:rPr>
              <w:t>、加强电气防火安全管理，消除火灾隐患，不得超负荷用电，不得擅自拉接临时电线。</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single" w:color="auto"/>
                <w:lang w:val="en-US" w:eastAsia="zh-CN" w:bidi="ar"/>
              </w:rPr>
            </w:pPr>
            <w:r>
              <w:rPr>
                <w:rFonts w:hint="default" w:ascii="Times New Roman" w:hAnsi="Times New Roman" w:eastAsia="宋体" w:cs="Times New Roman"/>
                <w:color w:val="auto"/>
                <w:kern w:val="0"/>
                <w:sz w:val="24"/>
                <w:szCs w:val="24"/>
                <w:u w:val="single" w:color="auto"/>
                <w:lang w:val="en-US" w:eastAsia="zh-CN" w:bidi="ar"/>
              </w:rPr>
              <w:t>g</w:t>
            </w:r>
            <w:r>
              <w:rPr>
                <w:rFonts w:hint="eastAsia" w:ascii="Times New Roman" w:hAnsi="Times New Roman" w:eastAsia="宋体" w:cs="Times New Roman"/>
                <w:color w:val="auto"/>
                <w:kern w:val="0"/>
                <w:sz w:val="24"/>
                <w:szCs w:val="24"/>
                <w:u w:val="single" w:color="auto"/>
                <w:lang w:val="en-US" w:eastAsia="zh-CN" w:bidi="ar"/>
              </w:rPr>
              <w:t xml:space="preserve">、对于电器的使用，应当养成随手断电、随手关灯的好习惯。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single" w:color="auto"/>
                <w:lang w:val="en-US" w:eastAsia="zh-CN" w:bidi="ar"/>
              </w:rPr>
            </w:pPr>
            <w:r>
              <w:rPr>
                <w:rFonts w:hint="default" w:ascii="Times New Roman" w:hAnsi="Times New Roman" w:eastAsia="宋体" w:cs="Times New Roman"/>
                <w:color w:val="auto"/>
                <w:kern w:val="0"/>
                <w:sz w:val="24"/>
                <w:szCs w:val="24"/>
                <w:u w:val="single" w:color="auto"/>
                <w:lang w:val="en-US" w:eastAsia="zh-CN" w:bidi="ar"/>
              </w:rPr>
              <w:t>h</w:t>
            </w:r>
            <w:r>
              <w:rPr>
                <w:rFonts w:hint="eastAsia" w:ascii="Times New Roman" w:hAnsi="Times New Roman" w:eastAsia="宋体" w:cs="Times New Roman"/>
                <w:color w:val="auto"/>
                <w:kern w:val="0"/>
                <w:sz w:val="24"/>
                <w:szCs w:val="24"/>
                <w:u w:val="single" w:color="auto"/>
                <w:lang w:val="en-US" w:eastAsia="zh-CN" w:bidi="ar"/>
              </w:rPr>
              <w:t>、定期对操作人员进行安全生产与安全知识培训，并制定严格的安全操作规程</w:t>
            </w:r>
            <w:r>
              <w:rPr>
                <w:rFonts w:hint="eastAsia" w:cs="Times New Roman"/>
                <w:color w:val="auto"/>
                <w:kern w:val="0"/>
                <w:sz w:val="24"/>
                <w:szCs w:val="24"/>
                <w:u w:val="single" w:color="auto"/>
                <w:lang w:val="en-US" w:eastAsia="zh-CN" w:bidi="ar"/>
              </w:rPr>
              <w:t>，</w:t>
            </w:r>
            <w:r>
              <w:rPr>
                <w:rFonts w:hint="eastAsia" w:ascii="Times New Roman" w:hAnsi="Times New Roman" w:eastAsia="宋体" w:cs="Times New Roman"/>
                <w:color w:val="auto"/>
                <w:kern w:val="0"/>
                <w:sz w:val="24"/>
                <w:szCs w:val="24"/>
                <w:u w:val="single" w:color="auto"/>
                <w:lang w:val="en-US" w:eastAsia="zh-CN" w:bidi="ar"/>
              </w:rPr>
              <w:t xml:space="preserve">切实加强生产过程中的温度控制，保证劳动安全，防止意外事故的发生。应加强消防设施及消防教育建设，对厂区等重要场所需要重点防范，制定严格的操作规范，避免火灾等事故发生。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single" w:color="auto"/>
                <w:lang w:val="en-US" w:eastAsia="zh-CN" w:bidi="ar"/>
              </w:rPr>
            </w:pPr>
            <w:r>
              <w:rPr>
                <w:rFonts w:hint="default" w:ascii="Times New Roman" w:hAnsi="Times New Roman" w:eastAsia="宋体" w:cs="Times New Roman"/>
                <w:color w:val="auto"/>
                <w:kern w:val="0"/>
                <w:sz w:val="24"/>
                <w:szCs w:val="24"/>
                <w:u w:val="single" w:color="auto"/>
                <w:lang w:val="en-US" w:eastAsia="zh-CN" w:bidi="ar"/>
              </w:rPr>
              <w:t>i</w:t>
            </w:r>
            <w:r>
              <w:rPr>
                <w:rFonts w:hint="eastAsia" w:ascii="Times New Roman" w:hAnsi="Times New Roman" w:eastAsia="宋体" w:cs="Times New Roman"/>
                <w:color w:val="auto"/>
                <w:kern w:val="0"/>
                <w:sz w:val="24"/>
                <w:szCs w:val="24"/>
                <w:u w:val="single" w:color="auto"/>
                <w:lang w:val="en-US" w:eastAsia="zh-CN" w:bidi="ar"/>
              </w:rPr>
              <w:t xml:space="preserve">、火灾发生时，先把总电源关掉，按响警铃以警示车间内其他人员，同时联络消防队，利用灭火器尽量灭火，如果无效，应该马上离开现场到安全地点集合，在离开时要确保所有人都已经离开车间，再把门窗关上。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single" w:color="auto"/>
                <w:lang w:val="en-US" w:eastAsia="zh-CN" w:bidi="ar"/>
              </w:rPr>
            </w:pPr>
            <w:r>
              <w:rPr>
                <w:rFonts w:hint="default" w:ascii="Times New Roman" w:hAnsi="Times New Roman" w:eastAsia="宋体" w:cs="Times New Roman"/>
                <w:color w:val="auto"/>
                <w:kern w:val="0"/>
                <w:sz w:val="24"/>
                <w:szCs w:val="24"/>
                <w:u w:val="single" w:color="auto"/>
                <w:lang w:val="en-US" w:eastAsia="zh-CN" w:bidi="ar"/>
              </w:rPr>
              <w:t>j</w:t>
            </w:r>
            <w:r>
              <w:rPr>
                <w:rFonts w:hint="eastAsia" w:ascii="Times New Roman" w:hAnsi="Times New Roman" w:eastAsia="宋体" w:cs="Times New Roman"/>
                <w:color w:val="auto"/>
                <w:kern w:val="0"/>
                <w:sz w:val="24"/>
                <w:szCs w:val="24"/>
                <w:u w:val="single" w:color="auto"/>
                <w:lang w:val="en-US" w:eastAsia="zh-CN" w:bidi="ar"/>
              </w:rPr>
              <w:t xml:space="preserve">、为了减轻万一发生火灾事故造成的损失，工厂还应该制定火灾应急预案，并报上级主管部门批准，并定期演练。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single" w:color="auto"/>
                <w:lang w:val="en-US" w:eastAsia="zh-CN" w:bidi="ar"/>
              </w:rPr>
            </w:pPr>
            <w:r>
              <w:rPr>
                <w:rFonts w:hint="eastAsia" w:ascii="Times New Roman" w:hAnsi="Times New Roman" w:eastAsia="宋体" w:cs="Times New Roman"/>
                <w:color w:val="auto"/>
                <w:kern w:val="0"/>
                <w:sz w:val="24"/>
                <w:szCs w:val="24"/>
                <w:u w:val="single" w:color="auto"/>
                <w:lang w:val="en-US" w:eastAsia="zh-CN" w:bidi="ar"/>
              </w:rPr>
              <w:t>（</w:t>
            </w:r>
            <w:r>
              <w:rPr>
                <w:rFonts w:hint="default" w:ascii="Times New Roman" w:hAnsi="Times New Roman" w:eastAsia="宋体" w:cs="Times New Roman"/>
                <w:color w:val="auto"/>
                <w:kern w:val="0"/>
                <w:sz w:val="24"/>
                <w:szCs w:val="24"/>
                <w:u w:val="single" w:color="auto"/>
                <w:lang w:val="en-US" w:eastAsia="zh-CN" w:bidi="ar"/>
              </w:rPr>
              <w:t>2</w:t>
            </w:r>
            <w:r>
              <w:rPr>
                <w:rFonts w:hint="eastAsia" w:ascii="Times New Roman" w:hAnsi="Times New Roman" w:eastAsia="宋体" w:cs="Times New Roman"/>
                <w:color w:val="auto"/>
                <w:kern w:val="0"/>
                <w:sz w:val="24"/>
                <w:szCs w:val="24"/>
                <w:u w:val="single" w:color="auto"/>
                <w:lang w:val="en-US" w:eastAsia="zh-CN" w:bidi="ar"/>
              </w:rPr>
              <w:t xml:space="preserve">）泄漏防范措施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single" w:color="auto"/>
                <w:lang w:val="en-US" w:eastAsia="zh-CN" w:bidi="ar"/>
              </w:rPr>
            </w:pPr>
            <w:r>
              <w:rPr>
                <w:rFonts w:hint="default" w:ascii="Times New Roman" w:hAnsi="Times New Roman" w:eastAsia="宋体" w:cs="Times New Roman"/>
                <w:color w:val="auto"/>
                <w:kern w:val="0"/>
                <w:sz w:val="24"/>
                <w:szCs w:val="24"/>
                <w:u w:val="single" w:color="auto"/>
                <w:lang w:val="en-US" w:eastAsia="zh-CN" w:bidi="ar"/>
              </w:rPr>
              <w:t>a</w:t>
            </w:r>
            <w:r>
              <w:rPr>
                <w:rFonts w:hint="eastAsia" w:ascii="Times New Roman" w:hAnsi="Times New Roman" w:eastAsia="宋体" w:cs="Times New Roman"/>
                <w:color w:val="auto"/>
                <w:kern w:val="0"/>
                <w:sz w:val="24"/>
                <w:szCs w:val="24"/>
                <w:u w:val="single" w:color="auto"/>
                <w:lang w:val="en-US" w:eastAsia="zh-CN" w:bidi="ar"/>
              </w:rPr>
              <w:t>、运营期除定期检查</w:t>
            </w:r>
            <w:r>
              <w:rPr>
                <w:rFonts w:hint="eastAsia" w:cs="Times New Roman"/>
                <w:color w:val="auto"/>
                <w:kern w:val="0"/>
                <w:sz w:val="24"/>
                <w:szCs w:val="24"/>
                <w:u w:val="single" w:color="auto"/>
                <w:lang w:val="en-US" w:eastAsia="zh-CN" w:bidi="ar"/>
              </w:rPr>
              <w:t>白乳胶</w:t>
            </w:r>
            <w:r>
              <w:rPr>
                <w:rFonts w:hint="eastAsia" w:ascii="Times New Roman" w:hAnsi="Times New Roman" w:eastAsia="宋体" w:cs="Times New Roman"/>
                <w:color w:val="auto"/>
                <w:kern w:val="0"/>
                <w:sz w:val="24"/>
                <w:szCs w:val="24"/>
                <w:u w:val="single" w:color="auto"/>
                <w:lang w:val="en-US" w:eastAsia="zh-CN" w:bidi="ar"/>
              </w:rPr>
              <w:t>是否发生泄露外，还应对车间地面进行水泥硬化，并作防渗处理</w:t>
            </w:r>
            <w:r>
              <w:rPr>
                <w:rFonts w:hint="eastAsia" w:cs="Times New Roman"/>
                <w:color w:val="auto"/>
                <w:kern w:val="0"/>
                <w:sz w:val="24"/>
                <w:szCs w:val="24"/>
                <w:u w:val="single" w:color="auto"/>
                <w:lang w:val="en-US" w:eastAsia="zh-CN" w:bidi="ar"/>
              </w:rPr>
              <w:t>；并安装标识标牌</w:t>
            </w:r>
            <w:r>
              <w:rPr>
                <w:rFonts w:hint="eastAsia" w:ascii="Times New Roman" w:hAnsi="Times New Roman" w:eastAsia="宋体" w:cs="Times New Roman"/>
                <w:color w:val="auto"/>
                <w:kern w:val="0"/>
                <w:sz w:val="24"/>
                <w:szCs w:val="24"/>
                <w:u w:val="single" w:color="auto"/>
                <w:lang w:val="en-US" w:eastAsia="zh-CN" w:bidi="ar"/>
              </w:rPr>
              <w:t>。应按照有关消防规范储存，并配备必要的消防设施</w:t>
            </w:r>
            <w:r>
              <w:rPr>
                <w:rFonts w:hint="default" w:ascii="Times New Roman" w:hAnsi="Times New Roman" w:eastAsia="宋体" w:cs="Times New Roman"/>
                <w:color w:val="auto"/>
                <w:kern w:val="0"/>
                <w:sz w:val="24"/>
                <w:szCs w:val="24"/>
                <w:u w:val="single" w:color="auto"/>
                <w:lang w:val="en-US" w:eastAsia="zh-CN" w:bidi="ar"/>
              </w:rPr>
              <w:t>。</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single" w:color="auto"/>
                <w:lang w:val="en-US" w:eastAsia="zh-CN" w:bidi="ar"/>
              </w:rPr>
            </w:pPr>
            <w:r>
              <w:rPr>
                <w:rFonts w:hint="default" w:ascii="Times New Roman" w:hAnsi="Times New Roman" w:eastAsia="宋体" w:cs="Times New Roman"/>
                <w:color w:val="auto"/>
                <w:kern w:val="0"/>
                <w:sz w:val="24"/>
                <w:szCs w:val="24"/>
                <w:u w:val="single" w:color="auto"/>
                <w:lang w:val="en-US" w:eastAsia="zh-CN" w:bidi="ar"/>
              </w:rPr>
              <w:t>其他防范措施</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single" w:color="auto"/>
                <w:lang w:val="en-US" w:eastAsia="zh-CN" w:bidi="ar"/>
              </w:rPr>
            </w:pPr>
            <w:r>
              <w:rPr>
                <w:rFonts w:hint="default" w:ascii="Times New Roman" w:hAnsi="Times New Roman" w:eastAsia="宋体" w:cs="Times New Roman"/>
                <w:color w:val="auto"/>
                <w:kern w:val="0"/>
                <w:sz w:val="24"/>
                <w:szCs w:val="24"/>
                <w:u w:val="single" w:color="auto"/>
                <w:lang w:val="en-US" w:eastAsia="zh-CN" w:bidi="ar"/>
              </w:rPr>
              <w:t>厂区内应按照规范的要求配置手提式干粉灭火器、二氧化碳灭火器等。按规范要求配备足够的</w:t>
            </w:r>
            <w:r>
              <w:rPr>
                <w:rFonts w:hint="eastAsia" w:cs="Times New Roman"/>
                <w:color w:val="auto"/>
                <w:kern w:val="0"/>
                <w:sz w:val="24"/>
                <w:szCs w:val="24"/>
                <w:u w:val="single" w:color="auto"/>
                <w:lang w:val="en-US" w:eastAsia="zh-CN" w:bidi="ar"/>
              </w:rPr>
              <w:t>口罩</w:t>
            </w:r>
            <w:r>
              <w:rPr>
                <w:rFonts w:hint="eastAsia" w:ascii="Times New Roman" w:hAnsi="Times New Roman" w:eastAsia="宋体" w:cs="Times New Roman"/>
                <w:color w:val="auto"/>
                <w:kern w:val="0"/>
                <w:sz w:val="24"/>
                <w:szCs w:val="24"/>
                <w:u w:val="single" w:color="auto"/>
                <w:lang w:val="en-US" w:eastAsia="zh-CN" w:bidi="ar"/>
              </w:rPr>
              <w:t>。</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b/>
                <w:bCs/>
                <w:color w:val="auto"/>
                <w:kern w:val="0"/>
                <w:sz w:val="24"/>
                <w:szCs w:val="24"/>
                <w:u w:val="single" w:color="auto"/>
                <w:lang w:val="en-US" w:eastAsia="zh-CN" w:bidi="ar"/>
              </w:rPr>
            </w:pPr>
            <w:r>
              <w:rPr>
                <w:rFonts w:hint="eastAsia" w:cs="Times New Roman"/>
                <w:b/>
                <w:bCs/>
                <w:color w:val="auto"/>
                <w:kern w:val="0"/>
                <w:sz w:val="24"/>
                <w:szCs w:val="24"/>
                <w:u w:val="single" w:color="auto"/>
                <w:lang w:val="en-US" w:eastAsia="zh-CN" w:bidi="ar"/>
              </w:rPr>
              <w:t>（3）</w:t>
            </w:r>
            <w:r>
              <w:rPr>
                <w:rFonts w:hint="eastAsia" w:ascii="Times New Roman" w:hAnsi="Times New Roman" w:eastAsia="宋体" w:cs="Times New Roman"/>
                <w:b/>
                <w:bCs/>
                <w:color w:val="auto"/>
                <w:kern w:val="0"/>
                <w:sz w:val="24"/>
                <w:szCs w:val="24"/>
                <w:u w:val="single" w:color="auto"/>
                <w:lang w:val="en-US" w:eastAsia="zh-CN" w:bidi="ar"/>
              </w:rPr>
              <w:t xml:space="preserve">建立事故救援应急机制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single" w:color="auto"/>
                <w:lang w:val="en-US" w:eastAsia="zh-CN" w:bidi="ar"/>
              </w:rPr>
            </w:pPr>
            <w:r>
              <w:rPr>
                <w:rFonts w:hint="eastAsia" w:ascii="Times New Roman" w:hAnsi="Times New Roman" w:eastAsia="宋体" w:cs="Times New Roman"/>
                <w:color w:val="auto"/>
                <w:kern w:val="0"/>
                <w:sz w:val="24"/>
                <w:szCs w:val="24"/>
                <w:u w:val="single" w:color="auto"/>
                <w:lang w:val="en-US" w:eastAsia="zh-CN" w:bidi="ar"/>
              </w:rPr>
              <w:t>为保证企业及人民生命财产的安全，在发生事故时，能够迅速有序的开展救援工作，尽最大努力减少事故的危害和损失，根据《企业事业单位突发环境事件应急预案备案管理办法（试行）》，公司需成立一负责人为总指挥，分管生产负责人为副指挥的事故应急救援队伍，指挥部下设立办公室、工程抢修救援组、医疗救护组、后勤保障组。制定《突发环境事故应急救援预案》和实施细则，组织专业队伍学习和演练，提高队伍实战能力，防患于未然，以便应急救援工作的顺利开展。同时该厂必须将本单位危险源及有关安全措施、应急措施报告地方政府的安全生产监督管理部门和有关部门，以便政府及有关部门能够及时掌握有关情况，一旦发生事故，政府及其有关部门可以调动有关方面的力量进行救援，以减少事故损失</w:t>
            </w:r>
            <w:r>
              <w:rPr>
                <w:rFonts w:hint="eastAsia" w:cs="Times New Roman"/>
                <w:color w:val="auto"/>
                <w:kern w:val="0"/>
                <w:sz w:val="24"/>
                <w:szCs w:val="24"/>
                <w:u w:val="single" w:color="auto"/>
                <w:lang w:val="en-US" w:eastAsia="zh-CN" w:bidi="ar"/>
              </w:rPr>
              <w:t>。</w:t>
            </w:r>
          </w:p>
          <w:p>
            <w:pPr>
              <w:keepNext w:val="0"/>
              <w:keepLines w:val="0"/>
              <w:pageBreakBefore w:val="0"/>
              <w:widowControl w:val="0"/>
              <w:tabs>
                <w:tab w:val="left" w:pos="942"/>
              </w:tabs>
              <w:kinsoku/>
              <w:wordWrap/>
              <w:overflowPunct/>
              <w:topLinePunct w:val="0"/>
              <w:autoSpaceDE/>
              <w:autoSpaceDN/>
              <w:bidi w:val="0"/>
              <w:adjustRightInd/>
              <w:snapToGrid/>
              <w:spacing w:line="360" w:lineRule="auto"/>
              <w:ind w:firstLine="462" w:firstLineChars="200"/>
              <w:textAlignment w:val="auto"/>
              <w:rPr>
                <w:rFonts w:hint="default" w:ascii="Times New Roman" w:hAnsi="Times New Roman" w:cs="Times New Roman"/>
                <w:color w:val="auto"/>
                <w:kern w:val="0"/>
                <w:sz w:val="24"/>
                <w:szCs w:val="24"/>
                <w:u w:val="single" w:color="auto"/>
              </w:rPr>
            </w:pPr>
            <w:r>
              <w:rPr>
                <w:rFonts w:hint="default" w:ascii="Times New Roman" w:hAnsi="Times New Roman" w:cs="Times New Roman"/>
                <w:color w:val="auto"/>
                <w:kern w:val="0"/>
                <w:sz w:val="24"/>
                <w:szCs w:val="24"/>
                <w:u w:val="single" w:color="auto"/>
              </w:rPr>
              <w:t>项目环境风险简单分析内容表见表</w:t>
            </w:r>
            <w:r>
              <w:rPr>
                <w:rFonts w:hint="eastAsia" w:cs="Times New Roman"/>
                <w:color w:val="auto"/>
                <w:kern w:val="0"/>
                <w:sz w:val="24"/>
                <w:szCs w:val="24"/>
                <w:u w:val="single" w:color="auto"/>
                <w:lang w:val="en-US" w:eastAsia="zh-CN"/>
              </w:rPr>
              <w:t>7-12</w:t>
            </w:r>
            <w:r>
              <w:rPr>
                <w:rFonts w:hint="default" w:ascii="Times New Roman" w:hAnsi="Times New Roman" w:cs="Times New Roman"/>
                <w:color w:val="auto"/>
                <w:kern w:val="0"/>
                <w:sz w:val="24"/>
                <w:szCs w:val="24"/>
                <w:u w:val="single" w:color="auto"/>
              </w:rPr>
              <w:t>。</w:t>
            </w:r>
          </w:p>
          <w:p>
            <w:pPr>
              <w:keepNext w:val="0"/>
              <w:keepLines w:val="0"/>
              <w:pageBreakBefore w:val="0"/>
              <w:widowControl w:val="0"/>
              <w:tabs>
                <w:tab w:val="left" w:pos="942"/>
              </w:tabs>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val="0"/>
                <w:color w:val="auto"/>
                <w:kern w:val="0"/>
                <w:sz w:val="21"/>
                <w:szCs w:val="21"/>
                <w:u w:val="single" w:color="auto"/>
              </w:rPr>
            </w:pPr>
            <w:r>
              <w:rPr>
                <w:rFonts w:hint="default" w:ascii="Times New Roman" w:hAnsi="Times New Roman" w:eastAsia="宋体" w:cs="Times New Roman"/>
                <w:b/>
                <w:bCs w:val="0"/>
                <w:color w:val="auto"/>
                <w:sz w:val="21"/>
                <w:szCs w:val="21"/>
                <w:u w:val="single" w:color="auto"/>
              </w:rPr>
              <w:t>表</w:t>
            </w:r>
            <w:r>
              <w:rPr>
                <w:rFonts w:hint="eastAsia" w:cs="Times New Roman"/>
                <w:b/>
                <w:bCs w:val="0"/>
                <w:color w:val="auto"/>
                <w:sz w:val="21"/>
                <w:szCs w:val="21"/>
                <w:u w:val="single" w:color="auto"/>
                <w:lang w:val="en-US" w:eastAsia="zh-CN"/>
              </w:rPr>
              <w:t>7-12</w:t>
            </w:r>
            <w:r>
              <w:rPr>
                <w:rFonts w:hint="default" w:ascii="Times New Roman" w:hAnsi="Times New Roman" w:eastAsia="宋体" w:cs="Times New Roman"/>
                <w:b/>
                <w:bCs w:val="0"/>
                <w:color w:val="auto"/>
                <w:sz w:val="21"/>
                <w:szCs w:val="21"/>
                <w:u w:val="single" w:color="auto"/>
              </w:rPr>
              <w:t xml:space="preserve"> 建设项目环境风险简单分析内容表</w:t>
            </w:r>
          </w:p>
          <w:tbl>
            <w:tblPr>
              <w:tblStyle w:val="39"/>
              <w:tblW w:w="906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99"/>
              <w:gridCol w:w="1260"/>
              <w:gridCol w:w="1992"/>
              <w:gridCol w:w="1315"/>
              <w:gridCol w:w="22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建设项目名称</w:t>
                  </w:r>
                </w:p>
              </w:tc>
              <w:tc>
                <w:tcPr>
                  <w:tcW w:w="6863" w:type="dxa"/>
                  <w:gridSpan w:val="4"/>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single" w:color="auto"/>
                    </w:rPr>
                  </w:pPr>
                  <w:r>
                    <w:rPr>
                      <w:rFonts w:hint="eastAsia" w:cs="Times New Roman"/>
                      <w:sz w:val="24"/>
                      <w:szCs w:val="24"/>
                      <w:u w:val="single" w:color="auto"/>
                      <w:lang w:eastAsia="zh-CN"/>
                    </w:rPr>
                    <w:t>年产5000套办公家具建设项目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建设地点</w:t>
                  </w:r>
                </w:p>
              </w:tc>
              <w:tc>
                <w:tcPr>
                  <w:tcW w:w="1260" w:type="dxa"/>
                  <w:tcBorders>
                    <w:tl2br w:val="nil"/>
                    <w:tr2bl w:val="nil"/>
                  </w:tcBorders>
                  <w:noWrap w:val="0"/>
                  <w:vAlign w:val="center"/>
                </w:tcPr>
                <w:p>
                  <w:pPr>
                    <w:tabs>
                      <w:tab w:val="left" w:pos="942"/>
                    </w:tabs>
                    <w:adjustRightInd w:val="0"/>
                    <w:snapToGrid w:val="0"/>
                    <w:spacing w:line="360" w:lineRule="auto"/>
                    <w:jc w:val="center"/>
                    <w:rPr>
                      <w:rFonts w:hint="eastAsia" w:ascii="Times New Roman" w:hAnsi="Times New Roman" w:eastAsia="宋体" w:cs="Times New Roman"/>
                      <w:color w:val="auto"/>
                      <w:kern w:val="0"/>
                      <w:sz w:val="22"/>
                      <w:szCs w:val="22"/>
                      <w:u w:val="single" w:color="auto"/>
                      <w:lang w:eastAsia="zh-CN"/>
                    </w:rPr>
                  </w:pPr>
                  <w:r>
                    <w:rPr>
                      <w:rFonts w:hint="eastAsia" w:ascii="Times New Roman" w:hAnsi="Times New Roman" w:cs="Times New Roman"/>
                      <w:color w:val="auto"/>
                      <w:kern w:val="0"/>
                      <w:sz w:val="22"/>
                      <w:szCs w:val="22"/>
                      <w:u w:val="single" w:color="auto"/>
                      <w:lang w:eastAsia="zh-CN"/>
                    </w:rPr>
                    <w:t>湖南省</w:t>
                  </w:r>
                </w:p>
              </w:tc>
              <w:tc>
                <w:tcPr>
                  <w:tcW w:w="1992" w:type="dxa"/>
                  <w:tcBorders>
                    <w:tl2br w:val="nil"/>
                    <w:tr2bl w:val="nil"/>
                  </w:tcBorders>
                  <w:noWrap w:val="0"/>
                  <w:vAlign w:val="center"/>
                </w:tcPr>
                <w:p>
                  <w:pPr>
                    <w:tabs>
                      <w:tab w:val="left" w:pos="942"/>
                    </w:tabs>
                    <w:adjustRightInd w:val="0"/>
                    <w:snapToGrid w:val="0"/>
                    <w:spacing w:line="360" w:lineRule="auto"/>
                    <w:jc w:val="center"/>
                    <w:rPr>
                      <w:rFonts w:hint="eastAsia" w:ascii="Times New Roman" w:hAnsi="Times New Roman" w:eastAsia="宋体" w:cs="Times New Roman"/>
                      <w:color w:val="auto"/>
                      <w:kern w:val="0"/>
                      <w:sz w:val="22"/>
                      <w:szCs w:val="22"/>
                      <w:u w:val="single" w:color="auto"/>
                      <w:lang w:eastAsia="zh-CN"/>
                    </w:rPr>
                  </w:pPr>
                  <w:r>
                    <w:rPr>
                      <w:rFonts w:hint="eastAsia" w:cs="Times New Roman"/>
                      <w:color w:val="auto"/>
                      <w:kern w:val="0"/>
                      <w:sz w:val="22"/>
                      <w:szCs w:val="22"/>
                      <w:u w:val="single" w:color="auto"/>
                      <w:lang w:eastAsia="zh-CN"/>
                    </w:rPr>
                    <w:t>岳阳市</w:t>
                  </w:r>
                </w:p>
              </w:tc>
              <w:tc>
                <w:tcPr>
                  <w:tcW w:w="3611" w:type="dxa"/>
                  <w:gridSpan w:val="2"/>
                  <w:tcBorders>
                    <w:tl2br w:val="nil"/>
                    <w:tr2bl w:val="nil"/>
                  </w:tcBorders>
                  <w:noWrap w:val="0"/>
                  <w:vAlign w:val="center"/>
                </w:tcPr>
                <w:p>
                  <w:pPr>
                    <w:tabs>
                      <w:tab w:val="left" w:pos="942"/>
                    </w:tabs>
                    <w:adjustRightInd w:val="0"/>
                    <w:snapToGrid w:val="0"/>
                    <w:spacing w:line="360" w:lineRule="auto"/>
                    <w:jc w:val="center"/>
                    <w:rPr>
                      <w:rFonts w:hint="default" w:cs="Times New Roman"/>
                      <w:color w:val="auto"/>
                      <w:kern w:val="0"/>
                      <w:sz w:val="22"/>
                      <w:szCs w:val="22"/>
                      <w:u w:val="single" w:color="auto"/>
                      <w:lang w:eastAsia="zh-CN"/>
                    </w:rPr>
                  </w:pPr>
                  <w:r>
                    <w:rPr>
                      <w:rFonts w:hint="eastAsia" w:cs="Times New Roman"/>
                      <w:sz w:val="24"/>
                      <w:u w:val="single" w:color="auto"/>
                      <w:lang w:eastAsia="zh-CN"/>
                    </w:rPr>
                    <w:t>湘阴县石塘乡高山村红星组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地理坐标</w:t>
                  </w:r>
                </w:p>
              </w:tc>
              <w:tc>
                <w:tcPr>
                  <w:tcW w:w="1260"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经度</w:t>
                  </w:r>
                </w:p>
              </w:tc>
              <w:tc>
                <w:tcPr>
                  <w:tcW w:w="1992"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112.930421</w:t>
                  </w:r>
                </w:p>
              </w:tc>
              <w:tc>
                <w:tcPr>
                  <w:tcW w:w="1315"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纬度</w:t>
                  </w:r>
                </w:p>
              </w:tc>
              <w:tc>
                <w:tcPr>
                  <w:tcW w:w="2296"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28.717321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主要危险物质及分布</w:t>
                  </w:r>
                </w:p>
              </w:tc>
              <w:tc>
                <w:tcPr>
                  <w:tcW w:w="6863" w:type="dxa"/>
                  <w:gridSpan w:val="4"/>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eastAsia" w:cs="Times New Roman"/>
                      <w:color w:val="auto"/>
                      <w:kern w:val="0"/>
                      <w:sz w:val="22"/>
                      <w:szCs w:val="22"/>
                      <w:u w:val="single" w:color="auto"/>
                      <w:lang w:val="en-US" w:eastAsia="zh-CN"/>
                    </w:rPr>
                    <w:t>白乳胶储存间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环境影响途径及危害后果(大气、地表水、地下水等)</w:t>
                  </w:r>
                </w:p>
              </w:tc>
              <w:tc>
                <w:tcPr>
                  <w:tcW w:w="6863" w:type="dxa"/>
                  <w:gridSpan w:val="4"/>
                  <w:tcBorders>
                    <w:tl2br w:val="nil"/>
                    <w:tr2bl w:val="nil"/>
                  </w:tcBorders>
                  <w:noWrap w:val="0"/>
                  <w:vAlign w:val="center"/>
                </w:tcPr>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ind w:firstLine="422" w:firstLineChars="200"/>
                    <w:jc w:val="left"/>
                    <w:textAlignment w:val="auto"/>
                    <w:rPr>
                      <w:rFonts w:hint="default" w:ascii="Times New Roman" w:hAnsi="Times New Roman" w:cs="Times New Roman"/>
                      <w:color w:val="auto"/>
                      <w:kern w:val="0"/>
                      <w:sz w:val="22"/>
                      <w:szCs w:val="22"/>
                      <w:u w:val="single" w:color="auto"/>
                      <w:lang w:val="en-US" w:eastAsia="zh-CN"/>
                    </w:rPr>
                  </w:pPr>
                  <w:r>
                    <w:rPr>
                      <w:rFonts w:hint="eastAsia" w:ascii="Times New Roman" w:hAnsi="Times New Roman" w:cs="Times New Roman"/>
                      <w:color w:val="auto"/>
                      <w:kern w:val="0"/>
                      <w:sz w:val="22"/>
                      <w:szCs w:val="22"/>
                      <w:u w:val="single" w:color="auto"/>
                      <w:lang w:val="en-US" w:eastAsia="zh-CN"/>
                    </w:rPr>
                    <w:t>如不做好防范措施，</w:t>
                  </w:r>
                  <w:r>
                    <w:rPr>
                      <w:rFonts w:hint="eastAsia" w:cs="Times New Roman"/>
                      <w:color w:val="auto"/>
                      <w:kern w:val="0"/>
                      <w:sz w:val="22"/>
                      <w:szCs w:val="22"/>
                      <w:u w:val="single" w:color="auto"/>
                      <w:lang w:val="en-US" w:eastAsia="zh-CN"/>
                    </w:rPr>
                    <w:t>白乳胶</w:t>
                  </w:r>
                  <w:r>
                    <w:rPr>
                      <w:rFonts w:hint="eastAsia" w:ascii="Times New Roman" w:hAnsi="Times New Roman" w:cs="Times New Roman"/>
                      <w:color w:val="auto"/>
                      <w:kern w:val="0"/>
                      <w:sz w:val="22"/>
                      <w:szCs w:val="22"/>
                      <w:u w:val="single" w:color="auto"/>
                      <w:lang w:val="en-US" w:eastAsia="zh-CN"/>
                    </w:rPr>
                    <w:t>泄漏流入</w:t>
                  </w:r>
                  <w:r>
                    <w:rPr>
                      <w:rFonts w:hint="eastAsia" w:cs="Times New Roman"/>
                      <w:color w:val="auto"/>
                      <w:kern w:val="0"/>
                      <w:sz w:val="22"/>
                      <w:szCs w:val="22"/>
                      <w:u w:val="single" w:color="auto"/>
                      <w:lang w:val="en-US" w:eastAsia="zh-CN"/>
                    </w:rPr>
                    <w:t>周边地表水，污染周边水体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风险防范措施要求</w:t>
                  </w:r>
                </w:p>
              </w:tc>
              <w:tc>
                <w:tcPr>
                  <w:tcW w:w="6863" w:type="dxa"/>
                  <w:gridSpan w:val="4"/>
                  <w:tcBorders>
                    <w:tl2br w:val="nil"/>
                    <w:tr2bl w:val="nil"/>
                  </w:tcBorders>
                  <w:noWrap w:val="0"/>
                  <w:vAlign w:val="center"/>
                </w:tcPr>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2"/>
                      <w:szCs w:val="22"/>
                      <w:u w:val="single" w:color="auto"/>
                    </w:rPr>
                  </w:pPr>
                  <w:r>
                    <w:rPr>
                      <w:rFonts w:hint="eastAsia" w:ascii="Times New Roman" w:hAnsi="Times New Roman" w:cs="Times New Roman"/>
                      <w:color w:val="auto"/>
                      <w:kern w:val="0"/>
                      <w:sz w:val="22"/>
                      <w:szCs w:val="22"/>
                      <w:u w:val="single" w:color="auto"/>
                      <w:lang w:val="en-US" w:eastAsia="zh-CN"/>
                    </w:rPr>
                    <w:t xml:space="preserve">①加强职工的环保教育，提高安全防范风险的意识； </w:t>
                  </w:r>
                </w:p>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2"/>
                      <w:szCs w:val="22"/>
                      <w:u w:val="single" w:color="auto"/>
                    </w:rPr>
                  </w:pPr>
                  <w:r>
                    <w:rPr>
                      <w:rFonts w:hint="eastAsia" w:ascii="Times New Roman" w:hAnsi="Times New Roman" w:cs="Times New Roman"/>
                      <w:color w:val="auto"/>
                      <w:kern w:val="0"/>
                      <w:sz w:val="22"/>
                      <w:szCs w:val="22"/>
                      <w:u w:val="single" w:color="auto"/>
                      <w:lang w:val="en-US" w:eastAsia="zh-CN"/>
                    </w:rPr>
                    <w:t>②厂区地面进行硬化</w:t>
                  </w:r>
                  <w:r>
                    <w:rPr>
                      <w:rFonts w:hint="eastAsia" w:cs="Times New Roman"/>
                      <w:color w:val="auto"/>
                      <w:kern w:val="0"/>
                      <w:sz w:val="22"/>
                      <w:szCs w:val="22"/>
                      <w:u w:val="single" w:color="auto"/>
                      <w:lang w:val="en-US" w:eastAsia="zh-CN"/>
                    </w:rPr>
                    <w:t>、白乳胶储存桶设置托盘</w:t>
                  </w:r>
                  <w:r>
                    <w:rPr>
                      <w:rFonts w:hint="eastAsia" w:ascii="Times New Roman" w:hAnsi="Times New Roman" w:cs="Times New Roman"/>
                      <w:color w:val="auto"/>
                      <w:kern w:val="0"/>
                      <w:sz w:val="22"/>
                      <w:szCs w:val="22"/>
                      <w:u w:val="single" w:color="auto"/>
                      <w:lang w:val="en-US" w:eastAsia="zh-CN"/>
                    </w:rPr>
                    <w:t xml:space="preserve">； </w:t>
                  </w:r>
                </w:p>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2"/>
                      <w:szCs w:val="22"/>
                      <w:u w:val="single" w:color="auto"/>
                      <w:lang w:eastAsia="zh-CN"/>
                    </w:rPr>
                  </w:pPr>
                  <w:r>
                    <w:rPr>
                      <w:rFonts w:hint="eastAsia" w:ascii="Times New Roman" w:hAnsi="Times New Roman" w:cs="Times New Roman"/>
                      <w:color w:val="auto"/>
                      <w:kern w:val="0"/>
                      <w:sz w:val="22"/>
                      <w:szCs w:val="22"/>
                      <w:u w:val="single" w:color="auto"/>
                      <w:lang w:val="en-US" w:eastAsia="zh-CN"/>
                    </w:rPr>
                    <w:t xml:space="preserve">③建立夜间值班巡查制度； </w:t>
                  </w:r>
                </w:p>
              </w:tc>
            </w:tr>
          </w:tbl>
          <w:p>
            <w:pPr>
              <w:pStyle w:val="169"/>
              <w:spacing w:line="360" w:lineRule="auto"/>
              <w:ind w:firstLine="462" w:firstLineChars="200"/>
              <w:rPr>
                <w:rFonts w:hint="default" w:ascii="Times New Roman" w:hAnsi="Times New Roman" w:cs="Times New Roman"/>
                <w:b/>
                <w:bCs/>
                <w:color w:val="auto"/>
                <w:sz w:val="24"/>
                <w:szCs w:val="24"/>
                <w:u w:val="single" w:color="auto"/>
              </w:rPr>
            </w:pPr>
            <w:bookmarkStart w:id="8" w:name="_Toc312221061"/>
            <w:bookmarkStart w:id="9" w:name="_Toc424919844"/>
            <w:bookmarkStart w:id="10" w:name="_Toc299377553"/>
            <w:bookmarkStart w:id="11" w:name="_Toc280188871"/>
            <w:r>
              <w:rPr>
                <w:rFonts w:hint="default" w:ascii="Times New Roman" w:hAnsi="Times New Roman" w:cs="Times New Roman"/>
                <w:b/>
                <w:bCs/>
                <w:color w:val="auto"/>
                <w:sz w:val="24"/>
                <w:szCs w:val="24"/>
                <w:u w:val="single" w:color="auto"/>
                <w:lang w:eastAsia="zh-CN"/>
              </w:rPr>
              <w:t>（</w:t>
            </w:r>
            <w:r>
              <w:rPr>
                <w:rFonts w:hint="eastAsia" w:cs="Times New Roman"/>
                <w:b/>
                <w:bCs/>
                <w:color w:val="auto"/>
                <w:sz w:val="24"/>
                <w:szCs w:val="24"/>
                <w:u w:val="single" w:color="auto"/>
                <w:lang w:val="en-US" w:eastAsia="zh-CN"/>
              </w:rPr>
              <w:t>4</w:t>
            </w:r>
            <w:r>
              <w:rPr>
                <w:rFonts w:hint="default" w:ascii="Times New Roman" w:hAnsi="Times New Roman" w:cs="Times New Roman"/>
                <w:b/>
                <w:bCs/>
                <w:color w:val="auto"/>
                <w:sz w:val="24"/>
                <w:szCs w:val="24"/>
                <w:u w:val="single" w:color="auto"/>
                <w:lang w:eastAsia="zh-CN"/>
              </w:rPr>
              <w:t>）</w:t>
            </w:r>
            <w:r>
              <w:rPr>
                <w:rFonts w:hint="default" w:ascii="Times New Roman" w:hAnsi="Times New Roman" w:cs="Times New Roman"/>
                <w:b/>
                <w:bCs/>
                <w:color w:val="auto"/>
                <w:sz w:val="24"/>
                <w:szCs w:val="24"/>
                <w:u w:val="single" w:color="auto"/>
              </w:rPr>
              <w:t>风险评价结论</w:t>
            </w:r>
            <w:bookmarkEnd w:id="8"/>
            <w:bookmarkEnd w:id="9"/>
            <w:bookmarkEnd w:id="10"/>
            <w:bookmarkEnd w:id="11"/>
          </w:p>
          <w:p>
            <w:pPr>
              <w:pStyle w:val="169"/>
              <w:spacing w:line="360" w:lineRule="auto"/>
              <w:ind w:firstLine="462" w:firstLineChars="200"/>
              <w:rPr>
                <w:rFonts w:hint="default" w:ascii="Times New Roman" w:hAnsi="Times New Roman" w:cs="Times New Roman"/>
                <w:b/>
                <w:bCs/>
                <w:sz w:val="24"/>
                <w:szCs w:val="24"/>
                <w:u w:val="single" w:color="auto"/>
              </w:rPr>
            </w:pPr>
            <w:r>
              <w:rPr>
                <w:rFonts w:hint="default" w:ascii="Times New Roman" w:hAnsi="Times New Roman" w:cs="Times New Roman"/>
                <w:color w:val="auto"/>
                <w:sz w:val="24"/>
                <w:szCs w:val="24"/>
                <w:u w:val="single" w:color="auto"/>
              </w:rPr>
              <w:t>在严格落实本报告的提出各项事故防范和应急措施，加强管理，可最大限度地减少可能发生的环境风险。且一旦发生事故，也可将影响范围控制在较小程度之内，减小损失。企业在运营期间应不断完善企业事故防范和应急体系，实现企业联防联动，减少项目环境风险事故发生的概率，其影响危害可控制在厂区内，其风险在可接受范围内</w:t>
            </w:r>
            <w:r>
              <w:rPr>
                <w:rFonts w:hint="eastAsia" w:cs="Times New Roman"/>
                <w:sz w:val="24"/>
                <w:szCs w:val="24"/>
                <w:u w:val="single" w:color="auto"/>
                <w:lang w:eastAsia="zh-CN"/>
              </w:rPr>
              <w:t>。</w:t>
            </w:r>
          </w:p>
          <w:p>
            <w:pPr>
              <w:spacing w:line="360" w:lineRule="auto"/>
              <w:ind w:firstLine="462" w:firstLineChars="200"/>
              <w:rPr>
                <w:rFonts w:hint="default" w:ascii="Times New Roman" w:hAnsi="Times New Roman" w:cs="Times New Roman"/>
                <w:b/>
                <w:bCs/>
                <w:sz w:val="24"/>
                <w:szCs w:val="24"/>
                <w:u w:val="none" w:color="auto"/>
              </w:rPr>
            </w:pPr>
            <w:r>
              <w:rPr>
                <w:rFonts w:hint="eastAsia" w:cs="Times New Roman"/>
                <w:b/>
                <w:bCs/>
                <w:sz w:val="24"/>
                <w:szCs w:val="24"/>
                <w:u w:val="none" w:color="auto"/>
                <w:lang w:val="en-US" w:eastAsia="zh-CN"/>
              </w:rPr>
              <w:t>7</w:t>
            </w:r>
            <w:r>
              <w:rPr>
                <w:rFonts w:hint="default" w:ascii="Times New Roman" w:hAnsi="Times New Roman" w:cs="Times New Roman"/>
                <w:b/>
                <w:bCs/>
                <w:sz w:val="24"/>
                <w:szCs w:val="24"/>
                <w:u w:val="none" w:color="auto"/>
              </w:rPr>
              <w:t>、环境管理与监测计划</w:t>
            </w:r>
          </w:p>
          <w:p>
            <w:pPr>
              <w:spacing w:line="360" w:lineRule="auto"/>
              <w:ind w:firstLine="462"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lang w:eastAsia="zh-CN"/>
              </w:rPr>
              <w:t>（</w:t>
            </w:r>
            <w:r>
              <w:rPr>
                <w:rFonts w:hint="default" w:ascii="Times New Roman" w:hAnsi="Times New Roman" w:cs="Times New Roman"/>
                <w:sz w:val="24"/>
                <w:szCs w:val="24"/>
                <w:u w:val="none" w:color="auto"/>
                <w:lang w:val="en-US" w:eastAsia="zh-CN"/>
              </w:rPr>
              <w:t>1）</w:t>
            </w:r>
            <w:r>
              <w:rPr>
                <w:rFonts w:hint="default" w:ascii="Times New Roman" w:hAnsi="Times New Roman" w:cs="Times New Roman"/>
                <w:sz w:val="24"/>
                <w:szCs w:val="24"/>
                <w:u w:val="none" w:color="auto"/>
              </w:rPr>
              <w:t>环境管理</w:t>
            </w:r>
          </w:p>
          <w:p>
            <w:pPr>
              <w:spacing w:line="360" w:lineRule="auto"/>
              <w:ind w:firstLine="462"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环境管理是协调经济发展与环境保护的关系，是使经济、社会、环境有序持续发展的重要手段，根据本项目的工程特性，建设单位应设置工程管理机构中环境保护管理专职人员，其环境管理主要内容如下：</w:t>
            </w:r>
          </w:p>
          <w:p>
            <w:pPr>
              <w:spacing w:line="360" w:lineRule="auto"/>
              <w:ind w:firstLine="462"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贯彻落实国家和地方的环境保护法律、法规、政策和标准，接受行业主管部门的监督、领导，配合环境保护主管部门做好环保工作；</w:t>
            </w:r>
          </w:p>
          <w:p>
            <w:pPr>
              <w:spacing w:line="360" w:lineRule="auto"/>
              <w:ind w:firstLine="462"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制订全厂环境管理规章制度以及各种污染物排放控制指标；</w:t>
            </w:r>
          </w:p>
          <w:p>
            <w:pPr>
              <w:spacing w:line="360" w:lineRule="auto"/>
              <w:ind w:firstLine="462"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定期检查环保设施的运行情况，并根据存在的问题提出改进意见；参与企业的环保设施竣工验收和污染事故的调查与处理工作；</w:t>
            </w:r>
          </w:p>
          <w:p>
            <w:pPr>
              <w:spacing w:line="360" w:lineRule="auto"/>
              <w:ind w:firstLine="462"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在岗职工按环保要求对设备进行操作管理，操作人员需通过培训和定期考核，方可上岗。</w:t>
            </w:r>
          </w:p>
          <w:p>
            <w:pPr>
              <w:spacing w:line="360" w:lineRule="auto"/>
              <w:ind w:firstLine="462"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lang w:eastAsia="zh-CN"/>
              </w:rPr>
              <w:t>（</w:t>
            </w:r>
            <w:r>
              <w:rPr>
                <w:rFonts w:hint="default" w:ascii="Times New Roman" w:hAnsi="Times New Roman" w:cs="Times New Roman"/>
                <w:sz w:val="24"/>
                <w:szCs w:val="24"/>
                <w:u w:val="single" w:color="auto"/>
                <w:lang w:val="en-US" w:eastAsia="zh-CN"/>
              </w:rPr>
              <w:t>2）</w:t>
            </w:r>
            <w:r>
              <w:rPr>
                <w:rFonts w:hint="default" w:ascii="Times New Roman" w:hAnsi="Times New Roman" w:cs="Times New Roman"/>
                <w:sz w:val="24"/>
                <w:szCs w:val="24"/>
                <w:u w:val="single" w:color="auto"/>
              </w:rPr>
              <w:t>环境监测计划</w:t>
            </w:r>
          </w:p>
          <w:p>
            <w:pPr>
              <w:spacing w:line="360" w:lineRule="auto"/>
              <w:ind w:firstLine="462"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为切实做好废气的达标排放及污染物排放总量控制，及时了解和掌握建设项目营运期主要污染源污染物的排放情况，建设单位应定期委托有资质的环境监测单位对本项目建设后主要污染源排放的污染物进行监测。</w:t>
            </w:r>
          </w:p>
          <w:p>
            <w:pPr>
              <w:spacing w:line="360" w:lineRule="auto"/>
              <w:ind w:firstLine="462"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建议监测点位置和主要监测项目详见表 7-</w:t>
            </w:r>
            <w:r>
              <w:rPr>
                <w:rFonts w:hint="eastAsia" w:cs="Times New Roman"/>
                <w:sz w:val="24"/>
                <w:szCs w:val="24"/>
                <w:u w:val="single" w:color="auto"/>
                <w:lang w:val="en-US" w:eastAsia="zh-CN"/>
              </w:rPr>
              <w:t>13</w:t>
            </w:r>
            <w:r>
              <w:rPr>
                <w:rFonts w:hint="default" w:ascii="Times New Roman" w:hAnsi="Times New Roman" w:cs="Times New Roman"/>
                <w:sz w:val="24"/>
                <w:szCs w:val="24"/>
                <w:u w:val="single" w:color="auto"/>
              </w:rPr>
              <w:t>。</w:t>
            </w:r>
          </w:p>
          <w:p>
            <w:pPr>
              <w:spacing w:line="360" w:lineRule="auto"/>
              <w:ind w:firstLine="462" w:firstLineChars="200"/>
              <w:jc w:val="center"/>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表 7-</w:t>
            </w:r>
            <w:r>
              <w:rPr>
                <w:rFonts w:hint="eastAsia" w:cs="Times New Roman"/>
                <w:sz w:val="24"/>
                <w:szCs w:val="24"/>
                <w:u w:val="single" w:color="auto"/>
                <w:lang w:val="en-US" w:eastAsia="zh-CN"/>
              </w:rPr>
              <w:t>13</w:t>
            </w:r>
            <w:r>
              <w:rPr>
                <w:rFonts w:hint="default" w:ascii="Times New Roman" w:hAnsi="Times New Roman" w:cs="Times New Roman"/>
                <w:sz w:val="24"/>
                <w:szCs w:val="24"/>
                <w:u w:val="single" w:color="auto"/>
              </w:rPr>
              <w:t xml:space="preserve"> 本项目监测方案</w:t>
            </w:r>
          </w:p>
          <w:tbl>
            <w:tblPr>
              <w:tblStyle w:val="39"/>
              <w:tblW w:w="9062" w:type="dxa"/>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2266"/>
              <w:gridCol w:w="2264"/>
              <w:gridCol w:w="2612"/>
              <w:gridCol w:w="192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2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监测项目</w:t>
                  </w:r>
                </w:p>
              </w:tc>
              <w:tc>
                <w:tcPr>
                  <w:tcW w:w="22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监测点位</w:t>
                  </w:r>
                </w:p>
              </w:tc>
              <w:tc>
                <w:tcPr>
                  <w:tcW w:w="26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主要监测因子</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监测频次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22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大气</w:t>
                  </w:r>
                </w:p>
              </w:tc>
              <w:tc>
                <w:tcPr>
                  <w:tcW w:w="22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厂界</w:t>
                  </w:r>
                  <w:r>
                    <w:rPr>
                      <w:rFonts w:hint="default" w:ascii="Times New Roman" w:hAnsi="Times New Roman" w:cs="Times New Roman"/>
                      <w:sz w:val="21"/>
                      <w:szCs w:val="21"/>
                      <w:u w:val="single" w:color="auto"/>
                      <w:lang w:val="en-US" w:eastAsia="zh-CN"/>
                    </w:rPr>
                    <w:t>上、</w:t>
                  </w:r>
                  <w:r>
                    <w:rPr>
                      <w:rFonts w:hint="default" w:ascii="Times New Roman" w:hAnsi="Times New Roman" w:cs="Times New Roman"/>
                      <w:sz w:val="21"/>
                      <w:szCs w:val="21"/>
                      <w:u w:val="single" w:color="auto"/>
                      <w:lang w:eastAsia="zh-CN"/>
                    </w:rPr>
                    <w:t>下风向</w:t>
                  </w:r>
                </w:p>
              </w:tc>
              <w:tc>
                <w:tcPr>
                  <w:tcW w:w="26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single" w:color="auto"/>
                      <w:lang w:val="en-US" w:eastAsia="zh-CN"/>
                    </w:rPr>
                  </w:pPr>
                  <w:r>
                    <w:rPr>
                      <w:rFonts w:hint="default" w:ascii="Times New Roman" w:hAnsi="Times New Roman" w:cs="Times New Roman"/>
                      <w:sz w:val="21"/>
                      <w:szCs w:val="21"/>
                      <w:u w:val="single" w:color="auto"/>
                      <w:lang w:eastAsia="zh-CN"/>
                    </w:rPr>
                    <w:t>颗粒物</w:t>
                  </w:r>
                  <w:r>
                    <w:rPr>
                      <w:rFonts w:hint="eastAsia" w:cs="Times New Roman"/>
                      <w:sz w:val="21"/>
                      <w:szCs w:val="21"/>
                      <w:u w:val="single" w:color="auto"/>
                      <w:lang w:eastAsia="zh-CN"/>
                    </w:rPr>
                    <w:t>、</w:t>
                  </w:r>
                  <w:r>
                    <w:rPr>
                      <w:rFonts w:hint="eastAsia" w:cs="Times New Roman"/>
                      <w:sz w:val="21"/>
                      <w:szCs w:val="21"/>
                      <w:u w:val="single" w:color="auto"/>
                      <w:lang w:val="en-US" w:eastAsia="zh-CN"/>
                    </w:rPr>
                    <w:t>非甲烷总烃</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single" w:color="auto"/>
                    </w:rPr>
                  </w:pPr>
                  <w:r>
                    <w:rPr>
                      <w:rFonts w:hint="eastAsia" w:cs="Times New Roman"/>
                      <w:sz w:val="21"/>
                      <w:szCs w:val="21"/>
                      <w:u w:val="single" w:color="auto"/>
                      <w:lang w:eastAsia="zh-CN"/>
                    </w:rPr>
                    <w:t>半年</w:t>
                  </w:r>
                  <w:r>
                    <w:rPr>
                      <w:rFonts w:hint="default" w:ascii="Times New Roman" w:hAnsi="Times New Roman" w:cs="Times New Roman"/>
                      <w:sz w:val="21"/>
                      <w:szCs w:val="21"/>
                      <w:u w:val="single" w:color="auto"/>
                      <w:lang w:val="en-US" w:eastAsia="zh-CN"/>
                    </w:rPr>
                    <w:t>/</w:t>
                  </w:r>
                  <w:r>
                    <w:rPr>
                      <w:rFonts w:hint="default" w:ascii="Times New Roman" w:hAnsi="Times New Roman" w:cs="Times New Roman"/>
                      <w:sz w:val="21"/>
                      <w:szCs w:val="21"/>
                      <w:u w:val="single" w:color="auto"/>
                    </w:rPr>
                    <w:t>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22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噪声</w:t>
                  </w:r>
                </w:p>
              </w:tc>
              <w:tc>
                <w:tcPr>
                  <w:tcW w:w="22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single" w:color="auto"/>
                      <w:lang w:eastAsia="zh-CN"/>
                    </w:rPr>
                  </w:pPr>
                  <w:r>
                    <w:rPr>
                      <w:rFonts w:hint="default" w:ascii="Times New Roman" w:hAnsi="Times New Roman" w:cs="Times New Roman"/>
                      <w:sz w:val="21"/>
                      <w:szCs w:val="21"/>
                      <w:u w:val="single" w:color="auto"/>
                    </w:rPr>
                    <w:t>厂界</w:t>
                  </w:r>
                  <w:r>
                    <w:rPr>
                      <w:rFonts w:hint="default" w:ascii="Times New Roman" w:hAnsi="Times New Roman" w:cs="Times New Roman"/>
                      <w:sz w:val="21"/>
                      <w:szCs w:val="21"/>
                      <w:u w:val="single" w:color="auto"/>
                      <w:lang w:eastAsia="zh-CN"/>
                    </w:rPr>
                    <w:t>四周</w:t>
                  </w:r>
                </w:p>
              </w:tc>
              <w:tc>
                <w:tcPr>
                  <w:tcW w:w="26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sz w:val="21"/>
                      <w:szCs w:val="21"/>
                      <w:u w:val="single" w:color="auto"/>
                      <w:lang w:eastAsia="zh-CN"/>
                    </w:rPr>
                  </w:pPr>
                  <w:r>
                    <w:rPr>
                      <w:rFonts w:hint="eastAsia" w:ascii="Times New Roman" w:hAnsi="Times New Roman" w:cs="Times New Roman"/>
                      <w:sz w:val="21"/>
                      <w:szCs w:val="21"/>
                      <w:u w:val="single" w:color="auto"/>
                      <w:lang w:eastAsia="zh-CN"/>
                    </w:rPr>
                    <w:t>噪声</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single" w:color="auto"/>
                    </w:rPr>
                  </w:pPr>
                  <w:r>
                    <w:rPr>
                      <w:rFonts w:hint="eastAsia" w:cs="Times New Roman"/>
                      <w:sz w:val="21"/>
                      <w:szCs w:val="21"/>
                      <w:u w:val="single" w:color="auto"/>
                      <w:lang w:eastAsia="zh-CN"/>
                    </w:rPr>
                    <w:t>半年</w:t>
                  </w:r>
                  <w:r>
                    <w:rPr>
                      <w:rFonts w:hint="default" w:ascii="Times New Roman" w:hAnsi="Times New Roman" w:cs="Times New Roman"/>
                      <w:sz w:val="21"/>
                      <w:szCs w:val="21"/>
                      <w:u w:val="single" w:color="auto"/>
                      <w:lang w:val="en-US" w:eastAsia="zh-CN"/>
                    </w:rPr>
                    <w:t>/</w:t>
                  </w:r>
                  <w:r>
                    <w:rPr>
                      <w:rFonts w:hint="default" w:ascii="Times New Roman" w:hAnsi="Times New Roman" w:cs="Times New Roman"/>
                      <w:sz w:val="21"/>
                      <w:szCs w:val="21"/>
                      <w:u w:val="single" w:color="auto"/>
                    </w:rPr>
                    <w:t>次</w:t>
                  </w:r>
                </w:p>
              </w:tc>
            </w:tr>
          </w:tbl>
          <w:p>
            <w:pPr>
              <w:pStyle w:val="32"/>
              <w:spacing w:line="360" w:lineRule="auto"/>
              <w:ind w:left="400"/>
              <w:rPr>
                <w:rFonts w:hint="eastAsia" w:ascii="Times New Roman" w:hAnsi="Times New Roman" w:eastAsia="宋体" w:cs="Times New Roman"/>
                <w:sz w:val="24"/>
                <w:szCs w:val="24"/>
                <w:u w:val="single" w:color="auto"/>
                <w:lang w:eastAsia="zh-CN"/>
              </w:rPr>
            </w:pPr>
            <w:r>
              <w:rPr>
                <w:rFonts w:hint="default" w:ascii="Times New Roman" w:hAnsi="Times New Roman" w:cs="Times New Roman"/>
                <w:sz w:val="24"/>
                <w:szCs w:val="24"/>
                <w:u w:val="single" w:color="auto"/>
              </w:rPr>
              <w:t>监测计划实施由公司负责组织协调，可委托有资质的环境监测单位承担监测任务</w:t>
            </w:r>
            <w:r>
              <w:rPr>
                <w:rFonts w:hint="eastAsia" w:cs="Times New Roman"/>
                <w:sz w:val="24"/>
                <w:szCs w:val="24"/>
                <w:u w:val="single" w:color="auto"/>
                <w:lang w:eastAsia="zh-CN"/>
              </w:rPr>
              <w:t>。</w:t>
            </w:r>
          </w:p>
          <w:p>
            <w:pPr>
              <w:snapToGrid w:val="0"/>
              <w:spacing w:line="360" w:lineRule="auto"/>
              <w:ind w:firstLine="462" w:firstLineChars="200"/>
              <w:rPr>
                <w:rFonts w:hint="default" w:ascii="Times New Roman" w:hAnsi="Times New Roman" w:cs="Times New Roman"/>
                <w:b/>
                <w:sz w:val="24"/>
                <w:szCs w:val="24"/>
                <w:u w:val="none" w:color="auto"/>
              </w:rPr>
            </w:pPr>
            <w:r>
              <w:rPr>
                <w:rFonts w:hint="eastAsia" w:cs="Times New Roman"/>
                <w:b/>
                <w:sz w:val="24"/>
                <w:szCs w:val="24"/>
                <w:u w:val="none" w:color="auto"/>
                <w:lang w:val="en-US" w:eastAsia="zh-CN"/>
              </w:rPr>
              <w:t>8</w:t>
            </w:r>
            <w:r>
              <w:rPr>
                <w:rFonts w:hint="default" w:ascii="Times New Roman" w:hAnsi="Times New Roman" w:cs="Times New Roman"/>
                <w:b/>
                <w:sz w:val="24"/>
                <w:szCs w:val="24"/>
                <w:u w:val="none" w:color="auto"/>
              </w:rPr>
              <w:t>、项目合理性分析</w:t>
            </w:r>
          </w:p>
          <w:p>
            <w:pPr>
              <w:snapToGrid w:val="0"/>
              <w:spacing w:line="360" w:lineRule="auto"/>
              <w:ind w:firstLine="453" w:firstLineChars="196"/>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（1）产业政策符合性分析</w:t>
            </w:r>
          </w:p>
          <w:p>
            <w:pPr>
              <w:spacing w:line="360" w:lineRule="auto"/>
              <w:ind w:firstLine="462" w:firstLineChars="200"/>
              <w:rPr>
                <w:rFonts w:hint="default" w:cs="Times New Roman"/>
                <w:sz w:val="24"/>
                <w:szCs w:val="24"/>
                <w:u w:val="single" w:color="auto"/>
                <w:lang w:eastAsia="zh-CN"/>
              </w:rPr>
            </w:pPr>
            <w:r>
              <w:rPr>
                <w:rFonts w:hint="default" w:cs="Times New Roman"/>
                <w:sz w:val="24"/>
                <w:szCs w:val="24"/>
                <w:u w:val="single" w:color="auto"/>
                <w:lang w:eastAsia="zh-CN"/>
              </w:rPr>
              <w:t>本项目为</w:t>
            </w:r>
            <w:r>
              <w:rPr>
                <w:rFonts w:hint="eastAsia" w:cs="Times New Roman"/>
                <w:sz w:val="24"/>
                <w:szCs w:val="24"/>
                <w:u w:val="single" w:color="auto"/>
                <w:lang w:eastAsia="zh-CN"/>
              </w:rPr>
              <w:t>木制品制造</w:t>
            </w:r>
            <w:r>
              <w:rPr>
                <w:rFonts w:hint="default" w:cs="Times New Roman"/>
                <w:sz w:val="24"/>
                <w:szCs w:val="24"/>
                <w:u w:val="single" w:color="auto"/>
                <w:lang w:eastAsia="zh-CN"/>
              </w:rPr>
              <w:t>，根据中华人民共和国发展和改革委员会《产业结构调整指导目录（201</w:t>
            </w:r>
            <w:r>
              <w:rPr>
                <w:rFonts w:hint="eastAsia" w:cs="Times New Roman"/>
                <w:sz w:val="24"/>
                <w:szCs w:val="24"/>
                <w:u w:val="single" w:color="auto"/>
                <w:lang w:val="en-US" w:eastAsia="zh-CN"/>
              </w:rPr>
              <w:t>9</w:t>
            </w:r>
            <w:r>
              <w:rPr>
                <w:rFonts w:hint="default" w:cs="Times New Roman"/>
                <w:sz w:val="24"/>
                <w:szCs w:val="24"/>
                <w:u w:val="single" w:color="auto"/>
                <w:lang w:eastAsia="zh-CN"/>
              </w:rPr>
              <w:t>年本）》，该类项目不属于限制类和淘汰类项目，符合国家产业政策要求</w:t>
            </w:r>
            <w:r>
              <w:rPr>
                <w:rFonts w:hint="eastAsia" w:cs="Times New Roman"/>
                <w:sz w:val="24"/>
                <w:szCs w:val="24"/>
                <w:u w:val="single" w:color="auto"/>
                <w:lang w:eastAsia="zh-CN"/>
              </w:rPr>
              <w:t>，项目设备无国家发改委《产业结构调整指导目录》（2019 年本）、《工业和信息化部高耗能落后机电设备（产品）淘汰目录》、《部分工业行业淘汰落后生产工艺装备和产品指导目录》中淘汰及明令禁止使用的设备</w:t>
            </w:r>
            <w:r>
              <w:rPr>
                <w:rFonts w:hint="default" w:cs="Times New Roman"/>
                <w:sz w:val="24"/>
                <w:szCs w:val="24"/>
                <w:u w:val="single" w:color="auto"/>
                <w:lang w:eastAsia="zh-CN"/>
              </w:rPr>
              <w:t>。</w:t>
            </w:r>
          </w:p>
          <w:p>
            <w:pPr>
              <w:snapToGrid w:val="0"/>
              <w:spacing w:line="360" w:lineRule="auto"/>
              <w:ind w:firstLine="453" w:firstLineChars="196"/>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（2）规划合理性分析</w:t>
            </w:r>
          </w:p>
          <w:p>
            <w:pPr>
              <w:spacing w:line="360" w:lineRule="auto"/>
              <w:ind w:firstLine="462" w:firstLineChars="200"/>
              <w:rPr>
                <w:rFonts w:hint="default" w:ascii="Times New Roman" w:hAnsi="Times New Roman" w:cs="Times New Roman"/>
                <w:spacing w:val="-6"/>
                <w:sz w:val="24"/>
                <w:szCs w:val="24"/>
                <w:u w:val="single" w:color="auto"/>
              </w:rPr>
            </w:pPr>
            <w:r>
              <w:rPr>
                <w:rFonts w:hint="default" w:ascii="Times New Roman" w:hAnsi="Times New Roman" w:cs="Times New Roman"/>
                <w:sz w:val="24"/>
                <w:szCs w:val="24"/>
                <w:u w:val="single" w:color="auto"/>
              </w:rPr>
              <w:t>本项目</w:t>
            </w:r>
            <w:r>
              <w:rPr>
                <w:rFonts w:hint="eastAsia" w:cs="Times New Roman"/>
                <w:sz w:val="24"/>
                <w:szCs w:val="24"/>
                <w:u w:val="single" w:color="auto"/>
                <w:lang w:eastAsia="zh-CN"/>
              </w:rPr>
              <w:t>租赁湘阴县石塘乡高山村红星组厂房进行生产，</w:t>
            </w:r>
            <w:r>
              <w:rPr>
                <w:rFonts w:hint="eastAsia" w:cs="Times New Roman"/>
                <w:sz w:val="24"/>
                <w:szCs w:val="24"/>
                <w:u w:val="single" w:color="auto"/>
                <w:lang w:val="en-US" w:eastAsia="zh-CN"/>
              </w:rPr>
              <w:t>本项目用地为集体建设用地</w:t>
            </w:r>
            <w:r>
              <w:rPr>
                <w:rFonts w:hint="default" w:ascii="Times New Roman" w:hAnsi="Times New Roman" w:cs="Times New Roman"/>
                <w:sz w:val="24"/>
                <w:szCs w:val="24"/>
                <w:u w:val="single" w:color="auto"/>
              </w:rPr>
              <w:t>，项目所在地不属于生活饮用水水源保护区、风景名胜区等区域。</w:t>
            </w:r>
          </w:p>
          <w:p>
            <w:pPr>
              <w:snapToGrid w:val="0"/>
              <w:spacing w:line="360" w:lineRule="auto"/>
              <w:ind w:firstLine="462"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（3）选址合理性分析</w:t>
            </w:r>
          </w:p>
          <w:p>
            <w:pPr>
              <w:snapToGrid w:val="0"/>
              <w:spacing w:line="360" w:lineRule="auto"/>
              <w:ind w:firstLine="453" w:firstLineChars="196"/>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①地理位置</w:t>
            </w:r>
          </w:p>
          <w:p>
            <w:pPr>
              <w:snapToGrid w:val="0"/>
              <w:spacing w:line="360" w:lineRule="auto"/>
              <w:ind w:firstLine="453" w:firstLineChars="196"/>
              <w:rPr>
                <w:rFonts w:hint="default" w:ascii="Times New Roman" w:hAnsi="Times New Roman" w:cs="Times New Roman"/>
                <w:bCs/>
                <w:sz w:val="24"/>
                <w:szCs w:val="24"/>
                <w:u w:val="single" w:color="auto"/>
              </w:rPr>
            </w:pPr>
            <w:r>
              <w:rPr>
                <w:rFonts w:hint="default" w:ascii="Times New Roman" w:hAnsi="Times New Roman" w:cs="Times New Roman"/>
                <w:bCs/>
                <w:sz w:val="24"/>
                <w:szCs w:val="24"/>
                <w:u w:val="single" w:color="auto"/>
              </w:rPr>
              <w:t>本项目选址于</w:t>
            </w:r>
            <w:r>
              <w:rPr>
                <w:rFonts w:hint="eastAsia" w:cs="Times New Roman"/>
                <w:sz w:val="24"/>
                <w:u w:val="single" w:color="auto"/>
                <w:lang w:eastAsia="zh-CN"/>
              </w:rPr>
              <w:t>湘阴县石塘乡高山村红星组</w:t>
            </w:r>
            <w:r>
              <w:rPr>
                <w:rFonts w:hint="default" w:ascii="Times New Roman" w:hAnsi="Times New Roman" w:cs="Times New Roman"/>
                <w:bCs/>
                <w:sz w:val="24"/>
                <w:szCs w:val="24"/>
                <w:u w:val="single" w:color="auto"/>
              </w:rPr>
              <w:t>，交通较为便利。</w:t>
            </w:r>
            <w:r>
              <w:rPr>
                <w:rFonts w:hint="default" w:ascii="Times New Roman" w:hAnsi="Times New Roman" w:cs="Times New Roman"/>
                <w:sz w:val="24"/>
                <w:szCs w:val="24"/>
                <w:u w:val="single" w:color="auto"/>
              </w:rPr>
              <w:t>本项目所在地供电、通讯、道路等基础设施比较完善，电、水源供应充足。</w:t>
            </w:r>
          </w:p>
          <w:p>
            <w:pPr>
              <w:snapToGrid w:val="0"/>
              <w:spacing w:line="360" w:lineRule="auto"/>
              <w:ind w:firstLine="453" w:firstLineChars="196"/>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②环境容量</w:t>
            </w:r>
          </w:p>
          <w:p>
            <w:pPr>
              <w:snapToGrid w:val="0"/>
              <w:spacing w:line="360" w:lineRule="auto"/>
              <w:ind w:firstLine="453" w:firstLineChars="196"/>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根据环境功能区划的划分，项目选址区环境空气功能为二级区，水体功能为Ⅲ类水体，声环境功能为</w:t>
            </w:r>
            <w:r>
              <w:rPr>
                <w:rFonts w:hint="eastAsia" w:ascii="Times New Roman" w:hAnsi="Times New Roman" w:cs="Times New Roman"/>
                <w:sz w:val="24"/>
                <w:szCs w:val="24"/>
                <w:u w:val="single" w:color="auto"/>
                <w:lang w:val="en-US" w:eastAsia="zh-CN"/>
              </w:rPr>
              <w:t>2</w:t>
            </w:r>
            <w:r>
              <w:rPr>
                <w:rFonts w:hint="default" w:ascii="Times New Roman" w:hAnsi="Times New Roman" w:cs="Times New Roman"/>
                <w:sz w:val="24"/>
                <w:szCs w:val="24"/>
                <w:u w:val="single" w:color="auto"/>
              </w:rPr>
              <w:t>类区。根据环境质量现状数据，本项目所在区域地表水、声环境质量满足相应功能区划要求，</w:t>
            </w:r>
            <w:r>
              <w:rPr>
                <w:rFonts w:hint="eastAsia" w:cs="Times New Roman"/>
                <w:sz w:val="24"/>
                <w:szCs w:val="24"/>
                <w:u w:val="single" w:color="auto"/>
                <w:lang w:eastAsia="zh-CN"/>
              </w:rPr>
              <w:t>根据</w:t>
            </w:r>
            <w:r>
              <w:rPr>
                <w:rFonts w:hint="eastAsia" w:cs="Times New Roman"/>
                <w:sz w:val="24"/>
                <w:szCs w:val="24"/>
                <w:u w:val="single" w:color="auto"/>
                <w:lang w:val="en-US" w:eastAsia="zh-CN"/>
              </w:rPr>
              <w:t>2018年和2019年环境空气检测数据可知，项目所在地环境空气逐渐改善</w:t>
            </w:r>
            <w:r>
              <w:rPr>
                <w:rFonts w:hint="default" w:ascii="Times New Roman" w:hAnsi="Times New Roman" w:cs="Times New Roman"/>
                <w:sz w:val="24"/>
                <w:szCs w:val="24"/>
                <w:u w:val="single" w:color="auto"/>
              </w:rPr>
              <w:t>，在充分落实本评价提出的各项处理措施后，项目营运对周围环境产生的影响较小，不会降低该区现有环境功能。</w:t>
            </w:r>
          </w:p>
          <w:p>
            <w:pPr>
              <w:snapToGrid w:val="0"/>
              <w:spacing w:line="360" w:lineRule="auto"/>
              <w:ind w:firstLine="453" w:firstLineChars="196"/>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③达标排放</w:t>
            </w:r>
          </w:p>
          <w:p>
            <w:pPr>
              <w:snapToGrid w:val="0"/>
              <w:spacing w:line="360" w:lineRule="auto"/>
              <w:ind w:firstLine="453" w:firstLineChars="196"/>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本项目营运期产生的各类污染物经过相关环保措施处理后可实现达标排放，固废可实现有效处理和处置，对周围环境产生的影响在可接受的范围之内。</w:t>
            </w:r>
          </w:p>
          <w:p>
            <w:pPr>
              <w:snapToGrid w:val="0"/>
              <w:spacing w:line="360" w:lineRule="auto"/>
              <w:ind w:firstLine="453" w:firstLineChars="196"/>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综上所述，本项目符合当地环境功能区规划，各污染物在采取相关环保措施后都可以实现达标排放，对周围环境影响不大，本项目选址合理。</w:t>
            </w:r>
          </w:p>
          <w:p>
            <w:pPr>
              <w:keepNext w:val="0"/>
              <w:keepLines w:val="0"/>
              <w:pageBreakBefore w:val="0"/>
              <w:kinsoku/>
              <w:wordWrap/>
              <w:overflowPunct/>
              <w:topLinePunct w:val="0"/>
              <w:autoSpaceDE/>
              <w:autoSpaceDN/>
              <w:bidi w:val="0"/>
              <w:adjustRightInd/>
              <w:snapToGrid w:val="0"/>
              <w:spacing w:line="360" w:lineRule="auto"/>
              <w:ind w:firstLine="462" w:firstLineChars="200"/>
              <w:textAlignment w:val="auto"/>
              <w:rPr>
                <w:rFonts w:hint="default" w:ascii="Times New Roman" w:hAnsi="Times New Roman" w:eastAsia="宋体" w:cs="Times New Roman"/>
                <w:sz w:val="24"/>
                <w:szCs w:val="24"/>
                <w:u w:val="single" w:color="auto"/>
                <w:lang w:val="en-US" w:eastAsia="zh-CN"/>
              </w:rPr>
            </w:pPr>
            <w:r>
              <w:rPr>
                <w:rFonts w:hint="default" w:ascii="Times New Roman" w:hAnsi="Times New Roman" w:cs="Times New Roman"/>
                <w:sz w:val="24"/>
                <w:szCs w:val="24"/>
                <w:u w:val="single" w:color="auto"/>
                <w:lang w:eastAsia="zh-CN"/>
              </w:rPr>
              <w:t>（</w:t>
            </w:r>
            <w:r>
              <w:rPr>
                <w:rFonts w:hint="default" w:ascii="Times New Roman" w:hAnsi="Times New Roman" w:cs="Times New Roman"/>
                <w:sz w:val="24"/>
                <w:szCs w:val="24"/>
                <w:u w:val="single" w:color="auto"/>
                <w:lang w:val="en-US" w:eastAsia="zh-CN"/>
              </w:rPr>
              <w:t>4</w:t>
            </w:r>
            <w:r>
              <w:rPr>
                <w:rFonts w:hint="default" w:ascii="Times New Roman" w:hAnsi="Times New Roman" w:cs="Times New Roman"/>
                <w:sz w:val="24"/>
                <w:szCs w:val="24"/>
                <w:u w:val="single" w:color="auto"/>
                <w:lang w:eastAsia="zh-CN"/>
              </w:rPr>
              <w:t>）</w:t>
            </w:r>
            <w:r>
              <w:rPr>
                <w:rFonts w:hint="default" w:ascii="Times New Roman" w:hAnsi="Times New Roman" w:cs="Times New Roman"/>
                <w:sz w:val="24"/>
                <w:szCs w:val="24"/>
                <w:u w:val="single" w:color="auto"/>
                <w:lang w:val="en-US" w:eastAsia="zh-CN"/>
              </w:rPr>
              <w:t>与</w:t>
            </w:r>
            <w:r>
              <w:rPr>
                <w:rFonts w:hint="default" w:ascii="Times New Roman" w:hAnsi="Times New Roman" w:eastAsia="宋体" w:cs="Times New Roman"/>
                <w:color w:val="000000"/>
                <w:kern w:val="0"/>
                <w:sz w:val="24"/>
                <w:szCs w:val="24"/>
                <w:u w:val="single" w:color="auto"/>
                <w:lang w:val="en-US" w:eastAsia="zh-CN" w:bidi="ar"/>
              </w:rPr>
              <w:t>《湖南省挥发性有机物污染防治三年行动实施方案》（</w:t>
            </w:r>
            <w:r>
              <w:rPr>
                <w:rFonts w:hint="default" w:ascii="Times New Roman" w:hAnsi="Times New Roman" w:eastAsia="TimesNewRomanPSMT" w:cs="Times New Roman"/>
                <w:color w:val="000000"/>
                <w:kern w:val="0"/>
                <w:sz w:val="24"/>
                <w:szCs w:val="24"/>
                <w:u w:val="single" w:color="auto"/>
                <w:lang w:val="en-US" w:eastAsia="zh-CN" w:bidi="ar"/>
              </w:rPr>
              <w:t xml:space="preserve">2018-2020 </w:t>
            </w:r>
            <w:r>
              <w:rPr>
                <w:rFonts w:hint="default" w:ascii="Times New Roman" w:hAnsi="Times New Roman" w:eastAsia="宋体" w:cs="Times New Roman"/>
                <w:color w:val="000000"/>
                <w:kern w:val="0"/>
                <w:sz w:val="24"/>
                <w:szCs w:val="24"/>
                <w:u w:val="single" w:color="auto"/>
                <w:lang w:val="en-US" w:eastAsia="zh-CN" w:bidi="ar"/>
              </w:rPr>
              <w:t>年）</w:t>
            </w:r>
            <w:r>
              <w:rPr>
                <w:rFonts w:hint="default" w:ascii="Times New Roman" w:hAnsi="Times New Roman" w:cs="Times New Roman"/>
                <w:color w:val="000000"/>
                <w:kern w:val="0"/>
                <w:sz w:val="24"/>
                <w:szCs w:val="24"/>
                <w:u w:val="single" w:color="auto"/>
                <w:lang w:val="en-US" w:eastAsia="zh-CN" w:bidi="ar"/>
              </w:rPr>
              <w:t>和湖南省政府办公厅【2018】15号文相符分析</w:t>
            </w:r>
            <w:r>
              <w:rPr>
                <w:rFonts w:hint="eastAsia" w:ascii="Times New Roman" w:hAnsi="Times New Roman" w:cs="Times New Roman"/>
                <w:color w:val="000000"/>
                <w:kern w:val="0"/>
                <w:sz w:val="24"/>
                <w:szCs w:val="24"/>
                <w:u w:val="single" w:color="auto"/>
                <w:lang w:val="en-US" w:eastAsia="zh-CN" w:bidi="ar"/>
              </w:rPr>
              <w:t>，具体详见下表7-14。</w:t>
            </w:r>
          </w:p>
          <w:p>
            <w:pPr>
              <w:keepNext w:val="0"/>
              <w:keepLines w:val="0"/>
              <w:pageBreakBefore w:val="0"/>
              <w:widowControl/>
              <w:suppressLineNumbers w:val="0"/>
              <w:kinsoku/>
              <w:wordWrap/>
              <w:overflowPunct/>
              <w:topLinePunct w:val="0"/>
              <w:autoSpaceDE/>
              <w:autoSpaceDN/>
              <w:bidi w:val="0"/>
              <w:adjustRightInd/>
              <w:spacing w:line="360" w:lineRule="auto"/>
              <w:ind w:firstLine="693" w:firstLineChars="300"/>
              <w:jc w:val="center"/>
              <w:textAlignment w:val="auto"/>
              <w:rPr>
                <w:rFonts w:hint="default" w:ascii="Times New Roman" w:hAnsi="Times New Roman" w:eastAsia="宋体" w:cs="Times New Roman"/>
                <w:color w:val="000000"/>
                <w:kern w:val="0"/>
                <w:sz w:val="24"/>
                <w:szCs w:val="24"/>
                <w:u w:val="single" w:color="auto"/>
                <w:lang w:val="en-US" w:eastAsia="zh-CN" w:bidi="ar"/>
              </w:rPr>
            </w:pPr>
            <w:r>
              <w:rPr>
                <w:rFonts w:hint="eastAsia" w:ascii="Times New Roman" w:hAnsi="Times New Roman" w:eastAsia="宋体" w:cs="Times New Roman"/>
                <w:color w:val="000000"/>
                <w:kern w:val="0"/>
                <w:sz w:val="24"/>
                <w:szCs w:val="24"/>
                <w:u w:val="single" w:color="auto"/>
                <w:lang w:val="en-US" w:eastAsia="zh-CN" w:bidi="ar"/>
              </w:rPr>
              <w:t>表7-14  相符性分析一览表</w:t>
            </w:r>
          </w:p>
          <w:tbl>
            <w:tblPr>
              <w:tblStyle w:val="40"/>
              <w:tblW w:w="5000"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3935"/>
              <w:gridCol w:w="2358"/>
              <w:gridCol w:w="20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color w:val="000000"/>
                      <w:kern w:val="0"/>
                      <w:sz w:val="22"/>
                      <w:szCs w:val="22"/>
                      <w:u w:val="single" w:color="auto"/>
                      <w:vertAlign w:val="baseline"/>
                      <w:lang w:val="en-US" w:eastAsia="zh-CN" w:bidi="ar"/>
                    </w:rPr>
                  </w:pPr>
                  <w:r>
                    <w:rPr>
                      <w:rFonts w:hint="default" w:ascii="Times New Roman" w:hAnsi="Times New Roman" w:eastAsia="宋体" w:cs="Times New Roman"/>
                      <w:color w:val="000000"/>
                      <w:kern w:val="0"/>
                      <w:sz w:val="22"/>
                      <w:szCs w:val="22"/>
                      <w:u w:val="single" w:color="auto"/>
                      <w:vertAlign w:val="baseline"/>
                      <w:lang w:val="en-US" w:eastAsia="zh-CN" w:bidi="ar"/>
                    </w:rPr>
                    <w:t>序号</w:t>
                  </w:r>
                </w:p>
              </w:tc>
              <w:tc>
                <w:tcPr>
                  <w:tcW w:w="216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color w:val="000000"/>
                      <w:kern w:val="0"/>
                      <w:sz w:val="22"/>
                      <w:szCs w:val="22"/>
                      <w:u w:val="single" w:color="auto"/>
                      <w:vertAlign w:val="baseline"/>
                      <w:lang w:val="en-US" w:eastAsia="zh-CN" w:bidi="ar"/>
                    </w:rPr>
                  </w:pPr>
                  <w:r>
                    <w:rPr>
                      <w:rFonts w:hint="default" w:ascii="Times New Roman" w:hAnsi="Times New Roman" w:eastAsia="宋体" w:cs="Times New Roman"/>
                      <w:color w:val="000000"/>
                      <w:kern w:val="0"/>
                      <w:sz w:val="22"/>
                      <w:szCs w:val="22"/>
                      <w:u w:val="single" w:color="auto"/>
                      <w:vertAlign w:val="baseline"/>
                      <w:lang w:val="en-US" w:eastAsia="zh-CN" w:bidi="ar"/>
                    </w:rPr>
                    <w:t>政策要求</w:t>
                  </w:r>
                </w:p>
              </w:tc>
              <w:tc>
                <w:tcPr>
                  <w:tcW w:w="129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color w:val="000000"/>
                      <w:kern w:val="0"/>
                      <w:sz w:val="22"/>
                      <w:szCs w:val="22"/>
                      <w:u w:val="single" w:color="auto"/>
                      <w:vertAlign w:val="baseline"/>
                      <w:lang w:val="en-US" w:eastAsia="zh-CN" w:bidi="ar"/>
                    </w:rPr>
                  </w:pPr>
                  <w:r>
                    <w:rPr>
                      <w:rFonts w:hint="default" w:ascii="Times New Roman" w:hAnsi="Times New Roman" w:eastAsia="宋体" w:cs="Times New Roman"/>
                      <w:color w:val="000000"/>
                      <w:kern w:val="0"/>
                      <w:sz w:val="22"/>
                      <w:szCs w:val="22"/>
                      <w:u w:val="single" w:color="auto"/>
                      <w:vertAlign w:val="baseline"/>
                      <w:lang w:val="en-US" w:eastAsia="zh-CN" w:bidi="ar"/>
                    </w:rPr>
                    <w:t>本项目情况</w:t>
                  </w:r>
                </w:p>
              </w:tc>
              <w:tc>
                <w:tcPr>
                  <w:tcW w:w="1153"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color w:val="000000"/>
                      <w:kern w:val="0"/>
                      <w:sz w:val="22"/>
                      <w:szCs w:val="22"/>
                      <w:u w:val="single" w:color="auto"/>
                      <w:vertAlign w:val="baseline"/>
                      <w:lang w:val="en-US" w:eastAsia="zh-CN" w:bidi="ar"/>
                    </w:rPr>
                  </w:pPr>
                  <w:r>
                    <w:rPr>
                      <w:rFonts w:hint="default" w:ascii="Times New Roman" w:hAnsi="Times New Roman" w:eastAsia="宋体" w:cs="Times New Roman"/>
                      <w:color w:val="000000"/>
                      <w:kern w:val="0"/>
                      <w:sz w:val="22"/>
                      <w:szCs w:val="22"/>
                      <w:u w:val="single" w:color="auto"/>
                      <w:vertAlign w:val="baseline"/>
                      <w:lang w:val="en-US" w:eastAsia="zh-CN" w:bidi="ar"/>
                    </w:rPr>
                    <w:t>相符性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color w:val="000000"/>
                      <w:kern w:val="0"/>
                      <w:sz w:val="22"/>
                      <w:szCs w:val="22"/>
                      <w:u w:val="single" w:color="auto"/>
                      <w:vertAlign w:val="baseline"/>
                      <w:lang w:val="en-US" w:eastAsia="zh-CN" w:bidi="ar"/>
                    </w:rPr>
                  </w:pPr>
                  <w:r>
                    <w:rPr>
                      <w:rFonts w:hint="eastAsia" w:ascii="Times New Roman" w:hAnsi="Times New Roman" w:eastAsia="宋体" w:cs="Times New Roman"/>
                      <w:color w:val="000000"/>
                      <w:kern w:val="0"/>
                      <w:sz w:val="22"/>
                      <w:szCs w:val="22"/>
                      <w:u w:val="single" w:color="auto"/>
                      <w:vertAlign w:val="baseline"/>
                      <w:lang w:val="en-US" w:eastAsia="zh-CN" w:bidi="ar"/>
                    </w:rPr>
                    <w:t>1</w:t>
                  </w:r>
                </w:p>
              </w:tc>
              <w:tc>
                <w:tcPr>
                  <w:tcW w:w="216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color w:val="000000"/>
                      <w:kern w:val="0"/>
                      <w:sz w:val="22"/>
                      <w:szCs w:val="22"/>
                      <w:u w:val="single" w:color="auto"/>
                      <w:vertAlign w:val="baseline"/>
                      <w:lang w:val="en-US" w:eastAsia="zh-CN" w:bidi="ar"/>
                    </w:rPr>
                  </w:pPr>
                  <w:r>
                    <w:rPr>
                      <w:rFonts w:hint="default" w:ascii="Times New Roman" w:hAnsi="Times New Roman" w:eastAsia="宋体" w:cs="Times New Roman"/>
                      <w:color w:val="000000"/>
                      <w:kern w:val="0"/>
                      <w:sz w:val="22"/>
                      <w:szCs w:val="22"/>
                      <w:u w:val="single" w:color="auto"/>
                      <w:lang w:val="en-US" w:eastAsia="zh-CN" w:bidi="ar"/>
                    </w:rPr>
                    <w:t>严格建设项目环境准入。提高 VOCs 排放重点行业环保准入门槛，严格控制新增污染物排放量。严格限制石化、化工、包装印刷、工业涂装、家具制造、制药等高 VOCs 排放建设项目，新建涉 VOCs 排放的工业企业要入园区</w:t>
                  </w:r>
                </w:p>
              </w:tc>
              <w:tc>
                <w:tcPr>
                  <w:tcW w:w="129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color w:val="000000"/>
                      <w:kern w:val="0"/>
                      <w:sz w:val="22"/>
                      <w:szCs w:val="22"/>
                      <w:u w:val="single" w:color="auto"/>
                      <w:vertAlign w:val="baseline"/>
                      <w:lang w:val="en-US" w:eastAsia="zh-CN" w:bidi="ar"/>
                    </w:rPr>
                  </w:pPr>
                  <w:r>
                    <w:rPr>
                      <w:rFonts w:hint="eastAsia" w:ascii="Times New Roman" w:hAnsi="Times New Roman" w:eastAsia="宋体" w:cs="Times New Roman"/>
                      <w:color w:val="000000"/>
                      <w:kern w:val="0"/>
                      <w:sz w:val="22"/>
                      <w:szCs w:val="22"/>
                      <w:u w:val="single" w:color="auto"/>
                      <w:vertAlign w:val="baseline"/>
                      <w:lang w:val="en-US" w:eastAsia="zh-CN" w:bidi="ar"/>
                    </w:rPr>
                    <w:t>本项目为家具制造行业，位于湘阴县石塘乡，未进入园区，但本项目</w:t>
                  </w:r>
                  <w:r>
                    <w:rPr>
                      <w:rFonts w:hint="default" w:ascii="Times New Roman" w:hAnsi="Times New Roman" w:eastAsia="宋体" w:cs="Times New Roman"/>
                      <w:color w:val="000000"/>
                      <w:kern w:val="0"/>
                      <w:sz w:val="22"/>
                      <w:szCs w:val="22"/>
                      <w:u w:val="single" w:color="auto"/>
                      <w:lang w:val="en-US" w:eastAsia="zh-CN" w:bidi="ar"/>
                    </w:rPr>
                    <w:t>VOCs</w:t>
                  </w:r>
                  <w:r>
                    <w:rPr>
                      <w:rFonts w:hint="eastAsia" w:cs="Times New Roman"/>
                      <w:color w:val="000000"/>
                      <w:kern w:val="0"/>
                      <w:sz w:val="22"/>
                      <w:szCs w:val="22"/>
                      <w:u w:val="single" w:color="auto"/>
                      <w:lang w:val="en-US" w:eastAsia="zh-CN" w:bidi="ar"/>
                    </w:rPr>
                    <w:t>产生量小，且不涉及喷漆工艺，使用的黏胶剂均为环保胶</w:t>
                  </w:r>
                </w:p>
              </w:tc>
              <w:tc>
                <w:tcPr>
                  <w:tcW w:w="1153"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color w:val="000000"/>
                      <w:kern w:val="0"/>
                      <w:sz w:val="22"/>
                      <w:szCs w:val="22"/>
                      <w:u w:val="single" w:color="auto"/>
                      <w:vertAlign w:val="baseline"/>
                      <w:lang w:val="en-US" w:eastAsia="zh-CN" w:bidi="ar"/>
                    </w:rPr>
                  </w:pPr>
                  <w:r>
                    <w:rPr>
                      <w:rFonts w:hint="eastAsia" w:ascii="Times New Roman" w:hAnsi="Times New Roman" w:eastAsia="宋体" w:cs="Times New Roman"/>
                      <w:color w:val="000000"/>
                      <w:kern w:val="0"/>
                      <w:sz w:val="22"/>
                      <w:szCs w:val="22"/>
                      <w:u w:val="single" w:color="auto"/>
                      <w:vertAlign w:val="baseline"/>
                      <w:lang w:val="en-US" w:eastAsia="zh-CN" w:bidi="ar"/>
                    </w:rPr>
                    <w:t>根据相关意见，本项目需入园，但由于其</w:t>
                  </w:r>
                  <w:r>
                    <w:rPr>
                      <w:rFonts w:hint="default" w:ascii="Times New Roman" w:hAnsi="Times New Roman" w:eastAsia="宋体" w:cs="Times New Roman"/>
                      <w:color w:val="000000"/>
                      <w:kern w:val="0"/>
                      <w:sz w:val="22"/>
                      <w:szCs w:val="22"/>
                      <w:u w:val="single" w:color="auto"/>
                      <w:lang w:val="en-US" w:eastAsia="zh-CN" w:bidi="ar"/>
                    </w:rPr>
                    <w:t>VOCs</w:t>
                  </w:r>
                  <w:r>
                    <w:rPr>
                      <w:rFonts w:hint="eastAsia" w:ascii="Times New Roman" w:hAnsi="Times New Roman" w:eastAsia="宋体" w:cs="Times New Roman"/>
                      <w:color w:val="000000"/>
                      <w:kern w:val="0"/>
                      <w:sz w:val="22"/>
                      <w:szCs w:val="22"/>
                      <w:u w:val="single" w:color="auto"/>
                      <w:vertAlign w:val="baseline"/>
                      <w:lang w:val="en-US" w:eastAsia="zh-CN" w:bidi="ar"/>
                    </w:rPr>
                    <w:t>产生量较少，应限制其规模及产品，合同期满后建议搬迁至园区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color w:val="000000"/>
                      <w:kern w:val="0"/>
                      <w:sz w:val="22"/>
                      <w:szCs w:val="22"/>
                      <w:u w:val="single" w:color="auto"/>
                      <w:vertAlign w:val="baseline"/>
                      <w:lang w:val="en-US" w:eastAsia="zh-CN" w:bidi="ar"/>
                    </w:rPr>
                  </w:pPr>
                  <w:r>
                    <w:rPr>
                      <w:rFonts w:hint="eastAsia" w:ascii="Times New Roman" w:hAnsi="Times New Roman" w:eastAsia="宋体" w:cs="Times New Roman"/>
                      <w:color w:val="000000"/>
                      <w:kern w:val="0"/>
                      <w:sz w:val="22"/>
                      <w:szCs w:val="22"/>
                      <w:u w:val="single" w:color="auto"/>
                      <w:vertAlign w:val="baseline"/>
                      <w:lang w:val="en-US" w:eastAsia="zh-CN" w:bidi="ar"/>
                    </w:rPr>
                    <w:t>2</w:t>
                  </w:r>
                </w:p>
              </w:tc>
              <w:tc>
                <w:tcPr>
                  <w:tcW w:w="2168" w:type="pct"/>
                  <w:tcBorders>
                    <w:tl2br w:val="nil"/>
                    <w:tr2bl w:val="nil"/>
                  </w:tcBorders>
                  <w:vAlign w:val="center"/>
                </w:tcPr>
                <w:p>
                  <w:pPr>
                    <w:keepNext w:val="0"/>
                    <w:keepLines w:val="0"/>
                    <w:widowControl/>
                    <w:suppressLineNumbers w:val="0"/>
                    <w:spacing w:line="360" w:lineRule="auto"/>
                    <w:jc w:val="both"/>
                    <w:rPr>
                      <w:rFonts w:hint="default" w:ascii="Times New Roman" w:hAnsi="Times New Roman" w:eastAsia="宋体" w:cs="Times New Roman"/>
                      <w:color w:val="000000"/>
                      <w:kern w:val="0"/>
                      <w:sz w:val="22"/>
                      <w:szCs w:val="22"/>
                      <w:u w:val="single" w:color="auto"/>
                      <w:vertAlign w:val="baseline"/>
                      <w:lang w:val="en-US" w:eastAsia="zh-CN" w:bidi="ar"/>
                    </w:rPr>
                  </w:pPr>
                  <w:r>
                    <w:rPr>
                      <w:rFonts w:hint="default" w:ascii="Times New Roman" w:hAnsi="Times New Roman" w:eastAsia="宋体" w:cs="Times New Roman"/>
                      <w:color w:val="000000"/>
                      <w:kern w:val="0"/>
                      <w:sz w:val="22"/>
                      <w:szCs w:val="22"/>
                      <w:u w:val="single" w:color="auto"/>
                      <w:lang w:val="en-US" w:eastAsia="zh-CN" w:bidi="ar"/>
                    </w:rPr>
                    <w:t>加快淘汰落后产能。严格执行VOCs重点行业 相关产业政策，全面落实国家及我省有关产业准入标准、淘汰落后生产工艺装备和产品指导目录，优先将VOCs排放类落后产能纳入各地产业结构调整计划，加快淘汰落后产品、技术和工艺装备。坚决关闭能耗超标、污染物排放超标且治理无望的企业和生产线，逐年淘汰一批污染物排放强度大、产品附加值低、环境信访多的落后产能</w:t>
                  </w:r>
                </w:p>
              </w:tc>
              <w:tc>
                <w:tcPr>
                  <w:tcW w:w="129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color w:val="000000"/>
                      <w:kern w:val="0"/>
                      <w:sz w:val="22"/>
                      <w:szCs w:val="22"/>
                      <w:u w:val="single" w:color="auto"/>
                      <w:vertAlign w:val="baseline"/>
                      <w:lang w:val="en-US" w:eastAsia="zh-CN" w:bidi="ar"/>
                    </w:rPr>
                  </w:pPr>
                  <w:r>
                    <w:rPr>
                      <w:rFonts w:hint="eastAsia" w:ascii="Times New Roman" w:hAnsi="Times New Roman" w:eastAsia="宋体" w:cs="Times New Roman"/>
                      <w:color w:val="000000"/>
                      <w:kern w:val="0"/>
                      <w:sz w:val="22"/>
                      <w:szCs w:val="22"/>
                      <w:u w:val="single" w:color="auto"/>
                      <w:vertAlign w:val="baseline"/>
                      <w:lang w:val="en-US" w:eastAsia="zh-CN" w:bidi="ar"/>
                    </w:rPr>
                    <w:t>本项目无落后或淘汰的生产工艺及装备，符合产业政策要求</w:t>
                  </w:r>
                </w:p>
              </w:tc>
              <w:tc>
                <w:tcPr>
                  <w:tcW w:w="1153"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color w:val="000000"/>
                      <w:kern w:val="0"/>
                      <w:sz w:val="22"/>
                      <w:szCs w:val="22"/>
                      <w:u w:val="single" w:color="auto"/>
                      <w:vertAlign w:val="baseline"/>
                      <w:lang w:val="en-US" w:eastAsia="zh-CN" w:bidi="ar"/>
                    </w:rPr>
                  </w:pPr>
                  <w:r>
                    <w:rPr>
                      <w:rFonts w:hint="eastAsia" w:ascii="Times New Roman" w:hAnsi="Times New Roman" w:eastAsia="宋体" w:cs="Times New Roman"/>
                      <w:color w:val="000000"/>
                      <w:kern w:val="0"/>
                      <w:sz w:val="22"/>
                      <w:szCs w:val="22"/>
                      <w:u w:val="single" w:color="auto"/>
                      <w:vertAlign w:val="baseli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color w:val="000000"/>
                      <w:kern w:val="0"/>
                      <w:sz w:val="22"/>
                      <w:szCs w:val="22"/>
                      <w:u w:val="single" w:color="auto"/>
                      <w:vertAlign w:val="baseline"/>
                      <w:lang w:val="en-US" w:eastAsia="zh-CN" w:bidi="ar"/>
                    </w:rPr>
                  </w:pPr>
                  <w:r>
                    <w:rPr>
                      <w:rFonts w:hint="eastAsia" w:ascii="Times New Roman" w:hAnsi="Times New Roman" w:eastAsia="宋体" w:cs="Times New Roman"/>
                      <w:color w:val="000000"/>
                      <w:kern w:val="0"/>
                      <w:sz w:val="22"/>
                      <w:szCs w:val="22"/>
                      <w:u w:val="single" w:color="auto"/>
                      <w:vertAlign w:val="baseline"/>
                      <w:lang w:val="en-US" w:eastAsia="zh-CN" w:bidi="ar"/>
                    </w:rPr>
                    <w:t>3</w:t>
                  </w:r>
                </w:p>
              </w:tc>
              <w:tc>
                <w:tcPr>
                  <w:tcW w:w="2168" w:type="pct"/>
                  <w:tcBorders>
                    <w:tl2br w:val="nil"/>
                    <w:tr2bl w:val="nil"/>
                  </w:tcBorders>
                  <w:vAlign w:val="center"/>
                </w:tcPr>
                <w:p>
                  <w:pPr>
                    <w:keepNext w:val="0"/>
                    <w:keepLines w:val="0"/>
                    <w:widowControl/>
                    <w:suppressLineNumbers w:val="0"/>
                    <w:spacing w:line="360" w:lineRule="auto"/>
                    <w:jc w:val="both"/>
                    <w:rPr>
                      <w:rFonts w:hint="default" w:ascii="Times New Roman" w:hAnsi="Times New Roman" w:eastAsia="宋体" w:cs="Times New Roman"/>
                      <w:color w:val="000000"/>
                      <w:kern w:val="0"/>
                      <w:sz w:val="22"/>
                      <w:szCs w:val="22"/>
                      <w:u w:val="single" w:color="auto"/>
                      <w:vertAlign w:val="baseline"/>
                      <w:lang w:val="en-US" w:eastAsia="zh-CN" w:bidi="ar"/>
                    </w:rPr>
                  </w:pPr>
                  <w:r>
                    <w:rPr>
                      <w:rFonts w:hint="default" w:ascii="Times New Roman" w:hAnsi="Times New Roman" w:eastAsia="宋体" w:cs="Times New Roman"/>
                      <w:color w:val="000000"/>
                      <w:kern w:val="0"/>
                      <w:sz w:val="22"/>
                      <w:szCs w:val="22"/>
                      <w:u w:val="single" w:color="auto"/>
                      <w:lang w:val="en-US" w:eastAsia="zh-CN" w:bidi="ar"/>
                    </w:rPr>
                    <w:t>木质家具制造行业。大力推广使用水性、紫外光固化涂料，到 2020 年底前，替代比例达到 60%以上；全面使用水性胶粘剂，到2020 年底前，替代比例达到 100%。在平面板式木质家具制造领域，推广使用自动喷涂或辊涂等先进工艺技术。加强废气收集与处理，有机废气收集效率不低于 80%；建设吸附燃烧等高效治理设施，实现达标排放</w:t>
                  </w:r>
                </w:p>
              </w:tc>
              <w:tc>
                <w:tcPr>
                  <w:tcW w:w="129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color w:val="000000"/>
                      <w:kern w:val="0"/>
                      <w:sz w:val="22"/>
                      <w:szCs w:val="22"/>
                      <w:u w:val="single" w:color="auto"/>
                      <w:vertAlign w:val="baseline"/>
                      <w:lang w:val="en-US" w:eastAsia="zh-CN" w:bidi="ar"/>
                    </w:rPr>
                  </w:pPr>
                  <w:r>
                    <w:rPr>
                      <w:rFonts w:hint="eastAsia" w:ascii="Times New Roman" w:hAnsi="Times New Roman" w:eastAsia="宋体" w:cs="Times New Roman"/>
                      <w:color w:val="000000"/>
                      <w:kern w:val="0"/>
                      <w:sz w:val="22"/>
                      <w:szCs w:val="22"/>
                      <w:u w:val="single" w:color="auto"/>
                      <w:vertAlign w:val="baseline"/>
                      <w:lang w:val="en-US" w:eastAsia="zh-CN" w:bidi="ar"/>
                    </w:rPr>
                    <w:t>本项目属于家具制造，但无喷漆工艺，故不适用油漆，项目胶黏剂为（白乳胶、热熔胶）水性胶黏剂，属于环保型胶</w:t>
                  </w:r>
                </w:p>
              </w:tc>
              <w:tc>
                <w:tcPr>
                  <w:tcW w:w="1153"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color w:val="000000"/>
                      <w:kern w:val="0"/>
                      <w:sz w:val="22"/>
                      <w:szCs w:val="22"/>
                      <w:u w:val="single" w:color="auto"/>
                      <w:vertAlign w:val="baseline"/>
                      <w:lang w:val="en-US" w:eastAsia="zh-CN" w:bidi="ar"/>
                    </w:rPr>
                  </w:pPr>
                  <w:r>
                    <w:rPr>
                      <w:rFonts w:hint="eastAsia" w:ascii="Times New Roman" w:hAnsi="Times New Roman" w:eastAsia="宋体" w:cs="Times New Roman"/>
                      <w:color w:val="000000"/>
                      <w:kern w:val="0"/>
                      <w:sz w:val="22"/>
                      <w:szCs w:val="22"/>
                      <w:u w:val="single" w:color="auto"/>
                      <w:vertAlign w:val="baseline"/>
                      <w:lang w:val="en-US" w:eastAsia="zh-CN" w:bidi="ar"/>
                    </w:rPr>
                    <w:t>符合</w:t>
                  </w:r>
                </w:p>
              </w:tc>
            </w:tr>
          </w:tbl>
          <w:p>
            <w:pPr>
              <w:snapToGrid w:val="0"/>
              <w:spacing w:line="360" w:lineRule="auto"/>
              <w:ind w:firstLine="462"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w:t>
            </w:r>
            <w:r>
              <w:rPr>
                <w:rFonts w:hint="eastAsia" w:cs="Times New Roman"/>
                <w:sz w:val="24"/>
                <w:szCs w:val="24"/>
                <w:u w:val="none" w:color="auto"/>
                <w:lang w:val="en-US" w:eastAsia="zh-CN"/>
              </w:rPr>
              <w:t>5</w:t>
            </w:r>
            <w:r>
              <w:rPr>
                <w:rFonts w:hint="default" w:ascii="Times New Roman" w:hAnsi="Times New Roman" w:cs="Times New Roman"/>
                <w:sz w:val="24"/>
                <w:szCs w:val="24"/>
                <w:u w:val="none" w:color="auto"/>
              </w:rPr>
              <w:t>）平面布置合理性分析</w:t>
            </w:r>
          </w:p>
          <w:p>
            <w:pPr>
              <w:spacing w:line="360" w:lineRule="auto"/>
              <w:ind w:firstLine="462" w:firstLineChars="200"/>
              <w:rPr>
                <w:rFonts w:hint="eastAsia" w:eastAsia="宋体" w:cs="Times New Roman"/>
                <w:b/>
                <w:bCs/>
                <w:color w:val="auto"/>
                <w:sz w:val="24"/>
                <w:szCs w:val="24"/>
                <w:u w:val="none" w:color="auto"/>
                <w:lang w:val="en-US" w:eastAsia="zh-CN"/>
              </w:rPr>
            </w:pPr>
            <w:r>
              <w:rPr>
                <w:rFonts w:hint="default" w:ascii="Times New Roman" w:hAnsi="Times New Roman" w:cs="Times New Roman"/>
                <w:sz w:val="24"/>
                <w:szCs w:val="24"/>
                <w:u w:val="none" w:color="auto"/>
              </w:rPr>
              <w:t>本项目</w:t>
            </w:r>
            <w:r>
              <w:rPr>
                <w:rFonts w:hint="default" w:ascii="Times New Roman" w:hAnsi="Times New Roman" w:cs="Times New Roman"/>
                <w:bCs/>
                <w:sz w:val="24"/>
                <w:szCs w:val="24"/>
                <w:u w:val="none" w:color="auto"/>
              </w:rPr>
              <w:t>选址于</w:t>
            </w:r>
            <w:r>
              <w:rPr>
                <w:rFonts w:hint="eastAsia" w:cs="Times New Roman"/>
                <w:sz w:val="24"/>
                <w:u w:val="none" w:color="auto"/>
                <w:lang w:eastAsia="zh-CN"/>
              </w:rPr>
              <w:t>湘阴县石塘乡高山村红星组</w:t>
            </w:r>
            <w:r>
              <w:rPr>
                <w:rFonts w:hint="default" w:ascii="Times New Roman" w:hAnsi="Times New Roman" w:cs="Times New Roman"/>
                <w:sz w:val="24"/>
                <w:szCs w:val="24"/>
                <w:u w:val="none" w:color="auto"/>
              </w:rPr>
              <w:t>，根据现场调查，项目建设内容分为原料堆放区、</w:t>
            </w:r>
            <w:r>
              <w:rPr>
                <w:rFonts w:hint="eastAsia" w:cs="Times New Roman"/>
                <w:sz w:val="24"/>
                <w:szCs w:val="24"/>
                <w:u w:val="none" w:color="auto"/>
                <w:lang w:eastAsia="zh-CN"/>
              </w:rPr>
              <w:t>冷压区、成品堆放区</w:t>
            </w:r>
            <w:r>
              <w:rPr>
                <w:rFonts w:hint="default" w:ascii="Times New Roman" w:hAnsi="Times New Roman" w:cs="Times New Roman"/>
                <w:sz w:val="24"/>
                <w:szCs w:val="24"/>
                <w:u w:val="none" w:color="auto"/>
              </w:rPr>
              <w:t>等，一层建筑，</w:t>
            </w:r>
            <w:r>
              <w:rPr>
                <w:rFonts w:hint="eastAsia" w:cs="Times New Roman"/>
                <w:sz w:val="24"/>
                <w:szCs w:val="24"/>
                <w:u w:val="none" w:color="auto"/>
                <w:lang w:eastAsia="zh-CN"/>
              </w:rPr>
              <w:t>项目北面为办公区及辅料储存间；南面为下料、切割、钻孔区；西面为封边区和组装区；东面为冷压区；中间分别为原料堆放区及成品区</w:t>
            </w:r>
            <w:r>
              <w:rPr>
                <w:rFonts w:hint="default" w:ascii="Times New Roman" w:hAnsi="Times New Roman" w:cs="Times New Roman"/>
                <w:sz w:val="24"/>
                <w:szCs w:val="24"/>
                <w:u w:val="none" w:color="auto"/>
              </w:rPr>
              <w:t>，项目主要生产设备均按照有利于物料的运输和储存的原则进行布置。平面布置比较合理。</w:t>
            </w:r>
          </w:p>
          <w:p>
            <w:pPr>
              <w:spacing w:line="360" w:lineRule="auto"/>
              <w:ind w:firstLine="462" w:firstLineChars="200"/>
              <w:rPr>
                <w:rFonts w:hint="default" w:ascii="Times New Roman" w:hAnsi="Times New Roman" w:cs="Times New Roman"/>
                <w:b/>
                <w:bCs/>
                <w:color w:val="auto"/>
                <w:sz w:val="24"/>
                <w:szCs w:val="24"/>
                <w:u w:val="single" w:color="auto"/>
              </w:rPr>
            </w:pPr>
            <w:r>
              <w:rPr>
                <w:rFonts w:hint="eastAsia" w:cs="Times New Roman"/>
                <w:b/>
                <w:bCs/>
                <w:color w:val="auto"/>
                <w:sz w:val="24"/>
                <w:szCs w:val="24"/>
                <w:u w:val="single" w:color="auto"/>
                <w:lang w:val="en-US" w:eastAsia="zh-CN"/>
              </w:rPr>
              <w:t>9</w:t>
            </w:r>
            <w:r>
              <w:rPr>
                <w:rFonts w:hint="default" w:ascii="Times New Roman" w:hAnsi="Times New Roman" w:cs="Times New Roman"/>
                <w:b/>
                <w:bCs/>
                <w:color w:val="auto"/>
                <w:sz w:val="24"/>
                <w:szCs w:val="24"/>
                <w:u w:val="single" w:color="auto"/>
                <w:lang w:val="en-US" w:eastAsia="zh-CN"/>
              </w:rPr>
              <w:t>、</w:t>
            </w:r>
            <w:r>
              <w:rPr>
                <w:rFonts w:hint="default" w:ascii="Times New Roman" w:hAnsi="Times New Roman" w:cs="Times New Roman"/>
                <w:b/>
                <w:bCs/>
                <w:color w:val="auto"/>
                <w:sz w:val="24"/>
                <w:szCs w:val="24"/>
                <w:u w:val="single" w:color="auto"/>
              </w:rPr>
              <w:t>“三线一单”符合性分析</w:t>
            </w:r>
          </w:p>
          <w:p>
            <w:pPr>
              <w:spacing w:line="360" w:lineRule="auto"/>
              <w:ind w:firstLine="462"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本项目选址符合所在区域现行生态环境约束性要求；项目所在区域满足环境质量底线要求；项目生产原料资源条件有保障，满足资源利用上线要求；项目产 生的污染物经采取相应防护措施后可做到达标排放，不会降低区域环境质量等级，对环境影响不大。“三线一单”符合性分析见表 7-</w:t>
            </w:r>
            <w:r>
              <w:rPr>
                <w:rFonts w:hint="eastAsia" w:cs="Times New Roman"/>
                <w:color w:val="auto"/>
                <w:sz w:val="24"/>
                <w:szCs w:val="24"/>
                <w:u w:val="single" w:color="auto"/>
                <w:lang w:val="en-US" w:eastAsia="zh-CN"/>
              </w:rPr>
              <w:t>15</w:t>
            </w:r>
            <w:r>
              <w:rPr>
                <w:rFonts w:hint="default" w:ascii="Times New Roman" w:hAnsi="Times New Roman" w:cs="Times New Roman"/>
                <w:color w:val="auto"/>
                <w:sz w:val="24"/>
                <w:szCs w:val="24"/>
                <w:u w:val="single" w:color="auto"/>
              </w:rPr>
              <w:t xml:space="preserve">。 </w:t>
            </w:r>
          </w:p>
          <w:p>
            <w:pPr>
              <w:spacing w:line="360" w:lineRule="auto"/>
              <w:ind w:firstLine="462" w:firstLineChars="200"/>
              <w:jc w:val="center"/>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表 7-</w:t>
            </w:r>
            <w:r>
              <w:rPr>
                <w:rFonts w:hint="eastAsia" w:cs="Times New Roman"/>
                <w:color w:val="auto"/>
                <w:sz w:val="24"/>
                <w:szCs w:val="24"/>
                <w:u w:val="single" w:color="auto"/>
                <w:lang w:val="en-US" w:eastAsia="zh-CN"/>
              </w:rPr>
              <w:t>15</w:t>
            </w:r>
            <w:r>
              <w:rPr>
                <w:rFonts w:hint="default" w:ascii="Times New Roman" w:hAnsi="Times New Roman" w:cs="Times New Roman"/>
                <w:color w:val="auto"/>
                <w:sz w:val="24"/>
                <w:szCs w:val="24"/>
                <w:u w:val="single" w:color="auto"/>
              </w:rPr>
              <w:t>“三线一单”符合性分析</w:t>
            </w:r>
          </w:p>
          <w:tbl>
            <w:tblPr>
              <w:tblStyle w:val="39"/>
              <w:tblW w:w="9062" w:type="dxa"/>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786"/>
              <w:gridCol w:w="727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86" w:type="dxa"/>
                  <w:tcBorders>
                    <w:tl2br w:val="nil"/>
                    <w:tr2bl w:val="nil"/>
                  </w:tcBorders>
                  <w:noWrap w:val="0"/>
                  <w:vAlign w:val="center"/>
                </w:tcPr>
                <w:p>
                  <w:pPr>
                    <w:spacing w:line="360" w:lineRule="auto"/>
                    <w:ind w:firstLine="422" w:firstLineChars="20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内容</w:t>
                  </w:r>
                </w:p>
              </w:tc>
              <w:tc>
                <w:tcPr>
                  <w:tcW w:w="7276" w:type="dxa"/>
                  <w:tcBorders>
                    <w:tl2br w:val="nil"/>
                    <w:tr2bl w:val="nil"/>
                  </w:tcBorders>
                  <w:noWrap w:val="0"/>
                  <w:vAlign w:val="center"/>
                </w:tcPr>
                <w:p>
                  <w:pPr>
                    <w:spacing w:line="360" w:lineRule="auto"/>
                    <w:ind w:firstLine="422" w:firstLineChars="20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符合性分析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7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生态保护红线</w:t>
                  </w:r>
                </w:p>
              </w:tc>
              <w:tc>
                <w:tcPr>
                  <w:tcW w:w="7276" w:type="dxa"/>
                  <w:tcBorders>
                    <w:tl2br w:val="nil"/>
                    <w:tr2bl w:val="nil"/>
                  </w:tcBorders>
                  <w:noWrap w:val="0"/>
                  <w:vAlign w:val="center"/>
                </w:tcPr>
                <w:p>
                  <w:pPr>
                    <w:spacing w:line="360" w:lineRule="auto"/>
                    <w:ind w:firstLine="422" w:firstLineChars="200"/>
                    <w:jc w:val="both"/>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本项目位于</w:t>
                  </w:r>
                  <w:r>
                    <w:rPr>
                      <w:rFonts w:hint="eastAsia" w:cs="Times New Roman"/>
                      <w:color w:val="auto"/>
                      <w:sz w:val="22"/>
                      <w:szCs w:val="22"/>
                      <w:u w:val="single" w:color="auto"/>
                      <w:lang w:eastAsia="zh-CN"/>
                    </w:rPr>
                    <w:t>湘阴县石塘乡高山村红星组</w:t>
                  </w:r>
                  <w:r>
                    <w:rPr>
                      <w:rFonts w:hint="default" w:ascii="Times New Roman" w:hAnsi="Times New Roman" w:cs="Times New Roman"/>
                      <w:color w:val="auto"/>
                      <w:sz w:val="22"/>
                      <w:szCs w:val="22"/>
                      <w:u w:val="single" w:color="auto"/>
                    </w:rPr>
                    <w:t>，不在</w:t>
                  </w:r>
                  <w:r>
                    <w:rPr>
                      <w:rFonts w:hint="default" w:ascii="Times New Roman" w:hAnsi="Times New Roman" w:cs="Times New Roman"/>
                      <w:color w:val="auto"/>
                      <w:sz w:val="22"/>
                      <w:szCs w:val="22"/>
                      <w:u w:val="single" w:color="auto"/>
                      <w:lang w:eastAsia="zh-CN"/>
                    </w:rPr>
                    <w:t>湘阴县</w:t>
                  </w:r>
                  <w:r>
                    <w:rPr>
                      <w:rFonts w:hint="default" w:ascii="Times New Roman" w:hAnsi="Times New Roman" w:cs="Times New Roman"/>
                      <w:color w:val="auto"/>
                      <w:sz w:val="22"/>
                      <w:szCs w:val="22"/>
                      <w:u w:val="single" w:color="auto"/>
                    </w:rPr>
                    <w:t>划定的生态红线范围。项目不在自然保护区、饮用水源保护区等生态保护目标内，符合生态保护红线要求。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资源利用上线</w:t>
                  </w:r>
                </w:p>
              </w:tc>
              <w:tc>
                <w:tcPr>
                  <w:tcW w:w="7276" w:type="dxa"/>
                  <w:tcBorders>
                    <w:tl2br w:val="nil"/>
                    <w:tr2bl w:val="nil"/>
                  </w:tcBorders>
                  <w:noWrap w:val="0"/>
                  <w:vAlign w:val="center"/>
                </w:tcPr>
                <w:p>
                  <w:pPr>
                    <w:spacing w:line="360" w:lineRule="auto"/>
                    <w:ind w:firstLine="422" w:firstLineChars="200"/>
                    <w:jc w:val="both"/>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本项目运营过程中消耗一定量的电力、水等资源。①项目用电由当地电网提供；②项目用水来源为当地自来水公司。本项目电力、水的消耗量所占比重较少，符合资源利用上限要求。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7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环境质量底线</w:t>
                  </w:r>
                </w:p>
              </w:tc>
              <w:tc>
                <w:tcPr>
                  <w:tcW w:w="7276" w:type="dxa"/>
                  <w:tcBorders>
                    <w:tl2br w:val="nil"/>
                    <w:tr2bl w:val="nil"/>
                  </w:tcBorders>
                  <w:noWrap w:val="0"/>
                  <w:vAlign w:val="center"/>
                </w:tcPr>
                <w:p>
                  <w:pPr>
                    <w:spacing w:line="360" w:lineRule="auto"/>
                    <w:ind w:firstLine="422" w:firstLineChars="200"/>
                    <w:jc w:val="both"/>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根据现场调查，项目场址为</w:t>
                  </w:r>
                  <w:r>
                    <w:rPr>
                      <w:rFonts w:hint="eastAsia" w:cs="Times New Roman"/>
                      <w:color w:val="auto"/>
                      <w:sz w:val="22"/>
                      <w:szCs w:val="22"/>
                      <w:u w:val="single" w:color="auto"/>
                      <w:lang w:val="en-US" w:eastAsia="zh-CN"/>
                    </w:rPr>
                    <w:t>集体建设</w:t>
                  </w:r>
                  <w:r>
                    <w:rPr>
                      <w:rFonts w:hint="default" w:ascii="Times New Roman" w:hAnsi="Times New Roman" w:cs="Times New Roman"/>
                      <w:color w:val="auto"/>
                      <w:sz w:val="22"/>
                      <w:szCs w:val="22"/>
                      <w:u w:val="single" w:color="auto"/>
                    </w:rPr>
                    <w:t>用地，通过对评价区域内空气、地表水、声的监测及调查得知，项目所在区域的地表水体、声环境能够达到相应的环境质量标准</w:t>
                  </w:r>
                  <w:r>
                    <w:rPr>
                      <w:rFonts w:hint="eastAsia" w:cs="Times New Roman"/>
                      <w:color w:val="auto"/>
                      <w:sz w:val="22"/>
                      <w:szCs w:val="22"/>
                      <w:u w:val="single" w:color="auto"/>
                      <w:lang w:eastAsia="zh-CN"/>
                    </w:rPr>
                    <w:t>，</w:t>
                  </w:r>
                  <w:r>
                    <w:rPr>
                      <w:rFonts w:hint="default" w:ascii="Times New Roman" w:hAnsi="Times New Roman" w:cs="Times New Roman"/>
                      <w:color w:val="auto"/>
                      <w:sz w:val="22"/>
                      <w:szCs w:val="22"/>
                      <w:u w:val="single" w:color="auto"/>
                    </w:rPr>
                    <w:t>环境空气</w:t>
                  </w:r>
                  <w:r>
                    <w:rPr>
                      <w:rFonts w:hint="eastAsia" w:cs="Times New Roman"/>
                      <w:color w:val="auto"/>
                      <w:sz w:val="22"/>
                      <w:szCs w:val="22"/>
                      <w:u w:val="single" w:color="auto"/>
                      <w:lang w:eastAsia="zh-CN"/>
                    </w:rPr>
                    <w:t>为不达标区域，但经过一系列治理措施后，对比</w:t>
                  </w:r>
                  <w:r>
                    <w:rPr>
                      <w:rFonts w:hint="eastAsia" w:cs="Times New Roman"/>
                      <w:color w:val="auto"/>
                      <w:sz w:val="22"/>
                      <w:szCs w:val="22"/>
                      <w:u w:val="single" w:color="auto"/>
                      <w:lang w:val="en-US" w:eastAsia="zh-CN"/>
                    </w:rPr>
                    <w:t>2018年和2019年环境空气监测数据，</w:t>
                  </w:r>
                  <w:r>
                    <w:rPr>
                      <w:rFonts w:hint="eastAsia" w:cs="Times New Roman"/>
                      <w:color w:val="auto"/>
                      <w:sz w:val="22"/>
                      <w:szCs w:val="22"/>
                      <w:u w:val="single" w:color="auto"/>
                      <w:lang w:eastAsia="zh-CN"/>
                    </w:rPr>
                    <w:t>现区域环境空气在逐渐变好</w:t>
                  </w:r>
                  <w:r>
                    <w:rPr>
                      <w:rFonts w:hint="default" w:ascii="Times New Roman" w:hAnsi="Times New Roman" w:cs="Times New Roman"/>
                      <w:color w:val="auto"/>
                      <w:sz w:val="22"/>
                      <w:szCs w:val="22"/>
                      <w:u w:val="single" w:color="auto"/>
                    </w:rPr>
                    <w:t>。项目对产生的污染物采取相应的措施后，对周边环境影响很小，符合环境质量底线要求。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7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负面清单</w:t>
                  </w:r>
                </w:p>
              </w:tc>
              <w:tc>
                <w:tcPr>
                  <w:tcW w:w="7276" w:type="dxa"/>
                  <w:tcBorders>
                    <w:tl2br w:val="nil"/>
                    <w:tr2bl w:val="nil"/>
                  </w:tcBorders>
                  <w:noWrap w:val="0"/>
                  <w:vAlign w:val="center"/>
                </w:tcPr>
                <w:p>
                  <w:pPr>
                    <w:spacing w:line="360" w:lineRule="auto"/>
                    <w:ind w:firstLine="422" w:firstLineChars="200"/>
                    <w:jc w:val="both"/>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项目建设符合国家和行业的产业政策，选址符合</w:t>
                  </w:r>
                  <w:r>
                    <w:rPr>
                      <w:rFonts w:hint="default" w:ascii="Times New Roman" w:hAnsi="Times New Roman" w:cs="Times New Roman"/>
                      <w:color w:val="auto"/>
                      <w:sz w:val="22"/>
                      <w:szCs w:val="22"/>
                      <w:u w:val="single" w:color="auto"/>
                      <w:lang w:eastAsia="zh-CN"/>
                    </w:rPr>
                    <w:t>湘阴县</w:t>
                  </w:r>
                  <w:r>
                    <w:rPr>
                      <w:rFonts w:hint="default" w:ascii="Times New Roman" w:hAnsi="Times New Roman" w:cs="Times New Roman"/>
                      <w:color w:val="auto"/>
                      <w:sz w:val="22"/>
                      <w:szCs w:val="22"/>
                      <w:u w:val="single" w:color="auto"/>
                    </w:rPr>
                    <w:t>总体规划，不涉及产业政策和区域规划的负面清单。</w:t>
                  </w:r>
                </w:p>
              </w:tc>
            </w:tr>
          </w:tbl>
          <w:p>
            <w:pPr>
              <w:tabs>
                <w:tab w:val="left" w:pos="870"/>
              </w:tabs>
              <w:spacing w:line="360" w:lineRule="auto"/>
              <w:ind w:firstLine="462" w:firstLineChars="200"/>
              <w:rPr>
                <w:rFonts w:hint="default" w:ascii="Times New Roman" w:hAnsi="Times New Roman" w:cs="Times New Roman"/>
                <w:color w:val="auto"/>
                <w:sz w:val="24"/>
                <w:szCs w:val="24"/>
                <w:u w:val="single" w:color="auto"/>
              </w:rPr>
            </w:pPr>
            <w:r>
              <w:rPr>
                <w:rFonts w:hint="eastAsia" w:cs="Times New Roman"/>
                <w:b/>
                <w:color w:val="auto"/>
                <w:sz w:val="24"/>
                <w:szCs w:val="24"/>
                <w:u w:val="single" w:color="auto"/>
                <w:lang w:val="en-US" w:eastAsia="zh-CN"/>
              </w:rPr>
              <w:t>10</w:t>
            </w:r>
            <w:r>
              <w:rPr>
                <w:rFonts w:hint="default" w:ascii="Times New Roman" w:hAnsi="Times New Roman" w:cs="Times New Roman"/>
                <w:b/>
                <w:color w:val="auto"/>
                <w:sz w:val="24"/>
                <w:szCs w:val="24"/>
                <w:u w:val="single" w:color="auto"/>
              </w:rPr>
              <w:t>、环保投资估算</w:t>
            </w:r>
          </w:p>
          <w:p>
            <w:pPr>
              <w:tabs>
                <w:tab w:val="left" w:pos="870"/>
              </w:tabs>
              <w:spacing w:line="360" w:lineRule="auto"/>
              <w:ind w:firstLine="462"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本项目总投资</w:t>
            </w:r>
            <w:r>
              <w:rPr>
                <w:rFonts w:hint="eastAsia" w:cs="Times New Roman"/>
                <w:color w:val="auto"/>
                <w:sz w:val="24"/>
                <w:szCs w:val="24"/>
                <w:u w:val="single" w:color="auto"/>
                <w:lang w:val="en-US" w:eastAsia="zh-CN"/>
              </w:rPr>
              <w:t>40万元</w:t>
            </w:r>
            <w:r>
              <w:rPr>
                <w:rFonts w:hint="default" w:ascii="Times New Roman" w:hAnsi="Times New Roman" w:cs="Times New Roman"/>
                <w:color w:val="auto"/>
                <w:sz w:val="24"/>
                <w:szCs w:val="24"/>
                <w:u w:val="single" w:color="auto"/>
              </w:rPr>
              <w:t>，其中环保投资</w:t>
            </w:r>
            <w:r>
              <w:rPr>
                <w:rFonts w:hint="eastAsia" w:cs="Times New Roman"/>
                <w:color w:val="auto"/>
                <w:sz w:val="24"/>
                <w:szCs w:val="24"/>
                <w:u w:val="single" w:color="auto"/>
                <w:lang w:val="en-US" w:eastAsia="zh-CN"/>
              </w:rPr>
              <w:t>7.0</w:t>
            </w:r>
            <w:r>
              <w:rPr>
                <w:rFonts w:hint="default" w:ascii="Times New Roman" w:hAnsi="Times New Roman" w:cs="Times New Roman"/>
                <w:color w:val="auto"/>
                <w:sz w:val="24"/>
                <w:szCs w:val="24"/>
                <w:u w:val="single" w:color="auto"/>
              </w:rPr>
              <w:t>万元，</w:t>
            </w:r>
            <w:r>
              <w:rPr>
                <w:rFonts w:hint="default" w:ascii="Times New Roman" w:hAnsi="Times New Roman" w:cs="Times New Roman"/>
                <w:bCs/>
                <w:color w:val="auto"/>
                <w:sz w:val="24"/>
                <w:szCs w:val="24"/>
                <w:u w:val="single" w:color="auto"/>
              </w:rPr>
              <w:t>环保投资占总投资比例的</w:t>
            </w:r>
            <w:r>
              <w:rPr>
                <w:rFonts w:hint="eastAsia" w:cs="Times New Roman"/>
                <w:bCs/>
                <w:color w:val="auto"/>
                <w:sz w:val="24"/>
                <w:szCs w:val="24"/>
                <w:u w:val="single" w:color="auto"/>
                <w:lang w:val="en-US" w:eastAsia="zh-CN"/>
              </w:rPr>
              <w:t>17.5</w:t>
            </w:r>
            <w:r>
              <w:rPr>
                <w:rFonts w:hint="default" w:ascii="Times New Roman" w:hAnsi="Times New Roman" w:cs="Times New Roman"/>
                <w:bCs/>
                <w:color w:val="auto"/>
                <w:sz w:val="24"/>
                <w:szCs w:val="24"/>
                <w:u w:val="single" w:color="auto"/>
              </w:rPr>
              <w:t>%。</w:t>
            </w:r>
            <w:r>
              <w:rPr>
                <w:rFonts w:hint="default" w:ascii="Times New Roman" w:hAnsi="Times New Roman" w:cs="Times New Roman"/>
                <w:color w:val="auto"/>
                <w:sz w:val="24"/>
                <w:szCs w:val="24"/>
                <w:u w:val="single" w:color="auto"/>
              </w:rPr>
              <w:t>项目环保设施及投资估算详见表7-</w:t>
            </w:r>
            <w:r>
              <w:rPr>
                <w:rFonts w:hint="eastAsia" w:cs="Times New Roman"/>
                <w:color w:val="auto"/>
                <w:sz w:val="24"/>
                <w:szCs w:val="24"/>
                <w:u w:val="single" w:color="auto"/>
                <w:lang w:val="en-US" w:eastAsia="zh-CN"/>
              </w:rPr>
              <w:t>16</w:t>
            </w:r>
            <w:r>
              <w:rPr>
                <w:rFonts w:hint="default" w:ascii="Times New Roman" w:hAnsi="Times New Roman" w:cs="Times New Roman"/>
                <w:color w:val="auto"/>
                <w:sz w:val="24"/>
                <w:szCs w:val="24"/>
                <w:u w:val="single" w:color="auto"/>
              </w:rPr>
              <w:t>。</w:t>
            </w:r>
          </w:p>
          <w:p>
            <w:pPr>
              <w:spacing w:line="360" w:lineRule="auto"/>
              <w:ind w:firstLine="455" w:firstLineChars="197"/>
              <w:jc w:val="center"/>
              <w:rPr>
                <w:rFonts w:hint="default" w:ascii="Times New Roman" w:hAnsi="Times New Roman" w:cs="Times New Roman"/>
                <w:b/>
                <w:color w:val="auto"/>
                <w:sz w:val="24"/>
                <w:szCs w:val="24"/>
                <w:u w:val="single" w:color="auto"/>
              </w:rPr>
            </w:pPr>
            <w:r>
              <w:rPr>
                <w:rFonts w:hint="default" w:ascii="Times New Roman" w:hAnsi="Times New Roman" w:cs="Times New Roman"/>
                <w:b/>
                <w:color w:val="auto"/>
                <w:sz w:val="24"/>
                <w:szCs w:val="24"/>
                <w:u w:val="single" w:color="auto"/>
              </w:rPr>
              <w:t>表7-</w:t>
            </w:r>
            <w:r>
              <w:rPr>
                <w:rFonts w:hint="eastAsia" w:cs="Times New Roman"/>
                <w:b/>
                <w:color w:val="auto"/>
                <w:sz w:val="24"/>
                <w:szCs w:val="24"/>
                <w:u w:val="single" w:color="auto"/>
                <w:lang w:val="en-US" w:eastAsia="zh-CN"/>
              </w:rPr>
              <w:t>16</w:t>
            </w:r>
            <w:r>
              <w:rPr>
                <w:rFonts w:hint="default" w:ascii="Times New Roman" w:hAnsi="Times New Roman" w:cs="Times New Roman"/>
                <w:b/>
                <w:color w:val="auto"/>
                <w:sz w:val="24"/>
                <w:szCs w:val="24"/>
                <w:u w:val="single" w:color="auto"/>
              </w:rPr>
              <w:t xml:space="preserve">  环保投资估算表</w:t>
            </w:r>
          </w:p>
          <w:tbl>
            <w:tblPr>
              <w:tblStyle w:val="39"/>
              <w:tblW w:w="9052"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805"/>
              <w:gridCol w:w="1555"/>
              <w:gridCol w:w="4107"/>
              <w:gridCol w:w="1298"/>
              <w:gridCol w:w="128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002" w:hRule="atLeast"/>
                <w:jc w:val="center"/>
              </w:trPr>
              <w:tc>
                <w:tcPr>
                  <w:tcW w:w="805" w:type="dxa"/>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序号</w:t>
                  </w:r>
                </w:p>
              </w:tc>
              <w:tc>
                <w:tcPr>
                  <w:tcW w:w="1555" w:type="dxa"/>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污染源</w:t>
                  </w:r>
                </w:p>
              </w:tc>
              <w:tc>
                <w:tcPr>
                  <w:tcW w:w="4107" w:type="dxa"/>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建设内容</w:t>
                  </w:r>
                </w:p>
              </w:tc>
              <w:tc>
                <w:tcPr>
                  <w:tcW w:w="1298" w:type="dxa"/>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eastAsia" w:cs="Times New Roman"/>
                      <w:color w:val="auto"/>
                      <w:sz w:val="22"/>
                      <w:szCs w:val="22"/>
                      <w:u w:val="single" w:color="auto"/>
                      <w:lang w:eastAsia="zh-CN"/>
                    </w:rPr>
                    <w:t>现有</w:t>
                  </w:r>
                  <w:r>
                    <w:rPr>
                      <w:rFonts w:hint="default" w:ascii="Times New Roman" w:hAnsi="Times New Roman" w:cs="Times New Roman"/>
                      <w:color w:val="auto"/>
                      <w:sz w:val="22"/>
                      <w:szCs w:val="22"/>
                      <w:u w:val="single" w:color="auto"/>
                    </w:rPr>
                    <w:t>投资金额（万元）</w:t>
                  </w:r>
                </w:p>
              </w:tc>
              <w:tc>
                <w:tcPr>
                  <w:tcW w:w="1287" w:type="dxa"/>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eastAsia" w:cs="Times New Roman"/>
                      <w:color w:val="auto"/>
                      <w:sz w:val="22"/>
                      <w:szCs w:val="22"/>
                      <w:u w:val="single" w:color="auto"/>
                      <w:lang w:eastAsia="zh-CN"/>
                    </w:rPr>
                    <w:t>新增</w:t>
                  </w:r>
                  <w:r>
                    <w:rPr>
                      <w:rFonts w:hint="default" w:ascii="Times New Roman" w:hAnsi="Times New Roman" w:cs="Times New Roman"/>
                      <w:color w:val="auto"/>
                      <w:sz w:val="22"/>
                      <w:szCs w:val="22"/>
                      <w:u w:val="single" w:color="auto"/>
                    </w:rPr>
                    <w:t>投资金额（万元）</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805" w:type="dxa"/>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1</w:t>
                  </w:r>
                </w:p>
              </w:tc>
              <w:tc>
                <w:tcPr>
                  <w:tcW w:w="1555" w:type="dxa"/>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生活污水</w:t>
                  </w:r>
                </w:p>
              </w:tc>
              <w:tc>
                <w:tcPr>
                  <w:tcW w:w="4107" w:type="dxa"/>
                  <w:noWrap w:val="0"/>
                  <w:vAlign w:val="center"/>
                </w:tcPr>
                <w:p>
                  <w:pPr>
                    <w:spacing w:line="360" w:lineRule="auto"/>
                    <w:jc w:val="center"/>
                    <w:rPr>
                      <w:rFonts w:hint="eastAsia"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rPr>
                    <w:t>化粪池</w:t>
                  </w:r>
                </w:p>
              </w:tc>
              <w:tc>
                <w:tcPr>
                  <w:tcW w:w="1298" w:type="dxa"/>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1.0</w:t>
                  </w:r>
                </w:p>
              </w:tc>
              <w:tc>
                <w:tcPr>
                  <w:tcW w:w="1287" w:type="dxa"/>
                  <w:noWrap w:val="0"/>
                  <w:vAlign w:val="center"/>
                </w:tcPr>
                <w:p>
                  <w:pPr>
                    <w:spacing w:line="360" w:lineRule="auto"/>
                    <w:jc w:val="center"/>
                    <w:rPr>
                      <w:rFonts w:hint="default" w:ascii="Times New Roman" w:hAnsi="Times New Roman" w:cs="Times New Roman"/>
                      <w:color w:val="auto"/>
                      <w:sz w:val="22"/>
                      <w:szCs w:val="22"/>
                      <w:u w:val="single" w:color="auto"/>
                      <w:lang w:val="en-US" w:eastAsia="zh-CN"/>
                    </w:rPr>
                  </w:pPr>
                  <w:r>
                    <w:rPr>
                      <w:rFonts w:hint="eastAsia" w:cs="Times New Roman"/>
                      <w:color w:val="auto"/>
                      <w:sz w:val="22"/>
                      <w:szCs w:val="22"/>
                      <w:u w:val="single" w:color="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805" w:type="dxa"/>
                  <w:vMerge w:val="restart"/>
                  <w:noWrap w:val="0"/>
                  <w:vAlign w:val="center"/>
                </w:tcPr>
                <w:p>
                  <w:pPr>
                    <w:spacing w:line="360" w:lineRule="auto"/>
                    <w:jc w:val="center"/>
                    <w:rPr>
                      <w:rFonts w:hint="eastAsia"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2</w:t>
                  </w:r>
                </w:p>
              </w:tc>
              <w:tc>
                <w:tcPr>
                  <w:tcW w:w="1555" w:type="dxa"/>
                  <w:vMerge w:val="restart"/>
                  <w:noWrap w:val="0"/>
                  <w:vAlign w:val="center"/>
                </w:tcPr>
                <w:p>
                  <w:pPr>
                    <w:spacing w:line="360" w:lineRule="auto"/>
                    <w:jc w:val="center"/>
                    <w:rPr>
                      <w:rFonts w:hint="eastAsia" w:ascii="Times New Roman" w:hAnsi="Times New Roman" w:eastAsia="宋体" w:cs="Times New Roman"/>
                      <w:color w:val="auto"/>
                      <w:sz w:val="22"/>
                      <w:szCs w:val="22"/>
                      <w:u w:val="single" w:color="auto"/>
                      <w:lang w:eastAsia="zh-CN"/>
                    </w:rPr>
                  </w:pPr>
                  <w:r>
                    <w:rPr>
                      <w:rFonts w:hint="eastAsia" w:cs="Times New Roman"/>
                      <w:color w:val="auto"/>
                      <w:sz w:val="22"/>
                      <w:szCs w:val="22"/>
                      <w:u w:val="single" w:color="auto"/>
                      <w:lang w:eastAsia="zh-CN"/>
                    </w:rPr>
                    <w:t>废气</w:t>
                  </w:r>
                </w:p>
              </w:tc>
              <w:tc>
                <w:tcPr>
                  <w:tcW w:w="4107" w:type="dxa"/>
                  <w:tcBorders>
                    <w:bottom w:val="single" w:color="auto" w:sz="4" w:space="0"/>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排风扇、双桶式布袋除尘器（现有）</w:t>
                  </w:r>
                </w:p>
              </w:tc>
              <w:tc>
                <w:tcPr>
                  <w:tcW w:w="1298" w:type="dxa"/>
                  <w:tcBorders>
                    <w:bottom w:val="single" w:color="auto" w:sz="4" w:space="0"/>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2.0</w:t>
                  </w:r>
                </w:p>
              </w:tc>
              <w:tc>
                <w:tcPr>
                  <w:tcW w:w="1287" w:type="dxa"/>
                  <w:tcBorders>
                    <w:bottom w:val="single" w:color="auto" w:sz="4" w:space="0"/>
                  </w:tcBorders>
                  <w:noWrap w:val="0"/>
                  <w:vAlign w:val="center"/>
                </w:tcPr>
                <w:p>
                  <w:pPr>
                    <w:spacing w:line="360" w:lineRule="auto"/>
                    <w:jc w:val="center"/>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805" w:type="dxa"/>
                  <w:vMerge w:val="continue"/>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1555" w:type="dxa"/>
                  <w:vMerge w:val="continue"/>
                  <w:noWrap w:val="0"/>
                  <w:vAlign w:val="center"/>
                </w:tcPr>
                <w:p>
                  <w:pPr>
                    <w:spacing w:line="360" w:lineRule="auto"/>
                    <w:jc w:val="center"/>
                    <w:rPr>
                      <w:rFonts w:hint="eastAsia" w:cs="Times New Roman"/>
                      <w:color w:val="auto"/>
                      <w:sz w:val="22"/>
                      <w:szCs w:val="22"/>
                      <w:u w:val="single" w:color="auto"/>
                      <w:lang w:eastAsia="zh-CN"/>
                    </w:rPr>
                  </w:pPr>
                </w:p>
              </w:tc>
              <w:tc>
                <w:tcPr>
                  <w:tcW w:w="4107" w:type="dxa"/>
                  <w:tcBorders>
                    <w:top w:val="single" w:color="auto" w:sz="4" w:space="0"/>
                  </w:tcBorders>
                  <w:noWrap w:val="0"/>
                  <w:vAlign w:val="center"/>
                </w:tcPr>
                <w:p>
                  <w:pPr>
                    <w:spacing w:line="360" w:lineRule="auto"/>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val="en-US" w:eastAsia="zh-CN"/>
                    </w:rPr>
                    <w:t>新增双桶式布袋除尘器（2套）、吸尘器</w:t>
                  </w:r>
                </w:p>
              </w:tc>
              <w:tc>
                <w:tcPr>
                  <w:tcW w:w="1298" w:type="dxa"/>
                  <w:tcBorders>
                    <w:top w:val="single" w:color="auto" w:sz="4" w:space="0"/>
                  </w:tcBorders>
                  <w:noWrap w:val="0"/>
                  <w:vAlign w:val="center"/>
                </w:tcPr>
                <w:p>
                  <w:pPr>
                    <w:spacing w:line="360" w:lineRule="auto"/>
                    <w:jc w:val="center"/>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w:t>
                  </w:r>
                </w:p>
              </w:tc>
              <w:tc>
                <w:tcPr>
                  <w:tcW w:w="1287" w:type="dxa"/>
                  <w:tcBorders>
                    <w:top w:val="single" w:color="auto" w:sz="4" w:space="0"/>
                  </w:tcBorders>
                  <w:noWrap w:val="0"/>
                  <w:vAlign w:val="center"/>
                </w:tcPr>
                <w:p>
                  <w:pPr>
                    <w:spacing w:line="360" w:lineRule="auto"/>
                    <w:jc w:val="center"/>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805" w:type="dxa"/>
                  <w:noWrap w:val="0"/>
                  <w:vAlign w:val="center"/>
                </w:tcPr>
                <w:p>
                  <w:pPr>
                    <w:spacing w:line="360" w:lineRule="auto"/>
                    <w:jc w:val="center"/>
                    <w:rPr>
                      <w:rFonts w:hint="eastAsia"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3</w:t>
                  </w:r>
                </w:p>
              </w:tc>
              <w:tc>
                <w:tcPr>
                  <w:tcW w:w="1555" w:type="dxa"/>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噪声</w:t>
                  </w:r>
                </w:p>
              </w:tc>
              <w:tc>
                <w:tcPr>
                  <w:tcW w:w="4107" w:type="dxa"/>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减振降噪措施</w:t>
                  </w:r>
                </w:p>
              </w:tc>
              <w:tc>
                <w:tcPr>
                  <w:tcW w:w="1298" w:type="dxa"/>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1.0</w:t>
                  </w:r>
                </w:p>
              </w:tc>
              <w:tc>
                <w:tcPr>
                  <w:tcW w:w="1287" w:type="dxa"/>
                  <w:noWrap w:val="0"/>
                  <w:vAlign w:val="center"/>
                </w:tcPr>
                <w:p>
                  <w:pPr>
                    <w:spacing w:line="360" w:lineRule="auto"/>
                    <w:jc w:val="center"/>
                    <w:rPr>
                      <w:rFonts w:hint="default" w:ascii="Times New Roman" w:hAnsi="Times New Roman" w:cs="Times New Roman"/>
                      <w:color w:val="auto"/>
                      <w:sz w:val="22"/>
                      <w:szCs w:val="22"/>
                      <w:u w:val="single" w:color="auto"/>
                      <w:lang w:val="en-US" w:eastAsia="zh-CN"/>
                    </w:rPr>
                  </w:pPr>
                  <w:r>
                    <w:rPr>
                      <w:rFonts w:hint="eastAsia" w:cs="Times New Roman"/>
                      <w:color w:val="auto"/>
                      <w:sz w:val="22"/>
                      <w:szCs w:val="22"/>
                      <w:u w:val="single" w:color="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56" w:hRule="atLeast"/>
                <w:jc w:val="center"/>
              </w:trPr>
              <w:tc>
                <w:tcPr>
                  <w:tcW w:w="805" w:type="dxa"/>
                  <w:noWrap w:val="0"/>
                  <w:vAlign w:val="center"/>
                </w:tcPr>
                <w:p>
                  <w:pPr>
                    <w:spacing w:line="360" w:lineRule="auto"/>
                    <w:jc w:val="center"/>
                    <w:rPr>
                      <w:rFonts w:hint="eastAsia"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4</w:t>
                  </w:r>
                </w:p>
              </w:tc>
              <w:tc>
                <w:tcPr>
                  <w:tcW w:w="1555" w:type="dxa"/>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生活垃圾</w:t>
                  </w:r>
                </w:p>
              </w:tc>
              <w:tc>
                <w:tcPr>
                  <w:tcW w:w="4107" w:type="dxa"/>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垃圾桶等环卫设施</w:t>
                  </w:r>
                </w:p>
              </w:tc>
              <w:tc>
                <w:tcPr>
                  <w:tcW w:w="1298" w:type="dxa"/>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0.5</w:t>
                  </w:r>
                </w:p>
              </w:tc>
              <w:tc>
                <w:tcPr>
                  <w:tcW w:w="1287" w:type="dxa"/>
                  <w:noWrap w:val="0"/>
                  <w:vAlign w:val="center"/>
                </w:tcPr>
                <w:p>
                  <w:pPr>
                    <w:spacing w:line="360" w:lineRule="auto"/>
                    <w:jc w:val="center"/>
                    <w:rPr>
                      <w:rFonts w:hint="default" w:ascii="Times New Roman" w:hAnsi="Times New Roman" w:cs="Times New Roman"/>
                      <w:color w:val="auto"/>
                      <w:sz w:val="22"/>
                      <w:szCs w:val="22"/>
                      <w:u w:val="single" w:color="auto"/>
                      <w:lang w:val="en-US" w:eastAsia="zh-CN"/>
                    </w:rPr>
                  </w:pPr>
                  <w:r>
                    <w:rPr>
                      <w:rFonts w:hint="eastAsia" w:cs="Times New Roman"/>
                      <w:color w:val="auto"/>
                      <w:sz w:val="22"/>
                      <w:szCs w:val="22"/>
                      <w:u w:val="single" w:color="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805" w:type="dxa"/>
                  <w:noWrap w:val="0"/>
                  <w:vAlign w:val="center"/>
                </w:tcPr>
                <w:p>
                  <w:pPr>
                    <w:spacing w:line="360" w:lineRule="auto"/>
                    <w:jc w:val="center"/>
                    <w:rPr>
                      <w:rFonts w:hint="eastAsia"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5</w:t>
                  </w:r>
                </w:p>
              </w:tc>
              <w:tc>
                <w:tcPr>
                  <w:tcW w:w="1555" w:type="dxa"/>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eastAsia="zh-CN"/>
                    </w:rPr>
                    <w:t>固废</w:t>
                  </w:r>
                </w:p>
              </w:tc>
              <w:tc>
                <w:tcPr>
                  <w:tcW w:w="4107" w:type="dxa"/>
                  <w:noWrap w:val="0"/>
                  <w:vAlign w:val="center"/>
                </w:tcPr>
                <w:p>
                  <w:pPr>
                    <w:spacing w:line="360" w:lineRule="auto"/>
                    <w:jc w:val="center"/>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固废</w:t>
                  </w:r>
                  <w:r>
                    <w:rPr>
                      <w:rFonts w:hint="eastAsia" w:cs="Times New Roman"/>
                      <w:color w:val="auto"/>
                      <w:sz w:val="22"/>
                      <w:szCs w:val="22"/>
                      <w:u w:val="single" w:color="auto"/>
                      <w:lang w:eastAsia="zh-CN"/>
                    </w:rPr>
                    <w:t>堆放间</w:t>
                  </w:r>
                  <w:r>
                    <w:rPr>
                      <w:rFonts w:hint="default" w:ascii="Times New Roman" w:hAnsi="Times New Roman" w:cs="Times New Roman"/>
                      <w:color w:val="auto"/>
                      <w:sz w:val="22"/>
                      <w:szCs w:val="22"/>
                      <w:u w:val="single" w:color="auto"/>
                      <w:lang w:eastAsia="zh-CN"/>
                    </w:rPr>
                    <w:t>、危险废物储存间</w:t>
                  </w:r>
                </w:p>
              </w:tc>
              <w:tc>
                <w:tcPr>
                  <w:tcW w:w="1298" w:type="dxa"/>
                  <w:noWrap w:val="0"/>
                  <w:vAlign w:val="center"/>
                </w:tcPr>
                <w:p>
                  <w:pPr>
                    <w:spacing w:line="360" w:lineRule="auto"/>
                    <w:jc w:val="center"/>
                    <w:rPr>
                      <w:rFonts w:hint="default" w:ascii="Times New Roman" w:hAnsi="Times New Roman" w:cs="Times New Roman"/>
                      <w:color w:val="auto"/>
                      <w:sz w:val="22"/>
                      <w:szCs w:val="22"/>
                      <w:u w:val="single" w:color="auto"/>
                      <w:lang w:val="en-US"/>
                    </w:rPr>
                  </w:pPr>
                  <w:r>
                    <w:rPr>
                      <w:rFonts w:hint="eastAsia" w:cs="Times New Roman"/>
                      <w:color w:val="auto"/>
                      <w:sz w:val="22"/>
                      <w:szCs w:val="22"/>
                      <w:u w:val="single" w:color="auto"/>
                      <w:lang w:val="en-US" w:eastAsia="zh-CN"/>
                    </w:rPr>
                    <w:t>0</w:t>
                  </w:r>
                </w:p>
              </w:tc>
              <w:tc>
                <w:tcPr>
                  <w:tcW w:w="1287" w:type="dxa"/>
                  <w:noWrap w:val="0"/>
                  <w:vAlign w:val="center"/>
                </w:tcPr>
                <w:p>
                  <w:pPr>
                    <w:spacing w:line="360" w:lineRule="auto"/>
                    <w:jc w:val="center"/>
                    <w:rPr>
                      <w:rFonts w:hint="default" w:ascii="Times New Roman" w:hAnsi="Times New Roman" w:cs="Times New Roman"/>
                      <w:color w:val="auto"/>
                      <w:sz w:val="22"/>
                      <w:szCs w:val="22"/>
                      <w:u w:val="single" w:color="auto"/>
                      <w:lang w:val="en-US" w:eastAsia="zh-CN"/>
                    </w:rPr>
                  </w:pPr>
                  <w:r>
                    <w:rPr>
                      <w:rFonts w:hint="eastAsia" w:cs="Times New Roman"/>
                      <w:color w:val="auto"/>
                      <w:sz w:val="22"/>
                      <w:szCs w:val="22"/>
                      <w:u w:val="single" w:color="auto"/>
                      <w:lang w:val="en-US" w:eastAsia="zh-CN"/>
                    </w:rPr>
                    <w:t>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805" w:type="dxa"/>
                  <w:noWrap w:val="0"/>
                  <w:vAlign w:val="center"/>
                </w:tcPr>
                <w:p>
                  <w:pPr>
                    <w:spacing w:line="360" w:lineRule="auto"/>
                    <w:jc w:val="center"/>
                    <w:rPr>
                      <w:rFonts w:hint="eastAsia"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6</w:t>
                  </w:r>
                </w:p>
              </w:tc>
              <w:tc>
                <w:tcPr>
                  <w:tcW w:w="1555" w:type="dxa"/>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合计</w:t>
                  </w:r>
                </w:p>
              </w:tc>
              <w:tc>
                <w:tcPr>
                  <w:tcW w:w="4107" w:type="dxa"/>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w:t>
                  </w:r>
                </w:p>
              </w:tc>
              <w:tc>
                <w:tcPr>
                  <w:tcW w:w="1298" w:type="dxa"/>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4.5</w:t>
                  </w:r>
                </w:p>
              </w:tc>
              <w:tc>
                <w:tcPr>
                  <w:tcW w:w="1287" w:type="dxa"/>
                  <w:noWrap w:val="0"/>
                  <w:vAlign w:val="center"/>
                </w:tcPr>
                <w:p>
                  <w:pPr>
                    <w:spacing w:line="360" w:lineRule="auto"/>
                    <w:jc w:val="center"/>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2.5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26" w:hRule="atLeast"/>
                <w:jc w:val="center"/>
              </w:trPr>
              <w:tc>
                <w:tcPr>
                  <w:tcW w:w="6467" w:type="dxa"/>
                  <w:gridSpan w:val="3"/>
                  <w:noWrap w:val="0"/>
                  <w:vAlign w:val="center"/>
                </w:tcPr>
                <w:p>
                  <w:pPr>
                    <w:spacing w:line="360" w:lineRule="auto"/>
                    <w:jc w:val="center"/>
                    <w:rPr>
                      <w:rFonts w:hint="eastAsia" w:ascii="Times New Roman" w:hAnsi="Times New Roman" w:eastAsia="宋体" w:cs="Times New Roman"/>
                      <w:color w:val="auto"/>
                      <w:sz w:val="22"/>
                      <w:szCs w:val="22"/>
                      <w:u w:val="single" w:color="auto"/>
                      <w:lang w:eastAsia="zh-CN"/>
                    </w:rPr>
                  </w:pPr>
                  <w:r>
                    <w:rPr>
                      <w:rFonts w:hint="eastAsia" w:cs="Times New Roman"/>
                      <w:color w:val="auto"/>
                      <w:sz w:val="22"/>
                      <w:szCs w:val="22"/>
                      <w:u w:val="single" w:color="auto"/>
                      <w:lang w:eastAsia="zh-CN"/>
                    </w:rPr>
                    <w:t>总计</w:t>
                  </w:r>
                </w:p>
              </w:tc>
              <w:tc>
                <w:tcPr>
                  <w:tcW w:w="2585" w:type="dxa"/>
                  <w:gridSpan w:val="2"/>
                  <w:noWrap w:val="0"/>
                  <w:vAlign w:val="center"/>
                </w:tcPr>
                <w:p>
                  <w:pPr>
                    <w:spacing w:line="360" w:lineRule="auto"/>
                    <w:jc w:val="center"/>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7.0</w:t>
                  </w:r>
                </w:p>
              </w:tc>
            </w:tr>
          </w:tbl>
          <w:p>
            <w:pPr>
              <w:spacing w:line="360" w:lineRule="auto"/>
              <w:ind w:firstLine="462" w:firstLineChars="200"/>
              <w:textAlignment w:val="baseline"/>
              <w:rPr>
                <w:rFonts w:hint="eastAsia" w:eastAsia="宋体" w:cs="Times New Roman"/>
                <w:b/>
                <w:color w:val="auto"/>
                <w:sz w:val="24"/>
                <w:szCs w:val="24"/>
                <w:u w:val="single" w:color="auto"/>
                <w:lang w:val="en-US" w:eastAsia="zh-CN"/>
              </w:rPr>
            </w:pPr>
            <w:r>
              <w:rPr>
                <w:rFonts w:hint="default" w:ascii="Times New Roman" w:hAnsi="Times New Roman" w:cs="Times New Roman"/>
                <w:color w:val="auto"/>
                <w:sz w:val="24"/>
                <w:szCs w:val="24"/>
                <w:u w:val="single" w:color="auto"/>
              </w:rPr>
              <w:t>从工程分析结论可知，只有保障上述这部分环保投资落到实处，才能使污染物达标排放</w:t>
            </w:r>
            <w:r>
              <w:rPr>
                <w:rFonts w:hint="eastAsia" w:cs="Times New Roman"/>
                <w:color w:val="auto"/>
                <w:sz w:val="24"/>
                <w:szCs w:val="24"/>
                <w:u w:val="single" w:color="auto"/>
                <w:lang w:eastAsia="zh-CN"/>
              </w:rPr>
              <w:t>。</w:t>
            </w:r>
          </w:p>
          <w:p>
            <w:pPr>
              <w:spacing w:line="360" w:lineRule="auto"/>
              <w:ind w:firstLine="478" w:firstLineChars="207"/>
              <w:textAlignment w:val="baseline"/>
              <w:rPr>
                <w:rFonts w:hint="default" w:ascii="Times New Roman" w:hAnsi="Times New Roman" w:cs="Times New Roman"/>
                <w:b/>
                <w:color w:val="auto"/>
                <w:sz w:val="24"/>
                <w:szCs w:val="24"/>
                <w:u w:val="single" w:color="auto"/>
              </w:rPr>
            </w:pPr>
            <w:r>
              <w:rPr>
                <w:rFonts w:hint="eastAsia" w:cs="Times New Roman"/>
                <w:b/>
                <w:color w:val="auto"/>
                <w:sz w:val="24"/>
                <w:szCs w:val="24"/>
                <w:u w:val="single" w:color="auto"/>
                <w:lang w:val="en-US" w:eastAsia="zh-CN"/>
              </w:rPr>
              <w:t>11</w:t>
            </w:r>
            <w:r>
              <w:rPr>
                <w:rFonts w:hint="default" w:ascii="Times New Roman" w:hAnsi="Times New Roman" w:cs="Times New Roman"/>
                <w:b/>
                <w:color w:val="auto"/>
                <w:sz w:val="24"/>
                <w:szCs w:val="24"/>
                <w:u w:val="single" w:color="auto"/>
              </w:rPr>
              <w:t>、项目环保竣工验收计划</w:t>
            </w:r>
          </w:p>
          <w:p>
            <w:pPr>
              <w:spacing w:line="360" w:lineRule="auto"/>
              <w:ind w:firstLine="462"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本工程环保竣工验收计划内容，具体见表7-</w:t>
            </w:r>
            <w:r>
              <w:rPr>
                <w:rFonts w:hint="eastAsia" w:cs="Times New Roman"/>
                <w:color w:val="auto"/>
                <w:sz w:val="24"/>
                <w:szCs w:val="24"/>
                <w:u w:val="single" w:color="auto"/>
                <w:lang w:val="en-US" w:eastAsia="zh-CN"/>
              </w:rPr>
              <w:t>17</w:t>
            </w:r>
            <w:r>
              <w:rPr>
                <w:rFonts w:hint="default" w:ascii="Times New Roman" w:hAnsi="Times New Roman" w:cs="Times New Roman"/>
                <w:color w:val="auto"/>
                <w:sz w:val="24"/>
                <w:szCs w:val="24"/>
                <w:u w:val="single" w:color="auto"/>
              </w:rPr>
              <w:t>。</w:t>
            </w:r>
          </w:p>
          <w:p>
            <w:pPr>
              <w:spacing w:before="156" w:beforeLines="50" w:line="360" w:lineRule="auto"/>
              <w:ind w:firstLine="578" w:firstLineChars="250"/>
              <w:jc w:val="center"/>
              <w:rPr>
                <w:rFonts w:hint="default" w:ascii="Times New Roman" w:hAnsi="Times New Roman" w:cs="Times New Roman"/>
                <w:b/>
                <w:color w:val="auto"/>
                <w:sz w:val="24"/>
                <w:szCs w:val="24"/>
                <w:u w:val="single" w:color="auto"/>
              </w:rPr>
            </w:pPr>
            <w:r>
              <w:rPr>
                <w:rFonts w:hint="default" w:ascii="Times New Roman" w:hAnsi="Times New Roman" w:cs="Times New Roman"/>
                <w:b/>
                <w:color w:val="auto"/>
                <w:sz w:val="24"/>
                <w:szCs w:val="24"/>
                <w:u w:val="single" w:color="auto"/>
              </w:rPr>
              <w:t>表7-</w:t>
            </w:r>
            <w:r>
              <w:rPr>
                <w:rFonts w:hint="eastAsia" w:cs="Times New Roman"/>
                <w:b/>
                <w:color w:val="auto"/>
                <w:sz w:val="24"/>
                <w:szCs w:val="24"/>
                <w:u w:val="single" w:color="auto"/>
                <w:lang w:val="en-US" w:eastAsia="zh-CN"/>
              </w:rPr>
              <w:t>17</w:t>
            </w:r>
            <w:r>
              <w:rPr>
                <w:rFonts w:hint="default" w:ascii="Times New Roman" w:hAnsi="Times New Roman" w:cs="Times New Roman"/>
                <w:b/>
                <w:color w:val="auto"/>
                <w:sz w:val="24"/>
                <w:szCs w:val="24"/>
                <w:u w:val="single" w:color="auto"/>
              </w:rPr>
              <w:t xml:space="preserve"> 本项目环保竣工验收内容一览表</w:t>
            </w:r>
          </w:p>
          <w:tbl>
            <w:tblPr>
              <w:tblStyle w:val="39"/>
              <w:tblW w:w="907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416"/>
              <w:gridCol w:w="2775"/>
              <w:gridCol w:w="1500"/>
              <w:gridCol w:w="26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15"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污染源</w:t>
                  </w:r>
                </w:p>
              </w:tc>
              <w:tc>
                <w:tcPr>
                  <w:tcW w:w="1416"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污染物名称</w:t>
                  </w:r>
                </w:p>
              </w:tc>
              <w:tc>
                <w:tcPr>
                  <w:tcW w:w="2775"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防治措施与工艺</w:t>
                  </w:r>
                </w:p>
              </w:tc>
              <w:tc>
                <w:tcPr>
                  <w:tcW w:w="1500"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三同时竣</w:t>
                  </w:r>
                </w:p>
                <w:p>
                  <w:pPr>
                    <w:spacing w:line="360" w:lineRule="auto"/>
                    <w:jc w:val="center"/>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工验收</w:t>
                  </w:r>
                </w:p>
              </w:tc>
              <w:tc>
                <w:tcPr>
                  <w:tcW w:w="2666"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预期治理效果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71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废水</w:t>
                  </w:r>
                </w:p>
              </w:tc>
              <w:tc>
                <w:tcPr>
                  <w:tcW w:w="141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生活</w:t>
                  </w:r>
                </w:p>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污水</w:t>
                  </w:r>
                </w:p>
              </w:tc>
              <w:tc>
                <w:tcPr>
                  <w:tcW w:w="2775"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eastAsia="zh-CN"/>
                    </w:rPr>
                    <w:t>生活污水</w:t>
                  </w:r>
                  <w:r>
                    <w:rPr>
                      <w:rFonts w:hint="eastAsia" w:ascii="Times New Roman" w:hAnsi="Times New Roman" w:cs="Times New Roman"/>
                      <w:color w:val="auto"/>
                      <w:sz w:val="22"/>
                      <w:szCs w:val="22"/>
                      <w:u w:val="single" w:color="auto"/>
                      <w:lang w:eastAsia="zh-CN"/>
                    </w:rPr>
                    <w:t>经</w:t>
                  </w:r>
                  <w:r>
                    <w:rPr>
                      <w:rFonts w:hint="default" w:ascii="Times New Roman" w:hAnsi="Times New Roman" w:cs="Times New Roman"/>
                      <w:color w:val="auto"/>
                      <w:sz w:val="22"/>
                      <w:szCs w:val="22"/>
                      <w:u w:val="single" w:color="auto"/>
                    </w:rPr>
                    <w:t>化粪池</w:t>
                  </w:r>
                  <w:r>
                    <w:rPr>
                      <w:rFonts w:hint="eastAsia" w:ascii="Times New Roman" w:hAnsi="Times New Roman" w:cs="Times New Roman"/>
                      <w:color w:val="auto"/>
                      <w:sz w:val="22"/>
                      <w:szCs w:val="22"/>
                      <w:u w:val="single" w:color="auto"/>
                      <w:lang w:eastAsia="zh-CN"/>
                    </w:rPr>
                    <w:t>处理后回用于周边绿化施肥</w:t>
                  </w:r>
                </w:p>
              </w:tc>
              <w:tc>
                <w:tcPr>
                  <w:tcW w:w="150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化粪池</w:t>
                  </w:r>
                </w:p>
              </w:tc>
              <w:tc>
                <w:tcPr>
                  <w:tcW w:w="2666"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ascii="Times New Roman" w:hAnsi="Times New Roman" w:cs="Times New Roman"/>
                      <w:color w:val="auto"/>
                      <w:sz w:val="22"/>
                      <w:szCs w:val="22"/>
                      <w:u w:val="single" w:color="auto"/>
                      <w:lang w:val="en-US" w:eastAsia="zh-CN"/>
                    </w:rPr>
                    <w:t>回用绿化施肥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715"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废气</w:t>
                  </w:r>
                </w:p>
              </w:tc>
              <w:tc>
                <w:tcPr>
                  <w:tcW w:w="141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eastAsia" w:cs="Times New Roman"/>
                      <w:color w:val="auto"/>
                      <w:sz w:val="22"/>
                      <w:szCs w:val="22"/>
                      <w:u w:val="single" w:color="auto"/>
                      <w:lang w:eastAsia="zh-CN"/>
                    </w:rPr>
                    <w:t>下料、钻孔、切割工艺</w:t>
                  </w:r>
                  <w:r>
                    <w:rPr>
                      <w:rFonts w:hint="default" w:ascii="Times New Roman" w:hAnsi="Times New Roman" w:cs="Times New Roman"/>
                      <w:color w:val="auto"/>
                      <w:sz w:val="22"/>
                      <w:szCs w:val="22"/>
                      <w:u w:val="single" w:color="auto"/>
                    </w:rPr>
                    <w:t>粉尘</w:t>
                  </w:r>
                </w:p>
              </w:tc>
              <w:tc>
                <w:tcPr>
                  <w:tcW w:w="277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eastAsia="zh-CN"/>
                    </w:rPr>
                    <w:t>经</w:t>
                  </w:r>
                  <w:r>
                    <w:rPr>
                      <w:rFonts w:hint="eastAsia" w:cs="Times New Roman"/>
                      <w:color w:val="auto"/>
                      <w:sz w:val="22"/>
                      <w:szCs w:val="22"/>
                      <w:u w:val="single" w:color="auto"/>
                      <w:lang w:eastAsia="zh-CN"/>
                    </w:rPr>
                    <w:t>双桶式</w:t>
                  </w:r>
                  <w:r>
                    <w:rPr>
                      <w:rFonts w:hint="eastAsia" w:ascii="Times New Roman" w:hAnsi="Times New Roman" w:cs="Times New Roman"/>
                      <w:color w:val="auto"/>
                      <w:sz w:val="22"/>
                      <w:szCs w:val="22"/>
                      <w:u w:val="single" w:color="auto"/>
                      <w:lang w:eastAsia="zh-CN"/>
                    </w:rPr>
                    <w:t>布袋</w:t>
                  </w:r>
                  <w:r>
                    <w:rPr>
                      <w:rFonts w:hint="default" w:ascii="Times New Roman" w:hAnsi="Times New Roman" w:cs="Times New Roman"/>
                      <w:color w:val="auto"/>
                      <w:sz w:val="22"/>
                      <w:szCs w:val="22"/>
                      <w:u w:val="single" w:color="auto"/>
                      <w:lang w:eastAsia="zh-CN"/>
                    </w:rPr>
                    <w:t>除尘器处理</w:t>
                  </w:r>
                  <w:r>
                    <w:rPr>
                      <w:rFonts w:hint="eastAsia" w:ascii="Times New Roman" w:hAnsi="Times New Roman" w:cs="Times New Roman"/>
                      <w:color w:val="auto"/>
                      <w:sz w:val="22"/>
                      <w:szCs w:val="22"/>
                      <w:u w:val="single" w:color="auto"/>
                      <w:lang w:eastAsia="zh-CN"/>
                    </w:rPr>
                    <w:t>后无组织排放</w:t>
                  </w:r>
                </w:p>
              </w:tc>
              <w:tc>
                <w:tcPr>
                  <w:tcW w:w="1500"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eastAsia="zh-CN"/>
                    </w:rPr>
                    <w:t>双桶式</w:t>
                  </w:r>
                  <w:r>
                    <w:rPr>
                      <w:rFonts w:hint="eastAsia" w:ascii="Times New Roman" w:hAnsi="Times New Roman" w:cs="Times New Roman"/>
                      <w:color w:val="auto"/>
                      <w:sz w:val="22"/>
                      <w:szCs w:val="22"/>
                      <w:u w:val="single" w:color="auto"/>
                      <w:lang w:eastAsia="zh-CN"/>
                    </w:rPr>
                    <w:t>布袋除尘器</w:t>
                  </w:r>
                </w:p>
              </w:tc>
              <w:tc>
                <w:tcPr>
                  <w:tcW w:w="2666"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eastAsia="zh-CN"/>
                    </w:rPr>
                    <w:t>《大气污染物综合排放标准》（</w:t>
                  </w:r>
                  <w:r>
                    <w:rPr>
                      <w:rFonts w:hint="default" w:ascii="Times New Roman" w:hAnsi="Times New Roman" w:cs="Times New Roman"/>
                      <w:color w:val="auto"/>
                      <w:sz w:val="22"/>
                      <w:szCs w:val="22"/>
                      <w:u w:val="single" w:color="auto"/>
                      <w:lang w:val="en-US" w:eastAsia="zh-CN"/>
                    </w:rPr>
                    <w:t>GB16297-1996)无组织排放标准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15"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1416" w:type="dxa"/>
                  <w:tcBorders>
                    <w:tl2br w:val="nil"/>
                    <w:tr2bl w:val="nil"/>
                  </w:tcBorders>
                  <w:noWrap w:val="0"/>
                  <w:vAlign w:val="center"/>
                </w:tcPr>
                <w:p>
                  <w:pPr>
                    <w:spacing w:line="360" w:lineRule="auto"/>
                    <w:jc w:val="center"/>
                    <w:rPr>
                      <w:rFonts w:hint="eastAsia" w:cs="Times New Roman"/>
                      <w:color w:val="auto"/>
                      <w:sz w:val="22"/>
                      <w:szCs w:val="22"/>
                      <w:u w:val="single" w:color="auto"/>
                      <w:lang w:eastAsia="zh-CN"/>
                    </w:rPr>
                  </w:pPr>
                  <w:r>
                    <w:rPr>
                      <w:rFonts w:hint="eastAsia" w:cs="Times New Roman"/>
                      <w:color w:val="auto"/>
                      <w:sz w:val="22"/>
                      <w:szCs w:val="22"/>
                      <w:u w:val="single" w:color="auto"/>
                      <w:lang w:eastAsia="zh-CN"/>
                    </w:rPr>
                    <w:t>地面粉尘</w:t>
                  </w:r>
                </w:p>
              </w:tc>
              <w:tc>
                <w:tcPr>
                  <w:tcW w:w="27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eastAsia="zh-CN"/>
                    </w:rPr>
                  </w:pPr>
                  <w:r>
                    <w:rPr>
                      <w:rFonts w:hint="eastAsia" w:cs="Times New Roman"/>
                      <w:color w:val="auto"/>
                      <w:sz w:val="22"/>
                      <w:szCs w:val="22"/>
                      <w:u w:val="single" w:color="auto"/>
                      <w:lang w:eastAsia="zh-CN"/>
                    </w:rPr>
                    <w:t>经吸尘器吸收</w:t>
                  </w:r>
                </w:p>
              </w:tc>
              <w:tc>
                <w:tcPr>
                  <w:tcW w:w="1500" w:type="dxa"/>
                  <w:tcBorders>
                    <w:tl2br w:val="nil"/>
                    <w:tr2bl w:val="nil"/>
                  </w:tcBorders>
                  <w:noWrap w:val="0"/>
                  <w:vAlign w:val="center"/>
                </w:tcPr>
                <w:p>
                  <w:pPr>
                    <w:spacing w:line="360" w:lineRule="auto"/>
                    <w:jc w:val="center"/>
                    <w:rPr>
                      <w:rFonts w:hint="eastAsia" w:cs="Times New Roman"/>
                      <w:color w:val="auto"/>
                      <w:sz w:val="22"/>
                      <w:szCs w:val="22"/>
                      <w:u w:val="single" w:color="auto"/>
                      <w:lang w:eastAsia="zh-CN"/>
                    </w:rPr>
                  </w:pPr>
                  <w:r>
                    <w:rPr>
                      <w:rFonts w:hint="eastAsia" w:cs="Times New Roman"/>
                      <w:color w:val="auto"/>
                      <w:sz w:val="22"/>
                      <w:szCs w:val="22"/>
                      <w:u w:val="single" w:color="auto"/>
                      <w:lang w:eastAsia="zh-CN"/>
                    </w:rPr>
                    <w:t>吸尘器</w:t>
                  </w:r>
                </w:p>
              </w:tc>
              <w:tc>
                <w:tcPr>
                  <w:tcW w:w="2666"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15"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1416" w:type="dxa"/>
                  <w:tcBorders>
                    <w:tl2br w:val="nil"/>
                    <w:tr2bl w:val="nil"/>
                  </w:tcBorders>
                  <w:noWrap w:val="0"/>
                  <w:vAlign w:val="center"/>
                </w:tcPr>
                <w:p>
                  <w:pPr>
                    <w:spacing w:line="360" w:lineRule="auto"/>
                    <w:jc w:val="center"/>
                    <w:rPr>
                      <w:rFonts w:hint="eastAsia" w:cs="Times New Roman"/>
                      <w:color w:val="auto"/>
                      <w:sz w:val="22"/>
                      <w:szCs w:val="22"/>
                      <w:u w:val="single" w:color="auto"/>
                      <w:lang w:eastAsia="zh-CN"/>
                    </w:rPr>
                  </w:pPr>
                  <w:r>
                    <w:rPr>
                      <w:rFonts w:hint="default" w:ascii="Times New Roman" w:hAnsi="Times New Roman" w:eastAsia="宋体" w:cs="Times New Roman"/>
                      <w:kern w:val="2"/>
                      <w:sz w:val="22"/>
                      <w:szCs w:val="18"/>
                      <w:u w:val="single" w:color="auto"/>
                      <w:lang w:val="en-US" w:eastAsia="zh-CN" w:bidi="ar-SA"/>
                    </w:rPr>
                    <w:t>刷胶、冷压、封边工序</w:t>
                  </w:r>
                </w:p>
              </w:tc>
              <w:tc>
                <w:tcPr>
                  <w:tcW w:w="27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eastAsia="zh-CN"/>
                    </w:rPr>
                  </w:pPr>
                  <w:r>
                    <w:rPr>
                      <w:rFonts w:hint="eastAsia" w:cs="Times New Roman"/>
                      <w:color w:val="auto"/>
                      <w:sz w:val="22"/>
                      <w:szCs w:val="22"/>
                      <w:u w:val="single" w:color="auto"/>
                      <w:lang w:eastAsia="zh-CN"/>
                    </w:rPr>
                    <w:t>经车间排风后无组织排放</w:t>
                  </w:r>
                </w:p>
              </w:tc>
              <w:tc>
                <w:tcPr>
                  <w:tcW w:w="1500" w:type="dxa"/>
                  <w:tcBorders>
                    <w:tl2br w:val="nil"/>
                    <w:tr2bl w:val="nil"/>
                  </w:tcBorders>
                  <w:noWrap w:val="0"/>
                  <w:vAlign w:val="center"/>
                </w:tcPr>
                <w:p>
                  <w:pPr>
                    <w:spacing w:line="360" w:lineRule="auto"/>
                    <w:jc w:val="center"/>
                    <w:rPr>
                      <w:rFonts w:hint="eastAsia" w:cs="Times New Roman"/>
                      <w:color w:val="auto"/>
                      <w:sz w:val="22"/>
                      <w:szCs w:val="22"/>
                      <w:u w:val="single" w:color="auto"/>
                      <w:lang w:eastAsia="zh-CN"/>
                    </w:rPr>
                  </w:pPr>
                  <w:r>
                    <w:rPr>
                      <w:rFonts w:hint="default" w:ascii="Times New Roman" w:hAnsi="Times New Roman" w:cs="Times New Roman"/>
                      <w:color w:val="auto"/>
                      <w:sz w:val="22"/>
                      <w:szCs w:val="22"/>
                      <w:u w:val="single" w:color="auto"/>
                      <w:lang w:val="en-US" w:eastAsia="zh-CN"/>
                    </w:rPr>
                    <w:t>排风扇</w:t>
                  </w:r>
                </w:p>
              </w:tc>
              <w:tc>
                <w:tcPr>
                  <w:tcW w:w="2666"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single" w:color="auto"/>
                      <w:lang w:eastAsia="zh-CN"/>
                    </w:rPr>
                  </w:pPr>
                  <w:r>
                    <w:rPr>
                      <w:rFonts w:hint="eastAsia"/>
                      <w:sz w:val="22"/>
                      <w:szCs w:val="22"/>
                      <w:u w:val="single" w:color="auto"/>
                    </w:rPr>
                    <w:t>湖</w:t>
                  </w:r>
                  <w:r>
                    <w:rPr>
                      <w:rFonts w:hint="eastAsia" w:ascii="Times New Roman" w:hAnsi="Times New Roman" w:cs="Times New Roman"/>
                      <w:color w:val="auto"/>
                      <w:sz w:val="22"/>
                      <w:szCs w:val="22"/>
                      <w:u w:val="single" w:color="auto"/>
                      <w:lang w:eastAsia="zh-CN"/>
                    </w:rPr>
                    <w:t>南省地方标准《家具制造行业挥发性有机物排放标准》（DB43/1355-2017）表 2 的排放标准</w:t>
                  </w:r>
                  <w:r>
                    <w:rPr>
                      <w:rFonts w:hint="eastAsia" w:cs="Times New Roman"/>
                      <w:color w:val="auto"/>
                      <w:sz w:val="22"/>
                      <w:szCs w:val="22"/>
                      <w:u w:val="single" w:color="auto"/>
                      <w:lang w:eastAsia="zh-CN"/>
                    </w:rPr>
                    <w:t>、</w:t>
                  </w:r>
                  <w:r>
                    <w:rPr>
                      <w:rFonts w:hint="eastAsia"/>
                      <w:sz w:val="22"/>
                      <w:szCs w:val="22"/>
                      <w:u w:val="single" w:color="auto"/>
                      <w:lang w:val="en-US" w:eastAsia="zh-CN"/>
                    </w:rPr>
                    <w:t>《挥发性有机物无组织排放控制标准》( GB 37822—2019 )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15"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固废</w:t>
                  </w:r>
                </w:p>
              </w:tc>
              <w:tc>
                <w:tcPr>
                  <w:tcW w:w="141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一般</w:t>
                  </w:r>
                </w:p>
                <w:p>
                  <w:pPr>
                    <w:spacing w:line="360" w:lineRule="auto"/>
                    <w:jc w:val="center"/>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固废</w:t>
                  </w:r>
                </w:p>
              </w:tc>
              <w:tc>
                <w:tcPr>
                  <w:tcW w:w="27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按《一般工业固体废物贮存、处置场污染控制标准》（GB18599-2001）及其修改单的要求固定堆存</w:t>
                  </w:r>
                </w:p>
              </w:tc>
              <w:tc>
                <w:tcPr>
                  <w:tcW w:w="1500"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建设一般固废堆场</w:t>
                  </w:r>
                </w:p>
              </w:tc>
              <w:tc>
                <w:tcPr>
                  <w:tcW w:w="2666"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eastAsia="zh-CN"/>
                    </w:rPr>
                  </w:pPr>
                  <w:r>
                    <w:rPr>
                      <w:rFonts w:hint="eastAsia" w:cs="Times New Roman"/>
                      <w:color w:val="auto"/>
                      <w:sz w:val="22"/>
                      <w:szCs w:val="22"/>
                      <w:u w:val="single" w:color="auto"/>
                      <w:lang w:val="en-US" w:eastAsia="zh-CN"/>
                    </w:rPr>
                    <w:t>收集后外售综合利用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5"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141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危险</w:t>
                  </w:r>
                </w:p>
                <w:p>
                  <w:pPr>
                    <w:spacing w:line="360" w:lineRule="auto"/>
                    <w:jc w:val="center"/>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废物</w:t>
                  </w:r>
                </w:p>
              </w:tc>
              <w:tc>
                <w:tcPr>
                  <w:tcW w:w="27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《危险废物贮存污染控制标准》</w:t>
                  </w:r>
                  <w:r>
                    <w:rPr>
                      <w:rFonts w:hint="default" w:ascii="Times New Roman" w:hAnsi="Times New Roman" w:cs="Times New Roman"/>
                      <w:color w:val="auto"/>
                      <w:sz w:val="22"/>
                      <w:szCs w:val="22"/>
                      <w:u w:val="single" w:color="auto"/>
                      <w:lang w:eastAsia="zh-CN"/>
                    </w:rPr>
                    <w:t>（</w:t>
                  </w:r>
                  <w:r>
                    <w:rPr>
                      <w:rFonts w:hint="default" w:ascii="Times New Roman" w:hAnsi="Times New Roman" w:cs="Times New Roman"/>
                      <w:color w:val="auto"/>
                      <w:sz w:val="22"/>
                      <w:szCs w:val="22"/>
                      <w:u w:val="single" w:color="auto"/>
                    </w:rPr>
                    <w:t>GB18597-2001）及2013年修改单</w:t>
                  </w:r>
                </w:p>
              </w:tc>
              <w:tc>
                <w:tcPr>
                  <w:tcW w:w="150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危险废物</w:t>
                  </w:r>
                </w:p>
                <w:p>
                  <w:pPr>
                    <w:spacing w:line="360" w:lineRule="auto"/>
                    <w:jc w:val="center"/>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储存间</w:t>
                  </w:r>
                </w:p>
              </w:tc>
              <w:tc>
                <w:tcPr>
                  <w:tcW w:w="266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val="en-US" w:eastAsia="zh-CN"/>
                    </w:rPr>
                  </w:pPr>
                  <w:r>
                    <w:rPr>
                      <w:rFonts w:hint="eastAsia" w:ascii="Times New Roman" w:hAnsi="Times New Roman" w:cs="Times New Roman"/>
                      <w:color w:val="auto"/>
                      <w:sz w:val="22"/>
                      <w:szCs w:val="22"/>
                      <w:u w:val="single" w:color="auto"/>
                      <w:lang w:val="en-US" w:eastAsia="zh-CN"/>
                    </w:rPr>
                    <w:t>交由</w:t>
                  </w:r>
                  <w:r>
                    <w:rPr>
                      <w:rFonts w:hint="eastAsia" w:cs="Times New Roman"/>
                      <w:color w:val="auto"/>
                      <w:sz w:val="22"/>
                      <w:szCs w:val="22"/>
                      <w:u w:val="single" w:color="auto"/>
                      <w:lang w:val="en-US" w:eastAsia="zh-CN"/>
                    </w:rPr>
                    <w:t>生产厂家进行回收或者交由有资质单位进行处理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5"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141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生活</w:t>
                  </w:r>
                </w:p>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垃圾</w:t>
                  </w:r>
                </w:p>
              </w:tc>
              <w:tc>
                <w:tcPr>
                  <w:tcW w:w="27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集中收集后</w:t>
                  </w:r>
                  <w:r>
                    <w:rPr>
                      <w:rFonts w:hint="default" w:ascii="Times New Roman" w:hAnsi="Times New Roman" w:cs="Times New Roman"/>
                      <w:color w:val="auto"/>
                      <w:sz w:val="22"/>
                      <w:szCs w:val="22"/>
                      <w:u w:val="single" w:color="auto"/>
                      <w:lang w:eastAsia="zh-CN"/>
                    </w:rPr>
                    <w:t>交由环卫部门</w:t>
                  </w:r>
                  <w:r>
                    <w:rPr>
                      <w:rFonts w:hint="default" w:ascii="Times New Roman" w:hAnsi="Times New Roman" w:cs="Times New Roman"/>
                      <w:color w:val="auto"/>
                      <w:sz w:val="22"/>
                      <w:szCs w:val="22"/>
                      <w:u w:val="single" w:color="auto"/>
                    </w:rPr>
                    <w:t>进行处理</w:t>
                  </w:r>
                </w:p>
              </w:tc>
              <w:tc>
                <w:tcPr>
                  <w:tcW w:w="150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生活垃圾是否妥善处理</w:t>
                  </w:r>
                </w:p>
              </w:tc>
              <w:tc>
                <w:tcPr>
                  <w:tcW w:w="2666"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eastAsia="zh-CN"/>
                    </w:rPr>
                  </w:pPr>
                  <w:r>
                    <w:rPr>
                      <w:rFonts w:hint="eastAsia" w:cs="Times New Roman"/>
                      <w:color w:val="auto"/>
                      <w:sz w:val="22"/>
                      <w:szCs w:val="22"/>
                      <w:u w:val="single" w:color="auto"/>
                      <w:lang w:val="en-US" w:eastAsia="zh-CN"/>
                    </w:rPr>
                    <w:t>交由环卫部门进行处理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噪声</w:t>
                  </w:r>
                </w:p>
              </w:tc>
              <w:tc>
                <w:tcPr>
                  <w:tcW w:w="141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机械</w:t>
                  </w:r>
                </w:p>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噪声</w:t>
                  </w:r>
                </w:p>
              </w:tc>
              <w:tc>
                <w:tcPr>
                  <w:tcW w:w="2775" w:type="dxa"/>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对所有高噪声的机械设备的安装，其基础均应作减振处理；加强设备的日常维护管理，发现问题及时处理，使设备始终保持在良好状态；合理布局</w:t>
                  </w:r>
                </w:p>
              </w:tc>
              <w:tc>
                <w:tcPr>
                  <w:tcW w:w="150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隔声降噪措施</w:t>
                  </w:r>
                </w:p>
              </w:tc>
              <w:tc>
                <w:tcPr>
                  <w:tcW w:w="266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达到《工业企业厂界环境噪声排放标准》(GB12348-2008)</w:t>
                  </w:r>
                  <w:r>
                    <w:rPr>
                      <w:rFonts w:hint="eastAsia" w:ascii="Times New Roman" w:hAnsi="Times New Roman" w:cs="Times New Roman"/>
                      <w:color w:val="auto"/>
                      <w:sz w:val="22"/>
                      <w:szCs w:val="22"/>
                      <w:u w:val="single" w:color="auto"/>
                      <w:lang w:val="en-US" w:eastAsia="zh-CN"/>
                    </w:rPr>
                    <w:t>2</w:t>
                  </w:r>
                  <w:r>
                    <w:rPr>
                      <w:rFonts w:hint="default" w:ascii="Times New Roman" w:hAnsi="Times New Roman" w:cs="Times New Roman"/>
                      <w:color w:val="auto"/>
                      <w:sz w:val="22"/>
                      <w:szCs w:val="22"/>
                      <w:u w:val="single" w:color="auto"/>
                    </w:rPr>
                    <w:t>类</w:t>
                  </w:r>
                </w:p>
              </w:tc>
            </w:tr>
          </w:tbl>
          <w:p>
            <w:pPr>
              <w:spacing w:line="360" w:lineRule="auto"/>
              <w:rPr>
                <w:rFonts w:hint="default" w:ascii="Times New Roman" w:hAnsi="Times New Roman" w:cs="Times New Roman"/>
                <w:sz w:val="24"/>
                <w:szCs w:val="24"/>
                <w:u w:val="none" w:color="auto"/>
              </w:rPr>
            </w:pPr>
          </w:p>
        </w:tc>
      </w:tr>
    </w:tbl>
    <w:p>
      <w:pPr>
        <w:snapToGrid w:val="0"/>
        <w:outlineLvl w:val="0"/>
        <w:rPr>
          <w:rFonts w:eastAsia="黑体"/>
          <w:sz w:val="32"/>
          <w:u w:val="none" w:color="auto"/>
        </w:rPr>
      </w:pPr>
      <w:r>
        <w:rPr>
          <w:u w:val="none" w:color="auto"/>
        </w:rPr>
        <w:br w:type="page"/>
      </w:r>
      <w:bookmarkStart w:id="12" w:name="_Toc22283"/>
      <w:r>
        <w:rPr>
          <w:rFonts w:hint="default" w:ascii="Times New Roman" w:hAnsi="Times New Roman" w:eastAsia="宋体" w:cs="Times New Roman"/>
          <w:sz w:val="32"/>
          <w:szCs w:val="32"/>
          <w:u w:val="none" w:color="auto"/>
        </w:rPr>
        <mc:AlternateContent>
          <mc:Choice Requires="wps">
            <w:drawing>
              <wp:anchor distT="0" distB="0" distL="114300" distR="114300" simplePos="0" relativeHeight="251658240" behindDoc="0" locked="0" layoutInCell="0" allowOverlap="1">
                <wp:simplePos x="0" y="0"/>
                <wp:positionH relativeFrom="column">
                  <wp:posOffset>-6223000</wp:posOffset>
                </wp:positionH>
                <wp:positionV relativeFrom="paragraph">
                  <wp:posOffset>1311275</wp:posOffset>
                </wp:positionV>
                <wp:extent cx="5334000" cy="635"/>
                <wp:effectExtent l="8890" t="11430" r="10160" b="6985"/>
                <wp:wrapNone/>
                <wp:docPr id="10" name="直线 24"/>
                <wp:cNvGraphicFramePr/>
                <a:graphic xmlns:a="http://schemas.openxmlformats.org/drawingml/2006/main">
                  <a:graphicData uri="http://schemas.microsoft.com/office/word/2010/wordprocessingShape">
                    <wps:wsp>
                      <wps:cNvCnPr>
                        <a:cxnSpLocks noChangeShapeType="1"/>
                      </wps:cNvCnPr>
                      <wps:spPr bwMode="auto">
                        <a:xfrm>
                          <a:off x="0" y="0"/>
                          <a:ext cx="5334000" cy="635"/>
                        </a:xfrm>
                        <a:prstGeom prst="line">
                          <a:avLst/>
                        </a:prstGeom>
                        <a:noFill/>
                        <a:ln w="9525">
                          <a:solidFill>
                            <a:srgbClr val="000000"/>
                          </a:solidFill>
                          <a:round/>
                        </a:ln>
                      </wps:spPr>
                      <wps:bodyPr/>
                    </wps:wsp>
                  </a:graphicData>
                </a:graphic>
              </wp:anchor>
            </w:drawing>
          </mc:Choice>
          <mc:Fallback>
            <w:pict>
              <v:line id="直线 24" o:spid="_x0000_s1026" o:spt="20" style="position:absolute;left:0pt;margin-left:-490pt;margin-top:103.25pt;height:0.05pt;width:420pt;z-index:251658240;mso-width-relative:page;mso-height-relative:page;" filled="f" stroked="t" coordsize="21600,21600" o:allowincell="f" o:gfxdata="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kCezHZAAAADQEAAA8AAAAA&#10;AAAAAQAgAAAAIgAAAGRycy9kb3ducmV2LnhtbFBLAQIUABQAAAAIAIdO4kC5PIpK2gEAAKUDAAAO&#10;AAAAAAAAAAEAIAAAACgBAABkcnMvZTJvRG9jLnhtbFBLBQYAAAAABgAGAFkBAAB0BQAAAAA=&#10;">
                <v:fill on="f" focussize="0,0"/>
                <v:stroke color="#000000" joinstyle="round"/>
                <v:imagedata o:title=""/>
                <o:lock v:ext="edit" aspectratio="f"/>
              </v:line>
            </w:pict>
          </mc:Fallback>
        </mc:AlternateContent>
      </w:r>
      <w:r>
        <w:rPr>
          <w:rFonts w:hint="default" w:ascii="Times New Roman" w:hAnsi="Times New Roman" w:eastAsia="宋体" w:cs="Times New Roman"/>
          <w:sz w:val="32"/>
          <w:szCs w:val="32"/>
          <w:u w:val="none" w:color="auto"/>
        </w:rPr>
        <mc:AlternateContent>
          <mc:Choice Requires="wps">
            <w:drawing>
              <wp:anchor distT="0" distB="0" distL="114300" distR="114300" simplePos="0" relativeHeight="251657216" behindDoc="0" locked="0" layoutInCell="0" allowOverlap="1">
                <wp:simplePos x="0" y="0"/>
                <wp:positionH relativeFrom="column">
                  <wp:posOffset>-6578600</wp:posOffset>
                </wp:positionH>
                <wp:positionV relativeFrom="paragraph">
                  <wp:posOffset>949325</wp:posOffset>
                </wp:positionV>
                <wp:extent cx="5422900" cy="635"/>
                <wp:effectExtent l="5715" t="11430" r="10160" b="6985"/>
                <wp:wrapNone/>
                <wp:docPr id="9" name="直线 25"/>
                <wp:cNvGraphicFramePr/>
                <a:graphic xmlns:a="http://schemas.openxmlformats.org/drawingml/2006/main">
                  <a:graphicData uri="http://schemas.microsoft.com/office/word/2010/wordprocessingShape">
                    <wps:wsp>
                      <wps:cNvCnPr>
                        <a:cxnSpLocks noChangeShapeType="1"/>
                      </wps:cNvCnPr>
                      <wps:spPr bwMode="auto">
                        <a:xfrm>
                          <a:off x="0" y="0"/>
                          <a:ext cx="5422900" cy="635"/>
                        </a:xfrm>
                        <a:prstGeom prst="line">
                          <a:avLst/>
                        </a:prstGeom>
                        <a:noFill/>
                        <a:ln w="9525">
                          <a:solidFill>
                            <a:srgbClr val="000000"/>
                          </a:solidFill>
                          <a:round/>
                        </a:ln>
                      </wps:spPr>
                      <wps:bodyPr/>
                    </wps:wsp>
                  </a:graphicData>
                </a:graphic>
              </wp:anchor>
            </w:drawing>
          </mc:Choice>
          <mc:Fallback>
            <w:pict>
              <v:line id="直线 25" o:spid="_x0000_s1026" o:spt="20" style="position:absolute;left:0pt;margin-left:-518pt;margin-top:74.75pt;height:0.05pt;width:427pt;z-index:251657216;mso-width-relative:page;mso-height-relative:page;" filled="f" stroked="t" coordsize="21600,21600" o:allowincell="f" o:gfxdata="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h0lla2gAAAA4BAAAPAAAAAAAA&#10;AAEAIAAAACIAAABkcnMvZG93bnJldi54bWxQSwECFAAUAAAACACHTuJAbXIARtcBAACkAwAADgAA&#10;AAAAAAABACAAAAAp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宋体" w:cs="Times New Roman"/>
          <w:sz w:val="32"/>
          <w:szCs w:val="32"/>
          <w:u w:val="none" w:color="auto"/>
        </w:rPr>
        <mc:AlternateContent>
          <mc:Choice Requires="wps">
            <w:drawing>
              <wp:anchor distT="0" distB="0" distL="114300" distR="114300" simplePos="0" relativeHeight="251659264" behindDoc="0" locked="0" layoutInCell="0" allowOverlap="1">
                <wp:simplePos x="0" y="0"/>
                <wp:positionH relativeFrom="column">
                  <wp:posOffset>-6223000</wp:posOffset>
                </wp:positionH>
                <wp:positionV relativeFrom="paragraph">
                  <wp:posOffset>346075</wp:posOffset>
                </wp:positionV>
                <wp:extent cx="4889500" cy="635"/>
                <wp:effectExtent l="8890" t="8255" r="6985" b="10160"/>
                <wp:wrapNone/>
                <wp:docPr id="8" name="直线 26"/>
                <wp:cNvGraphicFramePr/>
                <a:graphic xmlns:a="http://schemas.openxmlformats.org/drawingml/2006/main">
                  <a:graphicData uri="http://schemas.microsoft.com/office/word/2010/wordprocessingShape">
                    <wps:wsp>
                      <wps:cNvCnPr>
                        <a:cxnSpLocks noChangeShapeType="1"/>
                      </wps:cNvCnPr>
                      <wps:spPr bwMode="auto">
                        <a:xfrm>
                          <a:off x="0" y="0"/>
                          <a:ext cx="4889500" cy="635"/>
                        </a:xfrm>
                        <a:prstGeom prst="line">
                          <a:avLst/>
                        </a:prstGeom>
                        <a:noFill/>
                        <a:ln w="9525">
                          <a:solidFill>
                            <a:srgbClr val="000000"/>
                          </a:solidFill>
                          <a:round/>
                        </a:ln>
                      </wps:spPr>
                      <wps:bodyPr/>
                    </wps:wsp>
                  </a:graphicData>
                </a:graphic>
              </wp:anchor>
            </w:drawing>
          </mc:Choice>
          <mc:Fallback>
            <w:pict>
              <v:line id="直线 26" o:spid="_x0000_s1026" o:spt="20" style="position:absolute;left:0pt;margin-left:-490pt;margin-top:27.25pt;height:0.05pt;width:385pt;z-index:251659264;mso-width-relative:page;mso-height-relative:page;" filled="f" stroked="t" coordsize="21600,21600" o:allowincell="f" o:gfxdata="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zAnGdgAAAALAQAADwAAAAAA&#10;AAABACAAAAAiAAAAZHJzL2Rvd25yZXYueG1sUEsBAhQAFAAAAAgAh07iQBJhCDDaAQAApAMAAA4A&#10;AAAAAAAAAQAgAAAAJwEAAGRycy9lMm9Eb2MueG1sUEsFBgAAAAAGAAYAWQEAAHMFAAAAAA==&#10;">
                <v:fill on="f" focussize="0,0"/>
                <v:stroke color="#000000" joinstyle="round"/>
                <v:imagedata o:title=""/>
                <o:lock v:ext="edit" aspectratio="f"/>
              </v:line>
            </w:pict>
          </mc:Fallback>
        </mc:AlternateContent>
      </w:r>
      <w:r>
        <w:rPr>
          <w:rFonts w:hint="default" w:ascii="Times New Roman" w:hAnsi="Times New Roman" w:eastAsia="宋体" w:cs="Times New Roman"/>
          <w:sz w:val="32"/>
          <w:szCs w:val="32"/>
          <w:u w:val="none" w:color="auto"/>
        </w:rPr>
        <mc:AlternateContent>
          <mc:Choice Requires="wps">
            <w:drawing>
              <wp:anchor distT="0" distB="0" distL="114300" distR="114300" simplePos="0" relativeHeight="251656192" behindDoc="0" locked="0" layoutInCell="0" allowOverlap="1">
                <wp:simplePos x="0" y="0"/>
                <wp:positionH relativeFrom="column">
                  <wp:posOffset>-7112000</wp:posOffset>
                </wp:positionH>
                <wp:positionV relativeFrom="paragraph">
                  <wp:posOffset>466725</wp:posOffset>
                </wp:positionV>
                <wp:extent cx="5422900" cy="635"/>
                <wp:effectExtent l="5715" t="5080" r="10160" b="13335"/>
                <wp:wrapNone/>
                <wp:docPr id="7" name="直线 27"/>
                <wp:cNvGraphicFramePr/>
                <a:graphic xmlns:a="http://schemas.openxmlformats.org/drawingml/2006/main">
                  <a:graphicData uri="http://schemas.microsoft.com/office/word/2010/wordprocessingShape">
                    <wps:wsp>
                      <wps:cNvCnPr>
                        <a:cxnSpLocks noChangeShapeType="1"/>
                      </wps:cNvCnPr>
                      <wps:spPr bwMode="auto">
                        <a:xfrm>
                          <a:off x="0" y="0"/>
                          <a:ext cx="5422900" cy="635"/>
                        </a:xfrm>
                        <a:prstGeom prst="line">
                          <a:avLst/>
                        </a:prstGeom>
                        <a:noFill/>
                        <a:ln w="9525">
                          <a:solidFill>
                            <a:srgbClr val="000000"/>
                          </a:solidFill>
                          <a:round/>
                        </a:ln>
                      </wps:spPr>
                      <wps:bodyPr/>
                    </wps:wsp>
                  </a:graphicData>
                </a:graphic>
              </wp:anchor>
            </w:drawing>
          </mc:Choice>
          <mc:Fallback>
            <w:pict>
              <v:line id="直线 27" o:spid="_x0000_s1026" o:spt="20" style="position:absolute;left:0pt;margin-left:-560pt;margin-top:36.75pt;height:0.05pt;width:427pt;z-index:251656192;mso-width-relative:page;mso-height-relative:page;" filled="f" stroked="t" coordsize="21600,21600" o:allowincell="f" o:gfxdata="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vNIEB1wAAAAwBAAAPAAAAAAAA&#10;AAEAIAAAACIAAABkcnMvZG93bnJldi54bWxQSwECFAAUAAAACACHTuJAnCkG/NoBAACkAwAADgAA&#10;AAAAAAABACAAAAAm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宋体" w:cs="Times New Roman"/>
          <w:sz w:val="32"/>
          <w:szCs w:val="32"/>
          <w:u w:val="none" w:color="auto"/>
        </w:rPr>
        <w:t>八、建设项目拟采取的防治措施及</w:t>
      </w:r>
      <w:r>
        <w:rPr>
          <w:rFonts w:hint="default" w:ascii="Times New Roman" w:hAnsi="Times New Roman" w:eastAsia="宋体" w:cs="Times New Roman"/>
          <w:sz w:val="32"/>
          <w:u w:val="none" w:color="auto"/>
        </w:rPr>
        <w:t>预期治理效果</w:t>
      </w:r>
      <w:bookmarkEnd w:id="12"/>
    </w:p>
    <w:tbl>
      <w:tblPr>
        <w:tblStyle w:val="39"/>
        <w:tblW w:w="96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0"/>
        <w:gridCol w:w="725"/>
        <w:gridCol w:w="1525"/>
        <w:gridCol w:w="1310"/>
        <w:gridCol w:w="2890"/>
        <w:gridCol w:w="24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20" w:type="dxa"/>
            <w:tcBorders>
              <w:tl2br w:val="nil"/>
              <w:tr2bl w:val="nil"/>
            </w:tcBorders>
            <w:vAlign w:val="center"/>
          </w:tcPr>
          <w:p>
            <w:pPr>
              <w:snapToGrid w:val="0"/>
              <w:spacing w:line="360" w:lineRule="auto"/>
              <w:jc w:val="both"/>
              <w:rPr>
                <w:rFonts w:hint="default" w:ascii="Times New Roman" w:hAnsi="Times New Roman" w:cs="Times New Roman"/>
                <w:b/>
                <w:sz w:val="22"/>
                <w:szCs w:val="22"/>
                <w:u w:val="none" w:color="auto"/>
              </w:rPr>
            </w:pPr>
            <w:r>
              <w:rPr>
                <w:rFonts w:hint="default" w:ascii="Times New Roman" w:hAnsi="Times New Roman" w:cs="Times New Roman"/>
                <w:b/>
                <w:sz w:val="22"/>
                <w:szCs w:val="22"/>
                <w:u w:val="none" w:color="auto"/>
              </w:rPr>
              <w:t>内容</w:t>
            </w:r>
          </w:p>
          <w:p>
            <w:pPr>
              <w:snapToGrid w:val="0"/>
              <w:spacing w:line="360" w:lineRule="auto"/>
              <w:rPr>
                <w:rFonts w:hint="default" w:ascii="Times New Roman" w:hAnsi="Times New Roman" w:cs="Times New Roman"/>
                <w:b/>
                <w:sz w:val="22"/>
                <w:szCs w:val="22"/>
                <w:u w:val="none" w:color="auto"/>
              </w:rPr>
            </w:pPr>
            <w:r>
              <w:rPr>
                <w:rFonts w:hint="default" w:ascii="Times New Roman" w:hAnsi="Times New Roman" w:cs="Times New Roman"/>
                <w:b/>
                <w:sz w:val="22"/>
                <w:szCs w:val="22"/>
                <w:u w:val="none" w:color="auto"/>
              </w:rPr>
              <w:t>类型</w:t>
            </w:r>
          </w:p>
        </w:tc>
        <w:tc>
          <w:tcPr>
            <w:tcW w:w="2250" w:type="dxa"/>
            <w:gridSpan w:val="2"/>
            <w:tcBorders>
              <w:tl2br w:val="nil"/>
              <w:tr2bl w:val="nil"/>
            </w:tcBorders>
            <w:vAlign w:val="center"/>
          </w:tcPr>
          <w:p>
            <w:pPr>
              <w:snapToGrid w:val="0"/>
              <w:spacing w:line="360" w:lineRule="auto"/>
              <w:jc w:val="center"/>
              <w:rPr>
                <w:rFonts w:hint="default" w:ascii="Times New Roman" w:hAnsi="Times New Roman" w:cs="Times New Roman"/>
                <w:b/>
                <w:sz w:val="22"/>
                <w:szCs w:val="22"/>
                <w:u w:val="none" w:color="auto"/>
              </w:rPr>
            </w:pPr>
            <w:r>
              <w:rPr>
                <w:rFonts w:hint="default" w:ascii="Times New Roman" w:hAnsi="Times New Roman" w:cs="Times New Roman"/>
                <w:b/>
                <w:sz w:val="22"/>
                <w:szCs w:val="22"/>
                <w:u w:val="none" w:color="auto"/>
              </w:rPr>
              <w:t>排放源</w:t>
            </w:r>
          </w:p>
          <w:p>
            <w:pPr>
              <w:snapToGrid w:val="0"/>
              <w:spacing w:line="360" w:lineRule="auto"/>
              <w:jc w:val="center"/>
              <w:rPr>
                <w:rFonts w:hint="default" w:ascii="Times New Roman" w:hAnsi="Times New Roman" w:cs="Times New Roman"/>
                <w:b/>
                <w:sz w:val="22"/>
                <w:szCs w:val="22"/>
                <w:u w:val="none" w:color="auto"/>
              </w:rPr>
            </w:pPr>
            <w:r>
              <w:rPr>
                <w:rFonts w:hint="default" w:ascii="Times New Roman" w:hAnsi="Times New Roman" w:cs="Times New Roman"/>
                <w:b/>
                <w:sz w:val="22"/>
                <w:szCs w:val="22"/>
                <w:u w:val="none" w:color="auto"/>
              </w:rPr>
              <w:t>（编号）</w:t>
            </w:r>
          </w:p>
        </w:tc>
        <w:tc>
          <w:tcPr>
            <w:tcW w:w="1310" w:type="dxa"/>
            <w:tcBorders>
              <w:tl2br w:val="nil"/>
              <w:tr2bl w:val="nil"/>
            </w:tcBorders>
            <w:vAlign w:val="center"/>
          </w:tcPr>
          <w:p>
            <w:pPr>
              <w:snapToGrid w:val="0"/>
              <w:spacing w:line="360" w:lineRule="auto"/>
              <w:jc w:val="center"/>
              <w:rPr>
                <w:rFonts w:hint="default" w:ascii="Times New Roman" w:hAnsi="Times New Roman" w:cs="Times New Roman"/>
                <w:b/>
                <w:sz w:val="22"/>
                <w:szCs w:val="22"/>
                <w:u w:val="none" w:color="auto"/>
              </w:rPr>
            </w:pPr>
            <w:r>
              <w:rPr>
                <w:rFonts w:hint="default" w:ascii="Times New Roman" w:hAnsi="Times New Roman" w:cs="Times New Roman"/>
                <w:b/>
                <w:sz w:val="22"/>
                <w:szCs w:val="22"/>
                <w:u w:val="none" w:color="auto"/>
              </w:rPr>
              <w:t>污染物</w:t>
            </w:r>
          </w:p>
          <w:p>
            <w:pPr>
              <w:snapToGrid w:val="0"/>
              <w:spacing w:line="360" w:lineRule="auto"/>
              <w:jc w:val="center"/>
              <w:rPr>
                <w:rFonts w:hint="default" w:ascii="Times New Roman" w:hAnsi="Times New Roman" w:cs="Times New Roman"/>
                <w:b/>
                <w:sz w:val="22"/>
                <w:szCs w:val="22"/>
                <w:u w:val="none" w:color="auto"/>
              </w:rPr>
            </w:pPr>
            <w:r>
              <w:rPr>
                <w:rFonts w:hint="default" w:ascii="Times New Roman" w:hAnsi="Times New Roman" w:cs="Times New Roman"/>
                <w:b/>
                <w:sz w:val="22"/>
                <w:szCs w:val="22"/>
                <w:u w:val="none" w:color="auto"/>
              </w:rPr>
              <w:t>名称</w:t>
            </w:r>
          </w:p>
        </w:tc>
        <w:tc>
          <w:tcPr>
            <w:tcW w:w="2890" w:type="dxa"/>
            <w:tcBorders>
              <w:tl2br w:val="nil"/>
              <w:tr2bl w:val="nil"/>
            </w:tcBorders>
            <w:vAlign w:val="center"/>
          </w:tcPr>
          <w:p>
            <w:pPr>
              <w:snapToGrid w:val="0"/>
              <w:spacing w:line="360" w:lineRule="auto"/>
              <w:jc w:val="center"/>
              <w:rPr>
                <w:rFonts w:hint="default" w:ascii="Times New Roman" w:hAnsi="Times New Roman" w:cs="Times New Roman"/>
                <w:b/>
                <w:sz w:val="22"/>
                <w:szCs w:val="22"/>
                <w:u w:val="none" w:color="auto"/>
              </w:rPr>
            </w:pPr>
            <w:r>
              <w:rPr>
                <w:rFonts w:hint="default" w:ascii="Times New Roman" w:hAnsi="Times New Roman" w:cs="Times New Roman"/>
                <w:b/>
                <w:sz w:val="22"/>
                <w:szCs w:val="22"/>
                <w:u w:val="none" w:color="auto"/>
              </w:rPr>
              <w:t>防治措施</w:t>
            </w:r>
          </w:p>
        </w:tc>
        <w:tc>
          <w:tcPr>
            <w:tcW w:w="2420" w:type="dxa"/>
            <w:tcBorders>
              <w:tl2br w:val="nil"/>
              <w:tr2bl w:val="nil"/>
            </w:tcBorders>
            <w:vAlign w:val="center"/>
          </w:tcPr>
          <w:p>
            <w:pPr>
              <w:snapToGrid w:val="0"/>
              <w:spacing w:line="360" w:lineRule="auto"/>
              <w:jc w:val="center"/>
              <w:rPr>
                <w:rFonts w:hint="default" w:ascii="Times New Roman" w:hAnsi="Times New Roman" w:cs="Times New Roman"/>
                <w:b/>
                <w:sz w:val="22"/>
                <w:szCs w:val="22"/>
                <w:u w:val="none" w:color="auto"/>
              </w:rPr>
            </w:pPr>
            <w:r>
              <w:rPr>
                <w:rFonts w:hint="default" w:ascii="Times New Roman" w:hAnsi="Times New Roman" w:cs="Times New Roman"/>
                <w:b/>
                <w:sz w:val="22"/>
                <w:szCs w:val="22"/>
                <w:u w:val="none" w:color="auto"/>
              </w:rPr>
              <w:t>预期</w:t>
            </w:r>
          </w:p>
          <w:p>
            <w:pPr>
              <w:snapToGrid w:val="0"/>
              <w:spacing w:line="360" w:lineRule="auto"/>
              <w:ind w:left="-100" w:leftChars="-50" w:right="-100" w:rightChars="-50"/>
              <w:jc w:val="center"/>
              <w:rPr>
                <w:rFonts w:hint="default" w:ascii="Times New Roman" w:hAnsi="Times New Roman" w:cs="Times New Roman"/>
                <w:b/>
                <w:sz w:val="22"/>
                <w:szCs w:val="22"/>
                <w:u w:val="none" w:color="auto"/>
              </w:rPr>
            </w:pPr>
            <w:r>
              <w:rPr>
                <w:rFonts w:hint="default" w:ascii="Times New Roman" w:hAnsi="Times New Roman" w:cs="Times New Roman"/>
                <w:b/>
                <w:sz w:val="22"/>
                <w:szCs w:val="22"/>
                <w:u w:val="none" w:color="auto"/>
              </w:rPr>
              <w:t>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820" w:type="dxa"/>
            <w:vMerge w:val="restart"/>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大气污染物</w:t>
            </w:r>
          </w:p>
        </w:tc>
        <w:tc>
          <w:tcPr>
            <w:tcW w:w="725" w:type="dxa"/>
            <w:vMerge w:val="restart"/>
            <w:tcBorders>
              <w:tl2br w:val="nil"/>
              <w:tr2bl w:val="nil"/>
            </w:tcBorders>
            <w:vAlign w:val="center"/>
          </w:tcPr>
          <w:p>
            <w:pPr>
              <w:adjustRightInd w:val="0"/>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营运期</w:t>
            </w:r>
          </w:p>
        </w:tc>
        <w:tc>
          <w:tcPr>
            <w:tcW w:w="1525" w:type="dxa"/>
            <w:tcBorders>
              <w:tl2br w:val="nil"/>
              <w:tr2bl w:val="nil"/>
            </w:tcBorders>
            <w:vAlign w:val="center"/>
          </w:tcPr>
          <w:p>
            <w:pPr>
              <w:adjustRightInd w:val="0"/>
              <w:snapToGrid w:val="0"/>
              <w:spacing w:line="360" w:lineRule="auto"/>
              <w:jc w:val="center"/>
              <w:rPr>
                <w:rFonts w:hint="default" w:ascii="Times New Roman" w:hAnsi="Times New Roman" w:cs="Times New Roman"/>
                <w:sz w:val="22"/>
                <w:szCs w:val="22"/>
                <w:u w:val="none" w:color="auto"/>
              </w:rPr>
            </w:pPr>
            <w:r>
              <w:rPr>
                <w:rFonts w:hint="eastAsia" w:cs="Times New Roman"/>
                <w:color w:val="auto"/>
                <w:sz w:val="22"/>
                <w:szCs w:val="22"/>
                <w:u w:val="none" w:color="auto"/>
                <w:lang w:eastAsia="zh-CN"/>
              </w:rPr>
              <w:t>下料、钻孔、切割工艺</w:t>
            </w:r>
            <w:r>
              <w:rPr>
                <w:rFonts w:hint="default" w:ascii="Times New Roman" w:hAnsi="Times New Roman" w:cs="Times New Roman"/>
                <w:color w:val="auto"/>
                <w:sz w:val="22"/>
                <w:szCs w:val="22"/>
                <w:u w:val="none" w:color="auto"/>
              </w:rPr>
              <w:t>粉尘</w:t>
            </w:r>
          </w:p>
        </w:tc>
        <w:tc>
          <w:tcPr>
            <w:tcW w:w="1310" w:type="dxa"/>
            <w:tcBorders>
              <w:tl2br w:val="nil"/>
              <w:tr2bl w:val="nil"/>
            </w:tcBorders>
            <w:vAlign w:val="center"/>
          </w:tcPr>
          <w:p>
            <w:pPr>
              <w:adjustRightInd w:val="0"/>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粉尘</w:t>
            </w:r>
          </w:p>
        </w:tc>
        <w:tc>
          <w:tcPr>
            <w:tcW w:w="2890" w:type="dxa"/>
            <w:tcBorders>
              <w:tl2br w:val="nil"/>
              <w:tr2bl w:val="nil"/>
            </w:tcBorders>
            <w:vAlign w:val="center"/>
          </w:tcPr>
          <w:p>
            <w:pPr>
              <w:spacing w:line="360" w:lineRule="auto"/>
              <w:jc w:val="center"/>
              <w:rPr>
                <w:rFonts w:hint="default" w:ascii="Times New Roman" w:hAnsi="Times New Roman" w:cs="Times New Roman"/>
                <w:kern w:val="0"/>
                <w:sz w:val="22"/>
                <w:szCs w:val="22"/>
                <w:u w:val="none" w:color="auto"/>
              </w:rPr>
            </w:pPr>
            <w:r>
              <w:rPr>
                <w:rFonts w:hint="eastAsia" w:cs="Times New Roman"/>
                <w:sz w:val="22"/>
                <w:szCs w:val="22"/>
                <w:u w:val="none" w:color="auto"/>
                <w:lang w:eastAsia="zh-CN"/>
              </w:rPr>
              <w:t>双桶式</w:t>
            </w:r>
            <w:r>
              <w:rPr>
                <w:rFonts w:hint="default" w:ascii="Times New Roman" w:hAnsi="Times New Roman" w:cs="Times New Roman"/>
                <w:sz w:val="22"/>
                <w:szCs w:val="22"/>
                <w:u w:val="none" w:color="auto"/>
              </w:rPr>
              <w:t>布袋除尘器处理+车间无组织</w:t>
            </w:r>
          </w:p>
        </w:tc>
        <w:tc>
          <w:tcPr>
            <w:tcW w:w="2420" w:type="dxa"/>
            <w:vMerge w:val="restart"/>
            <w:tcBorders>
              <w:tl2br w:val="nil"/>
              <w:tr2bl w:val="nil"/>
            </w:tcBorders>
            <w:vAlign w:val="center"/>
          </w:tcPr>
          <w:p>
            <w:pPr>
              <w:adjustRightInd w:val="0"/>
              <w:snapToGrid w:val="0"/>
              <w:spacing w:line="360" w:lineRule="auto"/>
              <w:ind w:left="-105" w:leftChars="0" w:right="-105" w:rightChars="0"/>
              <w:jc w:val="center"/>
              <w:rPr>
                <w:rFonts w:hint="default" w:ascii="Times New Roman" w:hAnsi="Times New Roman" w:cs="Times New Roman"/>
                <w:kern w:val="0"/>
                <w:sz w:val="22"/>
                <w:szCs w:val="22"/>
                <w:u w:val="none" w:color="auto"/>
              </w:rPr>
            </w:pPr>
            <w:r>
              <w:rPr>
                <w:rFonts w:hint="default" w:ascii="Times New Roman" w:hAnsi="Times New Roman" w:cs="Times New Roman"/>
                <w:color w:val="auto"/>
                <w:sz w:val="22"/>
                <w:szCs w:val="22"/>
                <w:u w:val="none" w:color="auto"/>
                <w:lang w:eastAsia="zh-CN"/>
              </w:rPr>
              <w:t>《大气污染物综合排放标准》（</w:t>
            </w:r>
            <w:r>
              <w:rPr>
                <w:rFonts w:hint="default" w:ascii="Times New Roman" w:hAnsi="Times New Roman" w:cs="Times New Roman"/>
                <w:color w:val="auto"/>
                <w:sz w:val="22"/>
                <w:szCs w:val="22"/>
                <w:u w:val="none" w:color="auto"/>
                <w:lang w:val="en-US" w:eastAsia="zh-CN"/>
              </w:rPr>
              <w:t>GB16297-1996)无组织排放标准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20"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725" w:type="dxa"/>
            <w:vMerge w:val="continue"/>
            <w:tcBorders>
              <w:tl2br w:val="nil"/>
              <w:tr2bl w:val="nil"/>
            </w:tcBorders>
            <w:vAlign w:val="center"/>
          </w:tcPr>
          <w:p>
            <w:pPr>
              <w:adjustRightInd w:val="0"/>
              <w:snapToGrid w:val="0"/>
              <w:spacing w:line="360" w:lineRule="auto"/>
              <w:jc w:val="center"/>
              <w:rPr>
                <w:rFonts w:hint="default" w:ascii="Times New Roman" w:hAnsi="Times New Roman" w:cs="Times New Roman"/>
                <w:sz w:val="22"/>
                <w:szCs w:val="22"/>
                <w:u w:val="none" w:color="auto"/>
              </w:rPr>
            </w:pPr>
          </w:p>
        </w:tc>
        <w:tc>
          <w:tcPr>
            <w:tcW w:w="1525" w:type="dxa"/>
            <w:tcBorders>
              <w:tl2br w:val="nil"/>
              <w:tr2bl w:val="nil"/>
            </w:tcBorders>
            <w:vAlign w:val="center"/>
          </w:tcPr>
          <w:p>
            <w:pPr>
              <w:adjustRightInd w:val="0"/>
              <w:snapToGrid w:val="0"/>
              <w:spacing w:line="360" w:lineRule="auto"/>
              <w:jc w:val="center"/>
              <w:rPr>
                <w:rFonts w:hint="eastAsia" w:cs="Times New Roman"/>
                <w:color w:val="auto"/>
                <w:sz w:val="22"/>
                <w:szCs w:val="22"/>
                <w:u w:val="none" w:color="auto"/>
                <w:lang w:eastAsia="zh-CN"/>
              </w:rPr>
            </w:pPr>
            <w:r>
              <w:rPr>
                <w:rFonts w:hint="eastAsia" w:cs="Times New Roman"/>
                <w:color w:val="auto"/>
                <w:sz w:val="22"/>
                <w:szCs w:val="22"/>
                <w:u w:val="none" w:color="auto"/>
                <w:lang w:eastAsia="zh-CN"/>
              </w:rPr>
              <w:t>地面粉尘</w:t>
            </w:r>
          </w:p>
        </w:tc>
        <w:tc>
          <w:tcPr>
            <w:tcW w:w="1310" w:type="dxa"/>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sz w:val="22"/>
                <w:szCs w:val="22"/>
                <w:u w:val="none" w:color="auto"/>
                <w:lang w:eastAsia="zh-CN"/>
              </w:rPr>
            </w:pPr>
            <w:r>
              <w:rPr>
                <w:rFonts w:hint="eastAsia" w:cs="Times New Roman"/>
                <w:sz w:val="22"/>
                <w:szCs w:val="22"/>
                <w:u w:val="none" w:color="auto"/>
                <w:lang w:eastAsia="zh-CN"/>
              </w:rPr>
              <w:t>粉尘</w:t>
            </w:r>
          </w:p>
        </w:tc>
        <w:tc>
          <w:tcPr>
            <w:tcW w:w="2890" w:type="dxa"/>
            <w:tcBorders>
              <w:tl2br w:val="nil"/>
              <w:tr2bl w:val="nil"/>
            </w:tcBorders>
            <w:vAlign w:val="center"/>
          </w:tcPr>
          <w:p>
            <w:pPr>
              <w:spacing w:line="360" w:lineRule="auto"/>
              <w:jc w:val="center"/>
              <w:rPr>
                <w:rFonts w:hint="eastAsia" w:cs="Times New Roman"/>
                <w:sz w:val="22"/>
                <w:szCs w:val="22"/>
                <w:u w:val="none" w:color="auto"/>
                <w:lang w:eastAsia="zh-CN"/>
              </w:rPr>
            </w:pPr>
            <w:r>
              <w:rPr>
                <w:rFonts w:hint="eastAsia" w:cs="Times New Roman"/>
                <w:sz w:val="22"/>
                <w:szCs w:val="22"/>
                <w:u w:val="none" w:color="auto"/>
                <w:lang w:eastAsia="zh-CN"/>
              </w:rPr>
              <w:t>吸尘器吸收</w:t>
            </w:r>
          </w:p>
        </w:tc>
        <w:tc>
          <w:tcPr>
            <w:tcW w:w="2420" w:type="dxa"/>
            <w:vMerge w:val="continue"/>
            <w:tcBorders>
              <w:tl2br w:val="nil"/>
              <w:tr2bl w:val="nil"/>
            </w:tcBorders>
            <w:vAlign w:val="center"/>
          </w:tcPr>
          <w:p>
            <w:pPr>
              <w:adjustRightInd w:val="0"/>
              <w:snapToGrid w:val="0"/>
              <w:spacing w:line="360" w:lineRule="auto"/>
              <w:ind w:left="-105" w:leftChars="0" w:right="-105" w:rightChars="0"/>
              <w:jc w:val="center"/>
              <w:rPr>
                <w:rFonts w:hint="default" w:ascii="Times New Roman" w:hAnsi="Times New Roman" w:cs="Times New Roman"/>
                <w:color w:val="auto"/>
                <w:sz w:val="22"/>
                <w:szCs w:val="22"/>
                <w:u w:val="none" w:color="auto"/>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20"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725" w:type="dxa"/>
            <w:vMerge w:val="continue"/>
            <w:tcBorders>
              <w:tl2br w:val="nil"/>
              <w:tr2bl w:val="nil"/>
            </w:tcBorders>
            <w:vAlign w:val="center"/>
          </w:tcPr>
          <w:p>
            <w:pPr>
              <w:adjustRightInd w:val="0"/>
              <w:snapToGrid w:val="0"/>
              <w:spacing w:line="360" w:lineRule="auto"/>
              <w:jc w:val="center"/>
              <w:rPr>
                <w:rFonts w:hint="default" w:ascii="Times New Roman" w:hAnsi="Times New Roman" w:cs="Times New Roman"/>
                <w:sz w:val="22"/>
                <w:szCs w:val="22"/>
                <w:u w:val="none" w:color="auto"/>
              </w:rPr>
            </w:pPr>
          </w:p>
        </w:tc>
        <w:tc>
          <w:tcPr>
            <w:tcW w:w="1525" w:type="dxa"/>
            <w:tcBorders>
              <w:tl2br w:val="nil"/>
              <w:tr2bl w:val="nil"/>
            </w:tcBorders>
            <w:vAlign w:val="center"/>
          </w:tcPr>
          <w:p>
            <w:pPr>
              <w:spacing w:line="360" w:lineRule="auto"/>
              <w:jc w:val="center"/>
              <w:rPr>
                <w:rFonts w:hint="eastAsia" w:cs="Times New Roman"/>
                <w:color w:val="auto"/>
                <w:sz w:val="22"/>
                <w:szCs w:val="22"/>
                <w:u w:val="none" w:color="auto"/>
                <w:lang w:eastAsia="zh-CN"/>
              </w:rPr>
            </w:pPr>
            <w:r>
              <w:rPr>
                <w:rFonts w:hint="default" w:ascii="Times New Roman" w:hAnsi="Times New Roman" w:eastAsia="宋体" w:cs="Times New Roman"/>
                <w:kern w:val="2"/>
                <w:sz w:val="22"/>
                <w:szCs w:val="22"/>
                <w:u w:val="none" w:color="auto"/>
                <w:lang w:val="en-US" w:eastAsia="zh-CN" w:bidi="ar-SA"/>
              </w:rPr>
              <w:t>刷胶、冷压、封边工序</w:t>
            </w:r>
          </w:p>
        </w:tc>
        <w:tc>
          <w:tcPr>
            <w:tcW w:w="1310" w:type="dxa"/>
            <w:tcBorders>
              <w:tl2br w:val="nil"/>
              <w:tr2bl w:val="nil"/>
            </w:tcBorders>
            <w:vAlign w:val="center"/>
          </w:tcPr>
          <w:p>
            <w:pPr>
              <w:spacing w:line="360" w:lineRule="auto"/>
              <w:jc w:val="center"/>
              <w:rPr>
                <w:rFonts w:hint="default" w:ascii="Times New Roman" w:hAnsi="Times New Roman" w:cs="Times New Roman"/>
                <w:sz w:val="22"/>
                <w:szCs w:val="22"/>
                <w:u w:val="none" w:color="auto"/>
                <w:lang w:val="en-US"/>
              </w:rPr>
            </w:pPr>
            <w:r>
              <w:rPr>
                <w:rFonts w:hint="eastAsia" w:cs="Times New Roman"/>
                <w:sz w:val="22"/>
                <w:szCs w:val="22"/>
                <w:u w:val="none" w:color="auto"/>
                <w:lang w:val="en-US" w:eastAsia="zh-CN"/>
              </w:rPr>
              <w:t>非甲烷总烃</w:t>
            </w:r>
          </w:p>
        </w:tc>
        <w:tc>
          <w:tcPr>
            <w:tcW w:w="2890" w:type="dxa"/>
            <w:tcBorders>
              <w:tl2br w:val="nil"/>
              <w:tr2bl w:val="nil"/>
            </w:tcBorders>
            <w:vAlign w:val="center"/>
          </w:tcPr>
          <w:p>
            <w:pPr>
              <w:spacing w:line="360" w:lineRule="auto"/>
              <w:jc w:val="center"/>
              <w:rPr>
                <w:rFonts w:hint="eastAsia" w:cs="Times New Roman"/>
                <w:sz w:val="22"/>
                <w:szCs w:val="22"/>
                <w:u w:val="none" w:color="auto"/>
                <w:lang w:eastAsia="zh-CN"/>
              </w:rPr>
            </w:pPr>
            <w:r>
              <w:rPr>
                <w:rFonts w:hint="eastAsia" w:cs="Times New Roman"/>
                <w:color w:val="auto"/>
                <w:sz w:val="22"/>
                <w:szCs w:val="22"/>
                <w:u w:val="none" w:color="auto"/>
                <w:lang w:eastAsia="zh-CN"/>
              </w:rPr>
              <w:t>经车间排风后无组织排放</w:t>
            </w:r>
          </w:p>
        </w:tc>
        <w:tc>
          <w:tcPr>
            <w:tcW w:w="2420" w:type="dxa"/>
            <w:tcBorders>
              <w:tl2br w:val="nil"/>
              <w:tr2bl w:val="nil"/>
            </w:tcBorders>
            <w:vAlign w:val="center"/>
          </w:tcPr>
          <w:p>
            <w:pPr>
              <w:adjustRightInd w:val="0"/>
              <w:snapToGrid w:val="0"/>
              <w:spacing w:line="360" w:lineRule="auto"/>
              <w:ind w:left="-105" w:leftChars="0" w:right="-105" w:rightChars="0"/>
              <w:jc w:val="center"/>
              <w:rPr>
                <w:rFonts w:hint="default" w:ascii="Times New Roman" w:hAnsi="Times New Roman" w:cs="Times New Roman"/>
                <w:color w:val="auto"/>
                <w:sz w:val="22"/>
                <w:szCs w:val="22"/>
                <w:u w:val="none" w:color="auto"/>
                <w:lang w:eastAsia="zh-CN"/>
              </w:rPr>
            </w:pPr>
            <w:r>
              <w:rPr>
                <w:rFonts w:hint="eastAsia"/>
                <w:sz w:val="22"/>
                <w:szCs w:val="22"/>
                <w:u w:val="none" w:color="auto"/>
              </w:rPr>
              <w:t>湖</w:t>
            </w:r>
            <w:r>
              <w:rPr>
                <w:rFonts w:hint="eastAsia" w:ascii="Times New Roman" w:hAnsi="Times New Roman" w:cs="Times New Roman"/>
                <w:color w:val="auto"/>
                <w:sz w:val="22"/>
                <w:szCs w:val="22"/>
                <w:u w:val="none" w:color="auto"/>
                <w:lang w:eastAsia="zh-CN"/>
              </w:rPr>
              <w:t>南省地方标准《家具制造行业挥发性有机物排放标准》（DB43/1355-2017）表 2 的排放标准</w:t>
            </w:r>
            <w:r>
              <w:rPr>
                <w:rFonts w:hint="eastAsia" w:cs="Times New Roman"/>
                <w:color w:val="auto"/>
                <w:sz w:val="22"/>
                <w:szCs w:val="22"/>
                <w:u w:val="none" w:color="auto"/>
                <w:lang w:eastAsia="zh-CN"/>
              </w:rPr>
              <w:t>、</w:t>
            </w:r>
            <w:r>
              <w:rPr>
                <w:rFonts w:hint="eastAsia"/>
                <w:sz w:val="22"/>
                <w:szCs w:val="22"/>
                <w:u w:val="none" w:color="auto"/>
                <w:lang w:val="en-US" w:eastAsia="zh-CN"/>
              </w:rPr>
              <w:t>《挥发性有机物无组织排放控制标准》( GB 37822—2019 )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20" w:type="dxa"/>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水污染物</w:t>
            </w:r>
          </w:p>
        </w:tc>
        <w:tc>
          <w:tcPr>
            <w:tcW w:w="725" w:type="dxa"/>
            <w:tcBorders>
              <w:tl2br w:val="nil"/>
              <w:tr2bl w:val="nil"/>
            </w:tcBorders>
            <w:vAlign w:val="center"/>
          </w:tcPr>
          <w:p>
            <w:pPr>
              <w:adjustRightInd w:val="0"/>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营运期</w:t>
            </w:r>
          </w:p>
        </w:tc>
        <w:tc>
          <w:tcPr>
            <w:tcW w:w="1525" w:type="dxa"/>
            <w:tcBorders>
              <w:tl2br w:val="nil"/>
              <w:tr2bl w:val="nil"/>
            </w:tcBorders>
            <w:vAlign w:val="center"/>
          </w:tcPr>
          <w:p>
            <w:pPr>
              <w:adjustRightInd w:val="0"/>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生活</w:t>
            </w:r>
          </w:p>
          <w:p>
            <w:pPr>
              <w:adjustRightInd w:val="0"/>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污水</w:t>
            </w:r>
          </w:p>
        </w:tc>
        <w:tc>
          <w:tcPr>
            <w:tcW w:w="1310" w:type="dxa"/>
            <w:tcBorders>
              <w:tl2br w:val="nil"/>
              <w:tr2bl w:val="nil"/>
            </w:tcBorders>
            <w:vAlign w:val="center"/>
          </w:tcPr>
          <w:p>
            <w:pPr>
              <w:pStyle w:val="119"/>
              <w:overflowPunct/>
              <w:autoSpaceDE/>
              <w:autoSpaceDN/>
              <w:snapToGrid w:val="0"/>
              <w:spacing w:line="360" w:lineRule="auto"/>
              <w:jc w:val="center"/>
              <w:textAlignment w:val="auto"/>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COD</w:t>
            </w:r>
            <w:r>
              <w:rPr>
                <w:rFonts w:hint="default" w:ascii="Times New Roman" w:hAnsi="Times New Roman" w:cs="Times New Roman"/>
                <w:sz w:val="22"/>
                <w:szCs w:val="22"/>
                <w:u w:val="none" w:color="auto"/>
                <w:vertAlign w:val="subscript"/>
              </w:rPr>
              <w:t>Cr</w:t>
            </w:r>
            <w:r>
              <w:rPr>
                <w:rFonts w:hint="default" w:ascii="Times New Roman" w:hAnsi="Times New Roman" w:cs="Times New Roman"/>
                <w:sz w:val="22"/>
                <w:szCs w:val="22"/>
                <w:u w:val="none" w:color="auto"/>
              </w:rPr>
              <w:t>、NH</w:t>
            </w:r>
            <w:r>
              <w:rPr>
                <w:rFonts w:hint="default" w:ascii="Times New Roman" w:hAnsi="Times New Roman" w:cs="Times New Roman"/>
                <w:sz w:val="22"/>
                <w:szCs w:val="22"/>
                <w:u w:val="none" w:color="auto"/>
                <w:vertAlign w:val="subscript"/>
              </w:rPr>
              <w:t>3</w:t>
            </w:r>
            <w:r>
              <w:rPr>
                <w:rFonts w:hint="default" w:ascii="Times New Roman" w:hAnsi="Times New Roman" w:cs="Times New Roman"/>
                <w:sz w:val="22"/>
                <w:szCs w:val="22"/>
                <w:u w:val="none" w:color="auto"/>
              </w:rPr>
              <w:t>-N</w:t>
            </w:r>
          </w:p>
        </w:tc>
        <w:tc>
          <w:tcPr>
            <w:tcW w:w="2890" w:type="dxa"/>
            <w:tcBorders>
              <w:tl2br w:val="nil"/>
              <w:tr2bl w:val="nil"/>
            </w:tcBorders>
            <w:vAlign w:val="center"/>
          </w:tcPr>
          <w:p>
            <w:pPr>
              <w:pStyle w:val="37"/>
              <w:spacing w:before="162"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lang w:bidi="ar"/>
              </w:rPr>
              <w:t>化粪池</w:t>
            </w:r>
          </w:p>
        </w:tc>
        <w:tc>
          <w:tcPr>
            <w:tcW w:w="2420" w:type="dxa"/>
            <w:tcBorders>
              <w:tl2br w:val="nil"/>
              <w:tr2bl w:val="nil"/>
            </w:tcBorders>
            <w:vAlign w:val="center"/>
          </w:tcPr>
          <w:p>
            <w:pPr>
              <w:adjustRightInd w:val="0"/>
              <w:snapToGrid w:val="0"/>
              <w:spacing w:line="360" w:lineRule="auto"/>
              <w:ind w:left="-105" w:right="-105"/>
              <w:jc w:val="center"/>
              <w:rPr>
                <w:rFonts w:hint="eastAsia" w:ascii="Times New Roman" w:hAnsi="Times New Roman" w:eastAsia="宋体" w:cs="Times New Roman"/>
                <w:sz w:val="22"/>
                <w:szCs w:val="22"/>
                <w:u w:val="none" w:color="auto"/>
                <w:lang w:eastAsia="zh-CN"/>
              </w:rPr>
            </w:pPr>
            <w:r>
              <w:rPr>
                <w:rFonts w:hint="eastAsia" w:ascii="Times New Roman" w:hAnsi="Times New Roman" w:cs="Times New Roman"/>
                <w:sz w:val="22"/>
                <w:szCs w:val="22"/>
                <w:u w:val="none" w:color="auto"/>
                <w:lang w:eastAsia="zh-CN"/>
              </w:rPr>
              <w:t>回用于周边绿化施肥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2" w:hRule="atLeast"/>
          <w:jc w:val="center"/>
        </w:trPr>
        <w:tc>
          <w:tcPr>
            <w:tcW w:w="820" w:type="dxa"/>
            <w:vMerge w:val="restart"/>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固体废弃物</w:t>
            </w:r>
          </w:p>
        </w:tc>
        <w:tc>
          <w:tcPr>
            <w:tcW w:w="725" w:type="dxa"/>
            <w:vMerge w:val="restart"/>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营运期</w:t>
            </w:r>
          </w:p>
        </w:tc>
        <w:tc>
          <w:tcPr>
            <w:tcW w:w="1525" w:type="dxa"/>
            <w:vMerge w:val="restart"/>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生产</w:t>
            </w:r>
          </w:p>
          <w:p>
            <w:pPr>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车间</w:t>
            </w:r>
          </w:p>
        </w:tc>
        <w:tc>
          <w:tcPr>
            <w:tcW w:w="1310"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eastAsia" w:ascii="Times New Roman" w:hAnsi="Times New Roman" w:cs="Times New Roman"/>
                <w:sz w:val="22"/>
                <w:szCs w:val="22"/>
                <w:u w:val="none" w:color="auto"/>
                <w:lang w:eastAsia="zh-CN"/>
              </w:rPr>
              <w:t>废边角料</w:t>
            </w:r>
          </w:p>
        </w:tc>
        <w:tc>
          <w:tcPr>
            <w:tcW w:w="2890" w:type="dxa"/>
            <w:vMerge w:val="restart"/>
            <w:tcBorders>
              <w:tl2br w:val="nil"/>
              <w:tr2bl w:val="nil"/>
            </w:tcBorders>
            <w:vAlign w:val="center"/>
          </w:tcPr>
          <w:p>
            <w:pPr>
              <w:snapToGrid w:val="0"/>
              <w:spacing w:line="360" w:lineRule="auto"/>
              <w:jc w:val="center"/>
              <w:rPr>
                <w:rFonts w:hint="eastAsia" w:ascii="Times New Roman" w:hAnsi="Times New Roman" w:eastAsia="宋体" w:cs="Times New Roman"/>
                <w:sz w:val="22"/>
                <w:szCs w:val="22"/>
                <w:u w:val="none" w:color="auto"/>
                <w:lang w:eastAsia="zh-CN"/>
              </w:rPr>
            </w:pPr>
            <w:r>
              <w:rPr>
                <w:rFonts w:hint="eastAsia" w:ascii="Times New Roman" w:hAnsi="Times New Roman" w:cs="Times New Roman"/>
                <w:sz w:val="22"/>
                <w:szCs w:val="22"/>
                <w:u w:val="none" w:color="auto"/>
                <w:lang w:eastAsia="zh-CN"/>
              </w:rPr>
              <w:t>收集后外售</w:t>
            </w:r>
            <w:r>
              <w:rPr>
                <w:rFonts w:hint="eastAsia" w:cs="Times New Roman"/>
                <w:sz w:val="22"/>
                <w:szCs w:val="22"/>
                <w:u w:val="none" w:color="auto"/>
                <w:lang w:eastAsia="zh-CN"/>
              </w:rPr>
              <w:t>综合利用</w:t>
            </w:r>
          </w:p>
        </w:tc>
        <w:tc>
          <w:tcPr>
            <w:tcW w:w="2420" w:type="dxa"/>
            <w:vMerge w:val="restart"/>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资源化</w:t>
            </w:r>
          </w:p>
          <w:p>
            <w:pPr>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无害化</w:t>
            </w:r>
          </w:p>
          <w:p>
            <w:pPr>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减量化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0"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725"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1525"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1310"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eastAsia" w:ascii="Times New Roman" w:hAnsi="Times New Roman" w:cs="Times New Roman"/>
                <w:sz w:val="22"/>
                <w:szCs w:val="22"/>
                <w:u w:val="none" w:color="auto"/>
                <w:lang w:eastAsia="zh-CN"/>
              </w:rPr>
              <w:t>除尘器收集的粉尘</w:t>
            </w:r>
          </w:p>
        </w:tc>
        <w:tc>
          <w:tcPr>
            <w:tcW w:w="2890"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2420"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20"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725"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1525"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1310"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eastAsia" w:cs="Times New Roman"/>
                <w:sz w:val="22"/>
                <w:szCs w:val="22"/>
                <w:u w:val="none" w:color="auto"/>
                <w:lang w:eastAsia="zh-CN"/>
              </w:rPr>
              <w:t>废白乳胶包装材料</w:t>
            </w:r>
          </w:p>
        </w:tc>
        <w:tc>
          <w:tcPr>
            <w:tcW w:w="2890" w:type="dxa"/>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lang w:val="en-US"/>
              </w:rPr>
            </w:pPr>
            <w:r>
              <w:rPr>
                <w:rFonts w:hint="default" w:ascii="Times New Roman" w:hAnsi="Times New Roman" w:cs="Times New Roman"/>
                <w:sz w:val="22"/>
                <w:szCs w:val="22"/>
                <w:u w:val="none" w:color="auto"/>
              </w:rPr>
              <w:t>暂存危废暂存间，交由</w:t>
            </w:r>
            <w:r>
              <w:rPr>
                <w:rFonts w:hint="eastAsia" w:cs="Times New Roman"/>
                <w:sz w:val="22"/>
                <w:szCs w:val="22"/>
                <w:u w:val="none" w:color="auto"/>
                <w:lang w:eastAsia="zh-CN"/>
              </w:rPr>
              <w:t>厂家回收处理</w:t>
            </w:r>
            <w:r>
              <w:rPr>
                <w:rFonts w:hint="eastAsia" w:cs="Times New Roman"/>
                <w:sz w:val="22"/>
                <w:szCs w:val="22"/>
                <w:u w:val="none" w:color="auto"/>
                <w:lang w:val="en-US" w:eastAsia="zh-CN"/>
              </w:rPr>
              <w:t>或者交由有资质单位进行处理</w:t>
            </w:r>
          </w:p>
        </w:tc>
        <w:tc>
          <w:tcPr>
            <w:tcW w:w="2420"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8" w:hRule="atLeast"/>
          <w:jc w:val="center"/>
        </w:trPr>
        <w:tc>
          <w:tcPr>
            <w:tcW w:w="820"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725"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1525"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1310" w:type="dxa"/>
            <w:tcBorders>
              <w:tl2br w:val="nil"/>
              <w:tr2bl w:val="nil"/>
            </w:tcBorders>
            <w:vAlign w:val="center"/>
          </w:tcPr>
          <w:p>
            <w:pPr>
              <w:spacing w:line="360" w:lineRule="auto"/>
              <w:jc w:val="center"/>
              <w:rPr>
                <w:rFonts w:hint="default" w:ascii="Times New Roman" w:hAnsi="Times New Roman" w:eastAsia="宋体" w:cs="Times New Roman"/>
                <w:sz w:val="22"/>
                <w:szCs w:val="22"/>
                <w:u w:val="none" w:color="auto"/>
                <w:lang w:eastAsia="zh-CN"/>
              </w:rPr>
            </w:pPr>
            <w:r>
              <w:rPr>
                <w:rFonts w:hint="eastAsia" w:ascii="Times New Roman" w:hAnsi="Times New Roman" w:cs="Times New Roman"/>
                <w:sz w:val="22"/>
                <w:szCs w:val="22"/>
                <w:u w:val="none" w:color="auto"/>
                <w:lang w:eastAsia="zh-CN"/>
              </w:rPr>
              <w:t>废包装材料</w:t>
            </w:r>
          </w:p>
        </w:tc>
        <w:tc>
          <w:tcPr>
            <w:tcW w:w="2890" w:type="dxa"/>
            <w:tcBorders>
              <w:tl2br w:val="nil"/>
              <w:tr2bl w:val="nil"/>
            </w:tcBorders>
            <w:vAlign w:val="center"/>
          </w:tcPr>
          <w:p>
            <w:pPr>
              <w:snapToGrid w:val="0"/>
              <w:spacing w:line="360" w:lineRule="auto"/>
              <w:jc w:val="center"/>
              <w:rPr>
                <w:rFonts w:hint="eastAsia" w:ascii="Times New Roman" w:hAnsi="Times New Roman" w:eastAsia="宋体" w:cs="Times New Roman"/>
                <w:sz w:val="22"/>
                <w:szCs w:val="22"/>
                <w:u w:val="none" w:color="auto"/>
                <w:lang w:eastAsia="zh-CN"/>
              </w:rPr>
            </w:pPr>
            <w:r>
              <w:rPr>
                <w:rFonts w:hint="eastAsia" w:cs="Times New Roman"/>
                <w:sz w:val="22"/>
                <w:szCs w:val="22"/>
                <w:u w:val="none" w:color="auto"/>
                <w:lang w:eastAsia="zh-CN"/>
              </w:rPr>
              <w:t>收集后外售废品回收站回收利用</w:t>
            </w:r>
          </w:p>
        </w:tc>
        <w:tc>
          <w:tcPr>
            <w:tcW w:w="2420"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0"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725"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1525"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1310" w:type="dxa"/>
            <w:tcBorders>
              <w:tl2br w:val="nil"/>
              <w:tr2bl w:val="nil"/>
            </w:tcBorders>
            <w:vAlign w:val="center"/>
          </w:tcPr>
          <w:p>
            <w:pPr>
              <w:spacing w:line="360" w:lineRule="auto"/>
              <w:jc w:val="center"/>
              <w:rPr>
                <w:rFonts w:hint="default" w:ascii="Times New Roman" w:hAnsi="Times New Roman" w:cs="Times New Roman"/>
                <w:sz w:val="22"/>
                <w:szCs w:val="22"/>
                <w:u w:val="none" w:color="auto"/>
                <w:lang w:eastAsia="zh-CN"/>
              </w:rPr>
            </w:pPr>
            <w:r>
              <w:rPr>
                <w:rFonts w:hint="default" w:ascii="Times New Roman" w:hAnsi="Times New Roman" w:cs="Times New Roman"/>
                <w:sz w:val="22"/>
                <w:szCs w:val="22"/>
                <w:u w:val="none" w:color="auto"/>
              </w:rPr>
              <w:t>生活垃圾</w:t>
            </w:r>
          </w:p>
        </w:tc>
        <w:tc>
          <w:tcPr>
            <w:tcW w:w="2890" w:type="dxa"/>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交由环卫部门处理</w:t>
            </w:r>
          </w:p>
        </w:tc>
        <w:tc>
          <w:tcPr>
            <w:tcW w:w="2420"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820" w:type="dxa"/>
            <w:tcBorders>
              <w:tl2br w:val="nil"/>
              <w:tr2bl w:val="nil"/>
            </w:tcBorders>
            <w:vAlign w:val="center"/>
          </w:tcPr>
          <w:p>
            <w:pPr>
              <w:snapToGrid w:val="0"/>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噪声</w:t>
            </w:r>
          </w:p>
        </w:tc>
        <w:tc>
          <w:tcPr>
            <w:tcW w:w="725" w:type="dxa"/>
            <w:tcBorders>
              <w:tl2br w:val="nil"/>
              <w:tr2bl w:val="nil"/>
            </w:tcBorders>
            <w:vAlign w:val="center"/>
          </w:tcPr>
          <w:p>
            <w:pPr>
              <w:snapToGrid w:val="0"/>
              <w:spacing w:line="360" w:lineRule="auto"/>
              <w:jc w:val="center"/>
              <w:rPr>
                <w:rFonts w:hint="default" w:ascii="Times New Roman" w:hAnsi="Times New Roman" w:cs="Times New Roman"/>
                <w:b/>
                <w:kern w:val="0"/>
                <w:sz w:val="22"/>
                <w:szCs w:val="22"/>
                <w:u w:val="none" w:color="auto"/>
              </w:rPr>
            </w:pPr>
            <w:r>
              <w:rPr>
                <w:rFonts w:hint="default" w:ascii="Times New Roman" w:hAnsi="Times New Roman" w:cs="Times New Roman"/>
                <w:sz w:val="22"/>
                <w:szCs w:val="22"/>
                <w:u w:val="none" w:color="auto"/>
              </w:rPr>
              <w:t>营运期</w:t>
            </w:r>
          </w:p>
        </w:tc>
        <w:tc>
          <w:tcPr>
            <w:tcW w:w="8145" w:type="dxa"/>
            <w:gridSpan w:val="4"/>
            <w:tcBorders>
              <w:tl2br w:val="nil"/>
              <w:tr2bl w:val="nil"/>
            </w:tcBorders>
          </w:tcPr>
          <w:p>
            <w:pPr>
              <w:snapToGrid w:val="0"/>
              <w:spacing w:line="360" w:lineRule="auto"/>
              <w:jc w:val="left"/>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噪声主要来源于</w:t>
            </w:r>
            <w:r>
              <w:rPr>
                <w:rFonts w:hint="eastAsia" w:cs="Times New Roman"/>
                <w:sz w:val="22"/>
                <w:szCs w:val="22"/>
                <w:u w:val="none" w:color="auto"/>
                <w:lang w:eastAsia="zh-CN"/>
              </w:rPr>
              <w:t>设备</w:t>
            </w:r>
            <w:r>
              <w:rPr>
                <w:rFonts w:hint="default" w:ascii="Times New Roman" w:hAnsi="Times New Roman" w:cs="Times New Roman"/>
                <w:sz w:val="22"/>
                <w:szCs w:val="22"/>
                <w:u w:val="none" w:color="auto"/>
              </w:rPr>
              <w:t>运行过程所产生的噪声，声值为</w:t>
            </w:r>
            <w:r>
              <w:rPr>
                <w:rFonts w:hint="eastAsia" w:cs="Times New Roman"/>
                <w:sz w:val="22"/>
                <w:szCs w:val="22"/>
                <w:u w:val="none" w:color="auto"/>
                <w:lang w:val="en-US" w:eastAsia="zh-CN"/>
              </w:rPr>
              <w:t>65-80</w:t>
            </w:r>
            <w:r>
              <w:rPr>
                <w:rFonts w:hint="default" w:ascii="Times New Roman" w:hAnsi="Times New Roman" w:cs="Times New Roman"/>
                <w:sz w:val="22"/>
                <w:szCs w:val="22"/>
                <w:u w:val="none" w:color="auto"/>
              </w:rPr>
              <w:t>dB(A)，经采取合理布局、隔音、减振等措施，使厂界噪声达到《工业企业场界环境噪声排放标准》（GB12348-2008）</w:t>
            </w:r>
            <w:r>
              <w:rPr>
                <w:rFonts w:hint="eastAsia" w:ascii="Times New Roman" w:hAnsi="Times New Roman" w:cs="Times New Roman"/>
                <w:sz w:val="22"/>
                <w:szCs w:val="22"/>
                <w:u w:val="none" w:color="auto"/>
                <w:lang w:val="en-US" w:eastAsia="zh-CN"/>
              </w:rPr>
              <w:t>2</w:t>
            </w:r>
            <w:r>
              <w:rPr>
                <w:rFonts w:hint="default" w:ascii="Times New Roman" w:hAnsi="Times New Roman" w:cs="Times New Roman"/>
                <w:sz w:val="22"/>
                <w:szCs w:val="22"/>
                <w:u w:val="none" w:color="auto"/>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690" w:type="dxa"/>
            <w:gridSpan w:val="6"/>
            <w:tcBorders>
              <w:tl2br w:val="nil"/>
              <w:tr2bl w:val="nil"/>
            </w:tcBorders>
          </w:tcPr>
          <w:p>
            <w:pPr>
              <w:snapToGrid w:val="0"/>
              <w:spacing w:line="360" w:lineRule="auto"/>
              <w:rPr>
                <w:rFonts w:hint="default" w:ascii="Times New Roman" w:hAnsi="Times New Roman" w:cs="Times New Roman"/>
                <w:b/>
                <w:kern w:val="0"/>
                <w:sz w:val="22"/>
                <w:szCs w:val="22"/>
                <w:u w:val="none" w:color="auto"/>
              </w:rPr>
            </w:pPr>
            <w:r>
              <w:rPr>
                <w:rFonts w:hint="default" w:ascii="Times New Roman" w:hAnsi="Times New Roman" w:cs="Times New Roman"/>
                <w:b/>
                <w:kern w:val="0"/>
                <w:sz w:val="22"/>
                <w:szCs w:val="22"/>
                <w:u w:val="none" w:color="auto"/>
              </w:rPr>
              <w:t>生态保护措施及预期效果：</w:t>
            </w:r>
          </w:p>
          <w:p>
            <w:pPr>
              <w:snapToGrid w:val="0"/>
              <w:spacing w:line="360" w:lineRule="auto"/>
              <w:ind w:firstLine="482"/>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本项目</w:t>
            </w:r>
            <w:r>
              <w:rPr>
                <w:rFonts w:hint="eastAsia" w:cs="Times New Roman"/>
                <w:sz w:val="22"/>
                <w:szCs w:val="22"/>
                <w:u w:val="none" w:color="auto"/>
                <w:lang w:eastAsia="zh-CN"/>
              </w:rPr>
              <w:t>租赁位于湘阴县石塘乡高山村红星组的厂房</w:t>
            </w:r>
            <w:r>
              <w:rPr>
                <w:rFonts w:hint="default" w:ascii="Times New Roman" w:hAnsi="Times New Roman" w:cs="Times New Roman"/>
                <w:sz w:val="22"/>
                <w:szCs w:val="22"/>
                <w:u w:val="none" w:color="auto"/>
              </w:rPr>
              <w:t>进行生产，不会对生态环境产生影响。此外，项目营运期产生的废气、废水、固废和噪声均得到有效处理与处置，项目营运不会对周围的生态环境产生明显影响。</w:t>
            </w:r>
          </w:p>
        </w:tc>
      </w:tr>
    </w:tbl>
    <w:p>
      <w:pPr>
        <w:snapToGrid w:val="0"/>
        <w:jc w:val="left"/>
        <w:outlineLvl w:val="0"/>
        <w:rPr>
          <w:u w:val="none" w:color="auto"/>
        </w:rPr>
      </w:pPr>
      <w:r>
        <w:rPr>
          <w:u w:val="none" w:color="auto"/>
        </w:rPr>
        <w:br w:type="page"/>
      </w:r>
      <w:bookmarkStart w:id="13" w:name="_Toc22256"/>
      <w:r>
        <w:rPr>
          <w:rFonts w:hint="eastAsia" w:eastAsia="黑体"/>
          <w:sz w:val="32"/>
          <w:u w:val="none" w:color="auto"/>
        </w:rPr>
        <w:t>九、</w:t>
      </w:r>
      <w:r>
        <w:rPr>
          <w:rFonts w:eastAsia="黑体"/>
          <w:sz w:val="32"/>
          <w:u w:val="none" w:color="auto"/>
        </w:rPr>
        <w:t>结论与建议</w:t>
      </w:r>
      <w:bookmarkEnd w:id="13"/>
    </w:p>
    <w:tbl>
      <w:tblPr>
        <w:tblStyle w:val="39"/>
        <w:tblW w:w="935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85" w:type="dxa"/>
          <w:bottom w:w="0" w:type="dxa"/>
          <w:right w:w="85" w:type="dxa"/>
        </w:tblCellMar>
      </w:tblPr>
      <w:tblGrid>
        <w:gridCol w:w="935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397" w:hRule="atLeast"/>
          <w:jc w:val="center"/>
        </w:trPr>
        <w:tc>
          <w:tcPr>
            <w:tcW w:w="9356" w:type="dxa"/>
          </w:tcPr>
          <w:p>
            <w:pPr>
              <w:snapToGrid w:val="0"/>
              <w:spacing w:line="360" w:lineRule="auto"/>
              <w:rPr>
                <w:b/>
                <w:sz w:val="24"/>
                <w:szCs w:val="24"/>
                <w:u w:val="none" w:color="auto"/>
              </w:rPr>
            </w:pPr>
            <w:r>
              <w:rPr>
                <w:b/>
                <w:sz w:val="24"/>
                <w:szCs w:val="24"/>
                <w:u w:val="none" w:color="auto"/>
              </w:rPr>
              <w:t>一. 结论</w:t>
            </w:r>
          </w:p>
          <w:p>
            <w:pPr>
              <w:adjustRightInd w:val="0"/>
              <w:snapToGrid w:val="0"/>
              <w:spacing w:line="360" w:lineRule="auto"/>
              <w:ind w:firstLine="462" w:firstLineChars="200"/>
              <w:rPr>
                <w:b/>
                <w:bCs/>
                <w:sz w:val="24"/>
                <w:szCs w:val="24"/>
                <w:u w:val="none" w:color="auto"/>
              </w:rPr>
            </w:pPr>
            <w:r>
              <w:rPr>
                <w:b/>
                <w:bCs/>
                <w:sz w:val="24"/>
                <w:szCs w:val="24"/>
                <w:u w:val="none" w:color="auto"/>
              </w:rPr>
              <w:t>1、项目概况</w:t>
            </w:r>
          </w:p>
          <w:p>
            <w:pPr>
              <w:adjustRightInd w:val="0"/>
              <w:snapToGrid w:val="0"/>
              <w:spacing w:line="360" w:lineRule="auto"/>
              <w:ind w:firstLine="462" w:firstLineChars="200"/>
              <w:rPr>
                <w:rFonts w:hint="eastAsia" w:eastAsia="宋体"/>
                <w:sz w:val="24"/>
                <w:szCs w:val="24"/>
                <w:u w:val="none" w:color="auto"/>
                <w:lang w:eastAsia="zh-CN"/>
              </w:rPr>
            </w:pPr>
            <w:r>
              <w:rPr>
                <w:rFonts w:hint="eastAsia"/>
                <w:sz w:val="24"/>
                <w:szCs w:val="24"/>
                <w:u w:val="none" w:color="auto"/>
                <w:lang w:eastAsia="zh-CN"/>
              </w:rPr>
              <w:t>湖南顺星办公家具有限公司年产5000套办公家具建设项目</w:t>
            </w:r>
            <w:r>
              <w:rPr>
                <w:rFonts w:hint="default"/>
                <w:sz w:val="24"/>
                <w:szCs w:val="24"/>
                <w:u w:val="none" w:color="auto"/>
                <w:lang w:eastAsia="zh-CN"/>
              </w:rPr>
              <w:t>位于</w:t>
            </w:r>
            <w:r>
              <w:rPr>
                <w:rFonts w:hint="eastAsia"/>
                <w:sz w:val="24"/>
                <w:szCs w:val="24"/>
                <w:u w:val="none" w:color="auto"/>
                <w:lang w:eastAsia="zh-CN"/>
              </w:rPr>
              <w:t>湘阴县石塘乡高山村红星组现有厂房，总投资</w:t>
            </w:r>
            <w:r>
              <w:rPr>
                <w:rFonts w:hint="eastAsia"/>
                <w:sz w:val="24"/>
                <w:szCs w:val="24"/>
                <w:u w:val="none" w:color="auto"/>
                <w:lang w:val="en-US" w:eastAsia="zh-CN"/>
              </w:rPr>
              <w:t>40万元</w:t>
            </w:r>
            <w:r>
              <w:rPr>
                <w:rFonts w:hint="eastAsia"/>
                <w:sz w:val="24"/>
                <w:szCs w:val="24"/>
                <w:u w:val="none" w:color="auto"/>
                <w:lang w:eastAsia="zh-CN"/>
              </w:rPr>
              <w:t>（环保投资为</w:t>
            </w:r>
            <w:r>
              <w:rPr>
                <w:rFonts w:hint="eastAsia"/>
                <w:sz w:val="24"/>
                <w:szCs w:val="24"/>
                <w:u w:val="none" w:color="auto"/>
                <w:lang w:val="en-US" w:eastAsia="zh-CN"/>
              </w:rPr>
              <w:t>7</w:t>
            </w:r>
            <w:r>
              <w:rPr>
                <w:rFonts w:hint="eastAsia"/>
                <w:sz w:val="24"/>
                <w:szCs w:val="24"/>
                <w:u w:val="none" w:color="auto"/>
                <w:lang w:eastAsia="zh-CN"/>
              </w:rPr>
              <w:t>万元），总占地面积</w:t>
            </w:r>
            <w:r>
              <w:rPr>
                <w:rFonts w:hint="eastAsia"/>
                <w:sz w:val="24"/>
                <w:szCs w:val="24"/>
                <w:u w:val="none" w:color="auto"/>
                <w:lang w:val="en-US" w:eastAsia="zh-CN"/>
              </w:rPr>
              <w:t>15</w:t>
            </w:r>
            <w:r>
              <w:rPr>
                <w:rFonts w:hint="eastAsia"/>
                <w:sz w:val="24"/>
                <w:szCs w:val="24"/>
                <w:u w:val="none" w:color="auto"/>
                <w:lang w:eastAsia="zh-CN"/>
              </w:rPr>
              <w:t>00平方米</w:t>
            </w:r>
            <w:r>
              <w:rPr>
                <w:rFonts w:hint="eastAsia" w:ascii="Times New Roman" w:hAnsi="Times New Roman" w:eastAsia="宋体" w:cs="Times New Roman"/>
                <w:sz w:val="24"/>
                <w:szCs w:val="24"/>
                <w:u w:val="none" w:color="auto"/>
                <w:lang w:eastAsia="zh-CN"/>
              </w:rPr>
              <w:t>，项目建成投</w:t>
            </w:r>
            <w:r>
              <w:rPr>
                <w:rFonts w:hint="eastAsia"/>
                <w:sz w:val="24"/>
                <w:szCs w:val="24"/>
                <w:u w:val="none" w:color="auto"/>
              </w:rPr>
              <w:t>产后</w:t>
            </w:r>
            <w:r>
              <w:rPr>
                <w:rFonts w:hint="eastAsia"/>
                <w:sz w:val="24"/>
                <w:szCs w:val="24"/>
                <w:u w:val="none" w:color="auto"/>
                <w:lang w:eastAsia="zh-CN"/>
              </w:rPr>
              <w:t>年产</w:t>
            </w:r>
            <w:r>
              <w:rPr>
                <w:rFonts w:hint="eastAsia"/>
                <w:sz w:val="24"/>
                <w:szCs w:val="24"/>
                <w:u w:val="none" w:color="auto"/>
                <w:lang w:val="en-US" w:eastAsia="zh-CN"/>
              </w:rPr>
              <w:t>5</w:t>
            </w:r>
            <w:r>
              <w:rPr>
                <w:rFonts w:hint="eastAsia"/>
                <w:sz w:val="24"/>
                <w:szCs w:val="24"/>
                <w:u w:val="none" w:color="auto"/>
                <w:lang w:eastAsia="zh-CN"/>
              </w:rPr>
              <w:t>000套办公家具。</w:t>
            </w:r>
          </w:p>
          <w:p>
            <w:pPr>
              <w:adjustRightInd w:val="0"/>
              <w:snapToGrid w:val="0"/>
              <w:spacing w:line="360" w:lineRule="auto"/>
              <w:ind w:firstLine="462" w:firstLineChars="200"/>
              <w:rPr>
                <w:sz w:val="24"/>
                <w:u w:val="none" w:color="auto"/>
              </w:rPr>
            </w:pPr>
            <w:r>
              <w:rPr>
                <w:b/>
                <w:bCs/>
                <w:sz w:val="24"/>
                <w:szCs w:val="24"/>
                <w:u w:val="none" w:color="auto"/>
              </w:rPr>
              <w:t>2</w:t>
            </w:r>
            <w:r>
              <w:rPr>
                <w:b/>
                <w:sz w:val="24"/>
                <w:u w:val="none" w:color="auto"/>
              </w:rPr>
              <w:t>、区域环境质量结论</w:t>
            </w:r>
          </w:p>
          <w:p>
            <w:pPr>
              <w:snapToGrid w:val="0"/>
              <w:spacing w:line="360" w:lineRule="auto"/>
              <w:ind w:firstLine="453" w:firstLineChars="196"/>
              <w:rPr>
                <w:rFonts w:hAnsi="宋体"/>
                <w:sz w:val="24"/>
                <w:szCs w:val="24"/>
                <w:u w:val="none" w:color="auto"/>
              </w:rPr>
            </w:pPr>
            <w:r>
              <w:rPr>
                <w:rFonts w:hAnsi="宋体"/>
                <w:sz w:val="24"/>
                <w:szCs w:val="24"/>
                <w:u w:val="none" w:color="auto"/>
              </w:rPr>
              <w:t>本项目所在地区域环境质量现状调查结果表明：</w:t>
            </w:r>
          </w:p>
          <w:p>
            <w:pPr>
              <w:pStyle w:val="2"/>
              <w:keepNext w:val="0"/>
              <w:keepLines w:val="0"/>
              <w:pageBreakBefore w:val="0"/>
              <w:widowControl w:val="0"/>
              <w:kinsoku/>
              <w:wordWrap/>
              <w:overflowPunct/>
              <w:topLinePunct w:val="0"/>
              <w:autoSpaceDE/>
              <w:autoSpaceDN/>
              <w:bidi w:val="0"/>
              <w:spacing w:after="0" w:afterLines="0" w:line="360" w:lineRule="auto"/>
              <w:ind w:left="0" w:right="0" w:firstLine="462" w:firstLineChars="200"/>
              <w:textAlignment w:val="auto"/>
              <w:rPr>
                <w:rFonts w:hint="eastAsia"/>
                <w:color w:val="auto"/>
                <w:sz w:val="24"/>
                <w:szCs w:val="24"/>
                <w:u w:val="none" w:color="auto"/>
                <w:lang w:eastAsia="zh-CN"/>
              </w:rPr>
            </w:pPr>
            <w:r>
              <w:rPr>
                <w:rFonts w:hint="default" w:ascii="Times New Roman" w:hAnsi="Times New Roman" w:eastAsia="宋体" w:cs="Times New Roman"/>
                <w:iCs w:val="0"/>
                <w:color w:val="auto"/>
                <w:kern w:val="2"/>
                <w:sz w:val="24"/>
                <w:szCs w:val="24"/>
                <w:u w:val="none" w:color="auto"/>
                <w:lang w:val="en-US" w:eastAsia="zh-CN" w:bidi="ar-SA"/>
              </w:rPr>
              <w:t>大气</w:t>
            </w:r>
            <w:r>
              <w:rPr>
                <w:rFonts w:hint="default" w:ascii="Times New Roman" w:hAnsi="Times New Roman" w:cs="Times New Roman"/>
                <w:iCs w:val="0"/>
                <w:color w:val="auto"/>
                <w:kern w:val="2"/>
                <w:sz w:val="24"/>
                <w:szCs w:val="24"/>
                <w:u w:val="none" w:color="auto"/>
                <w:lang w:val="en-US" w:eastAsia="zh-CN" w:bidi="ar-SA"/>
              </w:rPr>
              <w:t>：</w:t>
            </w:r>
            <w:r>
              <w:rPr>
                <w:rFonts w:hint="eastAsia"/>
                <w:color w:val="auto"/>
                <w:sz w:val="24"/>
                <w:szCs w:val="24"/>
                <w:u w:val="none" w:color="auto"/>
                <w:lang w:eastAsia="zh-CN"/>
              </w:rPr>
              <w:t>根据</w:t>
            </w:r>
            <w:r>
              <w:rPr>
                <w:rFonts w:hint="eastAsia"/>
                <w:color w:val="auto"/>
                <w:sz w:val="24"/>
                <w:szCs w:val="24"/>
                <w:u w:val="none" w:color="auto"/>
                <w:lang w:val="en-US" w:eastAsia="zh-CN"/>
              </w:rPr>
              <w:t>2019年湘阴县环境空气质量公告，</w:t>
            </w:r>
            <w:r>
              <w:rPr>
                <w:rFonts w:hint="eastAsia"/>
                <w:color w:val="auto"/>
                <w:sz w:val="24"/>
                <w:szCs w:val="24"/>
                <w:u w:val="none" w:color="auto"/>
                <w:lang w:eastAsia="zh-CN"/>
              </w:rPr>
              <w:t>对比</w:t>
            </w:r>
            <w:r>
              <w:rPr>
                <w:rFonts w:hint="default"/>
                <w:color w:val="auto"/>
                <w:sz w:val="24"/>
                <w:szCs w:val="24"/>
                <w:u w:val="none" w:color="auto"/>
                <w:lang w:eastAsia="zh-CN"/>
              </w:rPr>
              <w:t>《环境空气质量标准》（GB3095-2012）中的二级标准</w:t>
            </w:r>
            <w:r>
              <w:rPr>
                <w:rFonts w:hint="eastAsia"/>
                <w:color w:val="auto"/>
                <w:sz w:val="24"/>
                <w:szCs w:val="24"/>
                <w:u w:val="none" w:color="auto"/>
                <w:lang w:eastAsia="zh-CN"/>
              </w:rPr>
              <w:t>，</w:t>
            </w:r>
            <w:r>
              <w:rPr>
                <w:rFonts w:hint="default" w:ascii="Times New Roman" w:hAnsi="Times New Roman" w:cs="Times New Roman"/>
                <w:color w:val="auto"/>
                <w:sz w:val="24"/>
                <w:szCs w:val="24"/>
                <w:u w:val="none" w:color="auto"/>
              </w:rPr>
              <w:t>PM</w:t>
            </w:r>
            <w:r>
              <w:rPr>
                <w:rFonts w:hint="eastAsia" w:ascii="Times New Roman" w:hAnsi="Times New Roman" w:cs="Times New Roman"/>
                <w:color w:val="auto"/>
                <w:sz w:val="24"/>
                <w:szCs w:val="24"/>
                <w:u w:val="none" w:color="auto"/>
                <w:vertAlign w:val="subscript"/>
                <w:lang w:val="en-US" w:eastAsia="zh-CN"/>
              </w:rPr>
              <w:t>2.5</w:t>
            </w:r>
            <w:r>
              <w:rPr>
                <w:rFonts w:hint="eastAsia" w:cs="Times New Roman"/>
                <w:color w:val="auto"/>
                <w:sz w:val="24"/>
                <w:szCs w:val="24"/>
                <w:u w:val="none" w:color="auto"/>
                <w:vertAlign w:val="baseline"/>
                <w:lang w:val="en-US" w:eastAsia="zh-CN"/>
              </w:rPr>
              <w:t>出现超标，</w:t>
            </w:r>
            <w:r>
              <w:rPr>
                <w:rFonts w:hint="default" w:ascii="Times New Roman" w:hAnsi="Times New Roman" w:cs="Times New Roman"/>
                <w:color w:val="auto"/>
                <w:sz w:val="24"/>
                <w:szCs w:val="24"/>
                <w:u w:val="none" w:color="auto"/>
              </w:rPr>
              <w:t>PM</w:t>
            </w:r>
            <w:r>
              <w:rPr>
                <w:rFonts w:hint="eastAsia" w:ascii="Times New Roman" w:hAnsi="Times New Roman" w:cs="Times New Roman"/>
                <w:color w:val="auto"/>
                <w:sz w:val="24"/>
                <w:szCs w:val="24"/>
                <w:u w:val="none" w:color="auto"/>
                <w:vertAlign w:val="subscript"/>
                <w:lang w:val="en-US" w:eastAsia="zh-CN"/>
              </w:rPr>
              <w:t>2.5</w:t>
            </w:r>
            <w:r>
              <w:rPr>
                <w:rFonts w:hint="eastAsia" w:cs="Times New Roman"/>
                <w:color w:val="auto"/>
                <w:sz w:val="24"/>
                <w:szCs w:val="24"/>
                <w:u w:val="none" w:color="auto"/>
                <w:vertAlign w:val="baseline"/>
                <w:lang w:val="en-US" w:eastAsia="zh-CN"/>
              </w:rPr>
              <w:t>的超标倍数分别为0.12，项目所在区域为环境空气质量不达标区。</w:t>
            </w:r>
            <w:r>
              <w:rPr>
                <w:rFonts w:hint="eastAsia"/>
                <w:color w:val="auto"/>
                <w:sz w:val="24"/>
                <w:szCs w:val="24"/>
                <w:u w:val="none" w:color="auto"/>
                <w:lang w:val="en-US" w:eastAsia="zh-CN"/>
              </w:rPr>
              <w:t>根据</w:t>
            </w:r>
            <w:r>
              <w:rPr>
                <w:rFonts w:hint="eastAsia"/>
                <w:color w:val="auto"/>
                <w:sz w:val="24"/>
                <w:szCs w:val="24"/>
                <w:u w:val="none" w:color="auto"/>
                <w:lang w:eastAsia="zh-CN"/>
              </w:rPr>
              <w:t>《岳阳市环境保护局关于下达2018年蓝天保卫战重点减排项目的通知》，</w:t>
            </w:r>
            <w:r>
              <w:rPr>
                <w:rFonts w:hint="eastAsia"/>
                <w:color w:val="auto"/>
                <w:sz w:val="24"/>
                <w:szCs w:val="24"/>
                <w:u w:val="none" w:color="auto"/>
                <w:lang w:val="en-US" w:eastAsia="zh-CN"/>
              </w:rPr>
              <w:t>湘阴县</w:t>
            </w:r>
            <w:r>
              <w:rPr>
                <w:rFonts w:hint="eastAsia"/>
                <w:color w:val="auto"/>
                <w:sz w:val="24"/>
                <w:szCs w:val="24"/>
                <w:u w:val="none" w:color="auto"/>
                <w:lang w:eastAsia="zh-CN"/>
              </w:rPr>
              <w:t>近期采取产业和能源结构调整措施、大气污染治理的措施等一系列措施，同时</w:t>
            </w:r>
            <w:r>
              <w:rPr>
                <w:rFonts w:hint="eastAsia"/>
                <w:color w:val="auto"/>
                <w:sz w:val="24"/>
                <w:szCs w:val="24"/>
                <w:u w:val="none" w:color="auto"/>
                <w:lang w:val="en-US" w:eastAsia="zh-CN"/>
              </w:rPr>
              <w:t>根据表3-1及3-2中2018年和2019年环境空气质量现状对比可知，湘阴县环境空气质量正在逐步改善</w:t>
            </w:r>
            <w:r>
              <w:rPr>
                <w:rFonts w:hint="eastAsia"/>
                <w:color w:val="auto"/>
                <w:sz w:val="24"/>
                <w:szCs w:val="24"/>
                <w:u w:val="none" w:color="auto"/>
                <w:lang w:eastAsia="zh-CN"/>
              </w:rPr>
              <w:t>。</w:t>
            </w:r>
            <w:r>
              <w:rPr>
                <w:color w:val="auto"/>
                <w:sz w:val="24"/>
                <w:szCs w:val="24"/>
                <w:u w:val="none" w:color="auto"/>
              </w:rPr>
              <w:t>TVOC满足</w:t>
            </w:r>
            <w:r>
              <w:rPr>
                <w:rFonts w:hint="eastAsia"/>
                <w:color w:val="auto"/>
                <w:sz w:val="24"/>
                <w:szCs w:val="24"/>
                <w:u w:val="none" w:color="auto"/>
                <w:lang w:eastAsia="zh-CN"/>
              </w:rPr>
              <w:t>《环境影响评价技术导则 大气环境》（HJ2.2-2018）附录D中相应的标准</w:t>
            </w:r>
            <w:r>
              <w:rPr>
                <w:rFonts w:hint="default" w:ascii="Times New Roman" w:hAnsi="Times New Roman" w:eastAsia="宋体" w:cs="Times New Roman"/>
                <w:iCs w:val="0"/>
                <w:color w:val="auto"/>
                <w:kern w:val="2"/>
                <w:sz w:val="24"/>
                <w:szCs w:val="24"/>
                <w:u w:val="none" w:color="auto"/>
                <w:lang w:val="en-US" w:eastAsia="zh-CN" w:bidi="ar-SA"/>
              </w:rPr>
              <w:t xml:space="preserve">。 </w:t>
            </w:r>
          </w:p>
          <w:p>
            <w:pPr>
              <w:pStyle w:val="2"/>
              <w:keepNext w:val="0"/>
              <w:keepLines w:val="0"/>
              <w:pageBreakBefore w:val="0"/>
              <w:widowControl w:val="0"/>
              <w:kinsoku/>
              <w:wordWrap/>
              <w:overflowPunct/>
              <w:topLinePunct w:val="0"/>
              <w:autoSpaceDE/>
              <w:autoSpaceDN/>
              <w:bidi w:val="0"/>
              <w:spacing w:after="0" w:afterLines="0" w:line="360" w:lineRule="auto"/>
              <w:ind w:left="0" w:right="0" w:firstLine="462" w:firstLineChars="200"/>
              <w:textAlignment w:val="auto"/>
              <w:rPr>
                <w:rFonts w:hint="default" w:ascii="Times New Roman" w:hAnsi="Times New Roman" w:eastAsia="宋体" w:cs="Times New Roman"/>
                <w:iCs w:val="0"/>
                <w:color w:val="auto"/>
                <w:kern w:val="2"/>
                <w:sz w:val="24"/>
                <w:szCs w:val="24"/>
                <w:u w:val="none" w:color="auto"/>
                <w:lang w:val="en-US" w:eastAsia="zh-CN" w:bidi="ar-SA"/>
              </w:rPr>
            </w:pPr>
            <w:r>
              <w:rPr>
                <w:rFonts w:hint="default" w:ascii="Times New Roman" w:hAnsi="Times New Roman" w:eastAsia="宋体" w:cs="Times New Roman"/>
                <w:iCs w:val="0"/>
                <w:color w:val="auto"/>
                <w:kern w:val="2"/>
                <w:sz w:val="24"/>
                <w:szCs w:val="24"/>
                <w:u w:val="none" w:color="auto"/>
                <w:lang w:val="en-US" w:eastAsia="zh-CN" w:bidi="ar-SA"/>
              </w:rPr>
              <w:t>地表水</w:t>
            </w:r>
            <w:r>
              <w:rPr>
                <w:rFonts w:hint="default" w:ascii="Times New Roman" w:hAnsi="Times New Roman" w:cs="Times New Roman"/>
                <w:iCs w:val="0"/>
                <w:color w:val="auto"/>
                <w:kern w:val="2"/>
                <w:sz w:val="24"/>
                <w:szCs w:val="24"/>
                <w:u w:val="none" w:color="auto"/>
                <w:lang w:val="en-US" w:eastAsia="zh-CN" w:bidi="ar-SA"/>
              </w:rPr>
              <w:t>：</w:t>
            </w:r>
            <w:r>
              <w:rPr>
                <w:rFonts w:hint="eastAsia" w:cs="Times New Roman"/>
                <w:iCs w:val="0"/>
                <w:color w:val="auto"/>
                <w:kern w:val="2"/>
                <w:sz w:val="24"/>
                <w:szCs w:val="24"/>
                <w:u w:val="none" w:color="auto"/>
                <w:lang w:val="en-US" w:eastAsia="zh-CN" w:bidi="ar-SA"/>
              </w:rPr>
              <w:t>为</w:t>
            </w:r>
            <w:r>
              <w:rPr>
                <w:rFonts w:hint="default" w:ascii="Times New Roman" w:hAnsi="Times New Roman" w:cs="Times New Roman"/>
                <w:color w:val="auto"/>
                <w:sz w:val="24"/>
                <w:szCs w:val="24"/>
                <w:u w:val="none" w:color="auto"/>
              </w:rPr>
              <w:t>了解建设项目所在地的地表水环境状况</w:t>
            </w:r>
            <w:r>
              <w:rPr>
                <w:rFonts w:hint="eastAsia" w:cs="Times New Roman"/>
                <w:color w:val="auto"/>
                <w:sz w:val="24"/>
                <w:szCs w:val="24"/>
                <w:u w:val="none" w:color="auto"/>
                <w:lang w:eastAsia="zh-CN"/>
              </w:rPr>
              <w:t>，本次环评引用《</w:t>
            </w:r>
            <w:r>
              <w:rPr>
                <w:rFonts w:eastAsia="宋体"/>
                <w:sz w:val="24"/>
                <w:szCs w:val="24"/>
              </w:rPr>
              <w:t>湖南中承材料有限责任公司年生产</w:t>
            </w:r>
            <w:r>
              <w:rPr>
                <w:rFonts w:hint="eastAsia" w:eastAsia="宋体"/>
                <w:sz w:val="24"/>
                <w:szCs w:val="24"/>
              </w:rPr>
              <w:t>一亿</w:t>
            </w:r>
            <w:r>
              <w:rPr>
                <w:rFonts w:eastAsia="宋体"/>
                <w:sz w:val="24"/>
                <w:szCs w:val="24"/>
              </w:rPr>
              <w:t>块页岩标砖建设项目</w:t>
            </w:r>
            <w:r>
              <w:rPr>
                <w:rFonts w:hint="eastAsia" w:cs="Times New Roman"/>
                <w:color w:val="auto"/>
                <w:sz w:val="24"/>
                <w:szCs w:val="24"/>
                <w:u w:val="none" w:color="auto"/>
                <w:lang w:eastAsia="zh-CN"/>
              </w:rPr>
              <w:t>环境影响评价报告》中</w:t>
            </w:r>
            <w:r>
              <w:rPr>
                <w:rFonts w:eastAsia="宋体"/>
                <w:bCs/>
                <w:sz w:val="24"/>
                <w:szCs w:val="24"/>
              </w:rPr>
              <w:t>湖南永蓝检测技术股份有限公司</w:t>
            </w:r>
            <w:r>
              <w:rPr>
                <w:rFonts w:eastAsia="宋体"/>
                <w:bCs/>
                <w:sz w:val="24"/>
              </w:rPr>
              <w:t>于2018年6月11-13日</w:t>
            </w:r>
            <w:r>
              <w:rPr>
                <w:rFonts w:eastAsia="宋体"/>
                <w:sz w:val="24"/>
                <w:szCs w:val="24"/>
              </w:rPr>
              <w:t>对</w:t>
            </w:r>
            <w:r>
              <w:rPr>
                <w:rFonts w:eastAsia="宋体"/>
                <w:sz w:val="24"/>
              </w:rPr>
              <w:t>项目地</w:t>
            </w:r>
            <w:r>
              <w:rPr>
                <w:rFonts w:hint="eastAsia"/>
                <w:sz w:val="24"/>
                <w:lang w:val="en-US" w:eastAsia="zh-CN"/>
              </w:rPr>
              <w:t>附近水塘</w:t>
            </w:r>
            <w:r>
              <w:rPr>
                <w:rFonts w:eastAsia="宋体"/>
                <w:sz w:val="24"/>
                <w:szCs w:val="24"/>
              </w:rPr>
              <w:t>地表水环境进行监测</w:t>
            </w:r>
            <w:r>
              <w:rPr>
                <w:rFonts w:hint="eastAsia" w:cs="Times New Roman"/>
                <w:color w:val="auto"/>
                <w:sz w:val="24"/>
                <w:szCs w:val="24"/>
                <w:u w:val="none" w:color="auto"/>
                <w:lang w:val="en-US" w:eastAsia="zh-CN"/>
              </w:rPr>
              <w:t>，其水塘</w:t>
            </w:r>
            <w:r>
              <w:rPr>
                <w:bCs/>
                <w:sz w:val="24"/>
                <w:u w:val="none" w:color="auto"/>
              </w:rPr>
              <w:t>水质</w:t>
            </w:r>
            <w:r>
              <w:rPr>
                <w:rFonts w:hint="default" w:ascii="Times New Roman" w:hAnsi="Times New Roman" w:eastAsia="宋体" w:cs="Times New Roman"/>
                <w:iCs w:val="0"/>
                <w:color w:val="auto"/>
                <w:kern w:val="2"/>
                <w:sz w:val="24"/>
                <w:szCs w:val="24"/>
                <w:u w:val="none" w:color="auto"/>
                <w:lang w:val="en-US" w:eastAsia="zh-CN" w:bidi="ar-SA"/>
              </w:rPr>
              <w:t>所有监测指标均符合《地表水环境质量标准》(GB3838-2002)Ⅲ类水质标准要求，未出现超标，项目所在地地表水体水质状况尚好。</w:t>
            </w:r>
          </w:p>
          <w:p>
            <w:pPr>
              <w:pStyle w:val="2"/>
              <w:keepNext w:val="0"/>
              <w:keepLines w:val="0"/>
              <w:pageBreakBefore w:val="0"/>
              <w:widowControl w:val="0"/>
              <w:kinsoku/>
              <w:wordWrap/>
              <w:overflowPunct/>
              <w:topLinePunct w:val="0"/>
              <w:autoSpaceDE/>
              <w:autoSpaceDN/>
              <w:bidi w:val="0"/>
              <w:spacing w:after="0" w:afterLines="0" w:line="360" w:lineRule="auto"/>
              <w:ind w:left="0" w:right="0" w:firstLine="462" w:firstLineChars="200"/>
              <w:jc w:val="both"/>
              <w:textAlignment w:val="auto"/>
              <w:rPr>
                <w:rFonts w:hint="default" w:ascii="Times New Roman" w:hAnsi="Times New Roman" w:cs="Times New Roman"/>
                <w:color w:val="auto"/>
                <w:sz w:val="24"/>
                <w:u w:val="none" w:color="auto"/>
              </w:rPr>
            </w:pPr>
            <w:r>
              <w:rPr>
                <w:rFonts w:hint="default" w:ascii="Times New Roman" w:hAnsi="Times New Roman" w:eastAsia="宋体" w:cs="Times New Roman"/>
                <w:iCs w:val="0"/>
                <w:color w:val="auto"/>
                <w:kern w:val="2"/>
                <w:sz w:val="24"/>
                <w:szCs w:val="24"/>
                <w:u w:val="none" w:color="auto"/>
                <w:lang w:val="en-US" w:eastAsia="zh-CN" w:bidi="ar-SA"/>
              </w:rPr>
              <w:t>声环境</w:t>
            </w:r>
            <w:r>
              <w:rPr>
                <w:rFonts w:hint="default" w:ascii="Times New Roman" w:hAnsi="Times New Roman" w:cs="Times New Roman"/>
                <w:iCs w:val="0"/>
                <w:color w:val="auto"/>
                <w:kern w:val="2"/>
                <w:sz w:val="24"/>
                <w:szCs w:val="24"/>
                <w:u w:val="none" w:color="auto"/>
                <w:lang w:val="en-US" w:eastAsia="zh-CN" w:bidi="ar-SA"/>
              </w:rPr>
              <w:t>：</w:t>
            </w:r>
            <w:r>
              <w:rPr>
                <w:rFonts w:hint="default" w:ascii="Times New Roman" w:hAnsi="Times New Roman" w:eastAsia="宋体" w:cs="Times New Roman"/>
                <w:iCs w:val="0"/>
                <w:color w:val="auto"/>
                <w:kern w:val="2"/>
                <w:sz w:val="24"/>
                <w:szCs w:val="24"/>
                <w:u w:val="none" w:color="auto"/>
                <w:lang w:val="en-US" w:eastAsia="zh-CN" w:bidi="ar-SA"/>
              </w:rPr>
              <w:t>本项目声环境质量现状监测委托湖南</w:t>
            </w:r>
            <w:r>
              <w:rPr>
                <w:rFonts w:hint="default" w:ascii="Times New Roman" w:hAnsi="Times New Roman" w:cs="Times New Roman"/>
                <w:iCs w:val="0"/>
                <w:color w:val="auto"/>
                <w:kern w:val="2"/>
                <w:sz w:val="24"/>
                <w:szCs w:val="24"/>
                <w:u w:val="none" w:color="auto"/>
                <w:lang w:val="en-US" w:eastAsia="zh-CN" w:bidi="ar-SA"/>
              </w:rPr>
              <w:t>精准通检测技术</w:t>
            </w:r>
            <w:r>
              <w:rPr>
                <w:rFonts w:hint="default" w:ascii="Times New Roman" w:hAnsi="Times New Roman" w:eastAsia="宋体" w:cs="Times New Roman"/>
                <w:iCs w:val="0"/>
                <w:color w:val="auto"/>
                <w:kern w:val="2"/>
                <w:sz w:val="24"/>
                <w:szCs w:val="24"/>
                <w:u w:val="none" w:color="auto"/>
                <w:lang w:val="en-US" w:eastAsia="zh-CN" w:bidi="ar-SA"/>
              </w:rPr>
              <w:t>有限公司于20</w:t>
            </w:r>
            <w:r>
              <w:rPr>
                <w:rFonts w:hint="eastAsia" w:cs="Times New Roman"/>
                <w:iCs w:val="0"/>
                <w:color w:val="auto"/>
                <w:kern w:val="2"/>
                <w:sz w:val="24"/>
                <w:szCs w:val="24"/>
                <w:u w:val="none" w:color="auto"/>
                <w:lang w:val="en-US" w:eastAsia="zh-CN" w:bidi="ar-SA"/>
              </w:rPr>
              <w:t>20</w:t>
            </w:r>
            <w:r>
              <w:rPr>
                <w:rFonts w:hint="default" w:ascii="Times New Roman" w:hAnsi="Times New Roman" w:eastAsia="宋体" w:cs="Times New Roman"/>
                <w:iCs w:val="0"/>
                <w:color w:val="auto"/>
                <w:kern w:val="2"/>
                <w:sz w:val="24"/>
                <w:szCs w:val="24"/>
                <w:u w:val="none" w:color="auto"/>
                <w:lang w:val="en-US" w:eastAsia="zh-CN" w:bidi="ar-SA"/>
              </w:rPr>
              <w:t>年</w:t>
            </w:r>
            <w:r>
              <w:rPr>
                <w:rFonts w:hint="eastAsia" w:cs="Times New Roman"/>
                <w:iCs w:val="0"/>
                <w:color w:val="auto"/>
                <w:kern w:val="2"/>
                <w:sz w:val="24"/>
                <w:szCs w:val="24"/>
                <w:u w:val="none" w:color="auto"/>
                <w:lang w:val="en-US" w:eastAsia="zh-CN" w:bidi="ar-SA"/>
              </w:rPr>
              <w:t>5</w:t>
            </w:r>
            <w:r>
              <w:rPr>
                <w:rFonts w:hint="default" w:ascii="Times New Roman" w:hAnsi="Times New Roman" w:eastAsia="宋体" w:cs="Times New Roman"/>
                <w:iCs w:val="0"/>
                <w:color w:val="auto"/>
                <w:kern w:val="2"/>
                <w:sz w:val="24"/>
                <w:szCs w:val="24"/>
                <w:u w:val="none" w:color="auto"/>
                <w:lang w:val="en-US" w:eastAsia="zh-CN" w:bidi="ar-SA"/>
              </w:rPr>
              <w:t>月</w:t>
            </w:r>
            <w:r>
              <w:rPr>
                <w:rFonts w:hint="eastAsia" w:cs="Times New Roman"/>
                <w:iCs w:val="0"/>
                <w:color w:val="auto"/>
                <w:kern w:val="2"/>
                <w:sz w:val="24"/>
                <w:szCs w:val="24"/>
                <w:u w:val="none" w:color="auto"/>
                <w:lang w:val="en-US" w:eastAsia="zh-CN" w:bidi="ar-SA"/>
              </w:rPr>
              <w:t>26-27</w:t>
            </w:r>
            <w:r>
              <w:rPr>
                <w:rFonts w:hint="default" w:ascii="Times New Roman" w:hAnsi="Times New Roman" w:eastAsia="宋体" w:cs="Times New Roman"/>
                <w:iCs w:val="0"/>
                <w:color w:val="auto"/>
                <w:kern w:val="2"/>
                <w:sz w:val="24"/>
                <w:szCs w:val="24"/>
                <w:u w:val="none" w:color="auto"/>
                <w:lang w:val="en-US" w:eastAsia="zh-CN" w:bidi="ar-SA"/>
              </w:rPr>
              <w:t>日对项目 N1 项目建设地厂界东侧、N2 项目建设地厂界南侧、N3 项目建设地厂界西侧、N4 项目建设地厂界北侧进行了为期 2 天的声环境现状监测，共设置 4 个监测点，监测结果表示</w:t>
            </w:r>
            <w:r>
              <w:rPr>
                <w:rFonts w:hint="default" w:ascii="Times New Roman" w:hAnsi="Times New Roman" w:cs="Times New Roman"/>
                <w:iCs w:val="0"/>
                <w:color w:val="auto"/>
                <w:kern w:val="2"/>
                <w:sz w:val="24"/>
                <w:szCs w:val="24"/>
                <w:u w:val="none" w:color="auto"/>
                <w:lang w:val="en-US" w:eastAsia="zh-CN" w:bidi="ar-SA"/>
              </w:rPr>
              <w:t>：</w:t>
            </w:r>
            <w:r>
              <w:rPr>
                <w:rFonts w:hint="default" w:ascii="Times New Roman" w:hAnsi="Times New Roman" w:eastAsia="宋体" w:cs="Times New Roman"/>
                <w:iCs w:val="0"/>
                <w:color w:val="auto"/>
                <w:kern w:val="2"/>
                <w:sz w:val="24"/>
                <w:szCs w:val="24"/>
                <w:u w:val="none" w:color="auto"/>
                <w:lang w:val="en-US" w:eastAsia="zh-CN" w:bidi="ar-SA"/>
              </w:rPr>
              <w:t xml:space="preserve">这 4 个监测点可满足《声环境质量标准》(GB3096-2008) </w:t>
            </w:r>
            <w:r>
              <w:rPr>
                <w:rFonts w:hint="eastAsia" w:ascii="Times New Roman" w:hAnsi="Times New Roman" w:eastAsia="宋体" w:cs="Times New Roman"/>
                <w:iCs w:val="0"/>
                <w:color w:val="auto"/>
                <w:kern w:val="2"/>
                <w:sz w:val="24"/>
                <w:szCs w:val="24"/>
                <w:u w:val="none" w:color="auto"/>
                <w:lang w:val="en-US" w:eastAsia="zh-CN" w:bidi="ar-SA"/>
              </w:rPr>
              <w:t>2</w:t>
            </w:r>
            <w:r>
              <w:rPr>
                <w:rFonts w:hint="default" w:ascii="Times New Roman" w:hAnsi="Times New Roman" w:eastAsia="宋体" w:cs="Times New Roman"/>
                <w:iCs w:val="0"/>
                <w:color w:val="auto"/>
                <w:kern w:val="2"/>
                <w:sz w:val="24"/>
                <w:szCs w:val="24"/>
                <w:u w:val="none" w:color="auto"/>
                <w:lang w:val="en-US" w:eastAsia="zh-CN" w:bidi="ar-SA"/>
              </w:rPr>
              <w:t xml:space="preserve"> 类标准要求，项目所在区域声环境质量良好</w:t>
            </w:r>
            <w:r>
              <w:rPr>
                <w:rFonts w:hint="eastAsia" w:cs="Times New Roman"/>
                <w:iCs w:val="0"/>
                <w:color w:val="auto"/>
                <w:kern w:val="2"/>
                <w:sz w:val="24"/>
                <w:szCs w:val="24"/>
                <w:u w:val="none" w:color="auto"/>
                <w:lang w:val="en-US" w:eastAsia="zh-CN" w:bidi="ar-SA"/>
              </w:rPr>
              <w:t>。</w:t>
            </w:r>
          </w:p>
          <w:p>
            <w:pPr>
              <w:snapToGrid w:val="0"/>
              <w:spacing w:line="360" w:lineRule="auto"/>
              <w:ind w:firstLine="453" w:firstLineChars="196"/>
              <w:rPr>
                <w:rFonts w:hAnsi="宋体"/>
                <w:sz w:val="24"/>
                <w:szCs w:val="24"/>
                <w:u w:val="none" w:color="auto"/>
              </w:rPr>
            </w:pPr>
            <w:r>
              <w:rPr>
                <w:rFonts w:hint="default" w:ascii="Times New Roman" w:hAnsi="Times New Roman" w:cs="Times New Roman"/>
                <w:color w:val="auto"/>
                <w:sz w:val="24"/>
                <w:u w:val="none" w:color="auto"/>
              </w:rPr>
              <w:t>总体表明，本项目所在地及周边区域大气、地表水、声环境现状较好</w:t>
            </w:r>
            <w:r>
              <w:rPr>
                <w:rFonts w:hint="eastAsia" w:hAnsi="宋体"/>
                <w:sz w:val="24"/>
                <w:szCs w:val="24"/>
                <w:u w:val="none" w:color="auto"/>
              </w:rPr>
              <w:t>。</w:t>
            </w:r>
          </w:p>
          <w:p>
            <w:pPr>
              <w:snapToGrid w:val="0"/>
              <w:spacing w:line="360" w:lineRule="auto"/>
              <w:ind w:firstLine="394" w:firstLineChars="196"/>
              <w:rPr>
                <w:b/>
                <w:bCs/>
                <w:sz w:val="24"/>
                <w:u w:val="none" w:color="auto"/>
              </w:rPr>
            </w:pPr>
            <w:r>
              <w:rPr>
                <w:b/>
                <w:u w:val="none" w:color="auto"/>
              </w:rPr>
              <w:t>3、</w:t>
            </w:r>
            <w:r>
              <w:rPr>
                <w:rFonts w:hint="eastAsia"/>
                <w:b/>
                <w:bCs/>
                <w:sz w:val="24"/>
                <w:u w:val="none" w:color="auto"/>
              </w:rPr>
              <w:t>环境影响分析结论</w:t>
            </w:r>
          </w:p>
          <w:p>
            <w:pPr>
              <w:snapToGrid w:val="0"/>
              <w:spacing w:line="360" w:lineRule="auto"/>
              <w:ind w:firstLine="453" w:firstLineChars="196"/>
              <w:rPr>
                <w:rFonts w:hAnsi="宋体"/>
                <w:sz w:val="24"/>
                <w:szCs w:val="24"/>
                <w:u w:val="none" w:color="auto"/>
              </w:rPr>
            </w:pPr>
            <w:r>
              <w:rPr>
                <w:rFonts w:hint="eastAsia" w:hAnsi="宋体"/>
                <w:sz w:val="24"/>
                <w:szCs w:val="24"/>
                <w:u w:val="none" w:color="auto"/>
              </w:rPr>
              <w:t>（1）水环境</w:t>
            </w:r>
          </w:p>
          <w:p>
            <w:pPr>
              <w:snapToGrid w:val="0"/>
              <w:spacing w:line="360" w:lineRule="auto"/>
              <w:ind w:firstLine="453" w:firstLineChars="196"/>
              <w:rPr>
                <w:rFonts w:hAnsi="宋体"/>
                <w:sz w:val="24"/>
                <w:szCs w:val="24"/>
                <w:u w:val="none" w:color="auto"/>
              </w:rPr>
            </w:pPr>
            <w:r>
              <w:rPr>
                <w:rFonts w:hint="eastAsia" w:hAnsi="宋体"/>
                <w:sz w:val="24"/>
                <w:szCs w:val="24"/>
                <w:u w:val="none" w:color="auto"/>
              </w:rPr>
              <w:t>本项目排水实行“雨污分流”制。</w:t>
            </w:r>
            <w:r>
              <w:rPr>
                <w:rFonts w:hint="eastAsia" w:hAnsi="宋体"/>
                <w:sz w:val="24"/>
                <w:u w:val="none" w:color="auto"/>
              </w:rPr>
              <w:t>营运期废水为生活污水，生活污水经化粪池处理</w:t>
            </w:r>
            <w:r>
              <w:rPr>
                <w:rFonts w:hint="eastAsia" w:hAnsi="宋体"/>
                <w:sz w:val="24"/>
                <w:u w:val="none" w:color="auto"/>
                <w:lang w:eastAsia="zh-CN"/>
              </w:rPr>
              <w:t>后回用于周边绿化施肥，不外排</w:t>
            </w:r>
            <w:r>
              <w:rPr>
                <w:rFonts w:hint="eastAsia" w:hAnsi="宋体"/>
                <w:sz w:val="24"/>
                <w:u w:val="none" w:color="auto"/>
              </w:rPr>
              <w:t>。</w:t>
            </w:r>
            <w:r>
              <w:rPr>
                <w:rFonts w:hAnsi="宋体"/>
                <w:sz w:val="24"/>
                <w:u w:val="none" w:color="auto"/>
              </w:rPr>
              <w:t>对区域水环境影响较小。</w:t>
            </w:r>
          </w:p>
          <w:p>
            <w:pPr>
              <w:pStyle w:val="37"/>
              <w:spacing w:before="0" w:beforeLines="0"/>
              <w:ind w:firstLine="460"/>
              <w:rPr>
                <w:rFonts w:hAnsi="宋体"/>
                <w:szCs w:val="24"/>
                <w:u w:val="none" w:color="auto"/>
              </w:rPr>
            </w:pPr>
            <w:r>
              <w:rPr>
                <w:u w:val="none" w:color="auto"/>
              </w:rPr>
              <w:t>（2）</w:t>
            </w:r>
            <w:r>
              <w:rPr>
                <w:rFonts w:hint="eastAsia" w:hAnsi="宋体"/>
                <w:szCs w:val="24"/>
                <w:u w:val="none" w:color="auto"/>
              </w:rPr>
              <w:t>大气环境</w:t>
            </w:r>
          </w:p>
          <w:p>
            <w:pPr>
              <w:snapToGrid w:val="0"/>
              <w:spacing w:line="360" w:lineRule="auto"/>
              <w:ind w:firstLine="453" w:firstLineChars="196"/>
              <w:rPr>
                <w:rFonts w:hint="eastAsia" w:eastAsia="宋体"/>
                <w:b/>
                <w:sz w:val="24"/>
                <w:u w:val="none" w:color="auto"/>
                <w:lang w:eastAsia="zh-CN"/>
              </w:rPr>
            </w:pPr>
            <w:r>
              <w:rPr>
                <w:rFonts w:hint="eastAsia"/>
                <w:bCs/>
                <w:sz w:val="24"/>
                <w:szCs w:val="24"/>
                <w:u w:val="none" w:color="auto"/>
              </w:rPr>
              <w:t>本项目运营过程中产生的废气主要有</w:t>
            </w:r>
            <w:r>
              <w:rPr>
                <w:rFonts w:hint="eastAsia"/>
                <w:bCs/>
                <w:sz w:val="24"/>
                <w:szCs w:val="24"/>
                <w:u w:val="none" w:color="auto"/>
                <w:lang w:eastAsia="zh-CN"/>
              </w:rPr>
              <w:t>下料、钻孔、切割工序</w:t>
            </w:r>
            <w:r>
              <w:rPr>
                <w:rFonts w:hint="eastAsia"/>
                <w:bCs/>
                <w:sz w:val="24"/>
                <w:szCs w:val="24"/>
                <w:u w:val="none" w:color="auto"/>
              </w:rPr>
              <w:t>粉尘</w:t>
            </w:r>
            <w:r>
              <w:rPr>
                <w:rFonts w:hint="eastAsia"/>
                <w:bCs/>
                <w:sz w:val="24"/>
                <w:szCs w:val="24"/>
                <w:u w:val="none" w:color="auto"/>
                <w:lang w:eastAsia="zh-CN"/>
              </w:rPr>
              <w:t>，</w:t>
            </w:r>
            <w:r>
              <w:rPr>
                <w:rFonts w:hint="default" w:ascii="Times New Roman" w:hAnsi="Times New Roman" w:eastAsia="宋体" w:cs="Times New Roman"/>
                <w:kern w:val="2"/>
                <w:sz w:val="24"/>
                <w:szCs w:val="20"/>
                <w:u w:val="none" w:color="auto"/>
                <w:lang w:val="en-US" w:eastAsia="zh-CN" w:bidi="ar-SA"/>
              </w:rPr>
              <w:t>刷胶、冷压、封边工序</w:t>
            </w:r>
            <w:r>
              <w:rPr>
                <w:rFonts w:hint="eastAsia" w:cs="Times New Roman"/>
                <w:kern w:val="2"/>
                <w:sz w:val="24"/>
                <w:szCs w:val="20"/>
                <w:u w:val="none" w:color="auto"/>
                <w:lang w:val="en-US" w:eastAsia="zh-CN" w:bidi="ar-SA"/>
              </w:rPr>
              <w:t>、地面粉尘</w:t>
            </w:r>
            <w:r>
              <w:rPr>
                <w:rFonts w:hint="eastAsia"/>
                <w:bCs/>
                <w:sz w:val="24"/>
                <w:szCs w:val="24"/>
                <w:u w:val="none" w:color="auto"/>
                <w:lang w:eastAsia="zh-CN"/>
              </w:rPr>
              <w:t>。</w:t>
            </w:r>
          </w:p>
          <w:p>
            <w:pPr>
              <w:spacing w:line="360" w:lineRule="auto"/>
              <w:ind w:firstLine="462" w:firstLineChars="200"/>
              <w:jc w:val="left"/>
              <w:rPr>
                <w:sz w:val="24"/>
                <w:szCs w:val="24"/>
                <w:u w:val="none" w:color="auto"/>
              </w:rPr>
            </w:pPr>
            <w:r>
              <w:rPr>
                <w:rFonts w:hint="eastAsia"/>
                <w:sz w:val="24"/>
                <w:szCs w:val="24"/>
                <w:u w:val="none" w:color="auto"/>
              </w:rPr>
              <w:t>本项目</w:t>
            </w:r>
            <w:r>
              <w:rPr>
                <w:rFonts w:hint="eastAsia"/>
                <w:bCs/>
                <w:sz w:val="24"/>
                <w:szCs w:val="24"/>
                <w:u w:val="none" w:color="auto"/>
                <w:lang w:eastAsia="zh-CN"/>
              </w:rPr>
              <w:t>下料、钻孔、切割工序</w:t>
            </w:r>
            <w:r>
              <w:rPr>
                <w:rFonts w:hint="eastAsia"/>
                <w:bCs/>
                <w:sz w:val="24"/>
                <w:szCs w:val="24"/>
                <w:u w:val="none" w:color="auto"/>
              </w:rPr>
              <w:t>粉尘</w:t>
            </w:r>
            <w:r>
              <w:rPr>
                <w:rFonts w:hint="eastAsia"/>
                <w:sz w:val="24"/>
                <w:szCs w:val="24"/>
                <w:u w:val="none" w:color="auto"/>
              </w:rPr>
              <w:t>经</w:t>
            </w:r>
            <w:r>
              <w:rPr>
                <w:rFonts w:hint="eastAsia"/>
                <w:sz w:val="24"/>
                <w:szCs w:val="24"/>
                <w:u w:val="none" w:color="auto"/>
                <w:lang w:eastAsia="zh-CN"/>
              </w:rPr>
              <w:t>双桶式</w:t>
            </w:r>
            <w:r>
              <w:rPr>
                <w:rFonts w:hint="eastAsia"/>
                <w:sz w:val="24"/>
                <w:szCs w:val="24"/>
                <w:u w:val="none" w:color="auto"/>
              </w:rPr>
              <w:t>布袋除尘器处理后经车间无组织扩散</w:t>
            </w:r>
            <w:r>
              <w:rPr>
                <w:rFonts w:hint="eastAsia"/>
                <w:sz w:val="24"/>
                <w:szCs w:val="24"/>
                <w:u w:val="none" w:color="auto"/>
                <w:lang w:eastAsia="zh-CN"/>
              </w:rPr>
              <w:t>，</w:t>
            </w:r>
            <w:r>
              <w:rPr>
                <w:rFonts w:hint="default" w:ascii="Times New Roman" w:hAnsi="Times New Roman" w:eastAsia="宋体" w:cs="Times New Roman"/>
                <w:kern w:val="2"/>
                <w:sz w:val="24"/>
                <w:szCs w:val="20"/>
                <w:u w:val="none" w:color="auto"/>
                <w:lang w:val="en-US" w:eastAsia="zh-CN" w:bidi="ar-SA"/>
              </w:rPr>
              <w:t>刷胶、冷压、封边工序</w:t>
            </w:r>
            <w:r>
              <w:rPr>
                <w:rFonts w:hint="eastAsia" w:cs="Times New Roman"/>
                <w:kern w:val="2"/>
                <w:sz w:val="24"/>
                <w:szCs w:val="20"/>
                <w:u w:val="none" w:color="auto"/>
                <w:lang w:val="en-US" w:eastAsia="zh-CN" w:bidi="ar-SA"/>
              </w:rPr>
              <w:t>经车间排风后无组织排放，项目地面粉尘经吸尘器处理</w:t>
            </w:r>
            <w:r>
              <w:rPr>
                <w:rFonts w:hint="eastAsia"/>
                <w:sz w:val="24"/>
                <w:szCs w:val="24"/>
                <w:u w:val="none" w:color="auto"/>
              </w:rPr>
              <w:t>，</w:t>
            </w:r>
            <w:r>
              <w:rPr>
                <w:rFonts w:hint="eastAsia"/>
                <w:bCs/>
                <w:sz w:val="24"/>
                <w:szCs w:val="24"/>
                <w:u w:val="none" w:color="auto"/>
              </w:rPr>
              <w:t>综上，本项目颗粒物能够达到</w:t>
            </w:r>
            <w:r>
              <w:rPr>
                <w:rFonts w:hint="eastAsia"/>
                <w:bCs/>
                <w:sz w:val="24"/>
                <w:szCs w:val="24"/>
                <w:u w:val="none" w:color="auto"/>
                <w:lang w:val="zh-CN"/>
              </w:rPr>
              <w:t>《大气污染物综合排放标准》（GB16297-1996）</w:t>
            </w:r>
            <w:r>
              <w:rPr>
                <w:rFonts w:hint="eastAsia"/>
                <w:bCs/>
                <w:sz w:val="24"/>
                <w:szCs w:val="24"/>
                <w:u w:val="none" w:color="auto"/>
              </w:rPr>
              <w:t>中的无组织排放浓度限值</w:t>
            </w:r>
            <w:r>
              <w:rPr>
                <w:rFonts w:hint="eastAsia"/>
                <w:bCs/>
                <w:sz w:val="24"/>
                <w:szCs w:val="24"/>
                <w:u w:val="none" w:color="auto"/>
                <w:lang w:eastAsia="zh-CN"/>
              </w:rPr>
              <w:t>，</w:t>
            </w:r>
            <w:r>
              <w:rPr>
                <w:rFonts w:hint="eastAsia"/>
                <w:bCs/>
                <w:sz w:val="24"/>
                <w:szCs w:val="24"/>
                <w:u w:val="none" w:color="auto"/>
                <w:lang w:val="en-US" w:eastAsia="zh-CN"/>
              </w:rPr>
              <w:t>厂区外：</w:t>
            </w:r>
            <w:r>
              <w:rPr>
                <w:rFonts w:hint="eastAsia"/>
                <w:bCs/>
                <w:sz w:val="24"/>
                <w:szCs w:val="24"/>
                <w:u w:val="none" w:color="auto"/>
                <w:lang w:eastAsia="zh-CN"/>
              </w:rPr>
              <w:t>无组织排放的</w:t>
            </w:r>
            <w:r>
              <w:rPr>
                <w:rFonts w:hint="eastAsia"/>
                <w:bCs/>
                <w:sz w:val="24"/>
                <w:szCs w:val="24"/>
                <w:u w:val="none" w:color="auto"/>
                <w:lang w:val="en-US" w:eastAsia="zh-CN"/>
              </w:rPr>
              <w:t>非甲烷总烃能够达到</w:t>
            </w:r>
            <w:r>
              <w:rPr>
                <w:rFonts w:hint="eastAsia"/>
                <w:bCs/>
                <w:sz w:val="24"/>
                <w:szCs w:val="24"/>
                <w:u w:val="none" w:color="auto"/>
              </w:rPr>
              <w:t>湖</w:t>
            </w:r>
            <w:r>
              <w:rPr>
                <w:rFonts w:hint="eastAsia"/>
                <w:bCs/>
                <w:sz w:val="24"/>
                <w:szCs w:val="24"/>
                <w:u w:val="none" w:color="auto"/>
                <w:lang w:eastAsia="zh-CN"/>
              </w:rPr>
              <w:t>南省地方标准《家具制造行业挥发性有机物排放标准》（DB43/1355-2017）表 2 的排放标准，</w:t>
            </w:r>
            <w:r>
              <w:rPr>
                <w:rFonts w:hint="eastAsia"/>
                <w:bCs/>
                <w:sz w:val="24"/>
                <w:szCs w:val="24"/>
                <w:u w:val="none" w:color="auto"/>
                <w:lang w:val="en-US" w:eastAsia="zh-CN"/>
              </w:rPr>
              <w:t>厂区内：</w:t>
            </w:r>
            <w:r>
              <w:rPr>
                <w:rFonts w:hint="eastAsia"/>
                <w:bCs/>
                <w:sz w:val="24"/>
                <w:szCs w:val="24"/>
                <w:u w:val="none" w:color="auto"/>
                <w:lang w:eastAsia="zh-CN"/>
              </w:rPr>
              <w:t>无组织排放的</w:t>
            </w:r>
            <w:r>
              <w:rPr>
                <w:rFonts w:hint="eastAsia"/>
                <w:bCs/>
                <w:sz w:val="24"/>
                <w:szCs w:val="24"/>
                <w:u w:val="none" w:color="auto"/>
                <w:lang w:val="en-US" w:eastAsia="zh-CN"/>
              </w:rPr>
              <w:t>非甲烷总烃达到</w:t>
            </w:r>
            <w:r>
              <w:rPr>
                <w:rFonts w:hint="eastAsia"/>
                <w:sz w:val="24"/>
                <w:szCs w:val="24"/>
                <w:u w:val="none" w:color="auto"/>
                <w:lang w:val="en-US" w:eastAsia="zh-CN"/>
              </w:rPr>
              <w:t>《挥发性有机物无组织排放控制标准》( GB 37822—2019 )</w:t>
            </w:r>
            <w:r>
              <w:rPr>
                <w:rFonts w:hint="eastAsia"/>
                <w:bCs/>
                <w:sz w:val="24"/>
                <w:szCs w:val="24"/>
                <w:u w:val="none" w:color="auto"/>
              </w:rPr>
              <w:t>。</w:t>
            </w:r>
          </w:p>
          <w:p>
            <w:pPr>
              <w:snapToGrid w:val="0"/>
              <w:spacing w:line="360" w:lineRule="auto"/>
              <w:ind w:firstLine="453" w:firstLineChars="196"/>
              <w:rPr>
                <w:rFonts w:hAnsi="宋体"/>
                <w:sz w:val="24"/>
                <w:szCs w:val="24"/>
                <w:u w:val="none" w:color="auto"/>
              </w:rPr>
            </w:pPr>
            <w:r>
              <w:rPr>
                <w:rFonts w:hint="eastAsia" w:hAnsi="宋体"/>
                <w:sz w:val="24"/>
                <w:szCs w:val="24"/>
                <w:u w:val="none" w:color="auto"/>
              </w:rPr>
              <w:t>（3）噪声</w:t>
            </w:r>
          </w:p>
          <w:p>
            <w:pPr>
              <w:snapToGrid w:val="0"/>
              <w:spacing w:line="360" w:lineRule="auto"/>
              <w:ind w:firstLine="453" w:firstLineChars="196"/>
              <w:rPr>
                <w:rFonts w:hAnsi="宋体"/>
                <w:sz w:val="24"/>
                <w:u w:val="none" w:color="auto"/>
              </w:rPr>
            </w:pPr>
            <w:r>
              <w:rPr>
                <w:rFonts w:hint="eastAsia"/>
                <w:sz w:val="24"/>
                <w:u w:val="none" w:color="auto"/>
              </w:rPr>
              <w:t>本项目的主要噪声源为车间中的生产设备，噪声值为</w:t>
            </w:r>
            <w:r>
              <w:rPr>
                <w:rFonts w:hint="eastAsia"/>
                <w:sz w:val="24"/>
                <w:u w:val="none" w:color="auto"/>
                <w:lang w:val="en-US" w:eastAsia="zh-CN"/>
              </w:rPr>
              <w:t>65-80</w:t>
            </w:r>
            <w:r>
              <w:rPr>
                <w:rFonts w:hint="eastAsia"/>
                <w:sz w:val="24"/>
                <w:u w:val="none" w:color="auto"/>
              </w:rPr>
              <w:t>dB(A)</w:t>
            </w:r>
            <w:r>
              <w:rPr>
                <w:rFonts w:hint="eastAsia" w:hAnsi="宋体"/>
                <w:sz w:val="24"/>
                <w:szCs w:val="24"/>
                <w:u w:val="none" w:color="auto"/>
              </w:rPr>
              <w:t>，经采取合理布局、隔音、减振等措施后，厂界噪声能够满足《工业企业场界环境噪声排放标准》（GB12348-2008）</w:t>
            </w:r>
            <w:r>
              <w:rPr>
                <w:rFonts w:hint="eastAsia" w:hAnsi="宋体"/>
                <w:sz w:val="24"/>
                <w:szCs w:val="24"/>
                <w:u w:val="none" w:color="auto"/>
                <w:lang w:val="en-US" w:eastAsia="zh-CN"/>
              </w:rPr>
              <w:t>2</w:t>
            </w:r>
            <w:r>
              <w:rPr>
                <w:rFonts w:hint="eastAsia" w:hAnsi="宋体"/>
                <w:sz w:val="24"/>
                <w:szCs w:val="24"/>
                <w:u w:val="none" w:color="auto"/>
              </w:rPr>
              <w:t>类标准</w:t>
            </w:r>
            <w:r>
              <w:rPr>
                <w:rFonts w:hint="eastAsia" w:hAnsi="宋体"/>
                <w:sz w:val="24"/>
                <w:u w:val="none" w:color="auto"/>
              </w:rPr>
              <w:t>，对周围声环境产生影响较小。</w:t>
            </w:r>
          </w:p>
          <w:p>
            <w:pPr>
              <w:snapToGrid w:val="0"/>
              <w:spacing w:line="276" w:lineRule="auto"/>
              <w:ind w:firstLine="462" w:firstLineChars="200"/>
              <w:jc w:val="left"/>
              <w:rPr>
                <w:rFonts w:hAnsi="宋体"/>
                <w:sz w:val="24"/>
                <w:szCs w:val="24"/>
                <w:u w:val="none" w:color="auto"/>
              </w:rPr>
            </w:pPr>
            <w:r>
              <w:rPr>
                <w:rFonts w:hint="eastAsia" w:hAnsi="宋体"/>
                <w:sz w:val="24"/>
                <w:szCs w:val="24"/>
                <w:u w:val="none" w:color="auto"/>
              </w:rPr>
              <w:t>（4）固体废物</w:t>
            </w:r>
          </w:p>
          <w:p>
            <w:pPr>
              <w:pStyle w:val="32"/>
              <w:spacing w:line="360" w:lineRule="auto"/>
              <w:ind w:left="0" w:leftChars="0" w:firstLine="462" w:firstLineChars="200"/>
              <w:rPr>
                <w:rFonts w:ascii="宋体" w:hAnsi="宋体"/>
                <w:sz w:val="24"/>
                <w:szCs w:val="32"/>
                <w:u w:val="none" w:color="auto"/>
              </w:rPr>
            </w:pPr>
            <w:r>
              <w:rPr>
                <w:rFonts w:hint="eastAsia" w:ascii="宋体" w:hAnsi="宋体"/>
                <w:sz w:val="24"/>
                <w:szCs w:val="32"/>
                <w:u w:val="none" w:color="auto"/>
              </w:rPr>
              <w:t>本项目产生的固体废物有废</w:t>
            </w:r>
            <w:r>
              <w:rPr>
                <w:rFonts w:hint="eastAsia" w:ascii="宋体" w:hAnsi="宋体"/>
                <w:sz w:val="24"/>
                <w:szCs w:val="32"/>
                <w:u w:val="none" w:color="auto"/>
                <w:lang w:eastAsia="zh-CN"/>
              </w:rPr>
              <w:t>边角料</w:t>
            </w:r>
            <w:r>
              <w:rPr>
                <w:rFonts w:hint="eastAsia" w:ascii="宋体" w:hAnsi="宋体"/>
                <w:sz w:val="24"/>
                <w:szCs w:val="32"/>
                <w:u w:val="none" w:color="auto"/>
              </w:rPr>
              <w:t>、废</w:t>
            </w:r>
            <w:r>
              <w:rPr>
                <w:rFonts w:hint="eastAsia" w:ascii="宋体" w:hAnsi="宋体"/>
                <w:sz w:val="24"/>
                <w:szCs w:val="32"/>
                <w:u w:val="none" w:color="auto"/>
                <w:lang w:eastAsia="zh-CN"/>
              </w:rPr>
              <w:t>包装材料</w:t>
            </w:r>
            <w:r>
              <w:rPr>
                <w:rFonts w:hint="eastAsia" w:ascii="宋体" w:hAnsi="宋体"/>
                <w:sz w:val="24"/>
                <w:szCs w:val="32"/>
                <w:u w:val="none" w:color="auto"/>
              </w:rPr>
              <w:t>、生活垃圾</w:t>
            </w:r>
            <w:r>
              <w:rPr>
                <w:rFonts w:hint="eastAsia" w:ascii="宋体" w:hAnsi="宋体"/>
                <w:sz w:val="24"/>
                <w:szCs w:val="32"/>
                <w:u w:val="none" w:color="auto"/>
                <w:lang w:eastAsia="zh-CN"/>
              </w:rPr>
              <w:t>、除尘器收集的粉尘、废白乳胶包装材料</w:t>
            </w:r>
            <w:r>
              <w:rPr>
                <w:rFonts w:hint="eastAsia" w:ascii="宋体" w:hAnsi="宋体"/>
                <w:sz w:val="24"/>
                <w:szCs w:val="32"/>
                <w:u w:val="none" w:color="auto"/>
              </w:rPr>
              <w:t>。</w:t>
            </w:r>
          </w:p>
          <w:p>
            <w:pPr>
              <w:pStyle w:val="32"/>
              <w:spacing w:line="360" w:lineRule="auto"/>
              <w:ind w:left="0" w:leftChars="0" w:firstLine="462" w:firstLineChars="200"/>
              <w:jc w:val="left"/>
              <w:rPr>
                <w:rFonts w:hint="eastAsia" w:ascii="Times New Roman" w:hAnsi="Times New Roman" w:eastAsia="宋体"/>
                <w:color w:val="auto"/>
                <w:sz w:val="24"/>
                <w:highlight w:val="none"/>
                <w:u w:val="none" w:color="auto"/>
                <w:lang w:eastAsia="zh-CN"/>
              </w:rPr>
            </w:pPr>
            <w:r>
              <w:rPr>
                <w:rFonts w:hint="eastAsia" w:ascii="宋体" w:hAnsi="宋体"/>
                <w:sz w:val="24"/>
                <w:szCs w:val="32"/>
                <w:u w:val="none" w:color="auto"/>
                <w:lang w:eastAsia="zh-CN"/>
              </w:rPr>
              <w:t>废边角料</w:t>
            </w:r>
            <w:r>
              <w:rPr>
                <w:rFonts w:hint="default" w:ascii="Times New Roman" w:hAnsi="Times New Roman" w:cs="Times New Roman"/>
                <w:sz w:val="24"/>
                <w:u w:val="none" w:color="auto"/>
              </w:rPr>
              <w:t>收集后均外售</w:t>
            </w:r>
            <w:r>
              <w:rPr>
                <w:rFonts w:hint="eastAsia" w:cs="Times New Roman"/>
                <w:sz w:val="24"/>
                <w:u w:val="none" w:color="auto"/>
                <w:lang w:eastAsia="zh-CN"/>
              </w:rPr>
              <w:t>综合利用</w:t>
            </w:r>
            <w:r>
              <w:rPr>
                <w:rFonts w:hint="default" w:ascii="Times New Roman" w:hAnsi="Times New Roman" w:cs="Times New Roman"/>
                <w:sz w:val="24"/>
                <w:u w:val="none" w:color="auto"/>
              </w:rPr>
              <w:t>。</w:t>
            </w:r>
            <w:r>
              <w:rPr>
                <w:rFonts w:hint="default" w:ascii="Times New Roman" w:hAnsi="Times New Roman" w:cs="Times New Roman"/>
                <w:sz w:val="24"/>
                <w:szCs w:val="24"/>
                <w:u w:val="none" w:color="auto"/>
              </w:rPr>
              <w:t>生活垃圾集中收集后交环卫部门统一清运处理。</w:t>
            </w:r>
            <w:r>
              <w:rPr>
                <w:rFonts w:hint="default" w:ascii="Times New Roman" w:hAnsi="Times New Roman" w:cs="Times New Roman"/>
                <w:sz w:val="24"/>
                <w:u w:val="none" w:color="auto"/>
                <w:lang w:eastAsia="zh-CN"/>
              </w:rPr>
              <w:t>废</w:t>
            </w:r>
            <w:r>
              <w:rPr>
                <w:rFonts w:hint="eastAsia" w:cs="Times New Roman"/>
                <w:sz w:val="24"/>
                <w:u w:val="none" w:color="auto"/>
                <w:lang w:eastAsia="zh-CN"/>
              </w:rPr>
              <w:t>包装材料</w:t>
            </w:r>
            <w:r>
              <w:rPr>
                <w:rFonts w:hint="default" w:ascii="Times New Roman" w:hAnsi="Times New Roman" w:cs="Times New Roman"/>
                <w:sz w:val="24"/>
                <w:u w:val="none" w:color="auto"/>
                <w:lang w:val="en-US" w:eastAsia="zh-CN"/>
              </w:rPr>
              <w:t>收集后</w:t>
            </w:r>
            <w:r>
              <w:rPr>
                <w:rFonts w:hint="eastAsia" w:cs="Times New Roman"/>
                <w:sz w:val="24"/>
                <w:u w:val="none" w:color="auto"/>
                <w:lang w:val="en-US" w:eastAsia="zh-CN"/>
              </w:rPr>
              <w:t>外售废品回收站综合利用</w:t>
            </w:r>
            <w:r>
              <w:rPr>
                <w:rFonts w:hint="default" w:ascii="Times New Roman" w:hAnsi="Times New Roman" w:cs="Times New Roman"/>
                <w:sz w:val="24"/>
                <w:u w:val="none" w:color="auto"/>
                <w:lang w:val="en-US" w:eastAsia="zh-CN"/>
              </w:rPr>
              <w:t>。</w:t>
            </w:r>
            <w:r>
              <w:rPr>
                <w:rFonts w:hint="eastAsia" w:cs="Times New Roman"/>
                <w:sz w:val="24"/>
                <w:szCs w:val="32"/>
                <w:u w:val="none" w:color="auto"/>
                <w:lang w:eastAsia="zh-CN"/>
              </w:rPr>
              <w:t>除尘器收集的粉尘</w:t>
            </w:r>
            <w:r>
              <w:rPr>
                <w:rFonts w:hint="eastAsia"/>
                <w:sz w:val="24"/>
                <w:szCs w:val="24"/>
                <w:u w:val="none" w:color="auto"/>
                <w:lang w:val="en-US" w:eastAsia="zh-CN"/>
              </w:rPr>
              <w:t>收集后外售综合利用</w:t>
            </w:r>
            <w:r>
              <w:rPr>
                <w:rFonts w:hint="eastAsia"/>
                <w:sz w:val="24"/>
                <w:szCs w:val="24"/>
                <w:u w:val="none" w:color="auto"/>
              </w:rPr>
              <w:t>。</w:t>
            </w:r>
          </w:p>
          <w:p>
            <w:pPr>
              <w:pStyle w:val="32"/>
              <w:spacing w:line="360" w:lineRule="auto"/>
              <w:ind w:left="0" w:leftChars="0" w:firstLine="462" w:firstLineChars="200"/>
              <w:rPr>
                <w:rFonts w:ascii="宋体" w:hAnsi="宋体"/>
                <w:sz w:val="24"/>
                <w:szCs w:val="32"/>
                <w:u w:val="none" w:color="auto"/>
              </w:rPr>
            </w:pPr>
            <w:r>
              <w:rPr>
                <w:rFonts w:hint="eastAsia"/>
                <w:sz w:val="24"/>
                <w:szCs w:val="24"/>
                <w:u w:val="none" w:color="auto"/>
                <w:lang w:eastAsia="zh-CN"/>
              </w:rPr>
              <w:t>废白乳胶包装材料：</w:t>
            </w:r>
            <w:r>
              <w:rPr>
                <w:rFonts w:hint="eastAsia" w:hAnsi="宋体"/>
                <w:sz w:val="24"/>
                <w:u w:val="none" w:color="auto"/>
                <w:lang w:val="en-US" w:eastAsia="zh-CN"/>
              </w:rPr>
              <w:t>根据《国家危险废物名录》可知，项目废白乳胶包装材料属于危险废物（代码：HW49  900-041-49），</w:t>
            </w:r>
            <w:r>
              <w:rPr>
                <w:rFonts w:hint="eastAsia"/>
                <w:sz w:val="24"/>
                <w:u w:val="none" w:color="auto"/>
                <w:lang w:val="sq-AL"/>
              </w:rPr>
              <w:t>根据《关于用于原始用途的含有或直接沾染危险废物的包装物、容器是否属于危险废物问题的复函》（环函[2014]126号）的说明，</w:t>
            </w:r>
            <w:r>
              <w:rPr>
                <w:rFonts w:hint="eastAsia"/>
                <w:sz w:val="24"/>
                <w:u w:val="none" w:color="auto"/>
                <w:lang w:eastAsia="zh-CN"/>
              </w:rPr>
              <w:t>废白乳胶包装材料</w:t>
            </w:r>
            <w:r>
              <w:rPr>
                <w:rFonts w:hint="eastAsia"/>
                <w:sz w:val="24"/>
                <w:u w:val="none" w:color="auto"/>
                <w:lang w:val="sq-AL"/>
              </w:rPr>
              <w:t>可交由生产厂家回收后综合利用</w:t>
            </w:r>
            <w:r>
              <w:rPr>
                <w:rFonts w:hint="eastAsia"/>
                <w:sz w:val="24"/>
                <w:u w:val="none" w:color="auto"/>
                <w:lang w:val="sq-AL" w:eastAsia="zh-CN"/>
              </w:rPr>
              <w:t>，故废白乳胶包装材料</w:t>
            </w:r>
            <w:r>
              <w:rPr>
                <w:rFonts w:hint="eastAsia" w:hAnsi="宋体"/>
                <w:sz w:val="24"/>
                <w:u w:val="none" w:color="auto"/>
                <w:lang w:val="en-US" w:eastAsia="zh-CN"/>
              </w:rPr>
              <w:t>需收集于危险废物储存间，再交由生产厂家回收或者交由有资质单位进行处理</w:t>
            </w:r>
            <w:r>
              <w:rPr>
                <w:rFonts w:hint="eastAsia" w:ascii="宋体" w:hAnsi="宋体"/>
                <w:sz w:val="24"/>
                <w:szCs w:val="32"/>
                <w:u w:val="none" w:color="auto"/>
              </w:rPr>
              <w:t>。</w:t>
            </w:r>
          </w:p>
          <w:p>
            <w:pPr>
              <w:snapToGrid w:val="0"/>
              <w:spacing w:line="360" w:lineRule="auto"/>
              <w:ind w:firstLine="462" w:firstLineChars="200"/>
              <w:jc w:val="left"/>
              <w:rPr>
                <w:rFonts w:hAnsi="宋体"/>
                <w:sz w:val="24"/>
                <w:szCs w:val="24"/>
                <w:u w:val="none" w:color="auto"/>
              </w:rPr>
            </w:pPr>
            <w:r>
              <w:rPr>
                <w:rFonts w:hint="eastAsia" w:hAnsi="宋体"/>
                <w:sz w:val="24"/>
                <w:szCs w:val="24"/>
                <w:u w:val="none" w:color="auto"/>
              </w:rPr>
              <w:t>本项目营运期产生的各类固体废物均得到了很好的处理和处置，对外环境影响较小。</w:t>
            </w:r>
          </w:p>
          <w:p>
            <w:pPr>
              <w:snapToGrid w:val="0"/>
              <w:spacing w:line="360" w:lineRule="auto"/>
              <w:ind w:firstLine="453" w:firstLineChars="196"/>
              <w:rPr>
                <w:b/>
                <w:bCs/>
                <w:sz w:val="24"/>
                <w:u w:val="none" w:color="auto"/>
              </w:rPr>
            </w:pPr>
            <w:r>
              <w:rPr>
                <w:rFonts w:hint="eastAsia"/>
                <w:b/>
                <w:bCs/>
                <w:sz w:val="24"/>
                <w:u w:val="none" w:color="auto"/>
              </w:rPr>
              <w:t>4、项目可行性分析</w:t>
            </w:r>
          </w:p>
          <w:p>
            <w:pPr>
              <w:snapToGrid w:val="0"/>
              <w:spacing w:line="360" w:lineRule="auto"/>
              <w:ind w:firstLine="453" w:firstLineChars="196"/>
              <w:rPr>
                <w:rFonts w:hAnsi="宋体"/>
                <w:sz w:val="24"/>
                <w:u w:val="none" w:color="auto"/>
              </w:rPr>
            </w:pPr>
            <w:r>
              <w:rPr>
                <w:rFonts w:hint="eastAsia" w:hAnsi="宋体"/>
                <w:sz w:val="24"/>
                <w:u w:val="none" w:color="auto"/>
              </w:rPr>
              <w:t>根据国家发展和改革委员会《产业结构调整指导目录（201</w:t>
            </w:r>
            <w:r>
              <w:rPr>
                <w:rFonts w:hint="eastAsia" w:hAnsi="宋体"/>
                <w:sz w:val="24"/>
                <w:u w:val="none" w:color="auto"/>
                <w:lang w:val="en-US" w:eastAsia="zh-CN"/>
              </w:rPr>
              <w:t>9</w:t>
            </w:r>
            <w:r>
              <w:rPr>
                <w:rFonts w:hint="eastAsia" w:hAnsi="宋体"/>
                <w:sz w:val="24"/>
                <w:u w:val="none" w:color="auto"/>
              </w:rPr>
              <w:t>年本）》，本项目</w:t>
            </w:r>
            <w:r>
              <w:rPr>
                <w:rFonts w:hint="eastAsia" w:hAnsi="宋体"/>
                <w:sz w:val="24"/>
                <w:u w:val="none" w:color="auto"/>
                <w:lang w:eastAsia="zh-CN"/>
              </w:rPr>
              <w:t>不</w:t>
            </w:r>
            <w:r>
              <w:rPr>
                <w:rFonts w:hint="eastAsia" w:hAnsi="宋体"/>
                <w:sz w:val="24"/>
                <w:u w:val="none" w:color="auto"/>
              </w:rPr>
              <w:t>属于</w:t>
            </w:r>
            <w:r>
              <w:rPr>
                <w:rFonts w:hint="eastAsia" w:hAnsi="宋体"/>
                <w:sz w:val="24"/>
                <w:u w:val="none" w:color="auto"/>
                <w:lang w:eastAsia="zh-CN"/>
              </w:rPr>
              <w:t>限制</w:t>
            </w:r>
            <w:r>
              <w:rPr>
                <w:rFonts w:hint="eastAsia" w:hAnsi="宋体"/>
                <w:sz w:val="24"/>
                <w:u w:val="none" w:color="auto"/>
              </w:rPr>
              <w:t>类</w:t>
            </w:r>
            <w:r>
              <w:rPr>
                <w:rFonts w:hint="eastAsia" w:hAnsi="宋体"/>
                <w:sz w:val="24"/>
                <w:u w:val="none" w:color="auto"/>
                <w:lang w:eastAsia="zh-CN"/>
              </w:rPr>
              <w:t>、淘汰类</w:t>
            </w:r>
            <w:r>
              <w:rPr>
                <w:rFonts w:hint="eastAsia" w:hAnsi="宋体"/>
                <w:sz w:val="24"/>
                <w:u w:val="none" w:color="auto"/>
              </w:rPr>
              <w:t>，符合国家产业政策</w:t>
            </w:r>
            <w:r>
              <w:rPr>
                <w:rFonts w:hint="eastAsia" w:hAnsi="宋体"/>
                <w:sz w:val="24"/>
                <w:u w:val="none" w:color="auto"/>
                <w:lang w:eastAsia="zh-CN"/>
              </w:rPr>
              <w:t>，</w:t>
            </w:r>
            <w:r>
              <w:rPr>
                <w:rFonts w:hint="eastAsia" w:cs="Times New Roman"/>
                <w:sz w:val="24"/>
                <w:szCs w:val="24"/>
                <w:u w:val="none" w:color="auto"/>
                <w:lang w:eastAsia="zh-CN"/>
              </w:rPr>
              <w:t>项目设备无国家发改委《产业结构调整指导目录》（2019 年本）、《工业和信息化部高耗能落后机电设备（产品）淘汰目录》、《部分工业行业淘汰落后生产工艺装备和产品指导目录》中淘汰及明令禁止使用的设备</w:t>
            </w:r>
            <w:r>
              <w:rPr>
                <w:rFonts w:hint="eastAsia" w:hAnsi="宋体"/>
                <w:sz w:val="24"/>
                <w:u w:val="none" w:color="auto"/>
              </w:rPr>
              <w:t>。</w:t>
            </w:r>
          </w:p>
          <w:p>
            <w:pPr>
              <w:snapToGrid w:val="0"/>
              <w:spacing w:line="360" w:lineRule="auto"/>
              <w:ind w:firstLine="453" w:firstLineChars="196"/>
              <w:rPr>
                <w:rFonts w:hint="eastAsia"/>
                <w:b/>
                <w:bCs/>
                <w:sz w:val="24"/>
                <w:u w:val="none" w:color="auto"/>
              </w:rPr>
            </w:pPr>
            <w:r>
              <w:rPr>
                <w:rFonts w:hint="eastAsia" w:hAnsi="宋体"/>
                <w:sz w:val="24"/>
                <w:u w:val="none" w:color="auto"/>
              </w:rPr>
              <w:t>本项目</w:t>
            </w:r>
            <w:r>
              <w:rPr>
                <w:rFonts w:hint="eastAsia" w:hAnsi="宋体"/>
                <w:sz w:val="24"/>
                <w:szCs w:val="24"/>
                <w:u w:val="none" w:color="auto"/>
              </w:rPr>
              <w:t>选址所在地基础设施完善，地理位置优越、交通方便、各类污染物经处理后能实现达标排放，且无与本项目有关的制约因素；平面布置比较合理，布局紧凑、管理方便。因此本项目的选址是可行的。</w:t>
            </w:r>
          </w:p>
          <w:p>
            <w:pPr>
              <w:snapToGrid w:val="0"/>
              <w:spacing w:line="360" w:lineRule="auto"/>
              <w:ind w:firstLine="453" w:firstLineChars="196"/>
              <w:rPr>
                <w:b/>
                <w:bCs/>
                <w:sz w:val="24"/>
                <w:u w:val="none" w:color="auto"/>
              </w:rPr>
            </w:pPr>
            <w:r>
              <w:rPr>
                <w:rFonts w:hint="eastAsia"/>
                <w:b/>
                <w:bCs/>
                <w:sz w:val="24"/>
                <w:u w:val="none" w:color="auto"/>
              </w:rPr>
              <w:t>5、项目建设环境制约因素</w:t>
            </w:r>
          </w:p>
          <w:p>
            <w:pPr>
              <w:snapToGrid w:val="0"/>
              <w:spacing w:line="360" w:lineRule="auto"/>
              <w:ind w:firstLine="453" w:firstLineChars="196"/>
              <w:rPr>
                <w:rFonts w:hAnsi="宋体"/>
                <w:sz w:val="24"/>
                <w:u w:val="none" w:color="auto"/>
              </w:rPr>
            </w:pPr>
            <w:r>
              <w:rPr>
                <w:rFonts w:hint="eastAsia" w:hAnsi="宋体"/>
                <w:sz w:val="24"/>
                <w:u w:val="none" w:color="auto"/>
              </w:rPr>
              <w:t>本项目建设没有</w:t>
            </w:r>
            <w:bookmarkStart w:id="14" w:name="OLE_LINK19"/>
            <w:r>
              <w:rPr>
                <w:rFonts w:hint="eastAsia" w:hAnsi="宋体"/>
                <w:sz w:val="24"/>
                <w:u w:val="none" w:color="auto"/>
              </w:rPr>
              <w:t>明显的环境制约因素</w:t>
            </w:r>
            <w:bookmarkEnd w:id="14"/>
            <w:r>
              <w:rPr>
                <w:rFonts w:hint="eastAsia" w:hAnsi="宋体"/>
                <w:sz w:val="24"/>
                <w:u w:val="none" w:color="auto"/>
              </w:rPr>
              <w:t>。</w:t>
            </w:r>
          </w:p>
          <w:p>
            <w:pPr>
              <w:snapToGrid w:val="0"/>
              <w:spacing w:line="360" w:lineRule="auto"/>
              <w:ind w:firstLine="462" w:firstLineChars="200"/>
              <w:rPr>
                <w:b/>
                <w:sz w:val="24"/>
                <w:szCs w:val="24"/>
                <w:u w:val="none" w:color="auto"/>
              </w:rPr>
            </w:pPr>
            <w:r>
              <w:rPr>
                <w:rFonts w:hint="eastAsia"/>
                <w:b/>
                <w:sz w:val="24"/>
                <w:szCs w:val="24"/>
                <w:u w:val="none" w:color="auto"/>
              </w:rPr>
              <w:t>总</w:t>
            </w:r>
            <w:r>
              <w:rPr>
                <w:rFonts w:hint="eastAsia"/>
                <w:b/>
                <w:sz w:val="24"/>
                <w:szCs w:val="24"/>
                <w:u w:val="none" w:color="auto"/>
                <w:lang w:eastAsia="zh-CN"/>
              </w:rPr>
              <w:t>体</w:t>
            </w:r>
            <w:r>
              <w:rPr>
                <w:b/>
                <w:sz w:val="24"/>
                <w:szCs w:val="24"/>
                <w:u w:val="none" w:color="auto"/>
              </w:rPr>
              <w:t>结论</w:t>
            </w:r>
          </w:p>
          <w:p>
            <w:pPr>
              <w:snapToGrid w:val="0"/>
              <w:spacing w:line="360" w:lineRule="auto"/>
              <w:ind w:firstLine="453" w:firstLineChars="196"/>
              <w:rPr>
                <w:rFonts w:hint="eastAsia" w:hAnsi="宋体"/>
                <w:sz w:val="24"/>
                <w:szCs w:val="24"/>
                <w:u w:val="none" w:color="auto"/>
              </w:rPr>
            </w:pPr>
            <w:r>
              <w:rPr>
                <w:rFonts w:hint="eastAsia" w:hAnsi="宋体"/>
                <w:sz w:val="24"/>
                <w:u w:val="none" w:color="auto"/>
              </w:rPr>
              <w:t>综上所述，</w:t>
            </w:r>
            <w:r>
              <w:rPr>
                <w:rFonts w:hint="eastAsia"/>
                <w:sz w:val="24"/>
                <w:szCs w:val="24"/>
                <w:u w:val="none" w:color="auto"/>
                <w:lang w:eastAsia="zh-CN"/>
              </w:rPr>
              <w:t>湖南顺星办公家具有限公司年产5000套办公家具建设项目</w:t>
            </w:r>
            <w:r>
              <w:rPr>
                <w:rFonts w:hint="eastAsia" w:hAnsi="宋体"/>
                <w:sz w:val="24"/>
                <w:u w:val="none" w:color="auto"/>
              </w:rPr>
              <w:t>建设符合国家产业政策，平面布局合理，选址可行。在认真落实本环评报告提出的各项环保措施的前提下，废水、噪声可实现达标排放，固废可得到有效处置，项目建设及营运</w:t>
            </w:r>
            <w:r>
              <w:rPr>
                <w:rFonts w:hint="eastAsia" w:hAnsi="宋体"/>
                <w:sz w:val="24"/>
                <w:szCs w:val="24"/>
                <w:u w:val="none" w:color="auto"/>
              </w:rPr>
              <w:t>对环境保护目标及周围环境影响较小。从环境保护角度分析，本项目的建设是可行的。</w:t>
            </w:r>
          </w:p>
          <w:p>
            <w:pPr>
              <w:snapToGrid w:val="0"/>
              <w:spacing w:line="360" w:lineRule="auto"/>
              <w:ind w:firstLine="453" w:firstLineChars="196"/>
              <w:rPr>
                <w:b/>
                <w:sz w:val="24"/>
                <w:szCs w:val="24"/>
                <w:u w:val="none" w:color="auto"/>
              </w:rPr>
            </w:pPr>
            <w:r>
              <w:rPr>
                <w:b/>
                <w:sz w:val="24"/>
                <w:szCs w:val="24"/>
                <w:u w:val="none" w:color="auto"/>
              </w:rPr>
              <w:t xml:space="preserve"> </w:t>
            </w:r>
            <w:r>
              <w:rPr>
                <w:rFonts w:hint="eastAsia"/>
                <w:b/>
                <w:sz w:val="24"/>
                <w:szCs w:val="24"/>
                <w:u w:val="none" w:color="auto"/>
              </w:rPr>
              <w:t>建议与要求</w:t>
            </w:r>
          </w:p>
          <w:p>
            <w:pPr>
              <w:snapToGrid w:val="0"/>
              <w:spacing w:line="360" w:lineRule="auto"/>
              <w:ind w:firstLine="453" w:firstLineChars="196"/>
              <w:rPr>
                <w:rFonts w:hAnsi="宋体"/>
                <w:sz w:val="24"/>
                <w:szCs w:val="24"/>
                <w:u w:val="none" w:color="auto"/>
              </w:rPr>
            </w:pPr>
            <w:r>
              <w:rPr>
                <w:rFonts w:hint="eastAsia" w:hAnsi="宋体"/>
                <w:sz w:val="24"/>
                <w:szCs w:val="24"/>
                <w:u w:val="none" w:color="auto"/>
              </w:rPr>
              <w:t>（</w:t>
            </w:r>
            <w:r>
              <w:rPr>
                <w:rFonts w:hint="eastAsia" w:hAnsi="宋体"/>
                <w:sz w:val="24"/>
                <w:szCs w:val="24"/>
                <w:u w:val="none" w:color="auto"/>
                <w:lang w:val="en-US" w:eastAsia="zh-CN"/>
              </w:rPr>
              <w:t>1</w:t>
            </w:r>
            <w:r>
              <w:rPr>
                <w:rFonts w:hint="eastAsia" w:hAnsi="宋体"/>
                <w:sz w:val="24"/>
                <w:szCs w:val="24"/>
                <w:u w:val="none" w:color="auto"/>
              </w:rPr>
              <w:t>）建设单位应加强项目的环境管理、专人负责，把环保措施指标纳入日常管理规划中，及时消除污染隐患，避免对环境带来污染影响。</w:t>
            </w:r>
          </w:p>
          <w:p>
            <w:pPr>
              <w:snapToGrid w:val="0"/>
              <w:spacing w:line="360" w:lineRule="auto"/>
              <w:ind w:firstLine="453" w:firstLineChars="196"/>
              <w:rPr>
                <w:rFonts w:hAnsi="宋体"/>
                <w:sz w:val="24"/>
                <w:szCs w:val="24"/>
                <w:u w:val="none" w:color="auto"/>
              </w:rPr>
            </w:pPr>
            <w:r>
              <w:rPr>
                <w:rFonts w:hint="eastAsia" w:hAnsi="宋体"/>
                <w:sz w:val="24"/>
                <w:szCs w:val="24"/>
                <w:u w:val="none" w:color="auto"/>
              </w:rPr>
              <w:t>（</w:t>
            </w:r>
            <w:r>
              <w:rPr>
                <w:rFonts w:hint="eastAsia" w:hAnsi="宋体"/>
                <w:sz w:val="24"/>
                <w:szCs w:val="24"/>
                <w:u w:val="none" w:color="auto"/>
                <w:lang w:val="en-US" w:eastAsia="zh-CN"/>
              </w:rPr>
              <w:t>2</w:t>
            </w:r>
            <w:r>
              <w:rPr>
                <w:rFonts w:hint="eastAsia" w:hAnsi="宋体"/>
                <w:sz w:val="24"/>
                <w:szCs w:val="24"/>
                <w:u w:val="none" w:color="auto"/>
              </w:rPr>
              <w:t>）加强废气处理设施的管理，确保设施正常运行并达设计处理效率，保证废气达标排放。正常生产情况下，严禁废气处理装置停运和超标排污。</w:t>
            </w:r>
          </w:p>
          <w:p>
            <w:pPr>
              <w:snapToGrid w:val="0"/>
              <w:spacing w:line="360" w:lineRule="auto"/>
              <w:ind w:firstLine="462" w:firstLineChars="200"/>
              <w:rPr>
                <w:rFonts w:hint="eastAsia" w:hAnsi="宋体" w:eastAsia="宋体"/>
                <w:sz w:val="24"/>
                <w:szCs w:val="24"/>
                <w:u w:val="none" w:color="auto"/>
                <w:lang w:eastAsia="zh-CN"/>
              </w:rPr>
            </w:pPr>
            <w:r>
              <w:rPr>
                <w:rFonts w:hint="eastAsia" w:hAnsi="宋体"/>
                <w:sz w:val="24"/>
                <w:szCs w:val="24"/>
                <w:u w:val="none" w:color="auto"/>
              </w:rPr>
              <w:t>（</w:t>
            </w:r>
            <w:r>
              <w:rPr>
                <w:rFonts w:hint="eastAsia" w:hAnsi="宋体"/>
                <w:sz w:val="24"/>
                <w:szCs w:val="24"/>
                <w:u w:val="none" w:color="auto"/>
                <w:lang w:val="en-US" w:eastAsia="zh-CN"/>
              </w:rPr>
              <w:t>3</w:t>
            </w:r>
            <w:r>
              <w:rPr>
                <w:rFonts w:hint="eastAsia" w:hAnsi="宋体"/>
                <w:sz w:val="24"/>
                <w:szCs w:val="24"/>
                <w:u w:val="none" w:color="auto"/>
              </w:rPr>
              <w:t>）</w:t>
            </w:r>
            <w:r>
              <w:rPr>
                <w:rFonts w:hint="eastAsia" w:hAnsi="宋体"/>
                <w:sz w:val="24"/>
                <w:szCs w:val="24"/>
                <w:u w:val="none" w:color="auto"/>
                <w:lang w:eastAsia="zh-CN"/>
              </w:rPr>
              <w:t>及时清理布袋除尘器中粉尘，防止布袋除尘器损坏。</w:t>
            </w:r>
          </w:p>
          <w:p>
            <w:pPr>
              <w:snapToGrid w:val="0"/>
              <w:spacing w:line="360" w:lineRule="auto"/>
              <w:ind w:firstLine="462" w:firstLineChars="200"/>
              <w:rPr>
                <w:rFonts w:hint="eastAsia" w:hAnsi="宋体"/>
                <w:sz w:val="24"/>
                <w:szCs w:val="24"/>
                <w:u w:val="none" w:color="auto"/>
                <w:lang w:eastAsia="zh-CN"/>
              </w:rPr>
            </w:pPr>
            <w:r>
              <w:rPr>
                <w:rFonts w:hint="eastAsia" w:hAnsi="宋体"/>
                <w:sz w:val="24"/>
                <w:szCs w:val="24"/>
                <w:u w:val="none" w:color="auto"/>
                <w:lang w:eastAsia="zh-CN"/>
              </w:rPr>
              <w:t>（</w:t>
            </w:r>
            <w:r>
              <w:rPr>
                <w:rFonts w:hint="eastAsia" w:hAnsi="宋体"/>
                <w:sz w:val="24"/>
                <w:szCs w:val="24"/>
                <w:u w:val="none" w:color="auto"/>
                <w:lang w:val="en-US" w:eastAsia="zh-CN"/>
              </w:rPr>
              <w:t>4</w:t>
            </w:r>
            <w:r>
              <w:rPr>
                <w:rFonts w:hint="eastAsia" w:hAnsi="宋体"/>
                <w:sz w:val="24"/>
                <w:szCs w:val="24"/>
                <w:u w:val="none" w:color="auto"/>
                <w:lang w:eastAsia="zh-CN"/>
              </w:rPr>
              <w:t>）废白乳胶包装材料及时进行清理，并做好相关台账及管理制度。</w:t>
            </w:r>
          </w:p>
          <w:p>
            <w:pPr>
              <w:snapToGrid w:val="0"/>
              <w:spacing w:line="360" w:lineRule="auto"/>
              <w:ind w:firstLine="462" w:firstLineChars="200"/>
              <w:rPr>
                <w:rFonts w:hAnsi="宋体"/>
                <w:b/>
                <w:sz w:val="24"/>
                <w:szCs w:val="24"/>
                <w:u w:val="none" w:color="auto"/>
              </w:rPr>
            </w:pPr>
            <w:r>
              <w:rPr>
                <w:rFonts w:hint="eastAsia" w:hAnsi="宋体"/>
                <w:sz w:val="24"/>
                <w:szCs w:val="24"/>
                <w:u w:val="none" w:color="auto"/>
                <w:lang w:eastAsia="zh-CN"/>
              </w:rPr>
              <w:t>（</w:t>
            </w:r>
            <w:r>
              <w:rPr>
                <w:rFonts w:hint="eastAsia" w:hAnsi="宋体"/>
                <w:sz w:val="24"/>
                <w:szCs w:val="24"/>
                <w:u w:val="none" w:color="auto"/>
                <w:lang w:val="en-US" w:eastAsia="zh-CN"/>
              </w:rPr>
              <w:t>5</w:t>
            </w:r>
            <w:r>
              <w:rPr>
                <w:rFonts w:hint="eastAsia" w:hAnsi="宋体"/>
                <w:sz w:val="24"/>
                <w:szCs w:val="24"/>
                <w:u w:val="none" w:color="auto"/>
                <w:lang w:eastAsia="zh-CN"/>
              </w:rPr>
              <w:t>）</w:t>
            </w:r>
            <w:r>
              <w:rPr>
                <w:rFonts w:hint="eastAsia" w:hAnsi="宋体"/>
                <w:sz w:val="24"/>
                <w:szCs w:val="24"/>
                <w:u w:val="none" w:color="auto"/>
              </w:rPr>
              <w:t>本项目基础资料由建设单位提供，并对其准确性负责。建设单位以后若增加本报告表所涉及之外的污染源或对其功能进行改变，则应按要求向有关环保部门进行申报，并按污染控制目标采取相应的污染治理措施。</w:t>
            </w:r>
          </w:p>
        </w:tc>
      </w:tr>
    </w:tbl>
    <w:p>
      <w:pPr>
        <w:rPr>
          <w:u w:val="none" w:color="auto"/>
        </w:rPr>
      </w:pPr>
    </w:p>
    <w:p>
      <w:pPr>
        <w:pStyle w:val="6"/>
        <w:bidi w:val="0"/>
        <w:rPr>
          <w:rFonts w:hint="eastAsia"/>
          <w:u w:val="none" w:color="auto"/>
          <w:lang w:val="en-US" w:eastAsia="zh-CN"/>
        </w:rPr>
      </w:pPr>
      <w:r>
        <w:rPr>
          <w:rFonts w:hint="eastAsia"/>
          <w:u w:val="none" w:color="auto"/>
          <w:lang w:val="en-US" w:eastAsia="zh-CN"/>
        </w:rPr>
        <w:t>附表</w:t>
      </w:r>
    </w:p>
    <w:p>
      <w:pPr>
        <w:jc w:val="center"/>
        <w:rPr>
          <w:rFonts w:hint="eastAsia"/>
          <w:b/>
          <w:bCs/>
          <w:sz w:val="24"/>
          <w:szCs w:val="24"/>
          <w:u w:val="none" w:color="auto"/>
          <w:lang w:val="en-US" w:eastAsia="zh-CN"/>
        </w:rPr>
      </w:pPr>
      <w:r>
        <w:rPr>
          <w:rFonts w:hint="eastAsia"/>
          <w:b/>
          <w:bCs/>
          <w:sz w:val="24"/>
          <w:szCs w:val="24"/>
          <w:u w:val="none" w:color="auto"/>
          <w:lang w:val="en-US" w:eastAsia="zh-CN"/>
        </w:rPr>
        <w:t>建设项目大气环境影响评价自查表</w:t>
      </w:r>
    </w:p>
    <w:tbl>
      <w:tblPr>
        <w:tblStyle w:val="39"/>
        <w:tblW w:w="10365" w:type="dxa"/>
        <w:tblInd w:w="-493"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1266"/>
        <w:gridCol w:w="1717"/>
        <w:gridCol w:w="797"/>
        <w:gridCol w:w="915"/>
        <w:gridCol w:w="397"/>
        <w:gridCol w:w="788"/>
        <w:gridCol w:w="502"/>
        <w:gridCol w:w="533"/>
        <w:gridCol w:w="1147"/>
        <w:gridCol w:w="330"/>
        <w:gridCol w:w="620"/>
        <w:gridCol w:w="135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97" w:hRule="exact"/>
        </w:trPr>
        <w:tc>
          <w:tcPr>
            <w:tcW w:w="2983"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工作内容</w:t>
            </w:r>
          </w:p>
        </w:tc>
        <w:tc>
          <w:tcPr>
            <w:tcW w:w="7382" w:type="dxa"/>
            <w:gridSpan w:val="10"/>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自查项目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697" w:hRule="exact"/>
        </w:trPr>
        <w:tc>
          <w:tcPr>
            <w:tcW w:w="126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评价等级与范围</w:t>
            </w:r>
          </w:p>
        </w:tc>
        <w:tc>
          <w:tcPr>
            <w:tcW w:w="171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评价等级</w:t>
            </w:r>
          </w:p>
        </w:tc>
        <w:tc>
          <w:tcPr>
            <w:tcW w:w="2897"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一级□</w:t>
            </w:r>
          </w:p>
        </w:tc>
        <w:tc>
          <w:tcPr>
            <w:tcW w:w="2182"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二级</w:t>
            </w:r>
            <w:r>
              <w:rPr>
                <w:rStyle w:val="63"/>
                <w:rFonts w:hint="default" w:ascii="Times New Roman" w:hAnsi="Times New Roman" w:cs="Times New Roman"/>
                <w:sz w:val="22"/>
                <w:szCs w:val="22"/>
                <w:u w:val="none" w:color="auto"/>
                <w:lang w:val="en-US" w:eastAsia="zh-CN" w:bidi="ar"/>
              </w:rPr>
              <w:sym w:font="Wingdings 2" w:char="0052"/>
            </w:r>
          </w:p>
        </w:tc>
        <w:tc>
          <w:tcPr>
            <w:tcW w:w="2303"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三级</w:t>
            </w:r>
            <w:r>
              <w:rPr>
                <w:rStyle w:val="103"/>
                <w:rFonts w:hint="eastAsia" w:cs="Times New Roman"/>
                <w:sz w:val="22"/>
                <w:szCs w:val="22"/>
                <w:u w:val="none" w:color="auto"/>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622" w:hRule="exact"/>
        </w:trPr>
        <w:tc>
          <w:tcPr>
            <w:tcW w:w="1266"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c>
          <w:tcPr>
            <w:tcW w:w="171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评价范围</w:t>
            </w:r>
          </w:p>
        </w:tc>
        <w:tc>
          <w:tcPr>
            <w:tcW w:w="2897"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边长</w:t>
            </w:r>
            <w:r>
              <w:rPr>
                <w:rStyle w:val="113"/>
                <w:rFonts w:hint="default" w:ascii="Times New Roman" w:hAnsi="Times New Roman" w:eastAsia="宋体" w:cs="Times New Roman"/>
                <w:sz w:val="22"/>
                <w:szCs w:val="22"/>
                <w:u w:val="none" w:color="auto"/>
                <w:lang w:val="en-US" w:eastAsia="zh-CN" w:bidi="ar"/>
              </w:rPr>
              <w:t>=50km</w:t>
            </w:r>
            <w:r>
              <w:rPr>
                <w:rStyle w:val="103"/>
                <w:rFonts w:hint="default" w:ascii="Times New Roman" w:hAnsi="Times New Roman" w:cs="Times New Roman"/>
                <w:sz w:val="22"/>
                <w:szCs w:val="22"/>
                <w:u w:val="none" w:color="auto"/>
                <w:lang w:val="en-US" w:eastAsia="zh-CN" w:bidi="ar"/>
              </w:rPr>
              <w:t>□</w:t>
            </w:r>
          </w:p>
        </w:tc>
        <w:tc>
          <w:tcPr>
            <w:tcW w:w="2182"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边长</w:t>
            </w:r>
            <w:r>
              <w:rPr>
                <w:rStyle w:val="113"/>
                <w:rFonts w:hint="default" w:ascii="Times New Roman" w:hAnsi="Times New Roman" w:eastAsia="宋体" w:cs="Times New Roman"/>
                <w:sz w:val="22"/>
                <w:szCs w:val="22"/>
                <w:u w:val="none" w:color="auto"/>
                <w:lang w:val="en-US" w:eastAsia="zh-CN" w:bidi="ar"/>
              </w:rPr>
              <w:t>=5~50km</w:t>
            </w:r>
            <w:r>
              <w:rPr>
                <w:rStyle w:val="103"/>
                <w:rFonts w:hint="default" w:ascii="Times New Roman" w:hAnsi="Times New Roman" w:cs="Times New Roman"/>
                <w:sz w:val="22"/>
                <w:szCs w:val="22"/>
                <w:u w:val="none" w:color="auto"/>
                <w:lang w:val="en-US" w:eastAsia="zh-CN" w:bidi="ar"/>
              </w:rPr>
              <w:t>□</w:t>
            </w:r>
          </w:p>
        </w:tc>
        <w:tc>
          <w:tcPr>
            <w:tcW w:w="2303"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边长</w:t>
            </w:r>
            <w:r>
              <w:rPr>
                <w:rStyle w:val="113"/>
                <w:rFonts w:hint="default" w:ascii="Times New Roman" w:hAnsi="Times New Roman" w:eastAsia="宋体" w:cs="Times New Roman"/>
                <w:sz w:val="22"/>
                <w:szCs w:val="22"/>
                <w:u w:val="none" w:color="auto"/>
                <w:lang w:val="en-US" w:eastAsia="zh-CN" w:bidi="ar"/>
              </w:rPr>
              <w:t>=5km</w:t>
            </w:r>
            <w:r>
              <w:rPr>
                <w:rStyle w:val="103"/>
                <w:rFonts w:hint="default" w:ascii="Times New Roman" w:hAnsi="Times New Roman" w:cs="Times New Roman"/>
                <w:sz w:val="22"/>
                <w:szCs w:val="22"/>
                <w:u w:val="none" w:color="auto"/>
                <w:lang w:val="en-US" w:eastAsia="zh-CN" w:bidi="ar"/>
              </w:rPr>
              <w:sym w:font="Wingdings 2" w:char="00A3"/>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727" w:hRule="exact"/>
        </w:trPr>
        <w:tc>
          <w:tcPr>
            <w:tcW w:w="126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评价因子</w:t>
            </w:r>
          </w:p>
        </w:tc>
        <w:tc>
          <w:tcPr>
            <w:tcW w:w="171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13"/>
                <w:rFonts w:hint="default" w:ascii="Times New Roman" w:hAnsi="Times New Roman" w:eastAsia="宋体" w:cs="Times New Roman"/>
                <w:sz w:val="22"/>
                <w:szCs w:val="22"/>
                <w:u w:val="none" w:color="auto"/>
                <w:lang w:val="en-US" w:eastAsia="zh-CN" w:bidi="ar"/>
              </w:rPr>
              <w:t>SO</w:t>
            </w:r>
            <w:r>
              <w:rPr>
                <w:rStyle w:val="98"/>
                <w:rFonts w:hint="default" w:ascii="Times New Roman" w:hAnsi="Times New Roman" w:eastAsia="宋体" w:cs="Times New Roman"/>
                <w:sz w:val="22"/>
                <w:szCs w:val="22"/>
                <w:u w:val="none" w:color="auto"/>
                <w:lang w:val="en-US" w:eastAsia="zh-CN" w:bidi="ar"/>
              </w:rPr>
              <w:t>2</w:t>
            </w:r>
            <w:r>
              <w:rPr>
                <w:rStyle w:val="113"/>
                <w:rFonts w:hint="default" w:ascii="Times New Roman" w:hAnsi="Times New Roman" w:eastAsia="宋体" w:cs="Times New Roman"/>
                <w:sz w:val="22"/>
                <w:szCs w:val="22"/>
                <w:u w:val="none" w:color="auto"/>
                <w:lang w:val="en-US" w:eastAsia="zh-CN" w:bidi="ar"/>
              </w:rPr>
              <w:t>+NOx</w:t>
            </w:r>
            <w:r>
              <w:rPr>
                <w:rStyle w:val="103"/>
                <w:rFonts w:hint="default" w:ascii="Times New Roman" w:hAnsi="Times New Roman" w:cs="Times New Roman"/>
                <w:sz w:val="22"/>
                <w:szCs w:val="22"/>
                <w:u w:val="none" w:color="auto"/>
                <w:lang w:val="en-US" w:eastAsia="zh-CN" w:bidi="ar"/>
              </w:rPr>
              <w:t>排放量</w:t>
            </w:r>
          </w:p>
        </w:tc>
        <w:tc>
          <w:tcPr>
            <w:tcW w:w="1712"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w:t>
            </w:r>
            <w:r>
              <w:rPr>
                <w:rStyle w:val="113"/>
                <w:rFonts w:hint="default" w:ascii="Times New Roman" w:hAnsi="Times New Roman" w:eastAsia="宋体" w:cs="Times New Roman"/>
                <w:sz w:val="22"/>
                <w:szCs w:val="22"/>
                <w:u w:val="none" w:color="auto"/>
                <w:lang w:val="en-US" w:eastAsia="zh-CN" w:bidi="ar"/>
              </w:rPr>
              <w:t>2000t/a</w:t>
            </w:r>
            <w:r>
              <w:rPr>
                <w:rStyle w:val="103"/>
                <w:rFonts w:hint="default" w:ascii="Times New Roman" w:hAnsi="Times New Roman" w:cs="Times New Roman"/>
                <w:sz w:val="22"/>
                <w:szCs w:val="22"/>
                <w:u w:val="none" w:color="auto"/>
                <w:lang w:val="en-US" w:eastAsia="zh-CN" w:bidi="ar"/>
              </w:rPr>
              <w:t>□</w:t>
            </w:r>
          </w:p>
        </w:tc>
        <w:tc>
          <w:tcPr>
            <w:tcW w:w="2220"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13"/>
                <w:rFonts w:hint="default" w:ascii="Times New Roman" w:hAnsi="Times New Roman" w:eastAsia="宋体" w:cs="Times New Roman"/>
                <w:sz w:val="22"/>
                <w:szCs w:val="22"/>
                <w:u w:val="none" w:color="auto"/>
                <w:lang w:val="en-US" w:eastAsia="zh-CN" w:bidi="ar"/>
              </w:rPr>
              <w:t>500~2000t/a</w:t>
            </w:r>
            <w:r>
              <w:rPr>
                <w:rStyle w:val="103"/>
                <w:rFonts w:hint="default" w:ascii="Times New Roman" w:hAnsi="Times New Roman" w:cs="Times New Roman"/>
                <w:sz w:val="22"/>
                <w:szCs w:val="22"/>
                <w:u w:val="none" w:color="auto"/>
                <w:lang w:val="en-US" w:eastAsia="zh-CN" w:bidi="ar"/>
              </w:rPr>
              <w:t>□</w:t>
            </w:r>
          </w:p>
        </w:tc>
        <w:tc>
          <w:tcPr>
            <w:tcW w:w="3450"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13"/>
                <w:rFonts w:hint="default" w:ascii="Times New Roman" w:hAnsi="Times New Roman" w:eastAsia="宋体" w:cs="Times New Roman"/>
                <w:sz w:val="22"/>
                <w:szCs w:val="22"/>
                <w:u w:val="none" w:color="auto"/>
                <w:lang w:val="en-US" w:eastAsia="zh-CN" w:bidi="ar"/>
              </w:rPr>
              <w:t>&lt;500t/a</w:t>
            </w:r>
            <w:r>
              <w:rPr>
                <w:rFonts w:hint="default" w:ascii="Times New Roman" w:hAnsi="Times New Roman" w:eastAsia="宋体" w:cs="Times New Roman"/>
                <w:i w:val="0"/>
                <w:color w:val="000000"/>
                <w:kern w:val="0"/>
                <w:sz w:val="22"/>
                <w:szCs w:val="22"/>
                <w:u w:val="none" w:color="auto"/>
                <w:lang w:val="en-US" w:eastAsia="zh-CN" w:bidi="ar"/>
              </w:rPr>
              <w:sym w:font="Wingdings 2" w:char="00A3"/>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717" w:hRule="exact"/>
        </w:trPr>
        <w:tc>
          <w:tcPr>
            <w:tcW w:w="1266"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c>
          <w:tcPr>
            <w:tcW w:w="171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评价因子</w:t>
            </w:r>
          </w:p>
        </w:tc>
        <w:tc>
          <w:tcPr>
            <w:tcW w:w="3932" w:type="dxa"/>
            <w:gridSpan w:val="6"/>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基本污染物（</w:t>
            </w:r>
            <w:r>
              <w:rPr>
                <w:rStyle w:val="113"/>
                <w:rFonts w:hint="default" w:ascii="Times New Roman" w:hAnsi="Times New Roman" w:eastAsia="宋体" w:cs="Times New Roman"/>
                <w:sz w:val="22"/>
                <w:szCs w:val="22"/>
                <w:u w:val="none" w:color="auto"/>
                <w:lang w:val="en-US" w:eastAsia="zh-CN" w:bidi="ar"/>
              </w:rPr>
              <w:t>SO</w:t>
            </w:r>
            <w:r>
              <w:rPr>
                <w:rStyle w:val="98"/>
                <w:rFonts w:hint="default" w:ascii="Times New Roman" w:hAnsi="Times New Roman" w:eastAsia="宋体" w:cs="Times New Roman"/>
                <w:sz w:val="22"/>
                <w:szCs w:val="22"/>
                <w:u w:val="none" w:color="auto"/>
                <w:lang w:val="en-US" w:eastAsia="zh-CN" w:bidi="ar"/>
              </w:rPr>
              <w:t>2</w:t>
            </w:r>
            <w:r>
              <w:rPr>
                <w:rStyle w:val="103"/>
                <w:rFonts w:hint="default" w:ascii="Times New Roman" w:hAnsi="Times New Roman" w:cs="Times New Roman"/>
                <w:sz w:val="22"/>
                <w:szCs w:val="22"/>
                <w:u w:val="none" w:color="auto"/>
                <w:lang w:val="en-US" w:eastAsia="zh-CN" w:bidi="ar"/>
              </w:rPr>
              <w:t>、</w:t>
            </w:r>
            <w:r>
              <w:rPr>
                <w:rStyle w:val="113"/>
                <w:rFonts w:hint="default" w:ascii="Times New Roman" w:hAnsi="Times New Roman" w:eastAsia="宋体" w:cs="Times New Roman"/>
                <w:sz w:val="22"/>
                <w:szCs w:val="22"/>
                <w:u w:val="none" w:color="auto"/>
                <w:lang w:val="en-US" w:eastAsia="zh-CN" w:bidi="ar"/>
              </w:rPr>
              <w:t>NO</w:t>
            </w:r>
            <w:r>
              <w:rPr>
                <w:rStyle w:val="98"/>
                <w:rFonts w:hint="default" w:ascii="Times New Roman" w:hAnsi="Times New Roman" w:eastAsia="宋体" w:cs="Times New Roman"/>
                <w:sz w:val="22"/>
                <w:szCs w:val="22"/>
                <w:u w:val="none" w:color="auto"/>
                <w:lang w:val="en-US" w:eastAsia="zh-CN" w:bidi="ar"/>
              </w:rPr>
              <w:t>2</w:t>
            </w:r>
            <w:r>
              <w:rPr>
                <w:rStyle w:val="103"/>
                <w:rFonts w:hint="default" w:ascii="Times New Roman" w:hAnsi="Times New Roman" w:cs="Times New Roman"/>
                <w:sz w:val="22"/>
                <w:szCs w:val="22"/>
                <w:u w:val="none" w:color="auto"/>
                <w:lang w:val="en-US" w:eastAsia="zh-CN" w:bidi="ar"/>
              </w:rPr>
              <w:t>、</w:t>
            </w:r>
            <w:r>
              <w:rPr>
                <w:rStyle w:val="113"/>
                <w:rFonts w:hint="default" w:ascii="Times New Roman" w:hAnsi="Times New Roman" w:eastAsia="宋体" w:cs="Times New Roman"/>
                <w:sz w:val="22"/>
                <w:szCs w:val="22"/>
                <w:u w:val="none" w:color="auto"/>
                <w:lang w:val="en-US" w:eastAsia="zh-CN" w:bidi="ar"/>
              </w:rPr>
              <w:t>PM</w:t>
            </w:r>
            <w:r>
              <w:rPr>
                <w:rStyle w:val="98"/>
                <w:rFonts w:hint="default" w:ascii="Times New Roman" w:hAnsi="Times New Roman" w:eastAsia="宋体" w:cs="Times New Roman"/>
                <w:sz w:val="22"/>
                <w:szCs w:val="22"/>
                <w:u w:val="none" w:color="auto"/>
                <w:vertAlign w:val="subscript"/>
                <w:lang w:val="en-US" w:eastAsia="zh-CN" w:bidi="ar"/>
              </w:rPr>
              <w:t>10</w:t>
            </w:r>
            <w:r>
              <w:rPr>
                <w:rStyle w:val="103"/>
                <w:rFonts w:hint="default" w:ascii="Times New Roman" w:hAnsi="Times New Roman" w:cs="Times New Roman"/>
                <w:sz w:val="22"/>
                <w:szCs w:val="22"/>
                <w:u w:val="none" w:color="auto"/>
                <w:lang w:val="en-US" w:eastAsia="zh-CN" w:bidi="ar"/>
              </w:rPr>
              <w:t>、</w:t>
            </w:r>
            <w:r>
              <w:rPr>
                <w:rStyle w:val="113"/>
                <w:rFonts w:hint="default" w:ascii="Times New Roman" w:hAnsi="Times New Roman" w:eastAsia="宋体" w:cs="Times New Roman"/>
                <w:sz w:val="22"/>
                <w:szCs w:val="22"/>
                <w:u w:val="none" w:color="auto"/>
                <w:lang w:val="en-US" w:eastAsia="zh-CN" w:bidi="ar"/>
              </w:rPr>
              <w:t>PM</w:t>
            </w:r>
            <w:r>
              <w:rPr>
                <w:rStyle w:val="98"/>
                <w:rFonts w:hint="default" w:ascii="Times New Roman" w:hAnsi="Times New Roman" w:eastAsia="宋体" w:cs="Times New Roman"/>
                <w:sz w:val="22"/>
                <w:szCs w:val="22"/>
                <w:u w:val="none" w:color="auto"/>
                <w:vertAlign w:val="subscript"/>
                <w:lang w:val="en-US" w:eastAsia="zh-CN" w:bidi="ar"/>
              </w:rPr>
              <w:t>2.5</w:t>
            </w:r>
            <w:r>
              <w:rPr>
                <w:rStyle w:val="103"/>
                <w:rFonts w:hint="default" w:ascii="Times New Roman" w:hAnsi="Times New Roman" w:cs="Times New Roman"/>
                <w:sz w:val="22"/>
                <w:szCs w:val="22"/>
                <w:u w:val="none" w:color="auto"/>
                <w:lang w:val="en-US" w:eastAsia="zh-CN" w:bidi="ar"/>
              </w:rPr>
              <w:t>、</w:t>
            </w:r>
            <w:r>
              <w:rPr>
                <w:rStyle w:val="113"/>
                <w:rFonts w:hint="default" w:ascii="Times New Roman" w:hAnsi="Times New Roman" w:eastAsia="宋体" w:cs="Times New Roman"/>
                <w:sz w:val="22"/>
                <w:szCs w:val="22"/>
                <w:u w:val="none" w:color="auto"/>
                <w:lang w:val="en-US" w:eastAsia="zh-CN" w:bidi="ar"/>
              </w:rPr>
              <w:t>CO</w:t>
            </w:r>
            <w:r>
              <w:rPr>
                <w:rStyle w:val="103"/>
                <w:rFonts w:hint="default" w:ascii="Times New Roman" w:hAnsi="Times New Roman" w:cs="Times New Roman"/>
                <w:sz w:val="22"/>
                <w:szCs w:val="22"/>
                <w:u w:val="none" w:color="auto"/>
                <w:lang w:val="en-US" w:eastAsia="zh-CN" w:bidi="ar"/>
              </w:rPr>
              <w:t>、</w:t>
            </w:r>
            <w:r>
              <w:rPr>
                <w:rStyle w:val="113"/>
                <w:rFonts w:hint="default" w:ascii="Times New Roman" w:hAnsi="Times New Roman" w:eastAsia="宋体" w:cs="Times New Roman"/>
                <w:sz w:val="22"/>
                <w:szCs w:val="22"/>
                <w:u w:val="none" w:color="auto"/>
                <w:lang w:val="en-US" w:eastAsia="zh-CN" w:bidi="ar"/>
              </w:rPr>
              <w:t xml:space="preserve"> O</w:t>
            </w:r>
            <w:r>
              <w:rPr>
                <w:rStyle w:val="98"/>
                <w:rFonts w:hint="default" w:ascii="Times New Roman" w:hAnsi="Times New Roman" w:eastAsia="宋体" w:cs="Times New Roman"/>
                <w:sz w:val="22"/>
                <w:szCs w:val="22"/>
                <w:u w:val="none" w:color="auto"/>
                <w:lang w:val="en-US" w:eastAsia="zh-CN" w:bidi="ar"/>
              </w:rPr>
              <w:t>3</w:t>
            </w:r>
            <w:r>
              <w:rPr>
                <w:rStyle w:val="103"/>
                <w:rFonts w:hint="default" w:ascii="Times New Roman" w:hAnsi="Times New Roman" w:cs="Times New Roman"/>
                <w:sz w:val="22"/>
                <w:szCs w:val="22"/>
                <w:u w:val="none" w:color="auto"/>
                <w:lang w:val="en-US" w:eastAsia="zh-CN" w:bidi="ar"/>
              </w:rPr>
              <w:t>）</w:t>
            </w:r>
          </w:p>
        </w:tc>
        <w:tc>
          <w:tcPr>
            <w:tcW w:w="3450" w:type="dxa"/>
            <w:gridSpan w:val="4"/>
            <w:tcBorders>
              <w:tl2br w:val="nil"/>
              <w:tr2bl w:val="nil"/>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包括二次</w:t>
            </w:r>
            <w:r>
              <w:rPr>
                <w:rStyle w:val="113"/>
                <w:rFonts w:hint="default" w:ascii="Times New Roman" w:hAnsi="Times New Roman" w:eastAsia="宋体" w:cs="Times New Roman"/>
                <w:sz w:val="22"/>
                <w:szCs w:val="22"/>
                <w:u w:val="none" w:color="auto"/>
                <w:lang w:val="en-US" w:eastAsia="zh-CN" w:bidi="ar"/>
              </w:rPr>
              <w:t>PM</w:t>
            </w:r>
            <w:r>
              <w:rPr>
                <w:rStyle w:val="98"/>
                <w:rFonts w:hint="default" w:ascii="Times New Roman" w:hAnsi="Times New Roman" w:eastAsia="宋体" w:cs="Times New Roman"/>
                <w:sz w:val="22"/>
                <w:szCs w:val="22"/>
                <w:u w:val="none" w:color="auto"/>
                <w:vertAlign w:val="subscript"/>
                <w:lang w:val="en-US" w:eastAsia="zh-CN" w:bidi="ar"/>
              </w:rPr>
              <w:t>2.5</w:t>
            </w:r>
            <w:r>
              <w:rPr>
                <w:rStyle w:val="103"/>
                <w:rFonts w:hint="default" w:ascii="Times New Roman" w:hAnsi="Times New Roman" w:cs="Times New Roman"/>
                <w:sz w:val="22"/>
                <w:szCs w:val="22"/>
                <w:u w:val="none" w:color="auto"/>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527" w:hRule="exact"/>
        </w:trPr>
        <w:tc>
          <w:tcPr>
            <w:tcW w:w="1266"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c>
          <w:tcPr>
            <w:tcW w:w="1717"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c>
          <w:tcPr>
            <w:tcW w:w="3932" w:type="dxa"/>
            <w:gridSpan w:val="6"/>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其他污染物（）</w:t>
            </w:r>
          </w:p>
        </w:tc>
        <w:tc>
          <w:tcPr>
            <w:tcW w:w="3450" w:type="dxa"/>
            <w:gridSpan w:val="4"/>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不包括二次</w:t>
            </w:r>
            <w:r>
              <w:rPr>
                <w:rStyle w:val="113"/>
                <w:rFonts w:hint="default" w:ascii="Times New Roman" w:hAnsi="Times New Roman" w:eastAsia="宋体" w:cs="Times New Roman"/>
                <w:sz w:val="22"/>
                <w:szCs w:val="22"/>
                <w:u w:val="none" w:color="auto"/>
                <w:lang w:val="en-US" w:eastAsia="zh-CN" w:bidi="ar"/>
              </w:rPr>
              <w:t>PM</w:t>
            </w:r>
            <w:r>
              <w:rPr>
                <w:rStyle w:val="98"/>
                <w:rFonts w:hint="default" w:ascii="Times New Roman" w:hAnsi="Times New Roman" w:eastAsia="宋体" w:cs="Times New Roman"/>
                <w:sz w:val="22"/>
                <w:szCs w:val="22"/>
                <w:u w:val="none" w:color="auto"/>
                <w:vertAlign w:val="subscript"/>
                <w:lang w:val="en-US" w:eastAsia="zh-CN" w:bidi="ar"/>
              </w:rPr>
              <w:t>2.5</w:t>
            </w:r>
            <w:r>
              <w:rPr>
                <w:rFonts w:hint="default" w:ascii="Times New Roman" w:hAnsi="Times New Roman" w:eastAsia="宋体" w:cs="Times New Roman"/>
                <w:i w:val="0"/>
                <w:color w:val="000000"/>
                <w:kern w:val="0"/>
                <w:sz w:val="22"/>
                <w:szCs w:val="22"/>
                <w:u w:val="none" w:color="auto"/>
                <w:lang w:val="en-US" w:eastAsia="zh-CN" w:bidi="ar"/>
              </w:rPr>
              <w:sym w:font="Wingdings 2" w:char="00A3"/>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727" w:hRule="exact"/>
        </w:trPr>
        <w:tc>
          <w:tcPr>
            <w:tcW w:w="126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评价标准</w:t>
            </w:r>
          </w:p>
        </w:tc>
        <w:tc>
          <w:tcPr>
            <w:tcW w:w="171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评价标准</w:t>
            </w:r>
          </w:p>
        </w:tc>
        <w:tc>
          <w:tcPr>
            <w:tcW w:w="2109"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国家标准</w:t>
            </w:r>
            <w:r>
              <w:rPr>
                <w:rStyle w:val="103"/>
                <w:rFonts w:hint="default" w:ascii="Times New Roman" w:hAnsi="Times New Roman" w:cs="Times New Roman"/>
                <w:sz w:val="22"/>
                <w:szCs w:val="22"/>
                <w:u w:val="none" w:color="auto"/>
                <w:lang w:val="en-US" w:eastAsia="zh-CN" w:bidi="ar"/>
              </w:rPr>
              <w:sym w:font="Wingdings 2" w:char="00A3"/>
            </w:r>
          </w:p>
        </w:tc>
        <w:tc>
          <w:tcPr>
            <w:tcW w:w="1823"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地方标准</w:t>
            </w:r>
            <w:r>
              <w:rPr>
                <w:rFonts w:hint="default" w:ascii="Times New Roman" w:hAnsi="Times New Roman" w:eastAsia="宋体" w:cs="Times New Roman"/>
                <w:i w:val="0"/>
                <w:color w:val="000000"/>
                <w:kern w:val="0"/>
                <w:sz w:val="22"/>
                <w:szCs w:val="22"/>
                <w:u w:val="none" w:color="auto"/>
                <w:lang w:val="en-US" w:eastAsia="zh-CN" w:bidi="ar"/>
              </w:rPr>
              <w:sym w:font="Wingdings 2" w:char="00A3"/>
            </w:r>
          </w:p>
        </w:tc>
        <w:tc>
          <w:tcPr>
            <w:tcW w:w="114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附录</w:t>
            </w:r>
            <w:r>
              <w:rPr>
                <w:rStyle w:val="113"/>
                <w:rFonts w:hint="default" w:ascii="Times New Roman" w:hAnsi="Times New Roman" w:eastAsia="宋体" w:cs="Times New Roman"/>
                <w:sz w:val="22"/>
                <w:szCs w:val="22"/>
                <w:u w:val="none" w:color="auto"/>
                <w:lang w:val="en-US" w:eastAsia="zh-CN" w:bidi="ar"/>
              </w:rPr>
              <w:t>D</w:t>
            </w:r>
            <w:r>
              <w:rPr>
                <w:rStyle w:val="63"/>
                <w:rFonts w:hint="default" w:ascii="Times New Roman" w:hAnsi="Times New Roman" w:cs="Times New Roman"/>
                <w:sz w:val="22"/>
                <w:szCs w:val="22"/>
                <w:u w:val="none" w:color="auto"/>
                <w:lang w:val="en-US" w:eastAsia="zh-CN" w:bidi="ar"/>
              </w:rPr>
              <w:t>R</w:t>
            </w:r>
          </w:p>
        </w:tc>
        <w:tc>
          <w:tcPr>
            <w:tcW w:w="2303"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其他标准□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787" w:hRule="exact"/>
        </w:trPr>
        <w:tc>
          <w:tcPr>
            <w:tcW w:w="126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现状评价</w:t>
            </w:r>
          </w:p>
        </w:tc>
        <w:tc>
          <w:tcPr>
            <w:tcW w:w="171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评价功能区</w:t>
            </w:r>
          </w:p>
        </w:tc>
        <w:tc>
          <w:tcPr>
            <w:tcW w:w="2897"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一类区□</w:t>
            </w:r>
          </w:p>
        </w:tc>
        <w:tc>
          <w:tcPr>
            <w:tcW w:w="2182"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二类区</w:t>
            </w:r>
            <w:r>
              <w:rPr>
                <w:rFonts w:hint="default" w:ascii="Times New Roman" w:hAnsi="Times New Roman" w:eastAsia="宋体" w:cs="Times New Roman"/>
                <w:i w:val="0"/>
                <w:color w:val="000000"/>
                <w:kern w:val="0"/>
                <w:sz w:val="22"/>
                <w:szCs w:val="22"/>
                <w:u w:val="none" w:color="auto"/>
                <w:lang w:val="en-US" w:eastAsia="zh-CN" w:bidi="ar"/>
              </w:rPr>
              <w:t>☑</w:t>
            </w:r>
          </w:p>
        </w:tc>
        <w:tc>
          <w:tcPr>
            <w:tcW w:w="2303"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一类区和二类区□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712" w:hRule="exact"/>
        </w:trPr>
        <w:tc>
          <w:tcPr>
            <w:tcW w:w="1266"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c>
          <w:tcPr>
            <w:tcW w:w="171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评价基准年</w:t>
            </w:r>
          </w:p>
        </w:tc>
        <w:tc>
          <w:tcPr>
            <w:tcW w:w="7382" w:type="dxa"/>
            <w:gridSpan w:val="10"/>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（2018、</w:t>
            </w:r>
            <w:r>
              <w:rPr>
                <w:rStyle w:val="113"/>
                <w:rFonts w:hint="default" w:ascii="Times New Roman" w:hAnsi="Times New Roman" w:eastAsia="宋体" w:cs="Times New Roman"/>
                <w:sz w:val="22"/>
                <w:szCs w:val="22"/>
                <w:u w:val="none" w:color="auto"/>
                <w:lang w:val="en-US" w:eastAsia="zh-CN" w:bidi="ar"/>
              </w:rPr>
              <w:t>201</w:t>
            </w:r>
            <w:r>
              <w:rPr>
                <w:rStyle w:val="113"/>
                <w:rFonts w:hint="default" w:ascii="Times New Roman" w:hAnsi="Times New Roman" w:cs="Times New Roman"/>
                <w:sz w:val="22"/>
                <w:szCs w:val="22"/>
                <w:u w:val="none" w:color="auto"/>
                <w:lang w:val="en-US" w:eastAsia="zh-CN" w:bidi="ar"/>
              </w:rPr>
              <w:t>9</w:t>
            </w:r>
            <w:r>
              <w:rPr>
                <w:rStyle w:val="103"/>
                <w:rFonts w:hint="default" w:ascii="Times New Roman" w:hAnsi="Times New Roman" w:cs="Times New Roman"/>
                <w:sz w:val="22"/>
                <w:szCs w:val="22"/>
                <w:u w:val="none" w:color="auto"/>
                <w:lang w:val="en-US" w:eastAsia="zh-CN" w:bidi="ar"/>
              </w:rPr>
              <w:t>）年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952" w:hRule="exact"/>
        </w:trPr>
        <w:tc>
          <w:tcPr>
            <w:tcW w:w="1266"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c>
          <w:tcPr>
            <w:tcW w:w="171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环境空气质量现状调查数据来源</w:t>
            </w:r>
          </w:p>
        </w:tc>
        <w:tc>
          <w:tcPr>
            <w:tcW w:w="2897"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长期例行监测数据□</w:t>
            </w:r>
          </w:p>
        </w:tc>
        <w:tc>
          <w:tcPr>
            <w:tcW w:w="2182"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主管部门发布的数据</w:t>
            </w:r>
            <w:r>
              <w:rPr>
                <w:rFonts w:hint="eastAsia" w:cs="Times New Roman"/>
                <w:i w:val="0"/>
                <w:color w:val="000000"/>
                <w:kern w:val="0"/>
                <w:sz w:val="22"/>
                <w:szCs w:val="22"/>
                <w:u w:val="none" w:color="auto"/>
                <w:lang w:val="en-US" w:eastAsia="zh-CN" w:bidi="ar"/>
              </w:rPr>
              <w:sym w:font="Wingdings 2" w:char="0052"/>
            </w:r>
          </w:p>
        </w:tc>
        <w:tc>
          <w:tcPr>
            <w:tcW w:w="2303"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现状补充检测</w:t>
            </w:r>
            <w:r>
              <w:rPr>
                <w:rFonts w:hint="default" w:ascii="Times New Roman" w:hAnsi="Times New Roman" w:eastAsia="宋体" w:cs="Times New Roman"/>
                <w:i w:val="0"/>
                <w:color w:val="000000"/>
                <w:kern w:val="0"/>
                <w:sz w:val="22"/>
                <w:szCs w:val="22"/>
                <w:u w:val="none" w:color="auto"/>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757" w:hRule="exact"/>
        </w:trPr>
        <w:tc>
          <w:tcPr>
            <w:tcW w:w="1266"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c>
          <w:tcPr>
            <w:tcW w:w="171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现状评价</w:t>
            </w:r>
          </w:p>
        </w:tc>
        <w:tc>
          <w:tcPr>
            <w:tcW w:w="3932" w:type="dxa"/>
            <w:gridSpan w:val="6"/>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达标区□</w:t>
            </w:r>
          </w:p>
        </w:tc>
        <w:tc>
          <w:tcPr>
            <w:tcW w:w="3450"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不达标区</w:t>
            </w:r>
            <w:r>
              <w:rPr>
                <w:rFonts w:hint="default" w:ascii="Times New Roman" w:hAnsi="Times New Roman" w:eastAsia="宋体" w:cs="Times New Roman"/>
                <w:i w:val="0"/>
                <w:color w:val="000000"/>
                <w:kern w:val="0"/>
                <w:sz w:val="22"/>
                <w:szCs w:val="22"/>
                <w:u w:val="none" w:color="auto"/>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647" w:hRule="exact"/>
        </w:trPr>
        <w:tc>
          <w:tcPr>
            <w:tcW w:w="126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污染源调查</w:t>
            </w:r>
          </w:p>
        </w:tc>
        <w:tc>
          <w:tcPr>
            <w:tcW w:w="171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调查内容</w:t>
            </w:r>
          </w:p>
        </w:tc>
        <w:tc>
          <w:tcPr>
            <w:tcW w:w="2109"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本项目正常排放源</w:t>
            </w:r>
            <w:r>
              <w:rPr>
                <w:rFonts w:hint="default" w:ascii="Times New Roman" w:hAnsi="Times New Roman" w:eastAsia="宋体" w:cs="Times New Roman"/>
                <w:i w:val="0"/>
                <w:color w:val="000000"/>
                <w:kern w:val="0"/>
                <w:sz w:val="22"/>
                <w:szCs w:val="22"/>
                <w:u w:val="none" w:color="auto"/>
                <w:lang w:val="en-US" w:eastAsia="zh-CN" w:bidi="ar"/>
              </w:rPr>
              <w:sym w:font="Wingdings 2" w:char="00A3"/>
            </w:r>
          </w:p>
        </w:tc>
        <w:tc>
          <w:tcPr>
            <w:tcW w:w="1823" w:type="dxa"/>
            <w:gridSpan w:val="3"/>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拟替代的污染源□</w:t>
            </w:r>
          </w:p>
        </w:tc>
        <w:tc>
          <w:tcPr>
            <w:tcW w:w="114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其他在建、拟建项目污染源</w:t>
            </w:r>
            <w:r>
              <w:rPr>
                <w:rFonts w:hint="default" w:ascii="Times New Roman" w:hAnsi="Times New Roman" w:cs="Times New Roman"/>
                <w:i w:val="0"/>
                <w:color w:val="000000"/>
                <w:kern w:val="0"/>
                <w:sz w:val="22"/>
                <w:szCs w:val="22"/>
                <w:u w:val="none" w:color="auto"/>
                <w:lang w:val="en-US" w:eastAsia="zh-CN" w:bidi="ar"/>
              </w:rPr>
              <w:t>□</w:t>
            </w:r>
          </w:p>
        </w:tc>
        <w:tc>
          <w:tcPr>
            <w:tcW w:w="2303" w:type="dxa"/>
            <w:gridSpan w:val="3"/>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区域污染源□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732" w:hRule="exact"/>
        </w:trPr>
        <w:tc>
          <w:tcPr>
            <w:tcW w:w="1266"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c>
          <w:tcPr>
            <w:tcW w:w="1717"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c>
          <w:tcPr>
            <w:tcW w:w="2109"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本项目非正常排放源□</w:t>
            </w:r>
          </w:p>
        </w:tc>
        <w:tc>
          <w:tcPr>
            <w:tcW w:w="1823" w:type="dxa"/>
            <w:gridSpan w:val="3"/>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c>
          <w:tcPr>
            <w:tcW w:w="1147"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c>
          <w:tcPr>
            <w:tcW w:w="2303" w:type="dxa"/>
            <w:gridSpan w:val="3"/>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742" w:hRule="exact"/>
        </w:trPr>
        <w:tc>
          <w:tcPr>
            <w:tcW w:w="1266"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c>
          <w:tcPr>
            <w:tcW w:w="1717"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c>
          <w:tcPr>
            <w:tcW w:w="2109"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现有污染源□</w:t>
            </w:r>
          </w:p>
        </w:tc>
        <w:tc>
          <w:tcPr>
            <w:tcW w:w="1823" w:type="dxa"/>
            <w:gridSpan w:val="3"/>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c>
          <w:tcPr>
            <w:tcW w:w="1147"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c>
          <w:tcPr>
            <w:tcW w:w="2303" w:type="dxa"/>
            <w:gridSpan w:val="3"/>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1012" w:hRule="exact"/>
        </w:trPr>
        <w:tc>
          <w:tcPr>
            <w:tcW w:w="126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color="auto"/>
                <w:lang w:val="en-US" w:eastAsia="zh-CN" w:bidi="ar"/>
              </w:rPr>
            </w:pPr>
            <w:r>
              <w:rPr>
                <w:rFonts w:hint="default" w:ascii="Times New Roman" w:hAnsi="Times New Roman" w:eastAsia="宋体" w:cs="Times New Roman"/>
                <w:i w:val="0"/>
                <w:color w:val="000000"/>
                <w:kern w:val="0"/>
                <w:sz w:val="22"/>
                <w:szCs w:val="22"/>
                <w:u w:val="none" w:color="auto"/>
                <w:lang w:val="en-US" w:eastAsia="zh-CN" w:bidi="ar"/>
              </w:rPr>
              <w:t>大气环境影响预测与评价</w:t>
            </w:r>
          </w:p>
          <w:p>
            <w:pPr>
              <w:keepNext w:val="0"/>
              <w:keepLines w:val="0"/>
              <w:widowControl/>
              <w:suppressLineNumbers w:val="0"/>
              <w:jc w:val="both"/>
              <w:textAlignment w:val="bottom"/>
              <w:rPr>
                <w:rFonts w:hint="default" w:ascii="Times New Roman" w:hAnsi="Times New Roman" w:eastAsia="宋体" w:cs="Times New Roman"/>
                <w:i w:val="0"/>
                <w:color w:val="000000"/>
                <w:sz w:val="22"/>
                <w:szCs w:val="22"/>
                <w:u w:val="none" w:color="auto"/>
              </w:rPr>
            </w:pPr>
          </w:p>
        </w:tc>
        <w:tc>
          <w:tcPr>
            <w:tcW w:w="171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预测模型</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13"/>
                <w:rFonts w:hint="default" w:ascii="Times New Roman" w:hAnsi="Times New Roman" w:eastAsia="宋体" w:cs="Times New Roman"/>
                <w:sz w:val="22"/>
                <w:szCs w:val="22"/>
                <w:u w:val="none" w:color="auto"/>
                <w:lang w:val="en-US" w:eastAsia="zh-CN" w:bidi="ar"/>
              </w:rPr>
              <w:t>AERMOD</w:t>
            </w:r>
            <w:r>
              <w:rPr>
                <w:rStyle w:val="103"/>
                <w:rFonts w:hint="default" w:ascii="Times New Roman" w:hAnsi="Times New Roman" w:cs="Times New Roman"/>
                <w:sz w:val="22"/>
                <w:szCs w:val="22"/>
                <w:u w:val="none" w:color="auto"/>
                <w:lang w:val="en-US" w:eastAsia="zh-CN" w:bidi="ar"/>
              </w:rPr>
              <w:sym w:font="Wingdings 2" w:char="00A3"/>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13"/>
                <w:rFonts w:hint="default" w:ascii="Times New Roman" w:hAnsi="Times New Roman" w:eastAsia="宋体" w:cs="Times New Roman"/>
                <w:sz w:val="22"/>
                <w:szCs w:val="22"/>
                <w:u w:val="none" w:color="auto"/>
                <w:lang w:val="en-US" w:eastAsia="zh-CN" w:bidi="ar"/>
              </w:rPr>
              <w:t>ADMS</w:t>
            </w:r>
            <w:r>
              <w:rPr>
                <w:rStyle w:val="103"/>
                <w:rFonts w:hint="default" w:ascii="Times New Roman" w:hAnsi="Times New Roman" w:cs="Times New Roman"/>
                <w:sz w:val="22"/>
                <w:szCs w:val="22"/>
                <w:u w:val="none" w:color="auto"/>
                <w:lang w:val="en-US" w:eastAsia="zh-CN" w:bidi="ar"/>
              </w:rPr>
              <w:t>□</w:t>
            </w:r>
          </w:p>
        </w:tc>
        <w:tc>
          <w:tcPr>
            <w:tcW w:w="1185"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13"/>
                <w:rFonts w:hint="default" w:ascii="Times New Roman" w:hAnsi="Times New Roman" w:eastAsia="宋体" w:cs="Times New Roman"/>
                <w:sz w:val="22"/>
                <w:szCs w:val="22"/>
                <w:u w:val="none" w:color="auto"/>
                <w:lang w:val="en-US" w:eastAsia="zh-CN" w:bidi="ar"/>
              </w:rPr>
              <w:t>AUSTAL2000</w:t>
            </w:r>
            <w:r>
              <w:rPr>
                <w:rStyle w:val="103"/>
                <w:rFonts w:hint="default" w:ascii="Times New Roman" w:hAnsi="Times New Roman" w:cs="Times New Roman"/>
                <w:sz w:val="22"/>
                <w:szCs w:val="22"/>
                <w:u w:val="none" w:color="auto"/>
                <w:lang w:val="en-US" w:eastAsia="zh-CN" w:bidi="ar"/>
              </w:rPr>
              <w:t>□</w:t>
            </w:r>
          </w:p>
        </w:tc>
        <w:tc>
          <w:tcPr>
            <w:tcW w:w="1035"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13"/>
                <w:rFonts w:hint="default" w:ascii="Times New Roman" w:hAnsi="Times New Roman" w:eastAsia="宋体" w:cs="Times New Roman"/>
                <w:sz w:val="22"/>
                <w:szCs w:val="22"/>
                <w:u w:val="none" w:color="auto"/>
                <w:lang w:val="en-US" w:eastAsia="zh-CN" w:bidi="ar"/>
              </w:rPr>
              <w:t>EDMS/AEDT</w:t>
            </w:r>
            <w:r>
              <w:rPr>
                <w:rStyle w:val="103"/>
                <w:rFonts w:hint="default" w:ascii="Times New Roman" w:hAnsi="Times New Roman" w:cs="Times New Roman"/>
                <w:sz w:val="22"/>
                <w:szCs w:val="22"/>
                <w:u w:val="none" w:color="auto"/>
                <w:lang w:val="en-US" w:eastAsia="zh-CN" w:bidi="ar"/>
              </w:rPr>
              <w:t>□</w:t>
            </w:r>
          </w:p>
        </w:tc>
        <w:tc>
          <w:tcPr>
            <w:tcW w:w="114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13"/>
                <w:rFonts w:hint="default" w:ascii="Times New Roman" w:hAnsi="Times New Roman" w:eastAsia="宋体" w:cs="Times New Roman"/>
                <w:sz w:val="22"/>
                <w:szCs w:val="22"/>
                <w:u w:val="none" w:color="auto"/>
                <w:lang w:val="en-US" w:eastAsia="zh-CN" w:bidi="ar"/>
              </w:rPr>
              <w:t>CALPUFF</w:t>
            </w:r>
            <w:r>
              <w:rPr>
                <w:rStyle w:val="103"/>
                <w:rFonts w:hint="default" w:ascii="Times New Roman" w:hAnsi="Times New Roman" w:cs="Times New Roman"/>
                <w:sz w:val="22"/>
                <w:szCs w:val="22"/>
                <w:u w:val="none" w:color="auto"/>
                <w:lang w:val="en-US" w:eastAsia="zh-CN" w:bidi="ar"/>
              </w:rPr>
              <w:t>□</w:t>
            </w:r>
          </w:p>
        </w:tc>
        <w:tc>
          <w:tcPr>
            <w:tcW w:w="95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网格模型□</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其他□</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757" w:hRule="exact"/>
        </w:trPr>
        <w:tc>
          <w:tcPr>
            <w:tcW w:w="1266" w:type="dxa"/>
            <w:vMerge w:val="continue"/>
            <w:tcBorders>
              <w:tl2br w:val="nil"/>
              <w:tr2bl w:val="nil"/>
            </w:tcBorders>
            <w:shd w:val="clear" w:color="auto" w:fill="auto"/>
            <w:vAlign w:val="bottom"/>
          </w:tcPr>
          <w:p>
            <w:pPr>
              <w:keepNext w:val="0"/>
              <w:keepLines w:val="0"/>
              <w:widowControl/>
              <w:suppressLineNumbers w:val="0"/>
              <w:jc w:val="both"/>
              <w:textAlignment w:val="bottom"/>
              <w:rPr>
                <w:rFonts w:hint="default" w:ascii="Times New Roman" w:hAnsi="Times New Roman" w:eastAsia="宋体" w:cs="Times New Roman"/>
                <w:i w:val="0"/>
                <w:color w:val="000000"/>
                <w:sz w:val="22"/>
                <w:szCs w:val="22"/>
                <w:u w:val="none" w:color="auto"/>
              </w:rPr>
            </w:pPr>
          </w:p>
        </w:tc>
        <w:tc>
          <w:tcPr>
            <w:tcW w:w="171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预测范围</w:t>
            </w:r>
          </w:p>
        </w:tc>
        <w:tc>
          <w:tcPr>
            <w:tcW w:w="2897"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边长≥</w:t>
            </w:r>
            <w:r>
              <w:rPr>
                <w:rStyle w:val="113"/>
                <w:rFonts w:hint="default" w:ascii="Times New Roman" w:hAnsi="Times New Roman" w:eastAsia="宋体" w:cs="Times New Roman"/>
                <w:sz w:val="22"/>
                <w:szCs w:val="22"/>
                <w:u w:val="none" w:color="auto"/>
                <w:lang w:val="en-US" w:eastAsia="zh-CN" w:bidi="ar"/>
              </w:rPr>
              <w:t>50km</w:t>
            </w:r>
            <w:r>
              <w:rPr>
                <w:rStyle w:val="103"/>
                <w:rFonts w:hint="default" w:ascii="Times New Roman" w:hAnsi="Times New Roman" w:cs="Times New Roman"/>
                <w:sz w:val="22"/>
                <w:szCs w:val="22"/>
                <w:u w:val="none" w:color="auto"/>
                <w:lang w:val="en-US" w:eastAsia="zh-CN" w:bidi="ar"/>
              </w:rPr>
              <w:t>□</w:t>
            </w:r>
          </w:p>
        </w:tc>
        <w:tc>
          <w:tcPr>
            <w:tcW w:w="2182"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边长</w:t>
            </w:r>
            <w:r>
              <w:rPr>
                <w:rStyle w:val="113"/>
                <w:rFonts w:hint="default" w:ascii="Times New Roman" w:hAnsi="Times New Roman" w:eastAsia="宋体" w:cs="Times New Roman"/>
                <w:sz w:val="22"/>
                <w:szCs w:val="22"/>
                <w:u w:val="none" w:color="auto"/>
                <w:lang w:val="en-US" w:eastAsia="zh-CN" w:bidi="ar"/>
              </w:rPr>
              <w:t>5~50km</w:t>
            </w:r>
            <w:r>
              <w:rPr>
                <w:rStyle w:val="103"/>
                <w:rFonts w:hint="default" w:ascii="Times New Roman" w:hAnsi="Times New Roman" w:cs="Times New Roman"/>
                <w:sz w:val="22"/>
                <w:szCs w:val="22"/>
                <w:u w:val="none" w:color="auto"/>
                <w:lang w:val="en-US" w:eastAsia="zh-CN" w:bidi="ar"/>
              </w:rPr>
              <w:t>□</w:t>
            </w:r>
          </w:p>
        </w:tc>
        <w:tc>
          <w:tcPr>
            <w:tcW w:w="2303"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边长</w:t>
            </w:r>
            <w:r>
              <w:rPr>
                <w:rStyle w:val="113"/>
                <w:rFonts w:hint="default" w:ascii="Times New Roman" w:hAnsi="Times New Roman" w:eastAsia="宋体" w:cs="Times New Roman"/>
                <w:sz w:val="22"/>
                <w:szCs w:val="22"/>
                <w:u w:val="none" w:color="auto"/>
                <w:lang w:val="en-US" w:eastAsia="zh-CN" w:bidi="ar"/>
              </w:rPr>
              <w:t>=5km</w:t>
            </w:r>
            <w:r>
              <w:rPr>
                <w:rStyle w:val="103"/>
                <w:rFonts w:hint="default" w:ascii="Times New Roman" w:hAnsi="Times New Roman" w:cs="Times New Roman"/>
                <w:sz w:val="22"/>
                <w:szCs w:val="22"/>
                <w:u w:val="none" w:color="auto"/>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572" w:hRule="exact"/>
        </w:trPr>
        <w:tc>
          <w:tcPr>
            <w:tcW w:w="1266" w:type="dxa"/>
            <w:vMerge w:val="continue"/>
            <w:tcBorders>
              <w:tl2br w:val="nil"/>
              <w:tr2bl w:val="nil"/>
            </w:tcBorders>
            <w:shd w:val="clear" w:color="auto" w:fill="auto"/>
            <w:vAlign w:val="bottom"/>
          </w:tcPr>
          <w:p>
            <w:pPr>
              <w:rPr>
                <w:rFonts w:hint="default" w:ascii="Times New Roman" w:hAnsi="Times New Roman" w:eastAsia="宋体" w:cs="Times New Roman"/>
                <w:i w:val="0"/>
                <w:color w:val="000000"/>
                <w:sz w:val="22"/>
                <w:szCs w:val="22"/>
                <w:u w:val="none" w:color="auto"/>
              </w:rPr>
            </w:pPr>
          </w:p>
        </w:tc>
        <w:tc>
          <w:tcPr>
            <w:tcW w:w="171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预测因子</w:t>
            </w:r>
          </w:p>
        </w:tc>
        <w:tc>
          <w:tcPr>
            <w:tcW w:w="3932" w:type="dxa"/>
            <w:gridSpan w:val="6"/>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预测因子（）</w:t>
            </w:r>
          </w:p>
        </w:tc>
        <w:tc>
          <w:tcPr>
            <w:tcW w:w="3450"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包括二次</w:t>
            </w:r>
            <w:r>
              <w:rPr>
                <w:rStyle w:val="113"/>
                <w:rFonts w:hint="default" w:ascii="Times New Roman" w:hAnsi="Times New Roman" w:eastAsia="宋体" w:cs="Times New Roman"/>
                <w:sz w:val="22"/>
                <w:szCs w:val="22"/>
                <w:u w:val="none" w:color="auto"/>
                <w:lang w:val="en-US" w:eastAsia="zh-CN" w:bidi="ar"/>
              </w:rPr>
              <w:t>PM</w:t>
            </w:r>
            <w:r>
              <w:rPr>
                <w:rStyle w:val="98"/>
                <w:rFonts w:hint="default" w:ascii="Times New Roman" w:hAnsi="Times New Roman" w:eastAsia="宋体" w:cs="Times New Roman"/>
                <w:sz w:val="22"/>
                <w:szCs w:val="22"/>
                <w:u w:val="none" w:color="auto"/>
                <w:vertAlign w:val="subscript"/>
                <w:lang w:val="en-US" w:eastAsia="zh-CN" w:bidi="ar"/>
              </w:rPr>
              <w:t>2.5</w:t>
            </w:r>
            <w:r>
              <w:rPr>
                <w:rStyle w:val="103"/>
                <w:rFonts w:hint="default" w:ascii="Times New Roman" w:hAnsi="Times New Roman" w:cs="Times New Roman"/>
                <w:sz w:val="22"/>
                <w:szCs w:val="22"/>
                <w:u w:val="none" w:color="auto"/>
                <w:lang w:val="en-US" w:eastAsia="zh-CN" w:bidi="ar"/>
              </w:rPr>
              <w:sym w:font="Wingdings 2" w:char="00A3"/>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97" w:hRule="exact"/>
        </w:trPr>
        <w:tc>
          <w:tcPr>
            <w:tcW w:w="1266" w:type="dxa"/>
            <w:vMerge w:val="continue"/>
            <w:tcBorders>
              <w:tl2br w:val="nil"/>
              <w:tr2bl w:val="nil"/>
            </w:tcBorders>
            <w:shd w:val="clear" w:color="auto" w:fill="auto"/>
            <w:vAlign w:val="bottom"/>
          </w:tcPr>
          <w:p>
            <w:pPr>
              <w:rPr>
                <w:rFonts w:hint="default" w:ascii="Times New Roman" w:hAnsi="Times New Roman" w:eastAsia="宋体" w:cs="Times New Roman"/>
                <w:i w:val="0"/>
                <w:color w:val="000000"/>
                <w:sz w:val="22"/>
                <w:szCs w:val="22"/>
                <w:u w:val="none" w:color="auto"/>
              </w:rPr>
            </w:pPr>
          </w:p>
        </w:tc>
        <w:tc>
          <w:tcPr>
            <w:tcW w:w="1717"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c>
          <w:tcPr>
            <w:tcW w:w="3932" w:type="dxa"/>
            <w:gridSpan w:val="6"/>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c>
          <w:tcPr>
            <w:tcW w:w="3450"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不包括二次</w:t>
            </w:r>
            <w:r>
              <w:rPr>
                <w:rStyle w:val="113"/>
                <w:rFonts w:hint="default" w:ascii="Times New Roman" w:hAnsi="Times New Roman" w:eastAsia="宋体" w:cs="Times New Roman"/>
                <w:sz w:val="22"/>
                <w:szCs w:val="22"/>
                <w:u w:val="none" w:color="auto"/>
                <w:lang w:val="en-US" w:eastAsia="zh-CN" w:bidi="ar"/>
              </w:rPr>
              <w:t>PM</w:t>
            </w:r>
            <w:r>
              <w:rPr>
                <w:rStyle w:val="98"/>
                <w:rFonts w:hint="default" w:ascii="Times New Roman" w:hAnsi="Times New Roman" w:eastAsia="宋体" w:cs="Times New Roman"/>
                <w:sz w:val="22"/>
                <w:szCs w:val="22"/>
                <w:u w:val="none" w:color="auto"/>
                <w:vertAlign w:val="subscript"/>
                <w:lang w:val="en-US" w:eastAsia="zh-CN" w:bidi="ar"/>
              </w:rPr>
              <w:t>2.5</w:t>
            </w:r>
            <w:r>
              <w:rPr>
                <w:rStyle w:val="103"/>
                <w:rFonts w:hint="default" w:ascii="Times New Roman" w:hAnsi="Times New Roman" w:cs="Times New Roman"/>
                <w:sz w:val="22"/>
                <w:szCs w:val="22"/>
                <w:u w:val="none" w:color="auto"/>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787" w:hRule="exact"/>
        </w:trPr>
        <w:tc>
          <w:tcPr>
            <w:tcW w:w="1266" w:type="dxa"/>
            <w:vMerge w:val="continue"/>
            <w:tcBorders>
              <w:tl2br w:val="nil"/>
              <w:tr2bl w:val="nil"/>
            </w:tcBorders>
            <w:shd w:val="clear" w:color="auto" w:fill="auto"/>
            <w:vAlign w:val="bottom"/>
          </w:tcPr>
          <w:p>
            <w:pPr>
              <w:rPr>
                <w:rFonts w:hint="default" w:ascii="Times New Roman" w:hAnsi="Times New Roman" w:eastAsia="宋体" w:cs="Times New Roman"/>
                <w:i w:val="0"/>
                <w:color w:val="000000"/>
                <w:sz w:val="22"/>
                <w:szCs w:val="22"/>
                <w:u w:val="none" w:color="auto"/>
              </w:rPr>
            </w:pPr>
          </w:p>
        </w:tc>
        <w:tc>
          <w:tcPr>
            <w:tcW w:w="171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正常排放短期浓度贡献值</w:t>
            </w:r>
          </w:p>
        </w:tc>
        <w:tc>
          <w:tcPr>
            <w:tcW w:w="3932" w:type="dxa"/>
            <w:gridSpan w:val="6"/>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13"/>
                <w:rFonts w:hint="default" w:ascii="Times New Roman" w:hAnsi="Times New Roman" w:eastAsia="宋体" w:cs="Times New Roman"/>
                <w:sz w:val="22"/>
                <w:szCs w:val="22"/>
                <w:u w:val="none" w:color="auto"/>
                <w:lang w:val="en-US" w:eastAsia="zh-CN" w:bidi="ar"/>
              </w:rPr>
              <w:t>C</w:t>
            </w:r>
            <w:r>
              <w:rPr>
                <w:rStyle w:val="103"/>
                <w:rFonts w:hint="default" w:ascii="Times New Roman" w:hAnsi="Times New Roman" w:cs="Times New Roman"/>
                <w:sz w:val="22"/>
                <w:szCs w:val="22"/>
                <w:u w:val="none" w:color="auto"/>
                <w:lang w:val="en-US" w:eastAsia="zh-CN" w:bidi="ar"/>
              </w:rPr>
              <w:t>本项目最大占标率≤</w:t>
            </w:r>
            <w:r>
              <w:rPr>
                <w:rStyle w:val="113"/>
                <w:rFonts w:hint="default" w:ascii="Times New Roman" w:hAnsi="Times New Roman" w:eastAsia="宋体" w:cs="Times New Roman"/>
                <w:sz w:val="22"/>
                <w:szCs w:val="22"/>
                <w:u w:val="none" w:color="auto"/>
                <w:lang w:val="en-US" w:eastAsia="zh-CN" w:bidi="ar"/>
              </w:rPr>
              <w:t>100%</w:t>
            </w:r>
            <w:r>
              <w:rPr>
                <w:rStyle w:val="103"/>
                <w:rFonts w:hint="default" w:ascii="Times New Roman" w:hAnsi="Times New Roman" w:cs="Times New Roman"/>
                <w:sz w:val="22"/>
                <w:szCs w:val="22"/>
                <w:u w:val="none" w:color="auto"/>
                <w:lang w:val="en-US" w:eastAsia="zh-CN" w:bidi="ar"/>
              </w:rPr>
              <w:sym w:font="Wingdings 2" w:char="00A3"/>
            </w:r>
          </w:p>
        </w:tc>
        <w:tc>
          <w:tcPr>
            <w:tcW w:w="3450"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13"/>
                <w:rFonts w:hint="default" w:ascii="Times New Roman" w:hAnsi="Times New Roman" w:eastAsia="宋体" w:cs="Times New Roman"/>
                <w:sz w:val="22"/>
                <w:szCs w:val="22"/>
                <w:u w:val="none" w:color="auto"/>
                <w:lang w:val="en-US" w:eastAsia="zh-CN" w:bidi="ar"/>
              </w:rPr>
              <w:t>C</w:t>
            </w:r>
            <w:r>
              <w:rPr>
                <w:rStyle w:val="103"/>
                <w:rFonts w:hint="default" w:ascii="Times New Roman" w:hAnsi="Times New Roman" w:cs="Times New Roman"/>
                <w:sz w:val="22"/>
                <w:szCs w:val="22"/>
                <w:u w:val="none" w:color="auto"/>
                <w:lang w:val="en-US" w:eastAsia="zh-CN" w:bidi="ar"/>
              </w:rPr>
              <w:t>本项目最大占标率</w:t>
            </w:r>
            <w:r>
              <w:rPr>
                <w:rStyle w:val="113"/>
                <w:rFonts w:hint="default" w:ascii="Times New Roman" w:hAnsi="Times New Roman" w:eastAsia="宋体" w:cs="Times New Roman"/>
                <w:sz w:val="22"/>
                <w:szCs w:val="22"/>
                <w:u w:val="none" w:color="auto"/>
                <w:lang w:val="en-US" w:eastAsia="zh-CN" w:bidi="ar"/>
              </w:rPr>
              <w:t>&gt;100%</w:t>
            </w:r>
            <w:r>
              <w:rPr>
                <w:rStyle w:val="103"/>
                <w:rFonts w:hint="default" w:ascii="Times New Roman" w:hAnsi="Times New Roman" w:cs="Times New Roman"/>
                <w:sz w:val="22"/>
                <w:szCs w:val="22"/>
                <w:u w:val="none" w:color="auto"/>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742" w:hRule="exact"/>
        </w:trPr>
        <w:tc>
          <w:tcPr>
            <w:tcW w:w="1266" w:type="dxa"/>
            <w:vMerge w:val="continue"/>
            <w:tcBorders>
              <w:tl2br w:val="nil"/>
              <w:tr2bl w:val="nil"/>
            </w:tcBorders>
            <w:shd w:val="clear" w:color="auto" w:fill="auto"/>
            <w:vAlign w:val="bottom"/>
          </w:tcPr>
          <w:p>
            <w:pPr>
              <w:rPr>
                <w:rFonts w:hint="default" w:ascii="Times New Roman" w:hAnsi="Times New Roman" w:eastAsia="宋体" w:cs="Times New Roman"/>
                <w:i w:val="0"/>
                <w:color w:val="000000"/>
                <w:sz w:val="22"/>
                <w:szCs w:val="22"/>
                <w:u w:val="none" w:color="auto"/>
              </w:rPr>
            </w:pPr>
          </w:p>
        </w:tc>
        <w:tc>
          <w:tcPr>
            <w:tcW w:w="171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正常排放年均浓度贡献值</w:t>
            </w:r>
          </w:p>
        </w:tc>
        <w:tc>
          <w:tcPr>
            <w:tcW w:w="1712"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一类区</w:t>
            </w:r>
          </w:p>
        </w:tc>
        <w:tc>
          <w:tcPr>
            <w:tcW w:w="2220"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13"/>
                <w:rFonts w:hint="default" w:ascii="Times New Roman" w:hAnsi="Times New Roman" w:eastAsia="宋体" w:cs="Times New Roman"/>
                <w:sz w:val="22"/>
                <w:szCs w:val="22"/>
                <w:u w:val="none" w:color="auto"/>
                <w:lang w:val="en-US" w:eastAsia="zh-CN" w:bidi="ar"/>
              </w:rPr>
              <w:t>C</w:t>
            </w:r>
            <w:r>
              <w:rPr>
                <w:rStyle w:val="102"/>
                <w:rFonts w:hint="default" w:ascii="Times New Roman" w:hAnsi="Times New Roman" w:cs="Times New Roman"/>
                <w:sz w:val="22"/>
                <w:szCs w:val="22"/>
                <w:u w:val="none" w:color="auto"/>
                <w:lang w:val="en-US" w:eastAsia="zh-CN" w:bidi="ar"/>
              </w:rPr>
              <w:t>本项目</w:t>
            </w:r>
            <w:r>
              <w:rPr>
                <w:rStyle w:val="103"/>
                <w:rFonts w:hint="default" w:ascii="Times New Roman" w:hAnsi="Times New Roman" w:cs="Times New Roman"/>
                <w:sz w:val="22"/>
                <w:szCs w:val="22"/>
                <w:u w:val="none" w:color="auto"/>
                <w:lang w:val="en-US" w:eastAsia="zh-CN" w:bidi="ar"/>
              </w:rPr>
              <w:t>最大占标率≤</w:t>
            </w:r>
            <w:r>
              <w:rPr>
                <w:rStyle w:val="113"/>
                <w:rFonts w:hint="default" w:ascii="Times New Roman" w:hAnsi="Times New Roman" w:eastAsia="宋体" w:cs="Times New Roman"/>
                <w:sz w:val="22"/>
                <w:szCs w:val="22"/>
                <w:u w:val="none" w:color="auto"/>
                <w:lang w:val="en-US" w:eastAsia="zh-CN" w:bidi="ar"/>
              </w:rPr>
              <w:t>10%</w:t>
            </w:r>
            <w:r>
              <w:rPr>
                <w:rStyle w:val="103"/>
                <w:rFonts w:hint="default" w:ascii="Times New Roman" w:hAnsi="Times New Roman" w:cs="Times New Roman"/>
                <w:sz w:val="22"/>
                <w:szCs w:val="22"/>
                <w:u w:val="none" w:color="auto"/>
                <w:lang w:val="en-US" w:eastAsia="zh-CN" w:bidi="ar"/>
              </w:rPr>
              <w:sym w:font="Wingdings 2" w:char="00A3"/>
            </w:r>
          </w:p>
        </w:tc>
        <w:tc>
          <w:tcPr>
            <w:tcW w:w="3450"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13"/>
                <w:rFonts w:hint="default" w:ascii="Times New Roman" w:hAnsi="Times New Roman" w:eastAsia="宋体" w:cs="Times New Roman"/>
                <w:sz w:val="22"/>
                <w:szCs w:val="22"/>
                <w:u w:val="none" w:color="auto"/>
                <w:lang w:val="en-US" w:eastAsia="zh-CN" w:bidi="ar"/>
              </w:rPr>
              <w:t>C</w:t>
            </w:r>
            <w:r>
              <w:rPr>
                <w:rStyle w:val="102"/>
                <w:rFonts w:hint="default" w:ascii="Times New Roman" w:hAnsi="Times New Roman" w:cs="Times New Roman"/>
                <w:sz w:val="22"/>
                <w:szCs w:val="22"/>
                <w:u w:val="none" w:color="auto"/>
                <w:lang w:val="en-US" w:eastAsia="zh-CN" w:bidi="ar"/>
              </w:rPr>
              <w:t>本项目</w:t>
            </w:r>
            <w:r>
              <w:rPr>
                <w:rStyle w:val="103"/>
                <w:rFonts w:hint="default" w:ascii="Times New Roman" w:hAnsi="Times New Roman" w:cs="Times New Roman"/>
                <w:sz w:val="22"/>
                <w:szCs w:val="22"/>
                <w:u w:val="none" w:color="auto"/>
                <w:lang w:val="en-US" w:eastAsia="zh-CN" w:bidi="ar"/>
              </w:rPr>
              <w:t>最大占标率</w:t>
            </w:r>
            <w:r>
              <w:rPr>
                <w:rStyle w:val="113"/>
                <w:rFonts w:hint="default" w:ascii="Times New Roman" w:hAnsi="Times New Roman" w:eastAsia="宋体" w:cs="Times New Roman"/>
                <w:sz w:val="22"/>
                <w:szCs w:val="22"/>
                <w:u w:val="none" w:color="auto"/>
                <w:lang w:val="en-US" w:eastAsia="zh-CN" w:bidi="ar"/>
              </w:rPr>
              <w:t>&gt;10%</w:t>
            </w:r>
            <w:r>
              <w:rPr>
                <w:rStyle w:val="103"/>
                <w:rFonts w:hint="default" w:ascii="Times New Roman" w:hAnsi="Times New Roman" w:cs="Times New Roman"/>
                <w:sz w:val="22"/>
                <w:szCs w:val="22"/>
                <w:u w:val="none" w:color="auto"/>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937" w:hRule="exact"/>
        </w:trPr>
        <w:tc>
          <w:tcPr>
            <w:tcW w:w="1266" w:type="dxa"/>
            <w:vMerge w:val="continue"/>
            <w:tcBorders>
              <w:tl2br w:val="nil"/>
              <w:tr2bl w:val="nil"/>
            </w:tcBorders>
            <w:shd w:val="clear" w:color="auto" w:fill="auto"/>
            <w:vAlign w:val="bottom"/>
          </w:tcPr>
          <w:p>
            <w:pPr>
              <w:rPr>
                <w:rFonts w:hint="default" w:ascii="Times New Roman" w:hAnsi="Times New Roman" w:eastAsia="宋体" w:cs="Times New Roman"/>
                <w:i w:val="0"/>
                <w:color w:val="000000"/>
                <w:sz w:val="22"/>
                <w:szCs w:val="22"/>
                <w:u w:val="none" w:color="auto"/>
              </w:rPr>
            </w:pPr>
          </w:p>
        </w:tc>
        <w:tc>
          <w:tcPr>
            <w:tcW w:w="1717"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c>
          <w:tcPr>
            <w:tcW w:w="1712"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二类区</w:t>
            </w:r>
          </w:p>
        </w:tc>
        <w:tc>
          <w:tcPr>
            <w:tcW w:w="2220"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13"/>
                <w:rFonts w:hint="default" w:ascii="Times New Roman" w:hAnsi="Times New Roman" w:eastAsia="宋体" w:cs="Times New Roman"/>
                <w:sz w:val="22"/>
                <w:szCs w:val="22"/>
                <w:u w:val="none" w:color="auto"/>
                <w:lang w:val="en-US" w:eastAsia="zh-CN" w:bidi="ar"/>
              </w:rPr>
              <w:t>C</w:t>
            </w:r>
            <w:r>
              <w:rPr>
                <w:rStyle w:val="102"/>
                <w:rFonts w:hint="default" w:ascii="Times New Roman" w:hAnsi="Times New Roman" w:cs="Times New Roman"/>
                <w:sz w:val="22"/>
                <w:szCs w:val="22"/>
                <w:u w:val="none" w:color="auto"/>
                <w:lang w:val="en-US" w:eastAsia="zh-CN" w:bidi="ar"/>
              </w:rPr>
              <w:t>本项目</w:t>
            </w:r>
            <w:r>
              <w:rPr>
                <w:rStyle w:val="103"/>
                <w:rFonts w:hint="default" w:ascii="Times New Roman" w:hAnsi="Times New Roman" w:cs="Times New Roman"/>
                <w:sz w:val="22"/>
                <w:szCs w:val="22"/>
                <w:u w:val="none" w:color="auto"/>
                <w:lang w:val="en-US" w:eastAsia="zh-CN" w:bidi="ar"/>
              </w:rPr>
              <w:t>最大占标率≤</w:t>
            </w:r>
            <w:r>
              <w:rPr>
                <w:rStyle w:val="113"/>
                <w:rFonts w:hint="default" w:ascii="Times New Roman" w:hAnsi="Times New Roman" w:eastAsia="宋体" w:cs="Times New Roman"/>
                <w:sz w:val="22"/>
                <w:szCs w:val="22"/>
                <w:u w:val="none" w:color="auto"/>
                <w:lang w:val="en-US" w:eastAsia="zh-CN" w:bidi="ar"/>
              </w:rPr>
              <w:t>30%</w:t>
            </w:r>
            <w:r>
              <w:rPr>
                <w:rStyle w:val="103"/>
                <w:rFonts w:hint="default" w:ascii="Times New Roman" w:hAnsi="Times New Roman" w:cs="Times New Roman"/>
                <w:sz w:val="22"/>
                <w:szCs w:val="22"/>
                <w:u w:val="none" w:color="auto"/>
                <w:lang w:val="en-US" w:eastAsia="zh-CN" w:bidi="ar"/>
              </w:rPr>
              <w:sym w:font="Wingdings 2" w:char="00A3"/>
            </w:r>
          </w:p>
        </w:tc>
        <w:tc>
          <w:tcPr>
            <w:tcW w:w="3450"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13"/>
                <w:rFonts w:hint="default" w:ascii="Times New Roman" w:hAnsi="Times New Roman" w:eastAsia="宋体" w:cs="Times New Roman"/>
                <w:sz w:val="22"/>
                <w:szCs w:val="22"/>
                <w:u w:val="none" w:color="auto"/>
                <w:lang w:val="en-US" w:eastAsia="zh-CN" w:bidi="ar"/>
              </w:rPr>
              <w:t>C</w:t>
            </w:r>
            <w:r>
              <w:rPr>
                <w:rStyle w:val="102"/>
                <w:rFonts w:hint="default" w:ascii="Times New Roman" w:hAnsi="Times New Roman" w:cs="Times New Roman"/>
                <w:sz w:val="22"/>
                <w:szCs w:val="22"/>
                <w:u w:val="none" w:color="auto"/>
                <w:lang w:val="en-US" w:eastAsia="zh-CN" w:bidi="ar"/>
              </w:rPr>
              <w:t>本项目</w:t>
            </w:r>
            <w:r>
              <w:rPr>
                <w:rStyle w:val="103"/>
                <w:rFonts w:hint="default" w:ascii="Times New Roman" w:hAnsi="Times New Roman" w:cs="Times New Roman"/>
                <w:sz w:val="22"/>
                <w:szCs w:val="22"/>
                <w:u w:val="none" w:color="auto"/>
                <w:lang w:val="en-US" w:eastAsia="zh-CN" w:bidi="ar"/>
              </w:rPr>
              <w:t>最大占标率</w:t>
            </w:r>
            <w:r>
              <w:rPr>
                <w:rStyle w:val="113"/>
                <w:rFonts w:hint="default" w:ascii="Times New Roman" w:hAnsi="Times New Roman" w:eastAsia="宋体" w:cs="Times New Roman"/>
                <w:sz w:val="22"/>
                <w:szCs w:val="22"/>
                <w:u w:val="none" w:color="auto"/>
                <w:lang w:val="en-US" w:eastAsia="zh-CN" w:bidi="ar"/>
              </w:rPr>
              <w:t>&gt;30%</w:t>
            </w:r>
            <w:r>
              <w:rPr>
                <w:rStyle w:val="103"/>
                <w:rFonts w:hint="default" w:ascii="Times New Roman" w:hAnsi="Times New Roman" w:cs="Times New Roman"/>
                <w:sz w:val="22"/>
                <w:szCs w:val="22"/>
                <w:u w:val="none" w:color="auto"/>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874" w:hRule="exact"/>
        </w:trPr>
        <w:tc>
          <w:tcPr>
            <w:tcW w:w="1266" w:type="dxa"/>
            <w:vMerge w:val="continue"/>
            <w:tcBorders>
              <w:tl2br w:val="nil"/>
              <w:tr2bl w:val="nil"/>
            </w:tcBorders>
            <w:shd w:val="clear" w:color="auto" w:fill="auto"/>
            <w:vAlign w:val="bottom"/>
          </w:tcPr>
          <w:p>
            <w:pPr>
              <w:rPr>
                <w:rFonts w:hint="default" w:ascii="Times New Roman" w:hAnsi="Times New Roman" w:eastAsia="宋体" w:cs="Times New Roman"/>
                <w:i w:val="0"/>
                <w:color w:val="000000"/>
                <w:sz w:val="22"/>
                <w:szCs w:val="22"/>
                <w:u w:val="none" w:color="auto"/>
              </w:rPr>
            </w:pPr>
          </w:p>
        </w:tc>
        <w:tc>
          <w:tcPr>
            <w:tcW w:w="171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非正常</w:t>
            </w:r>
            <w:r>
              <w:rPr>
                <w:rStyle w:val="113"/>
                <w:rFonts w:hint="default" w:ascii="Times New Roman" w:hAnsi="Times New Roman" w:eastAsia="宋体" w:cs="Times New Roman"/>
                <w:sz w:val="22"/>
                <w:szCs w:val="22"/>
                <w:u w:val="none" w:color="auto"/>
                <w:lang w:val="en-US" w:eastAsia="zh-CN" w:bidi="ar"/>
              </w:rPr>
              <w:t>1h</w:t>
            </w:r>
            <w:r>
              <w:rPr>
                <w:rStyle w:val="103"/>
                <w:rFonts w:hint="default" w:ascii="Times New Roman" w:hAnsi="Times New Roman" w:cs="Times New Roman"/>
                <w:sz w:val="22"/>
                <w:szCs w:val="22"/>
                <w:u w:val="none" w:color="auto"/>
                <w:lang w:val="en-US" w:eastAsia="zh-CN" w:bidi="ar"/>
              </w:rPr>
              <w:t>浓度贡献值</w:t>
            </w:r>
          </w:p>
        </w:tc>
        <w:tc>
          <w:tcPr>
            <w:tcW w:w="2109"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color="auto"/>
                <w:lang w:val="en-US" w:eastAsia="zh-CN" w:bidi="ar"/>
              </w:rPr>
            </w:pPr>
            <w:r>
              <w:rPr>
                <w:rFonts w:hint="default" w:ascii="Times New Roman" w:hAnsi="Times New Roman" w:eastAsia="宋体" w:cs="Times New Roman"/>
                <w:i w:val="0"/>
                <w:color w:val="000000"/>
                <w:kern w:val="0"/>
                <w:sz w:val="22"/>
                <w:szCs w:val="22"/>
                <w:u w:val="none" w:color="auto"/>
                <w:lang w:val="en-US" w:eastAsia="zh-CN" w:bidi="ar"/>
              </w:rPr>
              <w:t>非正常持续时长</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w:t>
            </w:r>
            <w:r>
              <w:rPr>
                <w:rStyle w:val="113"/>
                <w:rFonts w:hint="default" w:ascii="Times New Roman" w:hAnsi="Times New Roman" w:eastAsia="宋体" w:cs="Times New Roman"/>
                <w:sz w:val="22"/>
                <w:szCs w:val="22"/>
                <w:u w:val="none" w:color="auto"/>
                <w:lang w:val="en-US" w:eastAsia="zh-CN" w:bidi="ar"/>
              </w:rPr>
              <w:t xml:space="preserve">  </w:t>
            </w:r>
            <w:r>
              <w:rPr>
                <w:rStyle w:val="103"/>
                <w:rFonts w:hint="default" w:ascii="Times New Roman" w:hAnsi="Times New Roman" w:cs="Times New Roman"/>
                <w:sz w:val="22"/>
                <w:szCs w:val="22"/>
                <w:u w:val="none" w:color="auto"/>
                <w:lang w:val="en-US" w:eastAsia="zh-CN" w:bidi="ar"/>
              </w:rPr>
              <w:t>）</w:t>
            </w:r>
            <w:r>
              <w:rPr>
                <w:rStyle w:val="113"/>
                <w:rFonts w:hint="default" w:ascii="Times New Roman" w:hAnsi="Times New Roman" w:eastAsia="宋体" w:cs="Times New Roman"/>
                <w:sz w:val="22"/>
                <w:szCs w:val="22"/>
                <w:u w:val="none" w:color="auto"/>
                <w:lang w:val="en-US" w:eastAsia="zh-CN" w:bidi="ar"/>
              </w:rPr>
              <w:t>h</w:t>
            </w:r>
          </w:p>
        </w:tc>
        <w:tc>
          <w:tcPr>
            <w:tcW w:w="2970"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13"/>
                <w:rFonts w:hint="default" w:ascii="Times New Roman" w:hAnsi="Times New Roman" w:eastAsia="宋体" w:cs="Times New Roman"/>
                <w:sz w:val="22"/>
                <w:szCs w:val="22"/>
                <w:u w:val="none" w:color="auto"/>
                <w:lang w:val="en-US" w:eastAsia="zh-CN" w:bidi="ar"/>
              </w:rPr>
              <w:t>C</w:t>
            </w:r>
            <w:r>
              <w:rPr>
                <w:rStyle w:val="102"/>
                <w:rFonts w:hint="default" w:ascii="Times New Roman" w:hAnsi="Times New Roman" w:cs="Times New Roman"/>
                <w:sz w:val="22"/>
                <w:szCs w:val="22"/>
                <w:u w:val="none" w:color="auto"/>
                <w:lang w:val="en-US" w:eastAsia="zh-CN" w:bidi="ar"/>
              </w:rPr>
              <w:t>非正常</w:t>
            </w:r>
            <w:r>
              <w:rPr>
                <w:rStyle w:val="103"/>
                <w:rFonts w:hint="default" w:ascii="Times New Roman" w:hAnsi="Times New Roman" w:cs="Times New Roman"/>
                <w:sz w:val="22"/>
                <w:szCs w:val="22"/>
                <w:u w:val="none" w:color="auto"/>
                <w:lang w:val="en-US" w:eastAsia="zh-CN" w:bidi="ar"/>
              </w:rPr>
              <w:t>占标率≤</w:t>
            </w:r>
            <w:r>
              <w:rPr>
                <w:rStyle w:val="113"/>
                <w:rFonts w:hint="default" w:ascii="Times New Roman" w:hAnsi="Times New Roman" w:eastAsia="宋体" w:cs="Times New Roman"/>
                <w:sz w:val="22"/>
                <w:szCs w:val="22"/>
                <w:u w:val="none" w:color="auto"/>
                <w:lang w:val="en-US" w:eastAsia="zh-CN" w:bidi="ar"/>
              </w:rPr>
              <w:t>100%</w:t>
            </w:r>
            <w:r>
              <w:rPr>
                <w:rStyle w:val="103"/>
                <w:rFonts w:hint="default" w:ascii="Times New Roman" w:hAnsi="Times New Roman" w:cs="Times New Roman"/>
                <w:sz w:val="22"/>
                <w:szCs w:val="22"/>
                <w:u w:val="none" w:color="auto"/>
                <w:lang w:val="en-US" w:eastAsia="zh-CN" w:bidi="ar"/>
              </w:rPr>
              <w:t>□</w:t>
            </w:r>
          </w:p>
        </w:tc>
        <w:tc>
          <w:tcPr>
            <w:tcW w:w="2303"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13"/>
                <w:rFonts w:hint="default" w:ascii="Times New Roman" w:hAnsi="Times New Roman" w:eastAsia="宋体" w:cs="Times New Roman"/>
                <w:sz w:val="22"/>
                <w:szCs w:val="22"/>
                <w:u w:val="none" w:color="auto"/>
                <w:lang w:val="en-US" w:eastAsia="zh-CN" w:bidi="ar"/>
              </w:rPr>
              <w:t>C</w:t>
            </w:r>
            <w:r>
              <w:rPr>
                <w:rStyle w:val="102"/>
                <w:rFonts w:hint="default" w:ascii="Times New Roman" w:hAnsi="Times New Roman" w:cs="Times New Roman"/>
                <w:sz w:val="22"/>
                <w:szCs w:val="22"/>
                <w:u w:val="none" w:color="auto"/>
                <w:lang w:val="en-US" w:eastAsia="zh-CN" w:bidi="ar"/>
              </w:rPr>
              <w:t>非正常</w:t>
            </w:r>
            <w:r>
              <w:rPr>
                <w:rStyle w:val="103"/>
                <w:rFonts w:hint="default" w:ascii="Times New Roman" w:hAnsi="Times New Roman" w:cs="Times New Roman"/>
                <w:sz w:val="22"/>
                <w:szCs w:val="22"/>
                <w:u w:val="none" w:color="auto"/>
                <w:lang w:val="en-US" w:eastAsia="zh-CN" w:bidi="ar"/>
              </w:rPr>
              <w:t>占标率</w:t>
            </w:r>
            <w:r>
              <w:rPr>
                <w:rStyle w:val="113"/>
                <w:rFonts w:hint="default" w:ascii="Times New Roman" w:hAnsi="Times New Roman" w:eastAsia="宋体" w:cs="Times New Roman"/>
                <w:sz w:val="22"/>
                <w:szCs w:val="22"/>
                <w:u w:val="none" w:color="auto"/>
                <w:lang w:val="en-US" w:eastAsia="zh-CN" w:bidi="ar"/>
              </w:rPr>
              <w:t>&gt;100%</w:t>
            </w:r>
            <w:r>
              <w:rPr>
                <w:rStyle w:val="103"/>
                <w:rFonts w:hint="default" w:ascii="Times New Roman" w:hAnsi="Times New Roman" w:cs="Times New Roman"/>
                <w:sz w:val="22"/>
                <w:szCs w:val="22"/>
                <w:u w:val="none" w:color="auto"/>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1042" w:hRule="exact"/>
        </w:trPr>
        <w:tc>
          <w:tcPr>
            <w:tcW w:w="1266" w:type="dxa"/>
            <w:vMerge w:val="continue"/>
            <w:tcBorders>
              <w:tl2br w:val="nil"/>
              <w:tr2bl w:val="nil"/>
            </w:tcBorders>
            <w:shd w:val="clear" w:color="auto" w:fill="auto"/>
            <w:vAlign w:val="bottom"/>
          </w:tcPr>
          <w:p>
            <w:pPr>
              <w:rPr>
                <w:rFonts w:hint="default" w:ascii="Times New Roman" w:hAnsi="Times New Roman" w:eastAsia="宋体" w:cs="Times New Roman"/>
                <w:i w:val="0"/>
                <w:color w:val="000000"/>
                <w:sz w:val="22"/>
                <w:szCs w:val="22"/>
                <w:u w:val="none" w:color="auto"/>
              </w:rPr>
            </w:pPr>
          </w:p>
        </w:tc>
        <w:tc>
          <w:tcPr>
            <w:tcW w:w="171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保证率日平均浓度和年平均浓度叠加值</w:t>
            </w:r>
          </w:p>
        </w:tc>
        <w:tc>
          <w:tcPr>
            <w:tcW w:w="3932" w:type="dxa"/>
            <w:gridSpan w:val="6"/>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13"/>
                <w:rFonts w:hint="default" w:ascii="Times New Roman" w:hAnsi="Times New Roman" w:eastAsia="宋体" w:cs="Times New Roman"/>
                <w:sz w:val="22"/>
                <w:szCs w:val="22"/>
                <w:u w:val="none" w:color="auto"/>
                <w:lang w:val="en-US" w:eastAsia="zh-CN" w:bidi="ar"/>
              </w:rPr>
              <w:t>C</w:t>
            </w:r>
            <w:r>
              <w:rPr>
                <w:rStyle w:val="103"/>
                <w:rFonts w:hint="default" w:ascii="Times New Roman" w:hAnsi="Times New Roman" w:cs="Times New Roman"/>
                <w:sz w:val="22"/>
                <w:szCs w:val="22"/>
                <w:u w:val="none" w:color="auto"/>
                <w:lang w:val="en-US" w:eastAsia="zh-CN" w:bidi="ar"/>
              </w:rPr>
              <w:t>叠加达标</w:t>
            </w:r>
            <w:r>
              <w:rPr>
                <w:rStyle w:val="103"/>
                <w:rFonts w:hint="default" w:ascii="Times New Roman" w:hAnsi="Times New Roman" w:cs="Times New Roman"/>
                <w:sz w:val="22"/>
                <w:szCs w:val="22"/>
                <w:u w:val="none" w:color="auto"/>
                <w:lang w:val="en-US" w:eastAsia="zh-CN" w:bidi="ar"/>
              </w:rPr>
              <w:sym w:font="Wingdings 2" w:char="00A3"/>
            </w:r>
          </w:p>
        </w:tc>
        <w:tc>
          <w:tcPr>
            <w:tcW w:w="3450"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13"/>
                <w:rFonts w:hint="default" w:ascii="Times New Roman" w:hAnsi="Times New Roman" w:eastAsia="宋体" w:cs="Times New Roman"/>
                <w:sz w:val="22"/>
                <w:szCs w:val="22"/>
                <w:u w:val="none" w:color="auto"/>
                <w:lang w:val="en-US" w:eastAsia="zh-CN" w:bidi="ar"/>
              </w:rPr>
              <w:t>C</w:t>
            </w:r>
            <w:r>
              <w:rPr>
                <w:rStyle w:val="103"/>
                <w:rFonts w:hint="default" w:ascii="Times New Roman" w:hAnsi="Times New Roman" w:cs="Times New Roman"/>
                <w:sz w:val="22"/>
                <w:szCs w:val="22"/>
                <w:u w:val="none" w:color="auto"/>
                <w:lang w:val="en-US" w:eastAsia="zh-CN" w:bidi="ar"/>
              </w:rPr>
              <w:t>叠加不达标□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32" w:hRule="exact"/>
        </w:trPr>
        <w:tc>
          <w:tcPr>
            <w:tcW w:w="1266" w:type="dxa"/>
            <w:vMerge w:val="continue"/>
            <w:tcBorders>
              <w:tl2br w:val="nil"/>
              <w:tr2bl w:val="nil"/>
            </w:tcBorders>
            <w:shd w:val="clear" w:color="auto" w:fill="auto"/>
            <w:vAlign w:val="bottom"/>
          </w:tcPr>
          <w:p>
            <w:pPr>
              <w:rPr>
                <w:rFonts w:hint="default" w:ascii="Times New Roman" w:hAnsi="Times New Roman" w:eastAsia="宋体" w:cs="Times New Roman"/>
                <w:i w:val="0"/>
                <w:color w:val="000000"/>
                <w:sz w:val="22"/>
                <w:szCs w:val="22"/>
                <w:u w:val="none" w:color="auto"/>
              </w:rPr>
            </w:pPr>
          </w:p>
        </w:tc>
        <w:tc>
          <w:tcPr>
            <w:tcW w:w="171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区域环境质量的整体变化情况</w:t>
            </w:r>
          </w:p>
        </w:tc>
        <w:tc>
          <w:tcPr>
            <w:tcW w:w="3932" w:type="dxa"/>
            <w:gridSpan w:val="6"/>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13"/>
                <w:rFonts w:hint="default" w:ascii="Times New Roman" w:hAnsi="Times New Roman" w:eastAsia="宋体" w:cs="Times New Roman"/>
                <w:sz w:val="22"/>
                <w:szCs w:val="22"/>
                <w:u w:val="none" w:color="auto"/>
                <w:lang w:val="en-US" w:eastAsia="zh-CN" w:bidi="ar"/>
              </w:rPr>
              <w:t>k</w:t>
            </w:r>
            <w:r>
              <w:rPr>
                <w:rStyle w:val="103"/>
                <w:rFonts w:hint="default" w:ascii="Times New Roman" w:hAnsi="Times New Roman" w:cs="Times New Roman"/>
                <w:sz w:val="22"/>
                <w:szCs w:val="22"/>
                <w:u w:val="none" w:color="auto"/>
                <w:lang w:val="en-US" w:eastAsia="zh-CN" w:bidi="ar"/>
              </w:rPr>
              <w:t>≤</w:t>
            </w:r>
            <w:r>
              <w:rPr>
                <w:rStyle w:val="113"/>
                <w:rFonts w:hint="default" w:ascii="Times New Roman" w:hAnsi="Times New Roman" w:eastAsia="宋体" w:cs="Times New Roman"/>
                <w:sz w:val="22"/>
                <w:szCs w:val="22"/>
                <w:u w:val="none" w:color="auto"/>
                <w:lang w:val="en-US" w:eastAsia="zh-CN" w:bidi="ar"/>
              </w:rPr>
              <w:t>-20%</w:t>
            </w:r>
            <w:r>
              <w:rPr>
                <w:rStyle w:val="103"/>
                <w:rFonts w:hint="default" w:ascii="Times New Roman" w:hAnsi="Times New Roman" w:cs="Times New Roman"/>
                <w:sz w:val="22"/>
                <w:szCs w:val="22"/>
                <w:u w:val="none" w:color="auto"/>
                <w:lang w:val="en-US" w:eastAsia="zh-CN" w:bidi="ar"/>
              </w:rPr>
              <w:t>□</w:t>
            </w:r>
          </w:p>
        </w:tc>
        <w:tc>
          <w:tcPr>
            <w:tcW w:w="3450"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13"/>
                <w:rFonts w:hint="default" w:ascii="Times New Roman" w:hAnsi="Times New Roman" w:eastAsia="宋体" w:cs="Times New Roman"/>
                <w:sz w:val="22"/>
                <w:szCs w:val="22"/>
                <w:u w:val="none" w:color="auto"/>
                <w:lang w:val="en-US" w:eastAsia="zh-CN" w:bidi="ar"/>
              </w:rPr>
              <w:t>k&gt;-20%</w:t>
            </w:r>
            <w:r>
              <w:rPr>
                <w:rStyle w:val="103"/>
                <w:rFonts w:hint="default" w:ascii="Times New Roman" w:hAnsi="Times New Roman" w:cs="Times New Roman"/>
                <w:sz w:val="22"/>
                <w:szCs w:val="22"/>
                <w:u w:val="none" w:color="auto"/>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exact"/>
        </w:trPr>
        <w:tc>
          <w:tcPr>
            <w:tcW w:w="126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环境监测计划</w:t>
            </w:r>
          </w:p>
        </w:tc>
        <w:tc>
          <w:tcPr>
            <w:tcW w:w="171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color="auto"/>
                <w:lang w:val="en-US" w:eastAsia="zh-CN" w:bidi="ar"/>
              </w:rPr>
            </w:pPr>
            <w:r>
              <w:rPr>
                <w:rFonts w:hint="default" w:ascii="Times New Roman" w:hAnsi="Times New Roman" w:eastAsia="宋体" w:cs="Times New Roman"/>
                <w:i w:val="0"/>
                <w:color w:val="000000"/>
                <w:kern w:val="0"/>
                <w:sz w:val="22"/>
                <w:szCs w:val="22"/>
                <w:u w:val="none" w:color="auto"/>
                <w:lang w:val="en-US" w:eastAsia="zh-CN" w:bidi="ar"/>
              </w:rPr>
              <w:t>污染源</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监测</w:t>
            </w:r>
          </w:p>
        </w:tc>
        <w:tc>
          <w:tcPr>
            <w:tcW w:w="2897" w:type="dxa"/>
            <w:gridSpan w:val="4"/>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监测因子：</w:t>
            </w:r>
            <w:r>
              <w:rPr>
                <w:rStyle w:val="103"/>
                <w:rFonts w:hint="default" w:ascii="Times New Roman" w:hAnsi="Times New Roman" w:eastAsia="宋体" w:cs="Times New Roman"/>
                <w:sz w:val="22"/>
                <w:szCs w:val="22"/>
                <w:u w:val="none" w:color="auto"/>
                <w:lang w:val="en-US" w:eastAsia="zh-CN" w:bidi="ar"/>
              </w:rPr>
              <w:t>（</w:t>
            </w:r>
            <w:r>
              <w:rPr>
                <w:rStyle w:val="103"/>
                <w:rFonts w:hint="default" w:ascii="Times New Roman" w:hAnsi="Times New Roman" w:cs="Times New Roman"/>
                <w:sz w:val="22"/>
                <w:szCs w:val="22"/>
                <w:u w:val="none" w:color="auto"/>
                <w:lang w:val="en-US" w:eastAsia="zh-CN" w:bidi="ar"/>
              </w:rPr>
              <w:t>）</w:t>
            </w:r>
          </w:p>
        </w:tc>
        <w:tc>
          <w:tcPr>
            <w:tcW w:w="2182"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有组织废气监测</w:t>
            </w:r>
            <w:r>
              <w:rPr>
                <w:rFonts w:hint="default" w:ascii="Times New Roman" w:hAnsi="Times New Roman" w:eastAsia="宋体" w:cs="Times New Roman"/>
                <w:i w:val="0"/>
                <w:color w:val="000000"/>
                <w:kern w:val="0"/>
                <w:sz w:val="22"/>
                <w:szCs w:val="22"/>
                <w:u w:val="none" w:color="auto"/>
                <w:lang w:val="en-US" w:eastAsia="zh-CN" w:bidi="ar"/>
              </w:rPr>
              <w:t>□</w:t>
            </w:r>
          </w:p>
        </w:tc>
        <w:tc>
          <w:tcPr>
            <w:tcW w:w="2303" w:type="dxa"/>
            <w:gridSpan w:val="3"/>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无监测□</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32" w:hRule="exact"/>
        </w:trPr>
        <w:tc>
          <w:tcPr>
            <w:tcW w:w="1266"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c>
          <w:tcPr>
            <w:tcW w:w="1717"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c>
          <w:tcPr>
            <w:tcW w:w="2897" w:type="dxa"/>
            <w:gridSpan w:val="4"/>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c>
          <w:tcPr>
            <w:tcW w:w="2182"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无组织废气监测</w:t>
            </w:r>
            <w:r>
              <w:rPr>
                <w:rFonts w:hint="default" w:ascii="Times New Roman" w:hAnsi="Times New Roman" w:cs="Times New Roman"/>
                <w:i w:val="0"/>
                <w:color w:val="000000"/>
                <w:kern w:val="0"/>
                <w:sz w:val="22"/>
                <w:szCs w:val="22"/>
                <w:u w:val="none" w:color="auto"/>
                <w:lang w:val="en-US" w:eastAsia="zh-CN" w:bidi="ar"/>
              </w:rPr>
              <w:t>□</w:t>
            </w:r>
          </w:p>
        </w:tc>
        <w:tc>
          <w:tcPr>
            <w:tcW w:w="2303" w:type="dxa"/>
            <w:gridSpan w:val="3"/>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697" w:hRule="exact"/>
        </w:trPr>
        <w:tc>
          <w:tcPr>
            <w:tcW w:w="1266"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c>
          <w:tcPr>
            <w:tcW w:w="171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环境质量监测</w:t>
            </w:r>
          </w:p>
        </w:tc>
        <w:tc>
          <w:tcPr>
            <w:tcW w:w="2897"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监测因子：（</w:t>
            </w:r>
            <w:r>
              <w:rPr>
                <w:rStyle w:val="113"/>
                <w:rFonts w:hint="default" w:ascii="Times New Roman" w:hAnsi="Times New Roman" w:eastAsia="宋体" w:cs="Times New Roman"/>
                <w:sz w:val="22"/>
                <w:szCs w:val="22"/>
                <w:u w:val="none" w:color="auto"/>
                <w:lang w:val="en-US" w:eastAsia="zh-CN" w:bidi="ar"/>
              </w:rPr>
              <w:t xml:space="preserve">   </w:t>
            </w:r>
            <w:r>
              <w:rPr>
                <w:rStyle w:val="103"/>
                <w:rFonts w:hint="default" w:ascii="Times New Roman" w:hAnsi="Times New Roman" w:cs="Times New Roman"/>
                <w:sz w:val="22"/>
                <w:szCs w:val="22"/>
                <w:u w:val="none" w:color="auto"/>
                <w:lang w:val="en-US" w:eastAsia="zh-CN" w:bidi="ar"/>
              </w:rPr>
              <w:t>）</w:t>
            </w:r>
          </w:p>
        </w:tc>
        <w:tc>
          <w:tcPr>
            <w:tcW w:w="2182"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监测点位数（</w:t>
            </w:r>
            <w:r>
              <w:rPr>
                <w:rStyle w:val="113"/>
                <w:rFonts w:hint="default" w:ascii="Times New Roman" w:hAnsi="Times New Roman" w:eastAsia="宋体" w:cs="Times New Roman"/>
                <w:sz w:val="22"/>
                <w:szCs w:val="22"/>
                <w:u w:val="none" w:color="auto"/>
                <w:lang w:val="en-US" w:eastAsia="zh-CN" w:bidi="ar"/>
              </w:rPr>
              <w:t xml:space="preserve"> </w:t>
            </w:r>
            <w:r>
              <w:rPr>
                <w:rStyle w:val="103"/>
                <w:rFonts w:hint="default" w:ascii="Times New Roman" w:hAnsi="Times New Roman" w:cs="Times New Roman"/>
                <w:sz w:val="22"/>
                <w:szCs w:val="22"/>
                <w:u w:val="none" w:color="auto"/>
                <w:lang w:val="en-US" w:eastAsia="zh-CN" w:bidi="ar"/>
              </w:rPr>
              <w:t>）</w:t>
            </w:r>
          </w:p>
        </w:tc>
        <w:tc>
          <w:tcPr>
            <w:tcW w:w="2303"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无监测□</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637" w:hRule="exact"/>
        </w:trPr>
        <w:tc>
          <w:tcPr>
            <w:tcW w:w="126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评价结论</w:t>
            </w:r>
          </w:p>
        </w:tc>
        <w:tc>
          <w:tcPr>
            <w:tcW w:w="171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环境影响</w:t>
            </w:r>
          </w:p>
        </w:tc>
        <w:tc>
          <w:tcPr>
            <w:tcW w:w="7382" w:type="dxa"/>
            <w:gridSpan w:val="10"/>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可以接受</w:t>
            </w:r>
            <w:r>
              <w:rPr>
                <w:rStyle w:val="113"/>
                <w:rFonts w:hint="default" w:ascii="Times New Roman" w:hAnsi="Times New Roman" w:eastAsia="宋体" w:cs="Times New Roman"/>
                <w:sz w:val="22"/>
                <w:szCs w:val="22"/>
                <w:u w:val="none" w:color="auto"/>
                <w:lang w:val="en-US" w:eastAsia="zh-CN" w:bidi="ar"/>
              </w:rPr>
              <w:t xml:space="preserve"> </w:t>
            </w:r>
            <w:r>
              <w:rPr>
                <w:rFonts w:hint="default" w:ascii="Times New Roman" w:hAnsi="Times New Roman" w:cs="Times New Roman"/>
                <w:i w:val="0"/>
                <w:color w:val="000000"/>
                <w:kern w:val="0"/>
                <w:sz w:val="22"/>
                <w:szCs w:val="22"/>
                <w:u w:val="none" w:color="auto"/>
                <w:lang w:val="en-US" w:eastAsia="zh-CN" w:bidi="ar"/>
              </w:rPr>
              <w:t>□</w:t>
            </w:r>
            <w:r>
              <w:rPr>
                <w:rStyle w:val="113"/>
                <w:rFonts w:hint="default" w:ascii="Times New Roman" w:hAnsi="Times New Roman" w:eastAsia="宋体" w:cs="Times New Roman"/>
                <w:sz w:val="22"/>
                <w:szCs w:val="22"/>
                <w:u w:val="none" w:color="auto"/>
                <w:lang w:val="en-US" w:eastAsia="zh-CN" w:bidi="ar"/>
              </w:rPr>
              <w:t xml:space="preserve">             </w:t>
            </w:r>
            <w:r>
              <w:rPr>
                <w:rStyle w:val="103"/>
                <w:rFonts w:hint="default" w:ascii="Times New Roman" w:hAnsi="Times New Roman" w:cs="Times New Roman"/>
                <w:sz w:val="22"/>
                <w:szCs w:val="22"/>
                <w:u w:val="none" w:color="auto"/>
                <w:lang w:val="en-US" w:eastAsia="zh-CN" w:bidi="ar"/>
              </w:rPr>
              <w:t>不可以接受</w:t>
            </w:r>
            <w:r>
              <w:rPr>
                <w:rStyle w:val="113"/>
                <w:rFonts w:hint="default" w:ascii="Times New Roman" w:hAnsi="Times New Roman" w:eastAsia="宋体" w:cs="Times New Roman"/>
                <w:sz w:val="22"/>
                <w:szCs w:val="22"/>
                <w:u w:val="none" w:color="auto"/>
                <w:lang w:val="en-US" w:eastAsia="zh-CN" w:bidi="ar"/>
              </w:rPr>
              <w:t xml:space="preserve"> </w:t>
            </w:r>
            <w:r>
              <w:rPr>
                <w:rStyle w:val="103"/>
                <w:rFonts w:hint="default" w:ascii="Times New Roman" w:hAnsi="Times New Roman" w:cs="Times New Roman"/>
                <w:sz w:val="22"/>
                <w:szCs w:val="22"/>
                <w:u w:val="none" w:color="auto"/>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697" w:hRule="exact"/>
        </w:trPr>
        <w:tc>
          <w:tcPr>
            <w:tcW w:w="1266"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c>
          <w:tcPr>
            <w:tcW w:w="171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大气环境防护距离</w:t>
            </w:r>
          </w:p>
        </w:tc>
        <w:tc>
          <w:tcPr>
            <w:tcW w:w="7382" w:type="dxa"/>
            <w:gridSpan w:val="10"/>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 xml:space="preserve">距（   </w:t>
            </w:r>
            <w:r>
              <w:rPr>
                <w:rStyle w:val="113"/>
                <w:rFonts w:hint="default" w:ascii="Times New Roman" w:hAnsi="Times New Roman" w:eastAsia="宋体" w:cs="Times New Roman"/>
                <w:sz w:val="22"/>
                <w:szCs w:val="22"/>
                <w:u w:val="none" w:color="auto"/>
                <w:lang w:val="en-US" w:eastAsia="zh-CN" w:bidi="ar"/>
              </w:rPr>
              <w:t>)</w:t>
            </w:r>
            <w:r>
              <w:rPr>
                <w:rStyle w:val="103"/>
                <w:rFonts w:hint="default" w:ascii="Times New Roman" w:hAnsi="Times New Roman" w:cs="Times New Roman"/>
                <w:sz w:val="22"/>
                <w:szCs w:val="22"/>
                <w:u w:val="none" w:color="auto"/>
                <w:lang w:val="en-US" w:eastAsia="zh-CN" w:bidi="ar"/>
              </w:rPr>
              <w:t>厂界最远（</w:t>
            </w:r>
            <w:r>
              <w:rPr>
                <w:rStyle w:val="113"/>
                <w:rFonts w:hint="default" w:ascii="Times New Roman" w:hAnsi="Times New Roman" w:eastAsia="宋体" w:cs="Times New Roman"/>
                <w:sz w:val="22"/>
                <w:szCs w:val="22"/>
                <w:u w:val="none" w:color="auto"/>
                <w:lang w:val="en-US" w:eastAsia="zh-CN" w:bidi="ar"/>
              </w:rPr>
              <w:t xml:space="preserve">    </w:t>
            </w:r>
            <w:r>
              <w:rPr>
                <w:rStyle w:val="103"/>
                <w:rFonts w:hint="default" w:ascii="Times New Roman" w:hAnsi="Times New Roman" w:cs="Times New Roman"/>
                <w:sz w:val="22"/>
                <w:szCs w:val="22"/>
                <w:u w:val="none" w:color="auto"/>
                <w:lang w:val="en-US" w:eastAsia="zh-CN" w:bidi="ar"/>
              </w:rPr>
              <w:t>）</w:t>
            </w:r>
            <w:r>
              <w:rPr>
                <w:rStyle w:val="113"/>
                <w:rFonts w:hint="default" w:ascii="Times New Roman" w:hAnsi="Times New Roman" w:eastAsia="宋体" w:cs="Times New Roman"/>
                <w:sz w:val="22"/>
                <w:szCs w:val="22"/>
                <w:u w:val="none" w:color="auto"/>
                <w:lang w:val="en-US" w:eastAsia="zh-CN" w:bidi="ar"/>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1027" w:hRule="exact"/>
        </w:trPr>
        <w:tc>
          <w:tcPr>
            <w:tcW w:w="1266"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color w:val="000000"/>
                <w:sz w:val="22"/>
                <w:szCs w:val="22"/>
                <w:u w:val="none" w:color="auto"/>
              </w:rPr>
            </w:pPr>
          </w:p>
        </w:tc>
        <w:tc>
          <w:tcPr>
            <w:tcW w:w="171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污染源年排放量</w:t>
            </w:r>
          </w:p>
        </w:tc>
        <w:tc>
          <w:tcPr>
            <w:tcW w:w="2109"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13"/>
                <w:rFonts w:hint="default" w:ascii="Times New Roman" w:hAnsi="Times New Roman" w:eastAsia="宋体" w:cs="Times New Roman"/>
                <w:sz w:val="22"/>
                <w:szCs w:val="22"/>
                <w:u w:val="none" w:color="auto"/>
                <w:lang w:val="en-US" w:eastAsia="zh-CN" w:bidi="ar"/>
              </w:rPr>
              <w:t>SO</w:t>
            </w:r>
            <w:r>
              <w:rPr>
                <w:rStyle w:val="98"/>
                <w:rFonts w:hint="default" w:ascii="Times New Roman" w:hAnsi="Times New Roman" w:eastAsia="宋体" w:cs="Times New Roman"/>
                <w:sz w:val="22"/>
                <w:szCs w:val="22"/>
                <w:u w:val="none" w:color="auto"/>
                <w:lang w:val="en-US" w:eastAsia="zh-CN" w:bidi="ar"/>
              </w:rPr>
              <w:t>2</w:t>
            </w:r>
            <w:r>
              <w:rPr>
                <w:rStyle w:val="113"/>
                <w:rFonts w:hint="default" w:ascii="Times New Roman" w:hAnsi="Times New Roman" w:eastAsia="宋体" w:cs="Times New Roman"/>
                <w:sz w:val="22"/>
                <w:szCs w:val="22"/>
                <w:u w:val="none" w:color="auto"/>
                <w:lang w:val="en-US" w:eastAsia="zh-CN" w:bidi="ar"/>
              </w:rPr>
              <w:t>:( 0 )t/a</w:t>
            </w:r>
          </w:p>
        </w:tc>
        <w:tc>
          <w:tcPr>
            <w:tcW w:w="129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Fonts w:hint="default" w:ascii="Times New Roman" w:hAnsi="Times New Roman" w:eastAsia="宋体" w:cs="Times New Roman"/>
                <w:i w:val="0"/>
                <w:color w:val="000000"/>
                <w:kern w:val="0"/>
                <w:sz w:val="22"/>
                <w:szCs w:val="22"/>
                <w:u w:val="none" w:color="auto"/>
                <w:lang w:val="en-US" w:eastAsia="zh-CN" w:bidi="ar"/>
              </w:rPr>
              <w:t>NOx:( 0 )t/a</w:t>
            </w:r>
          </w:p>
        </w:tc>
        <w:tc>
          <w:tcPr>
            <w:tcW w:w="2010"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color w:val="000000"/>
                <w:sz w:val="22"/>
                <w:szCs w:val="22"/>
                <w:u w:val="none" w:color="auto"/>
              </w:rPr>
            </w:pPr>
            <w:r>
              <w:rPr>
                <w:rStyle w:val="113"/>
                <w:rFonts w:hint="default" w:ascii="Times New Roman" w:hAnsi="Times New Roman" w:eastAsia="宋体" w:cs="Times New Roman"/>
                <w:sz w:val="22"/>
                <w:szCs w:val="22"/>
                <w:u w:val="none" w:color="auto"/>
                <w:lang w:val="en-US" w:eastAsia="zh-CN" w:bidi="ar"/>
              </w:rPr>
              <w:t>颗粒物:(</w:t>
            </w:r>
            <w:r>
              <w:rPr>
                <w:rStyle w:val="113"/>
                <w:rFonts w:hint="default" w:ascii="Times New Roman" w:hAnsi="Times New Roman" w:cs="Times New Roman"/>
                <w:sz w:val="22"/>
                <w:szCs w:val="22"/>
                <w:u w:val="none" w:color="auto"/>
                <w:lang w:val="en-US" w:eastAsia="zh-CN" w:bidi="ar"/>
              </w:rPr>
              <w:t>0.0019</w:t>
            </w:r>
            <w:r>
              <w:rPr>
                <w:rStyle w:val="113"/>
                <w:rFonts w:hint="default" w:ascii="Times New Roman" w:hAnsi="Times New Roman" w:eastAsia="宋体" w:cs="Times New Roman"/>
                <w:sz w:val="22"/>
                <w:szCs w:val="22"/>
                <w:u w:val="none" w:color="auto"/>
                <w:lang w:val="en-US" w:eastAsia="zh-CN" w:bidi="ar"/>
              </w:rPr>
              <w:t>)t/a</w:t>
            </w:r>
          </w:p>
        </w:tc>
        <w:tc>
          <w:tcPr>
            <w:tcW w:w="1973"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color="auto"/>
              </w:rPr>
            </w:pPr>
            <w:r>
              <w:rPr>
                <w:rStyle w:val="113"/>
                <w:rFonts w:hint="default" w:ascii="Times New Roman" w:hAnsi="Times New Roman" w:eastAsia="宋体" w:cs="Times New Roman"/>
                <w:sz w:val="22"/>
                <w:szCs w:val="22"/>
                <w:u w:val="none" w:color="auto"/>
                <w:lang w:val="en-US" w:eastAsia="zh-CN" w:bidi="ar"/>
              </w:rPr>
              <w:t>VOCs:(</w:t>
            </w:r>
            <w:r>
              <w:rPr>
                <w:rStyle w:val="113"/>
                <w:rFonts w:hint="default" w:ascii="Times New Roman" w:hAnsi="Times New Roman" w:cs="Times New Roman"/>
                <w:sz w:val="22"/>
                <w:szCs w:val="22"/>
                <w:u w:val="none" w:color="auto"/>
                <w:lang w:val="en-US" w:eastAsia="zh-CN" w:bidi="ar"/>
              </w:rPr>
              <w:t>0.25</w:t>
            </w:r>
            <w:r>
              <w:rPr>
                <w:rStyle w:val="113"/>
                <w:rFonts w:hint="default" w:ascii="Times New Roman" w:hAnsi="Times New Roman" w:eastAsia="宋体" w:cs="Times New Roman"/>
                <w:sz w:val="22"/>
                <w:szCs w:val="22"/>
                <w:u w:val="none" w:color="auto"/>
                <w:lang w:val="en-US" w:eastAsia="zh-CN" w:bidi="ar"/>
              </w:rPr>
              <w:t>)t/a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832" w:hRule="exact"/>
        </w:trPr>
        <w:tc>
          <w:tcPr>
            <w:tcW w:w="10365" w:type="dxa"/>
            <w:gridSpan w:val="12"/>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color="auto"/>
              </w:rPr>
            </w:pPr>
            <w:r>
              <w:rPr>
                <w:rStyle w:val="103"/>
                <w:rFonts w:hint="default" w:ascii="Times New Roman" w:hAnsi="Times New Roman" w:cs="Times New Roman"/>
                <w:sz w:val="22"/>
                <w:szCs w:val="22"/>
                <w:u w:val="none" w:color="auto"/>
                <w:lang w:val="en-US" w:eastAsia="zh-CN" w:bidi="ar"/>
              </w:rPr>
              <w:t>注：</w:t>
            </w:r>
            <w:r>
              <w:rPr>
                <w:rStyle w:val="113"/>
                <w:rFonts w:hint="default" w:ascii="Times New Roman" w:hAnsi="Times New Roman" w:eastAsia="宋体" w:cs="Times New Roman"/>
                <w:sz w:val="22"/>
                <w:szCs w:val="22"/>
                <w:u w:val="none" w:color="auto"/>
                <w:lang w:val="en-US" w:eastAsia="zh-CN" w:bidi="ar"/>
              </w:rPr>
              <w:t>“</w:t>
            </w:r>
            <w:r>
              <w:rPr>
                <w:rStyle w:val="103"/>
                <w:rFonts w:hint="default" w:ascii="Times New Roman" w:hAnsi="Times New Roman" w:cs="Times New Roman"/>
                <w:sz w:val="22"/>
                <w:szCs w:val="22"/>
                <w:u w:val="none" w:color="auto"/>
                <w:lang w:val="en-US" w:eastAsia="zh-CN" w:bidi="ar"/>
              </w:rPr>
              <w:t>□</w:t>
            </w:r>
            <w:r>
              <w:rPr>
                <w:rStyle w:val="113"/>
                <w:rFonts w:hint="default" w:ascii="Times New Roman" w:hAnsi="Times New Roman" w:eastAsia="宋体" w:cs="Times New Roman"/>
                <w:sz w:val="22"/>
                <w:szCs w:val="22"/>
                <w:u w:val="none" w:color="auto"/>
                <w:lang w:val="en-US" w:eastAsia="zh-CN" w:bidi="ar"/>
              </w:rPr>
              <w:t>”</w:t>
            </w:r>
            <w:r>
              <w:rPr>
                <w:rStyle w:val="103"/>
                <w:rFonts w:hint="default" w:ascii="Times New Roman" w:hAnsi="Times New Roman" w:cs="Times New Roman"/>
                <w:sz w:val="22"/>
                <w:szCs w:val="22"/>
                <w:u w:val="none" w:color="auto"/>
                <w:lang w:val="en-US" w:eastAsia="zh-CN" w:bidi="ar"/>
              </w:rPr>
              <w:t>，填</w:t>
            </w:r>
            <w:r>
              <w:rPr>
                <w:rStyle w:val="113"/>
                <w:rFonts w:hint="default" w:ascii="Times New Roman" w:hAnsi="Times New Roman" w:eastAsia="宋体" w:cs="Times New Roman"/>
                <w:sz w:val="22"/>
                <w:szCs w:val="22"/>
                <w:u w:val="none" w:color="auto"/>
                <w:lang w:val="en-US" w:eastAsia="zh-CN" w:bidi="ar"/>
              </w:rPr>
              <w:t>“</w:t>
            </w:r>
            <w:r>
              <w:rPr>
                <w:rStyle w:val="103"/>
                <w:rFonts w:hint="default" w:ascii="Times New Roman" w:hAnsi="Times New Roman" w:cs="Times New Roman"/>
                <w:sz w:val="22"/>
                <w:szCs w:val="22"/>
                <w:u w:val="none" w:color="auto"/>
                <w:lang w:val="en-US" w:eastAsia="zh-CN" w:bidi="ar"/>
              </w:rPr>
              <w:t>√</w:t>
            </w:r>
            <w:r>
              <w:rPr>
                <w:rStyle w:val="113"/>
                <w:rFonts w:hint="default" w:ascii="Times New Roman" w:hAnsi="Times New Roman" w:eastAsia="宋体" w:cs="Times New Roman"/>
                <w:sz w:val="22"/>
                <w:szCs w:val="22"/>
                <w:u w:val="none" w:color="auto"/>
                <w:lang w:val="en-US" w:eastAsia="zh-CN" w:bidi="ar"/>
              </w:rPr>
              <w:t>”</w:t>
            </w:r>
            <w:r>
              <w:rPr>
                <w:rStyle w:val="103"/>
                <w:rFonts w:hint="default" w:ascii="Times New Roman" w:hAnsi="Times New Roman" w:cs="Times New Roman"/>
                <w:sz w:val="22"/>
                <w:szCs w:val="22"/>
                <w:u w:val="none" w:color="auto"/>
                <w:lang w:val="en-US" w:eastAsia="zh-CN" w:bidi="ar"/>
              </w:rPr>
              <w:t>；</w:t>
            </w:r>
            <w:r>
              <w:rPr>
                <w:rStyle w:val="113"/>
                <w:rFonts w:hint="default" w:ascii="Times New Roman" w:hAnsi="Times New Roman" w:eastAsia="宋体" w:cs="Times New Roman"/>
                <w:sz w:val="22"/>
                <w:szCs w:val="22"/>
                <w:u w:val="none" w:color="auto"/>
                <w:lang w:val="en-US" w:eastAsia="zh-CN" w:bidi="ar"/>
              </w:rPr>
              <w:t>“</w:t>
            </w:r>
            <w:r>
              <w:rPr>
                <w:rStyle w:val="103"/>
                <w:rFonts w:hint="default" w:ascii="Times New Roman" w:hAnsi="Times New Roman" w:cs="Times New Roman"/>
                <w:sz w:val="22"/>
                <w:szCs w:val="22"/>
                <w:u w:val="none" w:color="auto"/>
                <w:lang w:val="en-US" w:eastAsia="zh-CN" w:bidi="ar"/>
              </w:rPr>
              <w:t>（</w:t>
            </w:r>
            <w:r>
              <w:rPr>
                <w:rStyle w:val="113"/>
                <w:rFonts w:hint="default" w:ascii="Times New Roman" w:hAnsi="Times New Roman" w:eastAsia="宋体" w:cs="Times New Roman"/>
                <w:sz w:val="22"/>
                <w:szCs w:val="22"/>
                <w:u w:val="none" w:color="auto"/>
                <w:lang w:val="en-US" w:eastAsia="zh-CN" w:bidi="ar"/>
              </w:rPr>
              <w:t xml:space="preserve">  </w:t>
            </w:r>
            <w:r>
              <w:rPr>
                <w:rStyle w:val="103"/>
                <w:rFonts w:hint="default" w:ascii="Times New Roman" w:hAnsi="Times New Roman" w:cs="Times New Roman"/>
                <w:sz w:val="22"/>
                <w:szCs w:val="22"/>
                <w:u w:val="none" w:color="auto"/>
                <w:lang w:val="en-US" w:eastAsia="zh-CN" w:bidi="ar"/>
              </w:rPr>
              <w:t>）</w:t>
            </w:r>
            <w:r>
              <w:rPr>
                <w:rStyle w:val="113"/>
                <w:rFonts w:hint="default" w:ascii="Times New Roman" w:hAnsi="Times New Roman" w:eastAsia="宋体" w:cs="Times New Roman"/>
                <w:sz w:val="22"/>
                <w:szCs w:val="22"/>
                <w:u w:val="none" w:color="auto"/>
                <w:lang w:val="en-US" w:eastAsia="zh-CN" w:bidi="ar"/>
              </w:rPr>
              <w:t>”</w:t>
            </w:r>
            <w:r>
              <w:rPr>
                <w:rStyle w:val="103"/>
                <w:rFonts w:hint="default" w:ascii="Times New Roman" w:hAnsi="Times New Roman" w:cs="Times New Roman"/>
                <w:sz w:val="22"/>
                <w:szCs w:val="22"/>
                <w:u w:val="none" w:color="auto"/>
                <w:lang w:val="en-US" w:eastAsia="zh-CN" w:bidi="ar"/>
              </w:rPr>
              <w:t>为内容填写项</w:t>
            </w:r>
          </w:p>
        </w:tc>
      </w:tr>
    </w:tbl>
    <w:p>
      <w:pPr>
        <w:bidi w:val="0"/>
        <w:rPr>
          <w:u w:val="none" w:color="auto"/>
        </w:rPr>
      </w:pPr>
    </w:p>
    <w:p>
      <w:pPr>
        <w:jc w:val="center"/>
        <w:rPr>
          <w:rFonts w:hint="default" w:ascii="Times New Roman" w:hAnsi="Times New Roman" w:cs="Times New Roman"/>
          <w:b w:val="0"/>
          <w:bCs w:val="0"/>
          <w:color w:val="auto"/>
          <w:sz w:val="24"/>
          <w:szCs w:val="32"/>
          <w:u w:val="none" w:color="auto"/>
          <w:lang w:eastAsia="zh-CN"/>
        </w:rPr>
      </w:pPr>
    </w:p>
    <w:p>
      <w:pPr>
        <w:jc w:val="center"/>
        <w:rPr>
          <w:rFonts w:hint="default" w:ascii="Times New Roman" w:hAnsi="Times New Roman" w:cs="Times New Roman"/>
          <w:b w:val="0"/>
          <w:bCs w:val="0"/>
          <w:color w:val="auto"/>
          <w:sz w:val="24"/>
          <w:szCs w:val="32"/>
          <w:u w:val="none" w:color="auto"/>
          <w:lang w:eastAsia="zh-CN"/>
        </w:rPr>
      </w:pPr>
    </w:p>
    <w:p>
      <w:pPr>
        <w:jc w:val="center"/>
        <w:rPr>
          <w:rFonts w:hint="default" w:ascii="Times New Roman" w:hAnsi="Times New Roman" w:cs="Times New Roman"/>
          <w:b w:val="0"/>
          <w:bCs w:val="0"/>
          <w:color w:val="auto"/>
          <w:sz w:val="24"/>
          <w:szCs w:val="32"/>
          <w:u w:val="none" w:color="auto"/>
          <w:lang w:eastAsia="zh-CN"/>
        </w:rPr>
      </w:pPr>
    </w:p>
    <w:p>
      <w:pPr>
        <w:jc w:val="center"/>
        <w:rPr>
          <w:rFonts w:hint="default" w:ascii="Times New Roman" w:hAnsi="Times New Roman" w:cs="Times New Roman"/>
          <w:b w:val="0"/>
          <w:bCs w:val="0"/>
          <w:color w:val="auto"/>
          <w:sz w:val="24"/>
          <w:szCs w:val="32"/>
          <w:u w:val="none" w:color="auto"/>
          <w:lang w:eastAsia="zh-CN"/>
        </w:rPr>
      </w:pPr>
    </w:p>
    <w:p>
      <w:pPr>
        <w:jc w:val="center"/>
        <w:rPr>
          <w:rFonts w:hint="default" w:ascii="Times New Roman" w:hAnsi="Times New Roman" w:cs="Times New Roman"/>
          <w:b w:val="0"/>
          <w:bCs w:val="0"/>
          <w:color w:val="auto"/>
          <w:sz w:val="24"/>
          <w:szCs w:val="32"/>
          <w:u w:val="none" w:color="auto"/>
          <w:lang w:eastAsia="zh-CN"/>
        </w:rPr>
      </w:pPr>
    </w:p>
    <w:p>
      <w:pPr>
        <w:jc w:val="center"/>
        <w:rPr>
          <w:rFonts w:hint="default" w:ascii="Times New Roman" w:hAnsi="Times New Roman" w:cs="Times New Roman"/>
          <w:b w:val="0"/>
          <w:bCs w:val="0"/>
          <w:color w:val="auto"/>
          <w:sz w:val="24"/>
          <w:szCs w:val="32"/>
          <w:u w:val="none" w:color="auto"/>
          <w:lang w:eastAsia="zh-CN"/>
        </w:rPr>
      </w:pPr>
    </w:p>
    <w:p>
      <w:pPr>
        <w:jc w:val="center"/>
        <w:rPr>
          <w:rFonts w:hint="default" w:ascii="Times New Roman" w:hAnsi="Times New Roman" w:cs="Times New Roman"/>
          <w:b w:val="0"/>
          <w:bCs w:val="0"/>
          <w:color w:val="auto"/>
          <w:sz w:val="24"/>
          <w:szCs w:val="32"/>
          <w:u w:val="none" w:color="auto"/>
          <w:lang w:eastAsia="zh-CN"/>
        </w:rPr>
      </w:pPr>
    </w:p>
    <w:p>
      <w:pPr>
        <w:jc w:val="center"/>
        <w:rPr>
          <w:rFonts w:hint="default" w:ascii="Times New Roman" w:hAnsi="Times New Roman" w:cs="Times New Roman"/>
          <w:b w:val="0"/>
          <w:bCs w:val="0"/>
          <w:color w:val="auto"/>
          <w:sz w:val="24"/>
          <w:szCs w:val="32"/>
          <w:u w:val="none" w:color="auto"/>
          <w:lang w:eastAsia="zh-CN"/>
        </w:rPr>
      </w:pPr>
    </w:p>
    <w:p>
      <w:pPr>
        <w:jc w:val="center"/>
        <w:rPr>
          <w:rFonts w:hint="default" w:ascii="Times New Roman" w:hAnsi="Times New Roman" w:cs="Times New Roman"/>
          <w:b w:val="0"/>
          <w:bCs w:val="0"/>
          <w:color w:val="auto"/>
          <w:sz w:val="24"/>
          <w:szCs w:val="32"/>
          <w:u w:val="none" w:color="auto"/>
          <w:lang w:eastAsia="zh-CN"/>
        </w:rPr>
      </w:pPr>
    </w:p>
    <w:p>
      <w:pPr>
        <w:jc w:val="center"/>
        <w:rPr>
          <w:rFonts w:hint="default" w:ascii="Times New Roman" w:hAnsi="Times New Roman" w:cs="Times New Roman"/>
          <w:b w:val="0"/>
          <w:bCs w:val="0"/>
          <w:color w:val="auto"/>
          <w:sz w:val="24"/>
          <w:szCs w:val="32"/>
          <w:u w:val="none" w:color="auto"/>
          <w:lang w:eastAsia="zh-CN"/>
        </w:rPr>
      </w:pPr>
      <w:r>
        <w:rPr>
          <w:rFonts w:hint="default" w:ascii="Times New Roman" w:hAnsi="Times New Roman" w:cs="Times New Roman"/>
          <w:b w:val="0"/>
          <w:bCs w:val="0"/>
          <w:color w:val="auto"/>
          <w:sz w:val="24"/>
          <w:szCs w:val="32"/>
          <w:u w:val="none" w:color="auto"/>
          <w:lang w:eastAsia="zh-CN"/>
        </w:rPr>
        <w:t>表</w:t>
      </w:r>
      <w:r>
        <w:rPr>
          <w:rFonts w:hint="eastAsia" w:ascii="Times New Roman" w:hAnsi="Times New Roman" w:cs="Times New Roman"/>
          <w:b w:val="0"/>
          <w:bCs w:val="0"/>
          <w:color w:val="auto"/>
          <w:sz w:val="24"/>
          <w:szCs w:val="32"/>
          <w:u w:val="none" w:color="auto"/>
          <w:lang w:val="en-US" w:eastAsia="zh-CN"/>
        </w:rPr>
        <w:t>2</w:t>
      </w:r>
      <w:r>
        <w:rPr>
          <w:rFonts w:hint="default" w:ascii="Times New Roman" w:hAnsi="Times New Roman" w:cs="Times New Roman"/>
          <w:b w:val="0"/>
          <w:bCs w:val="0"/>
          <w:color w:val="auto"/>
          <w:sz w:val="24"/>
          <w:szCs w:val="32"/>
          <w:u w:val="none" w:color="auto"/>
          <w:lang w:val="en-US" w:eastAsia="zh-CN"/>
        </w:rPr>
        <w:t xml:space="preserve">  </w:t>
      </w:r>
      <w:r>
        <w:rPr>
          <w:rFonts w:hint="default" w:ascii="Times New Roman" w:hAnsi="Times New Roman" w:cs="Times New Roman"/>
          <w:b w:val="0"/>
          <w:bCs w:val="0"/>
          <w:color w:val="auto"/>
          <w:sz w:val="24"/>
          <w:szCs w:val="32"/>
          <w:u w:val="none" w:color="auto"/>
          <w:lang w:eastAsia="zh-CN"/>
        </w:rPr>
        <w:t>地表水环境影响评价自查表</w:t>
      </w:r>
    </w:p>
    <w:tbl>
      <w:tblPr>
        <w:tblStyle w:val="40"/>
        <w:tblW w:w="5306" w:type="pct"/>
        <w:tblInd w:w="-254"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422"/>
        <w:gridCol w:w="1145"/>
        <w:gridCol w:w="559"/>
        <w:gridCol w:w="971"/>
        <w:gridCol w:w="636"/>
        <w:gridCol w:w="614"/>
        <w:gridCol w:w="16"/>
        <w:gridCol w:w="228"/>
        <w:gridCol w:w="794"/>
        <w:gridCol w:w="420"/>
        <w:gridCol w:w="182"/>
        <w:gridCol w:w="17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54" w:type="pct"/>
            <w:gridSpan w:val="2"/>
            <w:tcBorders>
              <w:tl2br w:val="nil"/>
              <w:tr2bl w:val="nil"/>
            </w:tcBorders>
            <w:noWrap w:val="0"/>
            <w:vAlign w:val="center"/>
          </w:tcPr>
          <w:p>
            <w:pPr>
              <w:spacing w:line="360" w:lineRule="auto"/>
              <w:jc w:val="center"/>
              <w:rPr>
                <w:rFonts w:hint="default" w:ascii="Times New Roman" w:hAnsi="Times New Roman" w:cs="Times New Roman"/>
                <w:b w:val="0"/>
                <w:bCs w:val="0"/>
                <w:color w:val="auto"/>
                <w:sz w:val="22"/>
                <w:szCs w:val="22"/>
                <w:u w:val="none" w:color="auto"/>
                <w:vertAlign w:val="baseline"/>
                <w:lang w:eastAsia="zh-CN"/>
              </w:rPr>
            </w:pPr>
            <w:r>
              <w:rPr>
                <w:rFonts w:hint="default" w:ascii="Times New Roman" w:hAnsi="Times New Roman" w:cs="Times New Roman"/>
                <w:b w:val="0"/>
                <w:bCs w:val="0"/>
                <w:color w:val="auto"/>
                <w:sz w:val="22"/>
                <w:szCs w:val="22"/>
                <w:u w:val="none" w:color="auto"/>
                <w:vertAlign w:val="baseline"/>
                <w:lang w:eastAsia="zh-CN"/>
              </w:rPr>
              <w:t>工作内容</w:t>
            </w:r>
          </w:p>
        </w:tc>
        <w:tc>
          <w:tcPr>
            <w:tcW w:w="3645" w:type="pct"/>
            <w:gridSpan w:val="11"/>
            <w:tcBorders>
              <w:tl2br w:val="nil"/>
              <w:tr2bl w:val="nil"/>
            </w:tcBorders>
            <w:noWrap w:val="0"/>
            <w:vAlign w:val="center"/>
          </w:tcPr>
          <w:p>
            <w:pPr>
              <w:spacing w:line="360" w:lineRule="auto"/>
              <w:jc w:val="center"/>
              <w:rPr>
                <w:rFonts w:hint="default" w:ascii="Times New Roman" w:hAnsi="Times New Roman" w:cs="Times New Roman"/>
                <w:b w:val="0"/>
                <w:bCs w:val="0"/>
                <w:color w:val="auto"/>
                <w:sz w:val="22"/>
                <w:szCs w:val="22"/>
                <w:u w:val="none" w:color="auto"/>
                <w:vertAlign w:val="baseline"/>
                <w:lang w:eastAsia="zh-CN"/>
              </w:rPr>
            </w:pPr>
            <w:r>
              <w:rPr>
                <w:rFonts w:hint="default" w:ascii="Times New Roman" w:hAnsi="Times New Roman" w:cs="Times New Roman"/>
                <w:b w:val="0"/>
                <w:bCs w:val="0"/>
                <w:color w:val="auto"/>
                <w:sz w:val="22"/>
                <w:szCs w:val="22"/>
                <w:u w:val="none" w:color="auto"/>
                <w:vertAlign w:val="baseline"/>
                <w:lang w:eastAsia="zh-CN"/>
              </w:rPr>
              <w:t>自查项目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响</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识</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别</w:t>
            </w:r>
          </w:p>
        </w:tc>
        <w:tc>
          <w:tcPr>
            <w:tcW w:w="704" w:type="pc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影响类型</w:t>
            </w:r>
          </w:p>
        </w:tc>
        <w:tc>
          <w:tcPr>
            <w:tcW w:w="3645" w:type="pct"/>
            <w:gridSpan w:val="11"/>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水污染影响型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；水文要素影响型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0"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水环境保护目标</w:t>
            </w:r>
          </w:p>
        </w:tc>
        <w:tc>
          <w:tcPr>
            <w:tcW w:w="3645" w:type="pct"/>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饮用水水源保护区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□；饮用水取水口</w:t>
            </w:r>
            <w:r>
              <w:rPr>
                <w:rFonts w:hint="default" w:ascii="Times New Roman" w:hAnsi="Times New Roman" w:eastAsia="宋体" w:cs="Times New Roman"/>
                <w:b w:val="0"/>
                <w:bCs w:val="0"/>
                <w:color w:val="auto"/>
                <w:sz w:val="22"/>
                <w:szCs w:val="22"/>
                <w:u w:val="none" w:color="auto"/>
                <w:vertAlign w:val="baseline"/>
                <w:lang w:val="en-US" w:eastAsia="zh-CN"/>
              </w:rPr>
              <w:t xml:space="preserve"> 涉水的自然保护区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重要湿地 </w:t>
            </w:r>
            <w:r>
              <w:rPr>
                <w:rFonts w:hint="default" w:ascii="Times New Roman" w:hAnsi="Times New Roman" w:eastAsia="宋体" w:cs="Times New Roman"/>
                <w:b w:val="0"/>
                <w:bCs w:val="0"/>
                <w:color w:val="auto"/>
                <w:sz w:val="22"/>
                <w:szCs w:val="22"/>
                <w:u w:val="none" w:color="auto"/>
                <w:vertAlign w:val="baseline"/>
                <w:lang w:eastAsia="zh-CN"/>
              </w:rPr>
              <w:t>□；重点保护与珍稀水生生物的栖息地</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□；重要水生生物的自然产卵场及索饵场 、越冬场、洄游通道、天然渔场等渔业水体</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□；涉水的风景名胜区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val="en-US" w:eastAsia="zh-CN"/>
              </w:rPr>
              <w:t>影响途径</w:t>
            </w:r>
          </w:p>
        </w:tc>
        <w:tc>
          <w:tcPr>
            <w:tcW w:w="1640" w:type="pct"/>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水污染影响型</w:t>
            </w:r>
          </w:p>
        </w:tc>
        <w:tc>
          <w:tcPr>
            <w:tcW w:w="2004" w:type="pct"/>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水文要素影响型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p>
        </w:tc>
        <w:tc>
          <w:tcPr>
            <w:tcW w:w="1640" w:type="pct"/>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直接排放</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；间接排放</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p>
        </w:tc>
        <w:tc>
          <w:tcPr>
            <w:tcW w:w="2004" w:type="pct"/>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水温</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；径流</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；水域面积</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影响因子</w:t>
            </w:r>
          </w:p>
        </w:tc>
        <w:tc>
          <w:tcPr>
            <w:tcW w:w="1640" w:type="pct"/>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持久性污染源</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□；有毒有害污染物</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□；非持久性污染物</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pH值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；热污染</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□；富营养化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c>
          <w:tcPr>
            <w:tcW w:w="2004" w:type="pct"/>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水温</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；水位（水深）□；流速</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□；流量</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54" w:type="pct"/>
            <w:gridSpan w:val="2"/>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评价等级</w:t>
            </w:r>
          </w:p>
        </w:tc>
        <w:tc>
          <w:tcPr>
            <w:tcW w:w="1640" w:type="pct"/>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水污染影响型</w:t>
            </w:r>
          </w:p>
        </w:tc>
        <w:tc>
          <w:tcPr>
            <w:tcW w:w="2004" w:type="pct"/>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水文要素影响型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54" w:type="pct"/>
            <w:gridSpan w:val="2"/>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640" w:type="pct"/>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一级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□；二级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□；三级</w:t>
            </w:r>
            <w:r>
              <w:rPr>
                <w:rFonts w:hint="default" w:ascii="Times New Roman" w:hAnsi="Times New Roman" w:eastAsia="宋体" w:cs="Times New Roman"/>
                <w:b w:val="0"/>
                <w:bCs w:val="0"/>
                <w:color w:val="auto"/>
                <w:sz w:val="22"/>
                <w:szCs w:val="22"/>
                <w:u w:val="none" w:color="auto"/>
                <w:vertAlign w:val="baseline"/>
                <w:lang w:val="en-US" w:eastAsia="zh-CN"/>
              </w:rPr>
              <w:t xml:space="preserve">A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三级B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p>
        </w:tc>
        <w:tc>
          <w:tcPr>
            <w:tcW w:w="2004" w:type="pct"/>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一级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□；二级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□；三级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650" w:type="pct"/>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现状调查</w:t>
            </w:r>
          </w:p>
        </w:tc>
        <w:tc>
          <w:tcPr>
            <w:tcW w:w="704" w:type="pct"/>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区域污染源</w:t>
            </w:r>
          </w:p>
        </w:tc>
        <w:tc>
          <w:tcPr>
            <w:tcW w:w="1640" w:type="pct"/>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val="en-US" w:eastAsia="zh-CN"/>
              </w:rPr>
              <w:t>调查项目</w:t>
            </w:r>
          </w:p>
        </w:tc>
        <w:tc>
          <w:tcPr>
            <w:tcW w:w="2004" w:type="pct"/>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数据来源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844" w:type="pct"/>
            <w:gridSpan w:val="2"/>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已建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；在建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□；拟建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796" w:type="pct"/>
            <w:gridSpan w:val="2"/>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拟替代的污染源</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2004" w:type="pct"/>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排污许可证</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□；环评</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；环保验收</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；既有实测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□；现场监测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；入河排放口数据</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受影响水体水环境质量</w:t>
            </w:r>
          </w:p>
        </w:tc>
        <w:tc>
          <w:tcPr>
            <w:tcW w:w="1640" w:type="pct"/>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调查时期</w:t>
            </w:r>
          </w:p>
        </w:tc>
        <w:tc>
          <w:tcPr>
            <w:tcW w:w="2004" w:type="pct"/>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数据来源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640" w:type="pct"/>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丰水期 □；平水期 □；枯水期 □；冰封期 □；春季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；秋季 □；冬季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c>
          <w:tcPr>
            <w:tcW w:w="2004" w:type="pct"/>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生态环境保护主管部门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；补充监测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区域水资源开发利用状况</w:t>
            </w:r>
          </w:p>
        </w:tc>
        <w:tc>
          <w:tcPr>
            <w:tcW w:w="3645" w:type="pct"/>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未开发 □；开发量</w:t>
            </w:r>
            <w:r>
              <w:rPr>
                <w:rFonts w:hint="default" w:ascii="Times New Roman" w:hAnsi="Times New Roman" w:eastAsia="宋体" w:cs="Times New Roman"/>
                <w:b w:val="0"/>
                <w:bCs w:val="0"/>
                <w:color w:val="auto"/>
                <w:sz w:val="22"/>
                <w:szCs w:val="22"/>
                <w:u w:val="none" w:color="auto"/>
                <w:vertAlign w:val="baseline"/>
                <w:lang w:val="en-US" w:eastAsia="zh-CN"/>
              </w:rPr>
              <w:t>40%以下 □；</w:t>
            </w:r>
            <w:r>
              <w:rPr>
                <w:rFonts w:hint="default" w:ascii="Times New Roman" w:hAnsi="Times New Roman" w:eastAsia="宋体" w:cs="Times New Roman"/>
                <w:b w:val="0"/>
                <w:bCs w:val="0"/>
                <w:color w:val="auto"/>
                <w:sz w:val="22"/>
                <w:szCs w:val="22"/>
                <w:u w:val="none" w:color="auto"/>
                <w:vertAlign w:val="baseline"/>
                <w:lang w:eastAsia="zh-CN"/>
              </w:rPr>
              <w:t>开发量</w:t>
            </w:r>
            <w:r>
              <w:rPr>
                <w:rFonts w:hint="default" w:ascii="Times New Roman" w:hAnsi="Times New Roman" w:eastAsia="宋体" w:cs="Times New Roman"/>
                <w:b w:val="0"/>
                <w:bCs w:val="0"/>
                <w:color w:val="auto"/>
                <w:sz w:val="22"/>
                <w:szCs w:val="22"/>
                <w:u w:val="none" w:color="auto"/>
                <w:vertAlign w:val="baseline"/>
                <w:lang w:val="en-US" w:eastAsia="zh-CN"/>
              </w:rPr>
              <w:t xml:space="preserve">40%以上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水文情势调查</w:t>
            </w:r>
          </w:p>
        </w:tc>
        <w:tc>
          <w:tcPr>
            <w:tcW w:w="1640" w:type="pct"/>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调查时期</w:t>
            </w:r>
          </w:p>
        </w:tc>
        <w:tc>
          <w:tcPr>
            <w:tcW w:w="2004" w:type="pct"/>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数据来源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640" w:type="pct"/>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丰水期 □；平水期 □；枯水期 □；冰封期 □；春季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；秋季 □；冬季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c>
          <w:tcPr>
            <w:tcW w:w="2004" w:type="pct"/>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水行政主管部门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；补充监测 □；</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其他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650"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补充监测</w:t>
            </w:r>
          </w:p>
        </w:tc>
        <w:tc>
          <w:tcPr>
            <w:tcW w:w="1640" w:type="pct"/>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监测时期</w:t>
            </w:r>
          </w:p>
        </w:tc>
        <w:tc>
          <w:tcPr>
            <w:tcW w:w="818" w:type="pct"/>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监测因子</w:t>
            </w:r>
          </w:p>
        </w:tc>
        <w:tc>
          <w:tcPr>
            <w:tcW w:w="1186" w:type="pct"/>
            <w:gridSpan w:val="3"/>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监测断面或点位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640" w:type="pct"/>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丰水期 □；平水期 □；枯水期 □；冰封期 □；春季 □；夏季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；秋季 □；冬季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c>
          <w:tcPr>
            <w:tcW w:w="818" w:type="pct"/>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186" w:type="pct"/>
            <w:gridSpan w:val="3"/>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监测断面或点位个数（</w:t>
            </w:r>
            <w:r>
              <w:rPr>
                <w:rFonts w:hint="eastAsia"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现状评价</w:t>
            </w:r>
          </w:p>
        </w:tc>
        <w:tc>
          <w:tcPr>
            <w:tcW w:w="704" w:type="pc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评价范围</w:t>
            </w:r>
          </w:p>
        </w:tc>
        <w:tc>
          <w:tcPr>
            <w:tcW w:w="3645" w:type="pct"/>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河流：长度（）</w:t>
            </w:r>
            <w:r>
              <w:rPr>
                <w:rFonts w:hint="default" w:ascii="Times New Roman" w:hAnsi="Times New Roman" w:eastAsia="宋体" w:cs="Times New Roman"/>
                <w:b w:val="0"/>
                <w:bCs w:val="0"/>
                <w:color w:val="auto"/>
                <w:sz w:val="22"/>
                <w:szCs w:val="22"/>
                <w:u w:val="none" w:color="auto"/>
                <w:vertAlign w:val="baseline"/>
                <w:lang w:val="en-US" w:eastAsia="zh-CN"/>
              </w:rPr>
              <w:t>km；湖库、河口及近岸海域：面积（）km</w:t>
            </w:r>
            <w:r>
              <w:rPr>
                <w:rFonts w:hint="default" w:ascii="Times New Roman" w:hAnsi="Times New Roman" w:eastAsia="宋体" w:cs="Times New Roman"/>
                <w:b w:val="0"/>
                <w:bCs w:val="0"/>
                <w:color w:val="auto"/>
                <w:sz w:val="22"/>
                <w:szCs w:val="22"/>
                <w:u w:val="none" w:color="auto"/>
                <w:vertAlign w:val="superscript"/>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评价因子</w:t>
            </w:r>
          </w:p>
        </w:tc>
        <w:tc>
          <w:tcPr>
            <w:tcW w:w="3645" w:type="pct"/>
            <w:gridSpan w:val="11"/>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650" w:type="pct"/>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评价标准</w:t>
            </w:r>
          </w:p>
        </w:tc>
        <w:tc>
          <w:tcPr>
            <w:tcW w:w="3645" w:type="pct"/>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河流、湖库、河口：Ⅰ类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□；Ⅱ类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eastAsia="zh-CN"/>
              </w:rPr>
              <w:fldChar w:fldCharType="begin"/>
            </w:r>
            <w:r>
              <w:rPr>
                <w:rFonts w:hint="default" w:ascii="Times New Roman" w:hAnsi="Times New Roman" w:eastAsia="宋体" w:cs="Times New Roman"/>
                <w:b w:val="0"/>
                <w:bCs w:val="0"/>
                <w:color w:val="auto"/>
                <w:sz w:val="22"/>
                <w:szCs w:val="22"/>
                <w:u w:val="none" w:color="auto"/>
                <w:vertAlign w:val="baseline"/>
                <w:lang w:eastAsia="zh-CN"/>
              </w:rPr>
              <w:instrText xml:space="preserve"> = 3 \* ROMAN \* MERGEFORMAT </w:instrText>
            </w:r>
            <w:r>
              <w:rPr>
                <w:rFonts w:hint="default" w:ascii="Times New Roman" w:hAnsi="Times New Roman" w:eastAsia="宋体" w:cs="Times New Roman"/>
                <w:b w:val="0"/>
                <w:bCs w:val="0"/>
                <w:color w:val="auto"/>
                <w:sz w:val="22"/>
                <w:szCs w:val="22"/>
                <w:u w:val="none" w:color="auto"/>
                <w:vertAlign w:val="baseline"/>
                <w:lang w:eastAsia="zh-CN"/>
              </w:rPr>
              <w:fldChar w:fldCharType="separate"/>
            </w:r>
            <w:r>
              <w:rPr>
                <w:color w:val="auto"/>
                <w:u w:val="none" w:color="auto"/>
              </w:rPr>
              <w:t>III</w:t>
            </w:r>
            <w:r>
              <w:rPr>
                <w:rFonts w:hint="default" w:ascii="Times New Roman" w:hAnsi="Times New Roman" w:eastAsia="宋体" w:cs="Times New Roman"/>
                <w:b w:val="0"/>
                <w:bCs w:val="0"/>
                <w:color w:val="auto"/>
                <w:sz w:val="22"/>
                <w:szCs w:val="22"/>
                <w:u w:val="none" w:color="auto"/>
                <w:vertAlign w:val="baseline"/>
                <w:lang w:eastAsia="zh-CN"/>
              </w:rPr>
              <w:fldChar w:fldCharType="end"/>
            </w:r>
            <w:r>
              <w:rPr>
                <w:rFonts w:hint="default" w:ascii="Times New Roman" w:hAnsi="Times New Roman" w:eastAsia="宋体" w:cs="Times New Roman"/>
                <w:b w:val="0"/>
                <w:bCs w:val="0"/>
                <w:color w:val="auto"/>
                <w:sz w:val="22"/>
                <w:szCs w:val="22"/>
                <w:u w:val="none" w:color="auto"/>
                <w:vertAlign w:val="baseline"/>
                <w:lang w:eastAsia="zh-CN"/>
              </w:rPr>
              <w:t>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；Ⅳ类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□；Ⅴ类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近岸海域：第一类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□；第二类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□；第三类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□；第四类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规划年评价标准（）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650" w:type="pct"/>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评价时期</w:t>
            </w:r>
          </w:p>
        </w:tc>
        <w:tc>
          <w:tcPr>
            <w:tcW w:w="3645" w:type="pct"/>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丰水期 □；平水期 □；枯水期 □；冰封期 □；春季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；秋季 □；冬季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50" w:type="pct"/>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评价结论</w:t>
            </w:r>
          </w:p>
        </w:tc>
        <w:tc>
          <w:tcPr>
            <w:tcW w:w="2756" w:type="pct"/>
            <w:gridSpan w:val="10"/>
            <w:vMerge w:val="restart"/>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水功能环境区或水功能区、近岸海域环境功能区水质达标状况 □：</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不达标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水环境控制单元或断面水质达标状况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不达标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水环境保护目标质量状况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不达标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对照断面、控制断面等代表性断面的水质状况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□；不达标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底泥污染评价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水资源与开发利用程度及其水文情势评价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水环境质量回顾评价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流域（区域）水资源（包括水能资源）与开发利用总体状况、生态流量管理要求与现状满意程度、建设项目占用水域空间的水流状况与河湖演变状况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888" w:type="pc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达标区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不达标区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3" w:hRule="atLeast"/>
        </w:trPr>
        <w:tc>
          <w:tcPr>
            <w:tcW w:w="650" w:type="pct"/>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评价结论</w:t>
            </w:r>
          </w:p>
        </w:tc>
        <w:tc>
          <w:tcPr>
            <w:tcW w:w="2756" w:type="pct"/>
            <w:gridSpan w:val="10"/>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888" w:type="pc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达标区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不达标区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影响预测</w:t>
            </w:r>
          </w:p>
        </w:tc>
        <w:tc>
          <w:tcPr>
            <w:tcW w:w="704" w:type="pc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预测范围</w:t>
            </w:r>
          </w:p>
        </w:tc>
        <w:tc>
          <w:tcPr>
            <w:tcW w:w="3645" w:type="pct"/>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河流：长度（）</w:t>
            </w:r>
            <w:r>
              <w:rPr>
                <w:rFonts w:hint="default" w:ascii="Times New Roman" w:hAnsi="Times New Roman" w:eastAsia="宋体" w:cs="Times New Roman"/>
                <w:b w:val="0"/>
                <w:bCs w:val="0"/>
                <w:color w:val="auto"/>
                <w:sz w:val="22"/>
                <w:szCs w:val="22"/>
                <w:u w:val="none" w:color="auto"/>
                <w:vertAlign w:val="baseline"/>
                <w:lang w:val="en-US" w:eastAsia="zh-CN"/>
              </w:rPr>
              <w:t>km；湖库、河口及近岸海域：面积（）km</w:t>
            </w:r>
            <w:r>
              <w:rPr>
                <w:rFonts w:hint="default" w:ascii="Times New Roman" w:hAnsi="Times New Roman" w:eastAsia="宋体" w:cs="Times New Roman"/>
                <w:b w:val="0"/>
                <w:bCs w:val="0"/>
                <w:color w:val="auto"/>
                <w:sz w:val="22"/>
                <w:szCs w:val="22"/>
                <w:u w:val="none" w:color="auto"/>
                <w:vertAlign w:val="superscript"/>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预测因子</w:t>
            </w:r>
          </w:p>
        </w:tc>
        <w:tc>
          <w:tcPr>
            <w:tcW w:w="3645" w:type="pct"/>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预测时期</w:t>
            </w:r>
          </w:p>
        </w:tc>
        <w:tc>
          <w:tcPr>
            <w:tcW w:w="3645" w:type="pct"/>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丰水期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平水期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枯水期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冰封期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春季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 xml:space="preserve">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秋季 □；冬季 □；</w:t>
            </w:r>
            <w:r>
              <w:rPr>
                <w:rFonts w:hint="default" w:ascii="Times New Roman" w:hAnsi="Times New Roman" w:eastAsia="宋体" w:cs="Times New Roman"/>
                <w:b w:val="0"/>
                <w:bCs w:val="0"/>
                <w:color w:val="auto"/>
                <w:sz w:val="22"/>
                <w:szCs w:val="22"/>
                <w:u w:val="none" w:color="auto"/>
                <w:vertAlign w:val="baseline"/>
                <w:lang w:val="en-US" w:eastAsia="zh-CN"/>
              </w:rPr>
              <w:t xml:space="preserve"> 设计水文条件  </w:t>
            </w:r>
            <w:r>
              <w:rPr>
                <w:rFonts w:hint="default" w:ascii="Times New Roman" w:hAnsi="Times New Roman" w:eastAsia="宋体" w:cs="Times New Roman"/>
                <w:b w:val="0"/>
                <w:bCs w:val="0"/>
                <w:color w:val="auto"/>
                <w:sz w:val="22"/>
                <w:szCs w:val="22"/>
                <w:u w:val="none" w:color="auto"/>
                <w:vertAlign w:val="baseline"/>
                <w:lang w:eastAsia="zh-CN"/>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预测情景</w:t>
            </w:r>
          </w:p>
        </w:tc>
        <w:tc>
          <w:tcPr>
            <w:tcW w:w="3645" w:type="pct"/>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建设期</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；生产运行期</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□；服务期满后</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正常工况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；非正常工况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污染控制和减缓措施方案</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区（流）域环境质量改善目标要求情景</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预测方法</w:t>
            </w:r>
          </w:p>
        </w:tc>
        <w:tc>
          <w:tcPr>
            <w:tcW w:w="3645" w:type="pct"/>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数值解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□；解析解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导则推荐模式</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影响评价</w:t>
            </w:r>
          </w:p>
        </w:tc>
        <w:tc>
          <w:tcPr>
            <w:tcW w:w="704" w:type="pc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水污染控制和水环境影响减缓措施有效性评价</w:t>
            </w:r>
          </w:p>
        </w:tc>
        <w:tc>
          <w:tcPr>
            <w:tcW w:w="3645" w:type="pct"/>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区（流）域环境质量改善目标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；替代削减源</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3" w:hRule="atLeast"/>
        </w:trPr>
        <w:tc>
          <w:tcPr>
            <w:tcW w:w="650" w:type="pct"/>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水环境影响评价</w:t>
            </w:r>
          </w:p>
        </w:tc>
        <w:tc>
          <w:tcPr>
            <w:tcW w:w="3645" w:type="pct"/>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排放口混合区外满足水环境管理要求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水环境功能区或水功能区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近岸海域环境功能区水质达标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满足水环境保护目标水域水环境质量要求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水环境控制单元或断面水质达标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重点满足水污染物排放总量控制指标要求、重点行业建设项目，主要污染物排放满足等量或减量替代要求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满足区（流）域环境质量改善目标要求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水文要素影响型建设项目同时应包括水文情势变化评价、主要水文特征值影响评价、生态流量符合性评价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对于新设或调整入河（湖库、近岸海域）排放口的建设项目、应包括排放口设置的环境合理评价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满足生态保护红线、水环境质量底线、资源利用上线和环境准入清单管理要求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污染源排放量核算</w:t>
            </w:r>
          </w:p>
        </w:tc>
        <w:tc>
          <w:tcPr>
            <w:tcW w:w="567" w:type="pct"/>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污染物名称</w:t>
            </w:r>
          </w:p>
        </w:tc>
        <w:tc>
          <w:tcPr>
            <w:tcW w:w="1498" w:type="pct"/>
            <w:gridSpan w:val="6"/>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排放量</w:t>
            </w:r>
            <w:r>
              <w:rPr>
                <w:rFonts w:hint="default" w:ascii="Times New Roman" w:hAnsi="Times New Roman" w:eastAsia="宋体" w:cs="Times New Roman"/>
                <w:b w:val="0"/>
                <w:bCs w:val="0"/>
                <w:color w:val="auto"/>
                <w:sz w:val="22"/>
                <w:szCs w:val="22"/>
                <w:u w:val="none" w:color="auto"/>
                <w:vertAlign w:val="baseline"/>
                <w:lang w:val="en-US" w:eastAsia="zh-CN"/>
              </w:rPr>
              <w:t>/（t/a）</w:t>
            </w:r>
          </w:p>
        </w:tc>
        <w:tc>
          <w:tcPr>
            <w:tcW w:w="1579" w:type="pct"/>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排放浓度</w:t>
            </w:r>
            <w:r>
              <w:rPr>
                <w:rFonts w:hint="default" w:ascii="Times New Roman" w:hAnsi="Times New Roman" w:eastAsia="宋体" w:cs="Times New Roman"/>
                <w:b w:val="0"/>
                <w:bCs w:val="0"/>
                <w:color w:val="auto"/>
                <w:sz w:val="22"/>
                <w:szCs w:val="22"/>
                <w:u w:val="none" w:color="auto"/>
                <w:vertAlign w:val="baseline"/>
                <w:lang w:val="en-US" w:eastAsia="zh-CN"/>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0" w:type="pct"/>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567" w:type="pct"/>
            <w:tcBorders>
              <w:tl2br w:val="nil"/>
              <w:tr2bl w:val="nil"/>
            </w:tcBorders>
            <w:noWrap w:val="0"/>
            <w:vAlign w:val="top"/>
          </w:tcPr>
          <w:p>
            <w:pPr>
              <w:spacing w:line="360" w:lineRule="auto"/>
              <w:jc w:val="center"/>
              <w:rPr>
                <w:rFonts w:hint="default" w:ascii="Times New Roman" w:hAnsi="Times New Roman" w:cs="Times New Roman"/>
                <w:b w:val="0"/>
                <w:bCs w:val="0"/>
                <w:color w:val="auto"/>
                <w:sz w:val="22"/>
                <w:szCs w:val="22"/>
                <w:u w:val="none" w:color="auto"/>
                <w:vertAlign w:val="baseline"/>
                <w:lang w:eastAsia="zh-CN"/>
              </w:rPr>
            </w:pPr>
            <w:r>
              <w:rPr>
                <w:rFonts w:hint="default" w:ascii="Times New Roman" w:hAnsi="Times New Roman" w:cs="Times New Roman"/>
                <w:b w:val="0"/>
                <w:bCs w:val="0"/>
                <w:color w:val="auto"/>
                <w:sz w:val="22"/>
                <w:szCs w:val="22"/>
                <w:u w:val="none" w:color="auto"/>
                <w:vertAlign w:val="baseline"/>
                <w:lang w:eastAsia="zh-CN"/>
              </w:rPr>
              <w:t>化学需</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cs="Times New Roman"/>
                <w:b w:val="0"/>
                <w:bCs w:val="0"/>
                <w:color w:val="auto"/>
                <w:sz w:val="22"/>
                <w:szCs w:val="22"/>
                <w:u w:val="none" w:color="auto"/>
                <w:vertAlign w:val="baseline"/>
                <w:lang w:eastAsia="zh-CN"/>
              </w:rPr>
              <w:t>氧量</w:t>
            </w:r>
          </w:p>
        </w:tc>
        <w:tc>
          <w:tcPr>
            <w:tcW w:w="1498" w:type="pct"/>
            <w:gridSpan w:val="6"/>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eastAsia" w:ascii="Times New Roman" w:hAnsi="Times New Roman" w:cs="Times New Roman"/>
                <w:b w:val="0"/>
                <w:bCs w:val="0"/>
                <w:color w:val="auto"/>
                <w:sz w:val="22"/>
                <w:szCs w:val="22"/>
                <w:u w:val="none" w:color="auto"/>
                <w:vertAlign w:val="baseline"/>
                <w:lang w:val="en-US" w:eastAsia="zh-CN"/>
              </w:rPr>
              <w:t>/</w:t>
            </w:r>
          </w:p>
        </w:tc>
        <w:tc>
          <w:tcPr>
            <w:tcW w:w="1579" w:type="pct"/>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eastAsia" w:ascii="Times New Roman" w:hAnsi="Times New Roman" w:eastAsia="宋体" w:cs="Times New Roman"/>
                <w:b w:val="0"/>
                <w:bCs w:val="0"/>
                <w:color w:val="auto"/>
                <w:sz w:val="22"/>
                <w:szCs w:val="22"/>
                <w:u w:val="none" w:color="auto"/>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50" w:type="pct"/>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567" w:type="pct"/>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cs="Times New Roman"/>
                <w:b w:val="0"/>
                <w:bCs w:val="0"/>
                <w:color w:val="auto"/>
                <w:sz w:val="22"/>
                <w:szCs w:val="22"/>
                <w:u w:val="none" w:color="auto"/>
                <w:vertAlign w:val="baseline"/>
                <w:lang w:eastAsia="zh-CN"/>
              </w:rPr>
              <w:t>氨氮</w:t>
            </w:r>
          </w:p>
        </w:tc>
        <w:tc>
          <w:tcPr>
            <w:tcW w:w="1498" w:type="pct"/>
            <w:gridSpan w:val="6"/>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eastAsia" w:ascii="Times New Roman" w:hAnsi="Times New Roman" w:cs="Times New Roman"/>
                <w:b w:val="0"/>
                <w:bCs w:val="0"/>
                <w:color w:val="auto"/>
                <w:sz w:val="22"/>
                <w:szCs w:val="22"/>
                <w:u w:val="none" w:color="auto"/>
                <w:vertAlign w:val="baseline"/>
                <w:lang w:val="en-US" w:eastAsia="zh-CN"/>
              </w:rPr>
              <w:t>/</w:t>
            </w:r>
          </w:p>
        </w:tc>
        <w:tc>
          <w:tcPr>
            <w:tcW w:w="1579" w:type="pct"/>
            <w:gridSpan w:val="4"/>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eastAsia" w:ascii="Times New Roman" w:hAnsi="Times New Roman" w:cs="Times New Roman"/>
                <w:b w:val="0"/>
                <w:bCs w:val="0"/>
                <w:color w:val="auto"/>
                <w:sz w:val="22"/>
                <w:szCs w:val="22"/>
                <w:u w:val="none" w:color="auto"/>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替代源排放情况</w:t>
            </w:r>
          </w:p>
        </w:tc>
        <w:tc>
          <w:tcPr>
            <w:tcW w:w="567" w:type="pct"/>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污染源名称</w:t>
            </w:r>
          </w:p>
        </w:tc>
        <w:tc>
          <w:tcPr>
            <w:tcW w:w="758" w:type="pct"/>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排污许可证编号</w:t>
            </w:r>
          </w:p>
        </w:tc>
        <w:tc>
          <w:tcPr>
            <w:tcW w:w="619" w:type="pct"/>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污染物</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名称</w:t>
            </w:r>
          </w:p>
        </w:tc>
        <w:tc>
          <w:tcPr>
            <w:tcW w:w="722" w:type="pct"/>
            <w:gridSpan w:val="4"/>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排放量</w:t>
            </w:r>
            <w:r>
              <w:rPr>
                <w:rFonts w:hint="default" w:ascii="Times New Roman" w:hAnsi="Times New Roman" w:eastAsia="宋体" w:cs="Times New Roman"/>
                <w:b w:val="0"/>
                <w:bCs w:val="0"/>
                <w:color w:val="auto"/>
                <w:sz w:val="22"/>
                <w:szCs w:val="22"/>
                <w:u w:val="none" w:color="auto"/>
                <w:vertAlign w:val="baseline"/>
                <w:lang w:val="en-US" w:eastAsia="zh-CN"/>
              </w:rPr>
              <w:t>/（t/a）</w:t>
            </w:r>
          </w:p>
        </w:tc>
        <w:tc>
          <w:tcPr>
            <w:tcW w:w="977" w:type="pct"/>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排放浓度</w:t>
            </w:r>
            <w:r>
              <w:rPr>
                <w:rFonts w:hint="default" w:ascii="Times New Roman" w:hAnsi="Times New Roman" w:eastAsia="宋体" w:cs="Times New Roman"/>
                <w:b w:val="0"/>
                <w:bCs w:val="0"/>
                <w:color w:val="auto"/>
                <w:sz w:val="22"/>
                <w:szCs w:val="22"/>
                <w:u w:val="none" w:color="auto"/>
                <w:vertAlign w:val="baseline"/>
                <w:lang w:val="en-US" w:eastAsia="zh-CN"/>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567" w:type="pct"/>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758" w:type="pct"/>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619" w:type="pct"/>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722" w:type="pct"/>
            <w:gridSpan w:val="4"/>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977" w:type="pct"/>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生态流量确定</w:t>
            </w:r>
          </w:p>
        </w:tc>
        <w:tc>
          <w:tcPr>
            <w:tcW w:w="3645" w:type="pct"/>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生态流量：一般水期（）</w:t>
            </w:r>
            <w:r>
              <w:rPr>
                <w:rFonts w:hint="default" w:ascii="Times New Roman" w:hAnsi="Times New Roman" w:eastAsia="宋体" w:cs="Times New Roman"/>
                <w:b w:val="0"/>
                <w:bCs w:val="0"/>
                <w:color w:val="auto"/>
                <w:sz w:val="22"/>
                <w:szCs w:val="22"/>
                <w:u w:val="none" w:color="auto"/>
                <w:vertAlign w:val="baseline"/>
                <w:lang w:val="en-US" w:eastAsia="zh-CN"/>
              </w:rPr>
              <w:t>m</w:t>
            </w:r>
            <w:r>
              <w:rPr>
                <w:rFonts w:hint="default" w:ascii="Times New Roman" w:hAnsi="Times New Roman" w:eastAsia="宋体" w:cs="Times New Roman"/>
                <w:b w:val="0"/>
                <w:bCs w:val="0"/>
                <w:color w:val="auto"/>
                <w:sz w:val="22"/>
                <w:szCs w:val="22"/>
                <w:u w:val="none" w:color="auto"/>
                <w:vertAlign w:val="superscript"/>
                <w:lang w:val="en-US" w:eastAsia="zh-CN"/>
              </w:rPr>
              <w:t>3</w:t>
            </w:r>
            <w:r>
              <w:rPr>
                <w:rFonts w:hint="default" w:ascii="Times New Roman" w:hAnsi="Times New Roman" w:eastAsia="宋体" w:cs="Times New Roman"/>
                <w:b w:val="0"/>
                <w:bCs w:val="0"/>
                <w:color w:val="auto"/>
                <w:sz w:val="22"/>
                <w:szCs w:val="22"/>
                <w:u w:val="none" w:color="auto"/>
                <w:vertAlign w:val="baseline"/>
                <w:lang w:val="en-US" w:eastAsia="zh-CN"/>
              </w:rPr>
              <w:t>/s；鱼类繁殖期</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m</w:t>
            </w:r>
            <w:r>
              <w:rPr>
                <w:rFonts w:hint="default" w:ascii="Times New Roman" w:hAnsi="Times New Roman" w:eastAsia="宋体" w:cs="Times New Roman"/>
                <w:b w:val="0"/>
                <w:bCs w:val="0"/>
                <w:color w:val="auto"/>
                <w:sz w:val="22"/>
                <w:szCs w:val="22"/>
                <w:u w:val="none" w:color="auto"/>
                <w:vertAlign w:val="superscript"/>
                <w:lang w:val="en-US" w:eastAsia="zh-CN"/>
              </w:rPr>
              <w:t>3</w:t>
            </w:r>
            <w:r>
              <w:rPr>
                <w:rFonts w:hint="default" w:ascii="Times New Roman" w:hAnsi="Times New Roman" w:eastAsia="宋体" w:cs="Times New Roman"/>
                <w:b w:val="0"/>
                <w:bCs w:val="0"/>
                <w:color w:val="auto"/>
                <w:sz w:val="22"/>
                <w:szCs w:val="22"/>
                <w:u w:val="none" w:color="auto"/>
                <w:vertAlign w:val="baseline"/>
                <w:lang w:val="en-US" w:eastAsia="zh-CN"/>
              </w:rPr>
              <w:t>/s；其他</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m</w:t>
            </w:r>
            <w:r>
              <w:rPr>
                <w:rFonts w:hint="default" w:ascii="Times New Roman" w:hAnsi="Times New Roman" w:eastAsia="宋体" w:cs="Times New Roman"/>
                <w:b w:val="0"/>
                <w:bCs w:val="0"/>
                <w:color w:val="auto"/>
                <w:sz w:val="22"/>
                <w:szCs w:val="22"/>
                <w:u w:val="none" w:color="auto"/>
                <w:vertAlign w:val="superscript"/>
                <w:lang w:val="en-US" w:eastAsia="zh-CN"/>
              </w:rPr>
              <w:t>3</w:t>
            </w:r>
            <w:r>
              <w:rPr>
                <w:rFonts w:hint="default" w:ascii="Times New Roman" w:hAnsi="Times New Roman" w:eastAsia="宋体" w:cs="Times New Roman"/>
                <w:b w:val="0"/>
                <w:bCs w:val="0"/>
                <w:color w:val="auto"/>
                <w:sz w:val="22"/>
                <w:szCs w:val="22"/>
                <w:u w:val="none" w:color="auto"/>
                <w:vertAlign w:val="baseline"/>
                <w:lang w:val="en-US" w:eastAsia="zh-CN"/>
              </w:rPr>
              <w:t>/s</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生态水位：一般水期（）</w:t>
            </w:r>
            <w:r>
              <w:rPr>
                <w:rFonts w:hint="default" w:ascii="Times New Roman" w:hAnsi="Times New Roman" w:eastAsia="宋体" w:cs="Times New Roman"/>
                <w:b w:val="0"/>
                <w:bCs w:val="0"/>
                <w:color w:val="auto"/>
                <w:sz w:val="22"/>
                <w:szCs w:val="22"/>
                <w:u w:val="none" w:color="auto"/>
                <w:vertAlign w:val="baseline"/>
                <w:lang w:val="en-US" w:eastAsia="zh-CN"/>
              </w:rPr>
              <w:t>m；鱼类繁殖期</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m；其他</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50" w:type="pct"/>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防治措施</w:t>
            </w:r>
          </w:p>
        </w:tc>
        <w:tc>
          <w:tcPr>
            <w:tcW w:w="704" w:type="pc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环保措施</w:t>
            </w:r>
          </w:p>
        </w:tc>
        <w:tc>
          <w:tcPr>
            <w:tcW w:w="3645" w:type="pct"/>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eastAsia" w:ascii="Times New Roman" w:hAnsi="Times New Roman" w:eastAsia="宋体" w:cs="Times New Roman"/>
                <w:b w:val="0"/>
                <w:bCs w:val="0"/>
                <w:color w:val="auto"/>
                <w:sz w:val="22"/>
                <w:szCs w:val="22"/>
                <w:u w:val="none" w:color="auto"/>
                <w:vertAlign w:val="baseline"/>
                <w:lang w:eastAsia="zh-CN"/>
              </w:rPr>
              <w:t>污水处理站</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；水文减缓措施</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□；生态流量保障设施</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□；区域削减</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□；依托其他工程措施</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监测计划</w:t>
            </w:r>
          </w:p>
        </w:tc>
        <w:tc>
          <w:tcPr>
            <w:tcW w:w="567" w:type="pct"/>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85" w:type="pct"/>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环境质量</w:t>
            </w:r>
          </w:p>
        </w:tc>
        <w:tc>
          <w:tcPr>
            <w:tcW w:w="1692" w:type="pct"/>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567" w:type="pct"/>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监测方式</w:t>
            </w:r>
          </w:p>
        </w:tc>
        <w:tc>
          <w:tcPr>
            <w:tcW w:w="1385" w:type="pct"/>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手动</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；自动</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□；无监测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1692" w:type="pct"/>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手动</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；自动</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□；无监测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567" w:type="pct"/>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监测点位</w:t>
            </w:r>
          </w:p>
        </w:tc>
        <w:tc>
          <w:tcPr>
            <w:tcW w:w="1385" w:type="pct"/>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692" w:type="pct"/>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567" w:type="pct"/>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监测因子</w:t>
            </w:r>
          </w:p>
        </w:tc>
        <w:tc>
          <w:tcPr>
            <w:tcW w:w="1385" w:type="pct"/>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692" w:type="pct"/>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tcBorders>
              <w:tl2br w:val="nil"/>
              <w:tr2bl w:val="nil"/>
            </w:tcBorders>
            <w:noWrap w:val="0"/>
            <w:vAlign w:val="top"/>
          </w:tcPr>
          <w:p>
            <w:pPr>
              <w:spacing w:line="360" w:lineRule="auto"/>
              <w:jc w:val="both"/>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污染物排放清单</w:t>
            </w:r>
          </w:p>
        </w:tc>
        <w:tc>
          <w:tcPr>
            <w:tcW w:w="3645" w:type="pct"/>
            <w:gridSpan w:val="11"/>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0" w:type="pct"/>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704" w:type="pct"/>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评价结论</w:t>
            </w:r>
          </w:p>
        </w:tc>
        <w:tc>
          <w:tcPr>
            <w:tcW w:w="3645" w:type="pct"/>
            <w:gridSpan w:val="11"/>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可以接受</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；不可以接受</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000" w:type="pct"/>
            <w:gridSpan w:val="13"/>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注：“□”为勾选项，可</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：“（）”为内容填写项；“备注”为其他补充内容</w:t>
            </w:r>
          </w:p>
        </w:tc>
      </w:tr>
    </w:tbl>
    <w:p>
      <w:pPr>
        <w:jc w:val="center"/>
        <w:rPr>
          <w:rFonts w:hint="default" w:ascii="Times New Roman" w:hAnsi="Times New Roman" w:eastAsia="宋体" w:cs="Times New Roman"/>
          <w:color w:val="auto"/>
          <w:sz w:val="24"/>
          <w:szCs w:val="32"/>
          <w:u w:val="none" w:color="auto"/>
        </w:rPr>
      </w:pPr>
    </w:p>
    <w:p>
      <w:pPr>
        <w:jc w:val="center"/>
        <w:rPr>
          <w:rFonts w:hint="default" w:ascii="Times New Roman" w:hAnsi="Times New Roman" w:eastAsia="宋体" w:cs="Times New Roman"/>
          <w:color w:val="auto"/>
          <w:sz w:val="24"/>
          <w:szCs w:val="32"/>
          <w:u w:val="none" w:color="auto"/>
        </w:rPr>
      </w:pPr>
    </w:p>
    <w:p>
      <w:pPr>
        <w:jc w:val="center"/>
        <w:rPr>
          <w:rFonts w:hint="default" w:ascii="Times New Roman" w:hAnsi="Times New Roman" w:eastAsia="宋体" w:cs="Times New Roman"/>
          <w:color w:val="auto"/>
          <w:sz w:val="24"/>
          <w:szCs w:val="32"/>
          <w:u w:val="none" w:color="auto"/>
        </w:rPr>
      </w:pPr>
    </w:p>
    <w:p>
      <w:pPr>
        <w:jc w:val="center"/>
        <w:rPr>
          <w:rFonts w:hint="default" w:ascii="Times New Roman" w:hAnsi="Times New Roman" w:eastAsia="宋体" w:cs="Times New Roman"/>
          <w:color w:val="auto"/>
          <w:sz w:val="24"/>
          <w:szCs w:val="32"/>
          <w:u w:val="none" w:color="auto"/>
        </w:rPr>
      </w:pPr>
    </w:p>
    <w:p>
      <w:pPr>
        <w:jc w:val="center"/>
        <w:rPr>
          <w:rFonts w:hint="default" w:ascii="Times New Roman" w:hAnsi="Times New Roman" w:eastAsia="宋体" w:cs="Times New Roman"/>
          <w:color w:val="auto"/>
          <w:sz w:val="24"/>
          <w:szCs w:val="32"/>
          <w:u w:val="none" w:color="auto"/>
        </w:rPr>
      </w:pPr>
    </w:p>
    <w:p>
      <w:pPr>
        <w:jc w:val="center"/>
        <w:rPr>
          <w:rFonts w:hint="default" w:ascii="Times New Roman" w:hAnsi="Times New Roman" w:eastAsia="宋体" w:cs="Times New Roman"/>
          <w:color w:val="auto"/>
          <w:sz w:val="24"/>
          <w:szCs w:val="32"/>
          <w:u w:val="none" w:color="auto"/>
        </w:rPr>
      </w:pPr>
    </w:p>
    <w:p>
      <w:pPr>
        <w:jc w:val="center"/>
        <w:rPr>
          <w:rFonts w:hint="default" w:ascii="Times New Roman" w:hAnsi="Times New Roman" w:eastAsia="宋体" w:cs="Times New Roman"/>
          <w:color w:val="auto"/>
          <w:sz w:val="24"/>
          <w:szCs w:val="32"/>
          <w:u w:val="none" w:color="auto"/>
        </w:rPr>
      </w:pPr>
    </w:p>
    <w:p>
      <w:pPr>
        <w:jc w:val="center"/>
        <w:rPr>
          <w:rFonts w:hint="default" w:ascii="Times New Roman" w:hAnsi="Times New Roman" w:eastAsia="宋体" w:cs="Times New Roman"/>
          <w:color w:val="auto"/>
          <w:sz w:val="24"/>
          <w:szCs w:val="32"/>
          <w:u w:val="none" w:color="auto"/>
        </w:rPr>
      </w:pPr>
    </w:p>
    <w:p>
      <w:pPr>
        <w:jc w:val="center"/>
        <w:rPr>
          <w:rFonts w:hint="default" w:ascii="Times New Roman" w:hAnsi="Times New Roman" w:eastAsia="宋体" w:cs="Times New Roman"/>
          <w:color w:val="auto"/>
          <w:sz w:val="24"/>
          <w:szCs w:val="32"/>
          <w:u w:val="none" w:color="auto"/>
        </w:rPr>
      </w:pPr>
    </w:p>
    <w:p>
      <w:pPr>
        <w:jc w:val="center"/>
        <w:rPr>
          <w:rFonts w:hint="default" w:ascii="Times New Roman" w:hAnsi="Times New Roman" w:eastAsia="宋体" w:cs="Times New Roman"/>
          <w:color w:val="auto"/>
          <w:sz w:val="24"/>
          <w:szCs w:val="32"/>
          <w:u w:val="none" w:color="auto"/>
        </w:rPr>
      </w:pPr>
    </w:p>
    <w:p>
      <w:pPr>
        <w:jc w:val="center"/>
        <w:rPr>
          <w:rFonts w:hint="default" w:ascii="Times New Roman" w:hAnsi="Times New Roman" w:eastAsia="宋体" w:cs="Times New Roman"/>
          <w:color w:val="auto"/>
          <w:sz w:val="24"/>
          <w:szCs w:val="32"/>
          <w:u w:val="none" w:color="auto"/>
        </w:rPr>
      </w:pPr>
    </w:p>
    <w:p>
      <w:pPr>
        <w:jc w:val="center"/>
        <w:rPr>
          <w:rFonts w:hint="default" w:ascii="Times New Roman" w:hAnsi="Times New Roman" w:eastAsia="宋体" w:cs="Times New Roman"/>
          <w:color w:val="auto"/>
          <w:sz w:val="24"/>
          <w:szCs w:val="32"/>
          <w:u w:val="none" w:color="auto"/>
        </w:rPr>
      </w:pPr>
      <w:r>
        <w:rPr>
          <w:rFonts w:hint="default" w:ascii="Times New Roman" w:hAnsi="Times New Roman" w:eastAsia="宋体" w:cs="Times New Roman"/>
          <w:color w:val="auto"/>
          <w:sz w:val="24"/>
          <w:szCs w:val="32"/>
          <w:u w:val="none" w:color="auto"/>
        </w:rPr>
        <w:t>表</w:t>
      </w:r>
      <w:r>
        <w:rPr>
          <w:rFonts w:hint="eastAsia" w:ascii="Times New Roman" w:hAnsi="Times New Roman" w:eastAsia="宋体" w:cs="Times New Roman"/>
          <w:color w:val="auto"/>
          <w:sz w:val="24"/>
          <w:szCs w:val="32"/>
          <w:u w:val="none" w:color="auto"/>
          <w:lang w:val="en-US" w:eastAsia="zh-CN"/>
        </w:rPr>
        <w:t xml:space="preserve">3 </w:t>
      </w:r>
      <w:r>
        <w:rPr>
          <w:rFonts w:hint="default" w:ascii="Times New Roman" w:hAnsi="Times New Roman" w:eastAsia="宋体" w:cs="Times New Roman"/>
          <w:color w:val="auto"/>
          <w:sz w:val="24"/>
          <w:szCs w:val="32"/>
          <w:u w:val="none" w:color="auto"/>
        </w:rPr>
        <w:t xml:space="preserve"> 环境风险评价自查表</w:t>
      </w:r>
    </w:p>
    <w:tbl>
      <w:tblPr>
        <w:tblStyle w:val="40"/>
        <w:tblW w:w="5298" w:type="pct"/>
        <w:tblInd w:w="-254"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246"/>
        <w:gridCol w:w="968"/>
        <w:gridCol w:w="393"/>
        <w:gridCol w:w="401"/>
        <w:gridCol w:w="472"/>
        <w:gridCol w:w="317"/>
        <w:gridCol w:w="210"/>
        <w:gridCol w:w="587"/>
        <w:gridCol w:w="794"/>
        <w:gridCol w:w="8"/>
        <w:gridCol w:w="778"/>
        <w:gridCol w:w="54"/>
        <w:gridCol w:w="12"/>
        <w:gridCol w:w="730"/>
        <w:gridCol w:w="12"/>
        <w:gridCol w:w="774"/>
        <w:gridCol w:w="10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29" w:type="pct"/>
            <w:gridSpan w:val="2"/>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工作内容</w:t>
            </w:r>
          </w:p>
        </w:tc>
        <w:tc>
          <w:tcPr>
            <w:tcW w:w="3770" w:type="pct"/>
            <w:gridSpan w:val="16"/>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完成情况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11" w:type="pct"/>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风险调查</w:t>
            </w:r>
          </w:p>
        </w:tc>
        <w:tc>
          <w:tcPr>
            <w:tcW w:w="618" w:type="pct"/>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危险物质</w:t>
            </w:r>
          </w:p>
        </w:tc>
        <w:tc>
          <w:tcPr>
            <w:tcW w:w="480"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名称</w:t>
            </w:r>
          </w:p>
        </w:tc>
        <w:tc>
          <w:tcPr>
            <w:tcW w:w="785" w:type="pct"/>
            <w:gridSpan w:val="4"/>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w:t>
            </w:r>
          </w:p>
        </w:tc>
        <w:tc>
          <w:tcPr>
            <w:tcW w:w="788" w:type="pct"/>
            <w:gridSpan w:val="3"/>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p>
        </w:tc>
        <w:tc>
          <w:tcPr>
            <w:tcW w:w="390" w:type="pct"/>
            <w:gridSpan w:val="2"/>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395" w:type="pct"/>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390" w:type="pct"/>
            <w:gridSpan w:val="2"/>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540"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611"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618"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480"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存在总量/t</w:t>
            </w:r>
          </w:p>
        </w:tc>
        <w:tc>
          <w:tcPr>
            <w:tcW w:w="785" w:type="pct"/>
            <w:gridSpan w:val="4"/>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w:t>
            </w:r>
          </w:p>
        </w:tc>
        <w:tc>
          <w:tcPr>
            <w:tcW w:w="788" w:type="pct"/>
            <w:gridSpan w:val="3"/>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p>
        </w:tc>
        <w:tc>
          <w:tcPr>
            <w:tcW w:w="390" w:type="pct"/>
            <w:gridSpan w:val="2"/>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395" w:type="pct"/>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390" w:type="pct"/>
            <w:gridSpan w:val="2"/>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540"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11"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618" w:type="pct"/>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环境敏感性</w:t>
            </w:r>
          </w:p>
        </w:tc>
        <w:tc>
          <w:tcPr>
            <w:tcW w:w="480" w:type="pct"/>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大气</w:t>
            </w:r>
          </w:p>
        </w:tc>
        <w:tc>
          <w:tcPr>
            <w:tcW w:w="1573" w:type="pct"/>
            <w:gridSpan w:val="7"/>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500m范围内人口数__</w:t>
            </w:r>
            <w:r>
              <w:rPr>
                <w:rFonts w:hint="eastAsia" w:ascii="Times New Roman" w:hAnsi="Times New Roman" w:cs="Times New Roman"/>
                <w:color w:val="auto"/>
                <w:sz w:val="22"/>
                <w:szCs w:val="22"/>
                <w:u w:val="none" w:color="auto"/>
                <w:lang w:eastAsia="zh-CN"/>
              </w:rPr>
              <w:t>小于</w:t>
            </w:r>
            <w:r>
              <w:rPr>
                <w:rFonts w:hint="eastAsia" w:ascii="Times New Roman" w:hAnsi="Times New Roman" w:cs="Times New Roman"/>
                <w:color w:val="auto"/>
                <w:sz w:val="22"/>
                <w:szCs w:val="22"/>
                <w:u w:val="none" w:color="auto"/>
                <w:lang w:val="en-US" w:eastAsia="zh-CN"/>
              </w:rPr>
              <w:t>500</w:t>
            </w:r>
            <w:r>
              <w:rPr>
                <w:rFonts w:hint="default" w:ascii="Times New Roman" w:hAnsi="Times New Roman" w:cs="Times New Roman"/>
                <w:color w:val="auto"/>
                <w:sz w:val="22"/>
                <w:szCs w:val="22"/>
                <w:u w:val="none" w:color="auto"/>
              </w:rPr>
              <w:t>_人</w:t>
            </w:r>
          </w:p>
        </w:tc>
        <w:tc>
          <w:tcPr>
            <w:tcW w:w="1715" w:type="pct"/>
            <w:gridSpan w:val="8"/>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5km范围内人口数_______人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611"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618"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480"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2359" w:type="pct"/>
            <w:gridSpan w:val="12"/>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每公里管段周边200m范围内人口数（最大）</w:t>
            </w:r>
          </w:p>
        </w:tc>
        <w:tc>
          <w:tcPr>
            <w:tcW w:w="930" w:type="pct"/>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_______人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611"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618"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480" w:type="pct"/>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地表水</w:t>
            </w:r>
          </w:p>
        </w:tc>
        <w:tc>
          <w:tcPr>
            <w:tcW w:w="889" w:type="pct"/>
            <w:gridSpan w:val="5"/>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地表水功能敏感性</w:t>
            </w:r>
          </w:p>
        </w:tc>
        <w:tc>
          <w:tcPr>
            <w:tcW w:w="684" w:type="pct"/>
            <w:gridSpan w:val="2"/>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F1</w:t>
            </w:r>
            <w:r>
              <w:rPr>
                <w:rFonts w:hint="default" w:ascii="Times New Roman" w:hAnsi="Times New Roman" w:eastAsia="宋体" w:cs="Times New Roman"/>
                <w:color w:val="auto"/>
                <w:sz w:val="22"/>
                <w:szCs w:val="22"/>
                <w:u w:val="none" w:color="auto"/>
              </w:rPr>
              <w:t>□</w:t>
            </w:r>
          </w:p>
        </w:tc>
        <w:tc>
          <w:tcPr>
            <w:tcW w:w="785" w:type="pct"/>
            <w:gridSpan w:val="5"/>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F2</w:t>
            </w:r>
            <w:r>
              <w:rPr>
                <w:rFonts w:hint="default" w:ascii="Times New Roman" w:hAnsi="Times New Roman" w:eastAsia="宋体" w:cs="Times New Roman"/>
                <w:color w:val="auto"/>
                <w:sz w:val="22"/>
                <w:szCs w:val="22"/>
                <w:u w:val="none" w:color="auto"/>
              </w:rPr>
              <w:t>□</w:t>
            </w:r>
          </w:p>
        </w:tc>
        <w:tc>
          <w:tcPr>
            <w:tcW w:w="930" w:type="pct"/>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F3</w:t>
            </w:r>
            <w:r>
              <w:rPr>
                <w:rFonts w:hint="default" w:ascii="Times New Roman" w:hAnsi="Times New Roman" w:eastAsia="宋体" w:cs="Times New Roman"/>
                <w:color w:val="auto"/>
                <w:sz w:val="22"/>
                <w:szCs w:val="22"/>
                <w:u w:val="none" w:color="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18" w:hRule="atLeast"/>
        </w:trPr>
        <w:tc>
          <w:tcPr>
            <w:tcW w:w="611"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618"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480"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889" w:type="pct"/>
            <w:gridSpan w:val="5"/>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环境敏感目标分级</w:t>
            </w:r>
          </w:p>
        </w:tc>
        <w:tc>
          <w:tcPr>
            <w:tcW w:w="684" w:type="pct"/>
            <w:gridSpan w:val="2"/>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S1</w:t>
            </w:r>
            <w:r>
              <w:rPr>
                <w:rFonts w:hint="default" w:ascii="Times New Roman" w:hAnsi="Times New Roman" w:eastAsia="宋体" w:cs="Times New Roman"/>
                <w:color w:val="auto"/>
                <w:sz w:val="22"/>
                <w:szCs w:val="22"/>
                <w:u w:val="none" w:color="auto"/>
              </w:rPr>
              <w:t>□</w:t>
            </w:r>
          </w:p>
        </w:tc>
        <w:tc>
          <w:tcPr>
            <w:tcW w:w="785" w:type="pct"/>
            <w:gridSpan w:val="5"/>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S2</w:t>
            </w:r>
            <w:r>
              <w:rPr>
                <w:rFonts w:hint="default" w:ascii="Times New Roman" w:hAnsi="Times New Roman" w:eastAsia="宋体" w:cs="Times New Roman"/>
                <w:color w:val="auto"/>
                <w:sz w:val="22"/>
                <w:szCs w:val="22"/>
                <w:u w:val="none" w:color="auto"/>
              </w:rPr>
              <w:t>□</w:t>
            </w:r>
          </w:p>
        </w:tc>
        <w:tc>
          <w:tcPr>
            <w:tcW w:w="930" w:type="pct"/>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S3</w:t>
            </w:r>
            <w:r>
              <w:rPr>
                <w:rFonts w:hint="default" w:ascii="Times New Roman" w:hAnsi="Times New Roman" w:eastAsia="宋体" w:cs="Times New Roman"/>
                <w:color w:val="auto"/>
                <w:sz w:val="22"/>
                <w:szCs w:val="22"/>
                <w:u w:val="none" w:color="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611"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618"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480" w:type="pct"/>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地下水</w:t>
            </w:r>
          </w:p>
        </w:tc>
        <w:tc>
          <w:tcPr>
            <w:tcW w:w="889" w:type="pct"/>
            <w:gridSpan w:val="5"/>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地下水功能敏感性</w:t>
            </w:r>
          </w:p>
        </w:tc>
        <w:tc>
          <w:tcPr>
            <w:tcW w:w="684" w:type="pct"/>
            <w:gridSpan w:val="2"/>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G1</w:t>
            </w:r>
            <w:r>
              <w:rPr>
                <w:rFonts w:hint="default" w:ascii="Times New Roman" w:hAnsi="Times New Roman" w:eastAsia="宋体" w:cs="Times New Roman"/>
                <w:color w:val="auto"/>
                <w:sz w:val="22"/>
                <w:szCs w:val="22"/>
                <w:u w:val="none" w:color="auto"/>
              </w:rPr>
              <w:t>□</w:t>
            </w:r>
          </w:p>
        </w:tc>
        <w:tc>
          <w:tcPr>
            <w:tcW w:w="785" w:type="pct"/>
            <w:gridSpan w:val="5"/>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G2</w:t>
            </w:r>
            <w:r>
              <w:rPr>
                <w:rFonts w:hint="default" w:ascii="Times New Roman" w:hAnsi="Times New Roman" w:eastAsia="宋体" w:cs="Times New Roman"/>
                <w:color w:val="auto"/>
                <w:sz w:val="22"/>
                <w:szCs w:val="22"/>
                <w:u w:val="none" w:color="auto"/>
              </w:rPr>
              <w:t>□</w:t>
            </w:r>
          </w:p>
        </w:tc>
        <w:tc>
          <w:tcPr>
            <w:tcW w:w="930" w:type="pct"/>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G3</w:t>
            </w:r>
            <w:r>
              <w:rPr>
                <w:rFonts w:hint="default" w:ascii="Times New Roman" w:hAnsi="Times New Roman" w:eastAsia="宋体" w:cs="Times New Roman"/>
                <w:color w:val="auto"/>
                <w:sz w:val="22"/>
                <w:szCs w:val="22"/>
                <w:u w:val="none" w:color="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611"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618"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480"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889" w:type="pct"/>
            <w:gridSpan w:val="5"/>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包气带防污性能</w:t>
            </w:r>
          </w:p>
        </w:tc>
        <w:tc>
          <w:tcPr>
            <w:tcW w:w="684" w:type="pct"/>
            <w:gridSpan w:val="2"/>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D1</w:t>
            </w:r>
            <w:r>
              <w:rPr>
                <w:rFonts w:hint="default" w:ascii="Times New Roman" w:hAnsi="Times New Roman" w:eastAsia="宋体" w:cs="Times New Roman"/>
                <w:color w:val="auto"/>
                <w:sz w:val="22"/>
                <w:szCs w:val="22"/>
                <w:u w:val="none" w:color="auto"/>
              </w:rPr>
              <w:t>□</w:t>
            </w:r>
          </w:p>
        </w:tc>
        <w:tc>
          <w:tcPr>
            <w:tcW w:w="785" w:type="pct"/>
            <w:gridSpan w:val="5"/>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D2</w:t>
            </w:r>
            <w:r>
              <w:rPr>
                <w:rFonts w:hint="default" w:ascii="Times New Roman" w:hAnsi="Times New Roman" w:eastAsia="宋体" w:cs="Times New Roman"/>
                <w:color w:val="auto"/>
                <w:sz w:val="22"/>
                <w:szCs w:val="22"/>
                <w:u w:val="none" w:color="auto"/>
              </w:rPr>
              <w:t>□</w:t>
            </w:r>
          </w:p>
        </w:tc>
        <w:tc>
          <w:tcPr>
            <w:tcW w:w="930" w:type="pct"/>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D3</w:t>
            </w:r>
            <w:r>
              <w:rPr>
                <w:rFonts w:hint="default" w:ascii="Times New Roman" w:hAnsi="Times New Roman" w:eastAsia="宋体" w:cs="Times New Roman"/>
                <w:color w:val="auto"/>
                <w:sz w:val="22"/>
                <w:szCs w:val="22"/>
                <w:u w:val="none" w:color="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9" w:type="pct"/>
            <w:gridSpan w:val="2"/>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物质及工艺系统危险性</w:t>
            </w:r>
          </w:p>
        </w:tc>
        <w:tc>
          <w:tcPr>
            <w:tcW w:w="480"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Q值</w:t>
            </w:r>
          </w:p>
        </w:tc>
        <w:tc>
          <w:tcPr>
            <w:tcW w:w="889" w:type="pct"/>
            <w:gridSpan w:val="5"/>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eastAsia="宋体" w:cs="Times New Roman"/>
                <w:color w:val="auto"/>
                <w:sz w:val="22"/>
                <w:szCs w:val="22"/>
                <w:u w:val="none" w:color="auto"/>
              </w:rPr>
              <w:t>Q＜1</w:t>
            </w:r>
            <w:r>
              <w:rPr>
                <w:rFonts w:hint="default" w:ascii="Times New Roman" w:hAnsi="Times New Roman" w:eastAsia="宋体" w:cs="Times New Roman"/>
                <w:color w:val="auto"/>
                <w:sz w:val="22"/>
                <w:szCs w:val="22"/>
                <w:u w:val="none" w:color="auto"/>
                <w:lang w:eastAsia="zh-CN"/>
              </w:rPr>
              <w:t>☑</w:t>
            </w:r>
          </w:p>
        </w:tc>
        <w:tc>
          <w:tcPr>
            <w:tcW w:w="684" w:type="pct"/>
            <w:gridSpan w:val="2"/>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rPr>
              <w:t>1≤Q＜10□</w:t>
            </w:r>
          </w:p>
        </w:tc>
        <w:tc>
          <w:tcPr>
            <w:tcW w:w="785" w:type="pct"/>
            <w:gridSpan w:val="5"/>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rPr>
              <w:t>10≤Q＜100□</w:t>
            </w:r>
          </w:p>
        </w:tc>
        <w:tc>
          <w:tcPr>
            <w:tcW w:w="930" w:type="pct"/>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rPr>
              <w:t>Q＞100□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9" w:type="pct"/>
            <w:gridSpan w:val="2"/>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480"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M值</w:t>
            </w:r>
          </w:p>
        </w:tc>
        <w:tc>
          <w:tcPr>
            <w:tcW w:w="889" w:type="pct"/>
            <w:gridSpan w:val="5"/>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eastAsia="宋体" w:cs="Times New Roman"/>
                <w:color w:val="auto"/>
                <w:sz w:val="22"/>
                <w:szCs w:val="22"/>
                <w:u w:val="none" w:color="auto"/>
              </w:rPr>
              <w:t>M1</w:t>
            </w:r>
            <w:r>
              <w:rPr>
                <w:rFonts w:hint="default" w:ascii="Times New Roman" w:hAnsi="Times New Roman" w:eastAsia="宋体" w:cs="Times New Roman"/>
                <w:color w:val="auto"/>
                <w:sz w:val="22"/>
                <w:szCs w:val="22"/>
                <w:u w:val="none" w:color="auto"/>
                <w:lang w:eastAsia="zh-CN"/>
              </w:rPr>
              <w:t>□</w:t>
            </w:r>
          </w:p>
        </w:tc>
        <w:tc>
          <w:tcPr>
            <w:tcW w:w="684" w:type="pct"/>
            <w:gridSpan w:val="2"/>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rPr>
              <w:t>M2□</w:t>
            </w:r>
          </w:p>
        </w:tc>
        <w:tc>
          <w:tcPr>
            <w:tcW w:w="785" w:type="pct"/>
            <w:gridSpan w:val="5"/>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rPr>
              <w:t>M3□</w:t>
            </w:r>
          </w:p>
        </w:tc>
        <w:tc>
          <w:tcPr>
            <w:tcW w:w="930" w:type="pct"/>
            <w:gridSpan w:val="3"/>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eastAsia="宋体" w:cs="Times New Roman"/>
                <w:color w:val="auto"/>
                <w:sz w:val="22"/>
                <w:szCs w:val="22"/>
                <w:u w:val="none" w:color="auto"/>
              </w:rPr>
              <w:t>M4</w:t>
            </w:r>
            <w:r>
              <w:rPr>
                <w:rFonts w:hint="eastAsia" w:ascii="Times New Roman" w:hAnsi="Times New Roman" w:eastAsia="宋体"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9" w:type="pct"/>
            <w:gridSpan w:val="2"/>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480"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P值</w:t>
            </w:r>
          </w:p>
        </w:tc>
        <w:tc>
          <w:tcPr>
            <w:tcW w:w="889" w:type="pct"/>
            <w:gridSpan w:val="5"/>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rPr>
              <w:t>P1□</w:t>
            </w:r>
          </w:p>
        </w:tc>
        <w:tc>
          <w:tcPr>
            <w:tcW w:w="684" w:type="pct"/>
            <w:gridSpan w:val="2"/>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rPr>
              <w:t>P2□</w:t>
            </w:r>
          </w:p>
        </w:tc>
        <w:tc>
          <w:tcPr>
            <w:tcW w:w="785" w:type="pct"/>
            <w:gridSpan w:val="5"/>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rPr>
              <w:t>P3□</w:t>
            </w:r>
          </w:p>
        </w:tc>
        <w:tc>
          <w:tcPr>
            <w:tcW w:w="930" w:type="pct"/>
            <w:gridSpan w:val="3"/>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eastAsia="宋体" w:cs="Times New Roman"/>
                <w:color w:val="auto"/>
                <w:sz w:val="22"/>
                <w:szCs w:val="22"/>
                <w:u w:val="none" w:color="auto"/>
              </w:rPr>
              <w:t>P4</w:t>
            </w:r>
            <w:r>
              <w:rPr>
                <w:rFonts w:hint="eastAsia" w:ascii="Times New Roman" w:hAnsi="Times New Roman" w:eastAsia="宋体"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9" w:type="pct"/>
            <w:gridSpan w:val="2"/>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环境敏感程度</w:t>
            </w:r>
          </w:p>
        </w:tc>
        <w:tc>
          <w:tcPr>
            <w:tcW w:w="874" w:type="pct"/>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大气</w:t>
            </w:r>
          </w:p>
        </w:tc>
        <w:tc>
          <w:tcPr>
            <w:tcW w:w="785" w:type="pct"/>
            <w:gridSpan w:val="4"/>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E1</w:t>
            </w:r>
            <w:r>
              <w:rPr>
                <w:rFonts w:hint="default" w:ascii="Times New Roman" w:hAnsi="Times New Roman" w:eastAsia="宋体" w:cs="Times New Roman"/>
                <w:color w:val="auto"/>
                <w:sz w:val="22"/>
                <w:szCs w:val="22"/>
                <w:u w:val="none" w:color="auto"/>
              </w:rPr>
              <w:t>□</w:t>
            </w:r>
          </w:p>
        </w:tc>
        <w:tc>
          <w:tcPr>
            <w:tcW w:w="811" w:type="pct"/>
            <w:gridSpan w:val="4"/>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cs="Times New Roman"/>
                <w:color w:val="auto"/>
                <w:sz w:val="22"/>
                <w:szCs w:val="22"/>
                <w:u w:val="none" w:color="auto"/>
              </w:rPr>
              <w:t>E2</w:t>
            </w:r>
            <w:r>
              <w:rPr>
                <w:rFonts w:hint="eastAsia" w:ascii="Times New Roman" w:hAnsi="Times New Roman" w:eastAsia="宋体" w:cs="Times New Roman"/>
                <w:color w:val="auto"/>
                <w:sz w:val="22"/>
                <w:szCs w:val="22"/>
                <w:u w:val="none" w:color="auto"/>
                <w:lang w:eastAsia="zh-CN"/>
              </w:rPr>
              <w:t>□</w:t>
            </w:r>
          </w:p>
        </w:tc>
        <w:tc>
          <w:tcPr>
            <w:tcW w:w="1298" w:type="pct"/>
            <w:gridSpan w:val="5"/>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cs="Times New Roman"/>
                <w:color w:val="auto"/>
                <w:sz w:val="22"/>
                <w:szCs w:val="22"/>
                <w:u w:val="none" w:color="auto"/>
              </w:rPr>
              <w:t>E3</w:t>
            </w:r>
            <w:r>
              <w:rPr>
                <w:rFonts w:hint="default" w:ascii="Times New Roman" w:hAnsi="Times New Roman" w:eastAsia="宋体"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9" w:type="pct"/>
            <w:gridSpan w:val="2"/>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874" w:type="pct"/>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地表水</w:t>
            </w:r>
          </w:p>
        </w:tc>
        <w:tc>
          <w:tcPr>
            <w:tcW w:w="785" w:type="pct"/>
            <w:gridSpan w:val="4"/>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E1</w:t>
            </w:r>
            <w:r>
              <w:rPr>
                <w:rFonts w:hint="default" w:ascii="Times New Roman" w:hAnsi="Times New Roman" w:eastAsia="宋体" w:cs="Times New Roman"/>
                <w:color w:val="auto"/>
                <w:sz w:val="22"/>
                <w:szCs w:val="22"/>
                <w:u w:val="none" w:color="auto"/>
              </w:rPr>
              <w:t>□</w:t>
            </w:r>
          </w:p>
        </w:tc>
        <w:tc>
          <w:tcPr>
            <w:tcW w:w="811" w:type="pct"/>
            <w:gridSpan w:val="4"/>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E2</w:t>
            </w:r>
            <w:r>
              <w:rPr>
                <w:rFonts w:hint="default" w:ascii="Times New Roman" w:hAnsi="Times New Roman" w:eastAsia="宋体" w:cs="Times New Roman"/>
                <w:color w:val="auto"/>
                <w:sz w:val="22"/>
                <w:szCs w:val="22"/>
                <w:u w:val="none" w:color="auto"/>
              </w:rPr>
              <w:t>□</w:t>
            </w:r>
          </w:p>
        </w:tc>
        <w:tc>
          <w:tcPr>
            <w:tcW w:w="1298" w:type="pct"/>
            <w:gridSpan w:val="5"/>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cs="Times New Roman"/>
                <w:color w:val="auto"/>
                <w:sz w:val="22"/>
                <w:szCs w:val="22"/>
                <w:u w:val="none" w:color="auto"/>
              </w:rPr>
              <w:t>E3</w:t>
            </w:r>
            <w:r>
              <w:rPr>
                <w:rFonts w:hint="eastAsia" w:ascii="Times New Roman" w:hAnsi="Times New Roman" w:eastAsia="宋体"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9" w:type="pct"/>
            <w:gridSpan w:val="2"/>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874" w:type="pct"/>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地下水</w:t>
            </w:r>
          </w:p>
        </w:tc>
        <w:tc>
          <w:tcPr>
            <w:tcW w:w="785" w:type="pct"/>
            <w:gridSpan w:val="4"/>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E1</w:t>
            </w:r>
            <w:r>
              <w:rPr>
                <w:rFonts w:hint="default" w:ascii="Times New Roman" w:hAnsi="Times New Roman" w:eastAsia="宋体" w:cs="Times New Roman"/>
                <w:color w:val="auto"/>
                <w:sz w:val="22"/>
                <w:szCs w:val="22"/>
                <w:u w:val="none" w:color="auto"/>
              </w:rPr>
              <w:t>□</w:t>
            </w:r>
          </w:p>
        </w:tc>
        <w:tc>
          <w:tcPr>
            <w:tcW w:w="811" w:type="pct"/>
            <w:gridSpan w:val="4"/>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E2</w:t>
            </w:r>
            <w:r>
              <w:rPr>
                <w:rFonts w:hint="default" w:ascii="Times New Roman" w:hAnsi="Times New Roman" w:eastAsia="宋体" w:cs="Times New Roman"/>
                <w:color w:val="auto"/>
                <w:sz w:val="22"/>
                <w:szCs w:val="22"/>
                <w:u w:val="none" w:color="auto"/>
              </w:rPr>
              <w:t>□</w:t>
            </w:r>
          </w:p>
        </w:tc>
        <w:tc>
          <w:tcPr>
            <w:tcW w:w="1298" w:type="pct"/>
            <w:gridSpan w:val="5"/>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cs="Times New Roman"/>
                <w:color w:val="auto"/>
                <w:sz w:val="22"/>
                <w:szCs w:val="22"/>
                <w:u w:val="none" w:color="auto"/>
              </w:rPr>
              <w:t>E3</w:t>
            </w:r>
            <w:r>
              <w:rPr>
                <w:rFonts w:hint="eastAsia" w:ascii="Times New Roman" w:hAnsi="Times New Roman" w:eastAsia="宋体"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9" w:type="pct"/>
            <w:gridSpan w:val="2"/>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环境风险潜势</w:t>
            </w:r>
          </w:p>
        </w:tc>
        <w:tc>
          <w:tcPr>
            <w:tcW w:w="675" w:type="pct"/>
            <w:gridSpan w:val="2"/>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IV</w:t>
            </w:r>
            <w:r>
              <w:rPr>
                <w:rFonts w:hint="default" w:ascii="Times New Roman" w:hAnsi="Times New Roman" w:cs="Times New Roman"/>
                <w:color w:val="auto"/>
                <w:sz w:val="22"/>
                <w:szCs w:val="22"/>
                <w:u w:val="none" w:color="auto"/>
                <w:vertAlign w:val="superscript"/>
              </w:rPr>
              <w:t>+</w:t>
            </w:r>
            <w:r>
              <w:rPr>
                <w:rFonts w:hint="eastAsia" w:ascii="Times New Roman" w:hAnsi="Times New Roman" w:eastAsia="宋体" w:cs="Times New Roman"/>
                <w:color w:val="auto"/>
                <w:sz w:val="22"/>
                <w:szCs w:val="22"/>
                <w:u w:val="none" w:color="auto"/>
                <w:lang w:eastAsia="zh-CN"/>
              </w:rPr>
              <w:t>□</w:t>
            </w:r>
          </w:p>
        </w:tc>
        <w:tc>
          <w:tcPr>
            <w:tcW w:w="694" w:type="pct"/>
            <w:gridSpan w:val="4"/>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IV</w:t>
            </w:r>
            <w:r>
              <w:rPr>
                <w:rFonts w:hint="default" w:ascii="Times New Roman" w:hAnsi="Times New Roman" w:eastAsia="宋体" w:cs="Times New Roman"/>
                <w:color w:val="auto"/>
                <w:sz w:val="22"/>
                <w:szCs w:val="22"/>
                <w:u w:val="none" w:color="auto"/>
              </w:rPr>
              <w:t>□</w:t>
            </w:r>
          </w:p>
        </w:tc>
        <w:tc>
          <w:tcPr>
            <w:tcW w:w="688" w:type="pct"/>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III</w:t>
            </w:r>
            <w:r>
              <w:rPr>
                <w:rFonts w:hint="default" w:ascii="Times New Roman" w:hAnsi="Times New Roman" w:eastAsia="宋体" w:cs="Times New Roman"/>
                <w:color w:val="auto"/>
                <w:sz w:val="22"/>
                <w:szCs w:val="22"/>
                <w:u w:val="none" w:color="auto"/>
              </w:rPr>
              <w:t>□</w:t>
            </w:r>
          </w:p>
        </w:tc>
        <w:tc>
          <w:tcPr>
            <w:tcW w:w="787" w:type="pct"/>
            <w:gridSpan w:val="5"/>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II</w:t>
            </w:r>
            <w:r>
              <w:rPr>
                <w:rFonts w:hint="default" w:ascii="Times New Roman" w:hAnsi="Times New Roman" w:eastAsia="宋体" w:cs="Times New Roman"/>
                <w:color w:val="auto"/>
                <w:sz w:val="22"/>
                <w:szCs w:val="22"/>
                <w:u w:val="none" w:color="auto"/>
              </w:rPr>
              <w:t>□</w:t>
            </w:r>
          </w:p>
        </w:tc>
        <w:tc>
          <w:tcPr>
            <w:tcW w:w="924" w:type="pct"/>
            <w:gridSpan w:val="2"/>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I</w:t>
            </w:r>
            <w:r>
              <w:rPr>
                <w:rFonts w:hint="default" w:ascii="Times New Roman" w:hAnsi="Times New Roman" w:eastAsia="宋体" w:cs="Times New Roman"/>
                <w:color w:val="auto"/>
                <w:sz w:val="22"/>
                <w:szCs w:val="22"/>
                <w:u w:val="none" w:color="auto"/>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229" w:type="pct"/>
            <w:gridSpan w:val="2"/>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评价等级</w:t>
            </w:r>
          </w:p>
        </w:tc>
        <w:tc>
          <w:tcPr>
            <w:tcW w:w="874" w:type="pct"/>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一级</w:t>
            </w:r>
            <w:r>
              <w:rPr>
                <w:rFonts w:hint="default" w:ascii="Times New Roman" w:hAnsi="Times New Roman" w:eastAsia="宋体" w:cs="Times New Roman"/>
                <w:color w:val="auto"/>
                <w:sz w:val="22"/>
                <w:szCs w:val="22"/>
                <w:u w:val="none" w:color="auto"/>
              </w:rPr>
              <w:t>□</w:t>
            </w:r>
          </w:p>
        </w:tc>
        <w:tc>
          <w:tcPr>
            <w:tcW w:w="785" w:type="pct"/>
            <w:gridSpan w:val="4"/>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二级</w:t>
            </w:r>
            <w:r>
              <w:rPr>
                <w:rFonts w:hint="default" w:ascii="Times New Roman" w:hAnsi="Times New Roman" w:eastAsia="宋体" w:cs="Times New Roman"/>
                <w:color w:val="auto"/>
                <w:sz w:val="22"/>
                <w:szCs w:val="22"/>
                <w:u w:val="none" w:color="auto"/>
              </w:rPr>
              <w:t>□</w:t>
            </w:r>
          </w:p>
        </w:tc>
        <w:tc>
          <w:tcPr>
            <w:tcW w:w="811" w:type="pct"/>
            <w:gridSpan w:val="4"/>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三级</w:t>
            </w:r>
            <w:r>
              <w:rPr>
                <w:rFonts w:hint="default" w:ascii="Times New Roman" w:hAnsi="Times New Roman" w:eastAsia="宋体" w:cs="Times New Roman"/>
                <w:color w:val="auto"/>
                <w:sz w:val="22"/>
                <w:szCs w:val="22"/>
                <w:u w:val="none" w:color="auto"/>
              </w:rPr>
              <w:t>□</w:t>
            </w:r>
          </w:p>
        </w:tc>
        <w:tc>
          <w:tcPr>
            <w:tcW w:w="1298" w:type="pct"/>
            <w:gridSpan w:val="5"/>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cs="Times New Roman"/>
                <w:color w:val="auto"/>
                <w:sz w:val="22"/>
                <w:szCs w:val="22"/>
                <w:u w:val="none" w:color="auto"/>
              </w:rPr>
              <w:t>简单分析</w:t>
            </w:r>
            <w:r>
              <w:rPr>
                <w:rFonts w:hint="default" w:ascii="Times New Roman" w:hAnsi="Times New Roman" w:eastAsia="宋体"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1" w:type="pct"/>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风险识别</w:t>
            </w:r>
          </w:p>
        </w:tc>
        <w:tc>
          <w:tcPr>
            <w:tcW w:w="618"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物质危险性</w:t>
            </w:r>
          </w:p>
        </w:tc>
        <w:tc>
          <w:tcPr>
            <w:tcW w:w="1660" w:type="pct"/>
            <w:gridSpan w:val="7"/>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有毒有害</w:t>
            </w:r>
            <w:r>
              <w:rPr>
                <w:rFonts w:hint="default" w:ascii="Times New Roman" w:hAnsi="Times New Roman" w:eastAsia="宋体" w:cs="Times New Roman"/>
                <w:color w:val="auto"/>
                <w:sz w:val="22"/>
                <w:szCs w:val="22"/>
                <w:u w:val="none" w:color="auto"/>
              </w:rPr>
              <w:t>□</w:t>
            </w:r>
          </w:p>
        </w:tc>
        <w:tc>
          <w:tcPr>
            <w:tcW w:w="2109" w:type="pct"/>
            <w:gridSpan w:val="9"/>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易燃易爆</w:t>
            </w:r>
            <w:r>
              <w:rPr>
                <w:rFonts w:hint="default" w:ascii="Times New Roman" w:hAnsi="Times New Roman" w:eastAsia="宋体" w:cs="Times New Roman"/>
                <w:color w:val="auto"/>
                <w:sz w:val="22"/>
                <w:szCs w:val="22"/>
                <w:u w:val="none" w:color="auto"/>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1"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618"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环境风险类型</w:t>
            </w:r>
          </w:p>
        </w:tc>
        <w:tc>
          <w:tcPr>
            <w:tcW w:w="1660" w:type="pct"/>
            <w:gridSpan w:val="7"/>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泄漏</w:t>
            </w:r>
            <w:r>
              <w:rPr>
                <w:rFonts w:hint="default" w:ascii="Times New Roman" w:hAnsi="Times New Roman" w:eastAsia="宋体" w:cs="Times New Roman"/>
                <w:color w:val="auto"/>
                <w:sz w:val="22"/>
                <w:szCs w:val="22"/>
                <w:u w:val="none" w:color="auto"/>
              </w:rPr>
              <w:sym w:font="Wingdings 2" w:char="0052"/>
            </w:r>
          </w:p>
        </w:tc>
        <w:tc>
          <w:tcPr>
            <w:tcW w:w="2109" w:type="pct"/>
            <w:gridSpan w:val="9"/>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eastAsia="宋体" w:cs="Times New Roman"/>
                <w:color w:val="auto"/>
                <w:sz w:val="22"/>
                <w:szCs w:val="22"/>
                <w:u w:val="none" w:color="auto"/>
              </w:rPr>
              <w:t>火灾、爆炸引发伴生/次生污染物排放</w:t>
            </w:r>
            <w:r>
              <w:rPr>
                <w:rFonts w:hint="eastAsia" w:ascii="Times New Roman" w:hAnsi="Times New Roman" w:eastAsia="宋体" w:cs="Times New Roman"/>
                <w:color w:val="auto"/>
                <w:sz w:val="22"/>
                <w:szCs w:val="22"/>
                <w:u w:val="none" w:color="auto"/>
                <w:lang w:eastAsia="zh-CN"/>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1"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618"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影响途径</w:t>
            </w:r>
          </w:p>
        </w:tc>
        <w:tc>
          <w:tcPr>
            <w:tcW w:w="1108" w:type="pct"/>
            <w:gridSpan w:val="4"/>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cs="Times New Roman"/>
                <w:color w:val="auto"/>
                <w:sz w:val="22"/>
                <w:szCs w:val="22"/>
                <w:u w:val="none" w:color="auto"/>
              </w:rPr>
              <w:t>大气</w:t>
            </w:r>
            <w:r>
              <w:rPr>
                <w:rFonts w:hint="default" w:ascii="Times New Roman" w:hAnsi="Times New Roman" w:eastAsia="宋体" w:cs="Times New Roman"/>
                <w:color w:val="auto"/>
                <w:sz w:val="22"/>
                <w:szCs w:val="22"/>
                <w:u w:val="none" w:color="auto"/>
                <w:lang w:eastAsia="zh-CN"/>
              </w:rPr>
              <w:sym w:font="Wingdings 2" w:char="00A3"/>
            </w:r>
          </w:p>
        </w:tc>
        <w:tc>
          <w:tcPr>
            <w:tcW w:w="1369" w:type="pct"/>
            <w:gridSpan w:val="8"/>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eastAsia="宋体" w:cs="Times New Roman"/>
                <w:color w:val="auto"/>
                <w:sz w:val="22"/>
                <w:szCs w:val="22"/>
                <w:u w:val="none" w:color="auto"/>
              </w:rPr>
              <w:t>地表水</w:t>
            </w:r>
            <w:r>
              <w:rPr>
                <w:rFonts w:hint="eastAsia" w:ascii="Times New Roman" w:hAnsi="Times New Roman" w:eastAsia="宋体" w:cs="Times New Roman"/>
                <w:color w:val="auto"/>
                <w:sz w:val="22"/>
                <w:szCs w:val="22"/>
                <w:u w:val="none" w:color="auto"/>
                <w:lang w:eastAsia="zh-CN"/>
              </w:rPr>
              <w:sym w:font="Wingdings 2" w:char="0052"/>
            </w:r>
          </w:p>
        </w:tc>
        <w:tc>
          <w:tcPr>
            <w:tcW w:w="1292" w:type="pct"/>
            <w:gridSpan w:val="4"/>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地下水</w:t>
            </w:r>
            <w:r>
              <w:rPr>
                <w:rFonts w:hint="default" w:ascii="Times New Roman" w:hAnsi="Times New Roman" w:eastAsia="宋体" w:cs="Times New Roman"/>
                <w:color w:val="auto"/>
                <w:sz w:val="22"/>
                <w:szCs w:val="22"/>
                <w:u w:val="none" w:color="auto"/>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9" w:type="pct"/>
            <w:gridSpan w:val="2"/>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事故情形分析</w:t>
            </w:r>
          </w:p>
        </w:tc>
        <w:tc>
          <w:tcPr>
            <w:tcW w:w="874" w:type="pct"/>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源强设定方法</w:t>
            </w:r>
          </w:p>
        </w:tc>
        <w:tc>
          <w:tcPr>
            <w:tcW w:w="785" w:type="pct"/>
            <w:gridSpan w:val="4"/>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计算法</w:t>
            </w:r>
            <w:r>
              <w:rPr>
                <w:rFonts w:hint="default" w:ascii="Times New Roman" w:hAnsi="Times New Roman" w:eastAsia="宋体" w:cs="Times New Roman"/>
                <w:color w:val="auto"/>
                <w:sz w:val="22"/>
                <w:szCs w:val="22"/>
                <w:u w:val="none" w:color="auto"/>
              </w:rPr>
              <w:sym w:font="Wingdings 2" w:char="00A3"/>
            </w:r>
          </w:p>
        </w:tc>
        <w:tc>
          <w:tcPr>
            <w:tcW w:w="817" w:type="pct"/>
            <w:gridSpan w:val="5"/>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rPr>
              <w:t>经验估算法□</w:t>
            </w:r>
          </w:p>
        </w:tc>
        <w:tc>
          <w:tcPr>
            <w:tcW w:w="1292" w:type="pct"/>
            <w:gridSpan w:val="4"/>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rPr>
              <w:t>其他估算法□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611" w:type="pct"/>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风险预测与评价</w:t>
            </w:r>
          </w:p>
        </w:tc>
        <w:tc>
          <w:tcPr>
            <w:tcW w:w="618" w:type="pct"/>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大气</w:t>
            </w:r>
          </w:p>
        </w:tc>
        <w:tc>
          <w:tcPr>
            <w:tcW w:w="874" w:type="pct"/>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预测模型</w:t>
            </w:r>
          </w:p>
        </w:tc>
        <w:tc>
          <w:tcPr>
            <w:tcW w:w="785" w:type="pct"/>
            <w:gridSpan w:val="4"/>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SLAB</w:t>
            </w:r>
            <w:r>
              <w:rPr>
                <w:rFonts w:hint="default" w:ascii="Times New Roman" w:hAnsi="Times New Roman" w:eastAsia="宋体" w:cs="Times New Roman"/>
                <w:color w:val="auto"/>
                <w:sz w:val="22"/>
                <w:szCs w:val="22"/>
                <w:u w:val="none" w:color="auto"/>
              </w:rPr>
              <w:sym w:font="Wingdings 2" w:char="00A3"/>
            </w:r>
          </w:p>
        </w:tc>
        <w:tc>
          <w:tcPr>
            <w:tcW w:w="811" w:type="pct"/>
            <w:gridSpan w:val="4"/>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rPr>
              <w:t>AFTOX□</w:t>
            </w:r>
          </w:p>
        </w:tc>
        <w:tc>
          <w:tcPr>
            <w:tcW w:w="1298" w:type="pct"/>
            <w:gridSpan w:val="5"/>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rPr>
              <w:t>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611"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618"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874" w:type="pct"/>
            <w:gridSpan w:val="3"/>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预测结果</w:t>
            </w:r>
          </w:p>
        </w:tc>
        <w:tc>
          <w:tcPr>
            <w:tcW w:w="2895" w:type="pct"/>
            <w:gridSpan w:val="1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大气毒性终点浓度-1  最大影响范围___m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611"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618"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874" w:type="pct"/>
            <w:gridSpan w:val="3"/>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2895" w:type="pct"/>
            <w:gridSpan w:val="1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大气毒性终点浓度-2  最大影响范围___m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11"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618"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地表水</w:t>
            </w:r>
          </w:p>
        </w:tc>
        <w:tc>
          <w:tcPr>
            <w:tcW w:w="3770" w:type="pct"/>
            <w:gridSpan w:val="16"/>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最近环境敏感目标_____，到达时间______h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611"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618" w:type="pct"/>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地下水</w:t>
            </w:r>
          </w:p>
        </w:tc>
        <w:tc>
          <w:tcPr>
            <w:tcW w:w="3770" w:type="pct"/>
            <w:gridSpan w:val="16"/>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下游厂区边界到达时间_____d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611"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618"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3770" w:type="pct"/>
            <w:gridSpan w:val="16"/>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最近环境敏感目标_____，到达时间______d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611" w:type="pct"/>
            <w:tcBorders>
              <w:tl2br w:val="nil"/>
              <w:tr2bl w:val="nil"/>
            </w:tcBorders>
            <w:noWrap w:val="0"/>
            <w:vAlign w:val="center"/>
          </w:tcPr>
          <w:p>
            <w:pPr>
              <w:spacing w:line="360" w:lineRule="auto"/>
              <w:jc w:val="both"/>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重点风险防范措施</w:t>
            </w:r>
          </w:p>
        </w:tc>
        <w:tc>
          <w:tcPr>
            <w:tcW w:w="4388" w:type="pct"/>
            <w:gridSpan w:val="17"/>
            <w:tcBorders>
              <w:tl2br w:val="nil"/>
              <w:tr2bl w:val="nil"/>
            </w:tcBorders>
            <w:noWrap w:val="0"/>
            <w:vAlign w:val="center"/>
          </w:tcPr>
          <w:p>
            <w:pPr>
              <w:spacing w:line="360" w:lineRule="auto"/>
              <w:jc w:val="both"/>
              <w:rPr>
                <w:rFonts w:hint="default" w:ascii="Times New Roman" w:hAnsi="Times New Roman" w:eastAsia="宋体" w:cs="Times New Roman"/>
                <w:color w:val="auto"/>
                <w:sz w:val="22"/>
                <w:szCs w:val="22"/>
                <w:u w:val="none" w:color="auto"/>
                <w:lang w:val="en-US" w:eastAsia="zh-CN"/>
              </w:rPr>
            </w:pPr>
            <w:r>
              <w:rPr>
                <w:rFonts w:hint="eastAsia" w:ascii="Times New Roman" w:hAnsi="Times New Roman" w:eastAsia="宋体" w:cs="Times New Roman"/>
                <w:color w:val="auto"/>
                <w:sz w:val="22"/>
                <w:szCs w:val="22"/>
                <w:u w:val="none" w:color="auto"/>
                <w:lang w:val="en-US" w:eastAsia="zh-CN"/>
              </w:rPr>
              <w:t>地面进行硬化处理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611"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评价结论与建议</w:t>
            </w:r>
          </w:p>
        </w:tc>
        <w:tc>
          <w:tcPr>
            <w:tcW w:w="4388" w:type="pct"/>
            <w:gridSpan w:val="17"/>
            <w:tcBorders>
              <w:tl2br w:val="nil"/>
              <w:tr2bl w:val="nil"/>
            </w:tcBorders>
            <w:noWrap w:val="0"/>
            <w:vAlign w:val="center"/>
          </w:tcPr>
          <w:p>
            <w:pPr>
              <w:spacing w:line="360" w:lineRule="auto"/>
              <w:jc w:val="both"/>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综上所述，项目存在一定风险，在采取相应的风险防范措施下，项目的风险处于环境可接受的水平，项目建设从环境风险角度分析可行</w:t>
            </w:r>
            <w:r>
              <w:rPr>
                <w:rFonts w:hint="default" w:ascii="Times New Roman" w:hAnsi="Times New Roman" w:cs="Times New Roman"/>
                <w:color w:val="auto"/>
                <w:sz w:val="22"/>
                <w:szCs w:val="22"/>
                <w:u w:val="none" w:color="auto"/>
                <w:lang w:val="en-US" w:eastAsia="zh-CN"/>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000" w:type="pct"/>
            <w:gridSpan w:val="18"/>
            <w:tcBorders>
              <w:tl2br w:val="nil"/>
              <w:tr2bl w:val="nil"/>
            </w:tcBorders>
            <w:noWrap w:val="0"/>
            <w:vAlign w:val="center"/>
          </w:tcPr>
          <w:p>
            <w:pPr>
              <w:spacing w:line="360" w:lineRule="auto"/>
              <w:jc w:val="left"/>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注：“</w:t>
            </w:r>
            <w:r>
              <w:rPr>
                <w:rFonts w:hint="default" w:ascii="Times New Roman" w:hAnsi="Times New Roman" w:eastAsia="宋体" w:cs="Times New Roman"/>
                <w:color w:val="auto"/>
                <w:sz w:val="22"/>
                <w:szCs w:val="22"/>
                <w:u w:val="none" w:color="auto"/>
              </w:rPr>
              <w:t>□</w:t>
            </w:r>
            <w:r>
              <w:rPr>
                <w:rFonts w:hint="default" w:ascii="Times New Roman" w:hAnsi="Times New Roman" w:cs="Times New Roman"/>
                <w:color w:val="auto"/>
                <w:sz w:val="22"/>
                <w:szCs w:val="22"/>
                <w:u w:val="none" w:color="auto"/>
              </w:rPr>
              <w:t>”为勾选项；“_____”为填写项</w:t>
            </w:r>
          </w:p>
        </w:tc>
      </w:tr>
    </w:tbl>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p>
    <w:p>
      <w:pPr>
        <w:pStyle w:val="5"/>
        <w:rPr>
          <w:rFonts w:hint="default" w:ascii="Times New Roman" w:hAnsi="Times New Roman" w:cs="Times New Roman"/>
          <w:b/>
          <w:bCs/>
          <w:color w:val="auto"/>
          <w:sz w:val="36"/>
          <w:szCs w:val="36"/>
          <w:u w:val="none" w:color="auto"/>
        </w:rPr>
      </w:pPr>
    </w:p>
    <w:p>
      <w:pPr>
        <w:rPr>
          <w:rFonts w:hint="default" w:ascii="Times New Roman" w:hAnsi="Times New Roman" w:cs="Times New Roman"/>
          <w:b/>
          <w:bCs/>
          <w:color w:val="auto"/>
          <w:sz w:val="36"/>
          <w:szCs w:val="36"/>
          <w:u w:val="none" w:color="auto"/>
        </w:rPr>
      </w:pPr>
    </w:p>
    <w:p>
      <w:pPr>
        <w:bidi w:val="0"/>
        <w:rPr>
          <w:rFonts w:hint="default"/>
          <w:u w:val="none" w:color="auto"/>
          <w:lang w:val="en-US" w:eastAsia="zh-CN"/>
        </w:rPr>
        <w:sectPr>
          <w:footerReference r:id="rId8" w:type="default"/>
          <w:pgSz w:w="11906" w:h="16838"/>
          <w:pgMar w:top="1418" w:right="1134" w:bottom="1418" w:left="1474" w:header="851" w:footer="992" w:gutter="0"/>
          <w:pgBorders>
            <w:top w:val="none" w:sz="0" w:space="0"/>
            <w:left w:val="none" w:sz="0" w:space="0"/>
            <w:bottom w:val="none" w:sz="0" w:space="0"/>
            <w:right w:val="none" w:sz="0" w:space="0"/>
          </w:pgBorders>
          <w:cols w:space="720" w:num="1"/>
          <w:docGrid w:type="linesAndChars" w:linePitch="324" w:charSpace="-2001"/>
        </w:sectPr>
      </w:pPr>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r>
        <w:rPr>
          <w:rFonts w:hint="default" w:ascii="Times New Roman" w:hAnsi="Times New Roman" w:cs="Times New Roman"/>
          <w:b/>
          <w:bCs/>
          <w:color w:val="auto"/>
          <w:sz w:val="36"/>
          <w:szCs w:val="36"/>
          <w:u w:val="none" w:color="auto"/>
        </w:rPr>
        <w:t>注  释</w:t>
      </w:r>
    </w:p>
    <w:p>
      <w:pPr>
        <w:keepNext w:val="0"/>
        <w:keepLines w:val="0"/>
        <w:pageBreakBefore w:val="0"/>
        <w:widowControl w:val="0"/>
        <w:numPr>
          <w:ilvl w:val="0"/>
          <w:numId w:val="8"/>
        </w:numPr>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本报告表附以下附件、附图：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附件1  委托书</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rPr>
        <w:t xml:space="preserve">附件2  </w:t>
      </w:r>
      <w:r>
        <w:rPr>
          <w:rFonts w:hint="default" w:ascii="Times New Roman" w:hAnsi="Times New Roman" w:cs="Times New Roman"/>
          <w:color w:val="auto"/>
          <w:sz w:val="24"/>
          <w:szCs w:val="24"/>
          <w:u w:val="none" w:color="auto"/>
          <w:lang w:eastAsia="zh-CN"/>
        </w:rPr>
        <w:t>营业执照</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rPr>
        <w:t xml:space="preserve">附件3  </w:t>
      </w:r>
      <w:r>
        <w:rPr>
          <w:rFonts w:hint="eastAsia" w:ascii="Times New Roman" w:hAnsi="Times New Roman" w:cs="Times New Roman"/>
          <w:color w:val="auto"/>
          <w:sz w:val="24"/>
          <w:szCs w:val="24"/>
          <w:u w:val="none" w:color="auto"/>
          <w:lang w:eastAsia="zh-CN"/>
        </w:rPr>
        <w:t>租赁合同</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rPr>
        <w:t xml:space="preserve">附件4  </w:t>
      </w:r>
      <w:r>
        <w:rPr>
          <w:rFonts w:hint="eastAsia" w:ascii="Times New Roman" w:hAnsi="Times New Roman" w:cs="Times New Roman"/>
          <w:color w:val="auto"/>
          <w:sz w:val="24"/>
          <w:szCs w:val="24"/>
          <w:u w:val="none" w:color="auto"/>
          <w:lang w:eastAsia="zh-CN"/>
        </w:rPr>
        <w:t>行政处罚决定书</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附件</w:t>
      </w:r>
      <w:r>
        <w:rPr>
          <w:rFonts w:hint="eastAsia"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lang w:val="en-US" w:eastAsia="zh-CN"/>
        </w:rPr>
        <w:t xml:space="preserve">  </w:t>
      </w:r>
      <w:r>
        <w:rPr>
          <w:rFonts w:hint="eastAsia" w:cs="Times New Roman"/>
          <w:color w:val="auto"/>
          <w:sz w:val="24"/>
          <w:szCs w:val="24"/>
          <w:u w:val="none" w:color="auto"/>
          <w:lang w:val="en-US" w:eastAsia="zh-CN"/>
        </w:rPr>
        <w:t>环评监测</w:t>
      </w:r>
      <w:r>
        <w:rPr>
          <w:rFonts w:hint="eastAsia" w:ascii="Times New Roman" w:hAnsi="Times New Roman" w:cs="Times New Roman"/>
          <w:color w:val="auto"/>
          <w:sz w:val="24"/>
          <w:szCs w:val="24"/>
          <w:u w:val="none" w:color="auto"/>
          <w:lang w:val="en-US" w:eastAsia="zh-CN"/>
        </w:rPr>
        <w:t>报告及质保单</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cs="Times New Roman"/>
          <w:color w:val="auto"/>
          <w:sz w:val="24"/>
          <w:szCs w:val="24"/>
          <w:u w:val="none" w:color="auto"/>
          <w:lang w:val="en-US" w:eastAsia="zh-CN"/>
        </w:rPr>
      </w:pPr>
      <w:r>
        <w:rPr>
          <w:rFonts w:hint="eastAsia" w:cs="Times New Roman"/>
          <w:color w:val="auto"/>
          <w:sz w:val="24"/>
          <w:szCs w:val="24"/>
          <w:u w:val="none" w:color="auto"/>
          <w:lang w:val="en-US" w:eastAsia="zh-CN"/>
        </w:rPr>
        <w:t>附件6  建设项目乡镇意见</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rPr>
        <w:t>附件7  专家意见及专家签到表</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附图1  本项目地理位置图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rPr>
        <w:t>附图2  本项目总平面布置图</w:t>
      </w:r>
      <w:r>
        <w:rPr>
          <w:rFonts w:hint="eastAsia" w:cs="Times New Roman"/>
          <w:color w:val="auto"/>
          <w:sz w:val="24"/>
          <w:szCs w:val="24"/>
          <w:u w:val="none" w:color="auto"/>
          <w:lang w:eastAsia="zh-CN"/>
        </w:rPr>
        <w:t>及四至图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附图3  声环境</w:t>
      </w:r>
      <w:r>
        <w:rPr>
          <w:rFonts w:hint="eastAsia" w:cs="Times New Roman"/>
          <w:color w:val="auto"/>
          <w:sz w:val="24"/>
          <w:szCs w:val="24"/>
          <w:u w:val="none" w:color="auto"/>
          <w:lang w:eastAsia="zh-CN"/>
        </w:rPr>
        <w:t>、地表水环境、无组织废气</w:t>
      </w:r>
      <w:r>
        <w:rPr>
          <w:rFonts w:hint="default" w:ascii="Times New Roman" w:hAnsi="Times New Roman" w:cs="Times New Roman"/>
          <w:color w:val="auto"/>
          <w:sz w:val="24"/>
          <w:szCs w:val="24"/>
          <w:u w:val="none" w:color="auto"/>
        </w:rPr>
        <w:t>现状监测点位图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rPr>
        <w:t>附图</w:t>
      </w:r>
      <w:r>
        <w:rPr>
          <w:rFonts w:hint="eastAsia" w:ascii="Times New Roman" w:hAnsi="Times New Roman" w:cs="Times New Roman"/>
          <w:color w:val="auto"/>
          <w:sz w:val="24"/>
          <w:szCs w:val="24"/>
          <w:u w:val="none" w:color="auto"/>
          <w:lang w:val="en-US" w:eastAsia="zh-CN"/>
        </w:rPr>
        <w:t>4</w:t>
      </w:r>
      <w:r>
        <w:rPr>
          <w:rFonts w:hint="eastAsia" w:cs="Times New Roman"/>
          <w:color w:val="auto"/>
          <w:sz w:val="24"/>
          <w:szCs w:val="24"/>
          <w:u w:val="none" w:color="auto"/>
          <w:lang w:val="en-US" w:eastAsia="zh-CN"/>
        </w:rPr>
        <w:t>-1</w:t>
      </w:r>
      <w:r>
        <w:rPr>
          <w:rFonts w:hint="default" w:ascii="Times New Roman" w:hAnsi="Times New Roman" w:cs="Times New Roman"/>
          <w:color w:val="auto"/>
          <w:sz w:val="24"/>
          <w:szCs w:val="24"/>
          <w:u w:val="none" w:color="auto"/>
        </w:rPr>
        <w:t xml:space="preserve">  本项目周边环保目标分布图</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200m范围内</w:t>
      </w:r>
      <w:r>
        <w:rPr>
          <w:rFonts w:hint="eastAsia" w:cs="Times New Roman"/>
          <w:color w:val="auto"/>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附图</w:t>
      </w:r>
      <w:r>
        <w:rPr>
          <w:rFonts w:hint="eastAsia" w:ascii="Times New Roman" w:hAnsi="Times New Roman" w:cs="Times New Roman"/>
          <w:color w:val="auto"/>
          <w:sz w:val="24"/>
          <w:szCs w:val="24"/>
          <w:u w:val="none" w:color="auto"/>
          <w:lang w:val="en-US" w:eastAsia="zh-CN"/>
        </w:rPr>
        <w:t>4</w:t>
      </w:r>
      <w:r>
        <w:rPr>
          <w:rFonts w:hint="eastAsia"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rPr>
        <w:t xml:space="preserve">  本项目周边环保目标分布图</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200m范围外</w:t>
      </w:r>
      <w:r>
        <w:rPr>
          <w:rFonts w:hint="eastAsia" w:cs="Times New Roman"/>
          <w:color w:val="auto"/>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附图</w:t>
      </w:r>
      <w:r>
        <w:rPr>
          <w:rFonts w:hint="eastAsia" w:ascii="Times New Roman" w:hAnsi="Times New Roman"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lang w:val="en-US" w:eastAsia="zh-CN"/>
        </w:rPr>
        <w:t xml:space="preserve">  项目现场照片</w:t>
      </w:r>
    </w:p>
    <w:p>
      <w:pPr>
        <w:keepNext w:val="0"/>
        <w:keepLines w:val="0"/>
        <w:pageBreakBefore w:val="0"/>
        <w:widowControl w:val="0"/>
        <w:numPr>
          <w:ilvl w:val="0"/>
          <w:numId w:val="8"/>
        </w:numPr>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如果本报告表不能说明工程产生的污染及对环境造成的影响，应进行专项评价。根据建设工程的特点和当地环境特征，应选下列1~2项进行专项评价。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 大气环境影响专项评价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2. 水环境影响专项评价(包括地表水和地下水)</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3. 生态影响专项评价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4. 声影响专项评价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5. 土壤影响专项评价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6. 固体废物影响专项评价</w:t>
      </w:r>
    </w:p>
    <w:p>
      <w:pPr>
        <w:rPr>
          <w:u w:val="none" w:color="auto"/>
        </w:rPr>
      </w:pPr>
      <w:r>
        <w:rPr>
          <w:rFonts w:hint="default" w:ascii="Times New Roman" w:hAnsi="Times New Roman" w:cs="Times New Roman"/>
          <w:color w:val="auto"/>
          <w:sz w:val="24"/>
          <w:szCs w:val="24"/>
          <w:u w:val="none" w:color="auto"/>
        </w:rPr>
        <w:t>以上专项评价中未包括的另列专项，专项评价按照《环境影响评价技术导则》中的要求进行</w:t>
      </w:r>
    </w:p>
    <w:p>
      <w:pPr>
        <w:pStyle w:val="38"/>
        <w:ind w:left="0" w:leftChars="0" w:firstLine="0" w:firstLineChars="0"/>
        <w:rPr>
          <w:rFonts w:hint="default" w:eastAsia="宋体"/>
          <w:u w:val="none" w:color="auto"/>
          <w:lang w:val="en-US" w:eastAsia="zh-CN"/>
        </w:rPr>
      </w:pPr>
      <w:bookmarkStart w:id="15" w:name="_GoBack"/>
      <w:bookmarkEnd w:id="15"/>
    </w:p>
    <w:sectPr>
      <w:pgSz w:w="11906" w:h="16838"/>
      <w:pgMar w:top="1417" w:right="1134" w:bottom="1417" w:left="1474" w:header="851" w:footer="992" w:gutter="0"/>
      <w:paperSrc/>
      <w:pgBorders>
        <w:top w:val="none" w:sz="0" w:space="0"/>
        <w:left w:val="none" w:sz="0" w:space="0"/>
        <w:bottom w:val="none" w:sz="0" w:space="0"/>
        <w:right w:val="none" w:sz="0" w:space="0"/>
      </w:pgBorders>
      <w:cols w:space="0" w:num="1"/>
      <w:rtlGutter w:val="0"/>
      <w:docGrid w:type="linesAndChars" w:linePitch="332" w:charSpace="-16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font-weight : 400">
    <w:altName w:val="Courier New"/>
    <w:panose1 w:val="00000000000000000000"/>
    <w:charset w:val="00"/>
    <w:family w:val="auto"/>
    <w:pitch w:val="default"/>
    <w:sig w:usb0="00000000" w:usb1="00000000" w:usb2="00000000" w:usb3="00000000" w:csb0="00040001" w:csb1="00000000"/>
  </w:font>
  <w:font w:name="CG Times (W1)">
    <w:altName w:val="Times New Roman"/>
    <w:panose1 w:val="00000000000000000000"/>
    <w:charset w:val="00"/>
    <w:family w:val="modern"/>
    <w:pitch w:val="default"/>
    <w:sig w:usb0="00000000" w:usb1="00000000" w:usb2="00000000" w:usb3="00000000" w:csb0="00000001" w:csb1="00000000"/>
  </w:font>
  <w:font w:name="仿宋体">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450"/>
        <w:tab w:val="clear" w:pos="4153"/>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qXm5zwAAAAUBAAAPAAAAAAAAAAEAIAAAACIAAABkcnMvZG93bnJl&#10;di54bWxQSwECFAAUAAAACACHTuJAyzpWPQYCAAAFBAAADgAAAAAAAAABACAAAAAeAQAAZHJzL2Uy&#10;b0RvYy54bWxQSwUGAAAAAAYABgBZAQAAlgUAAAAA&#10;">
              <v:fill on="f" focussize="0,0"/>
              <v:stroke on="f"/>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1905" t="0" r="0" b="0"/>
              <wp:wrapNone/>
              <wp:docPr id="2"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CdfLJxCgIAAAEEAAAOAAAAAAAAAAEAIAAAAB8BAABk&#10;cnMvZTJvRG9jLnhtbFBLBQYAAAAABgAGAFkBAACbBQAAAAA=&#10;">
              <v:fill on="f" focussize="0,0"/>
              <v:stroke on="f"/>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1905" t="0" r="0" b="3810"/>
              <wp:wrapNone/>
              <wp:docPr id="1"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XdKY7AsCAAACBAAADgAAAAAAAAABACAAAAAfAQAA&#10;ZHJzL2Uyb0RvYy54bWxQSwUGAAAAAAYABgBZAQAAnAUAAAAA&#10;">
              <v:fill on="f" focussize="0,0"/>
              <v:stroke on="f"/>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7667"/>
        <w:tab w:val="clear" w:pos="4153"/>
      </w:tabs>
    </w:pPr>
    <w:r>
      <w:rPr>
        <w:rFonts w:hint="eastAsia"/>
        <w:szCs w:val="18"/>
        <w:lang w:eastAsia="zh-CN"/>
      </w:rPr>
      <w:t>年产5000套办公家具建设项目</w:t>
    </w:r>
    <w:r>
      <w:rPr>
        <w:szCs w:val="18"/>
      </w:rPr>
      <w:t>环境影响报告表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573DEC"/>
    <w:multiLevelType w:val="singleLevel"/>
    <w:tmpl w:val="EE573DEC"/>
    <w:lvl w:ilvl="0" w:tentative="0">
      <w:start w:val="1"/>
      <w:numFmt w:val="decimal"/>
      <w:pStyle w:val="28"/>
      <w:lvlText w:val="%1."/>
      <w:lvlJc w:val="left"/>
      <w:pPr>
        <w:tabs>
          <w:tab w:val="left" w:pos="6902"/>
        </w:tabs>
        <w:ind w:left="6902" w:hanging="360"/>
      </w:pPr>
    </w:lvl>
  </w:abstractNum>
  <w:abstractNum w:abstractNumId="1">
    <w:nsid w:val="00000006"/>
    <w:multiLevelType w:val="multilevel"/>
    <w:tmpl w:val="00000006"/>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lvlText w:val="%2."/>
      <w:lvlJc w:val="left"/>
      <w:pPr>
        <w:ind w:left="0" w:firstLine="0"/>
      </w:pPr>
      <w:rPr>
        <w:rFonts w:hint="eastAsia"/>
        <w:b w:val="0"/>
        <w:i w:val="0"/>
        <w:sz w:val="32"/>
        <w:szCs w:val="32"/>
      </w:rPr>
    </w:lvl>
    <w:lvl w:ilvl="2" w:tentative="0">
      <w:start w:val="1"/>
      <w:numFmt w:val="decimal"/>
      <w:pStyle w:val="53"/>
      <w:suff w:val="nothing"/>
      <w:lvlText w:val="%1%2.%3　"/>
      <w:lvlJc w:val="left"/>
      <w:pPr>
        <w:ind w:left="426" w:firstLine="0"/>
      </w:pPr>
      <w:rPr>
        <w:rFonts w:hint="eastAsia" w:ascii="黑体" w:hAnsi="Times New Roman" w:eastAsia="黑体"/>
        <w:b w:val="0"/>
        <w:i w:val="0"/>
        <w:sz w:val="28"/>
        <w:szCs w:val="28"/>
      </w:rPr>
    </w:lvl>
    <w:lvl w:ilvl="3" w:tentative="0">
      <w:start w:val="1"/>
      <w:numFmt w:val="decimal"/>
      <w:pStyle w:val="52"/>
      <w:suff w:val="nothing"/>
      <w:lvlText w:val="%1%2.%3.%4　"/>
      <w:lvlJc w:val="left"/>
      <w:pPr>
        <w:ind w:left="0" w:firstLine="0"/>
      </w:pPr>
      <w:rPr>
        <w:rFonts w:hint="eastAsia" w:ascii="黑体" w:hAnsi="Times New Roman" w:eastAsia="黑体"/>
        <w:b w:val="0"/>
        <w:i w:val="0"/>
        <w:sz w:val="24"/>
        <w:szCs w:val="24"/>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0000000E"/>
    <w:multiLevelType w:val="singleLevel"/>
    <w:tmpl w:val="0000000E"/>
    <w:lvl w:ilvl="0" w:tentative="0">
      <w:start w:val="1"/>
      <w:numFmt w:val="chineseCounting"/>
      <w:suff w:val="nothing"/>
      <w:lvlText w:val="%1、"/>
      <w:lvlJc w:val="left"/>
    </w:lvl>
  </w:abstractNum>
  <w:abstractNum w:abstractNumId="3">
    <w:nsid w:val="0F722FDC"/>
    <w:multiLevelType w:val="multilevel"/>
    <w:tmpl w:val="0F722FDC"/>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9D19AE"/>
    <w:multiLevelType w:val="singleLevel"/>
    <w:tmpl w:val="589D19AE"/>
    <w:lvl w:ilvl="0" w:tentative="0">
      <w:start w:val="1"/>
      <w:numFmt w:val="decimal"/>
      <w:suff w:val="nothing"/>
      <w:lvlText w:val="（%1）"/>
      <w:lvlJc w:val="left"/>
    </w:lvl>
  </w:abstractNum>
  <w:abstractNum w:abstractNumId="5">
    <w:nsid w:val="58F2FF14"/>
    <w:multiLevelType w:val="singleLevel"/>
    <w:tmpl w:val="58F2FF14"/>
    <w:lvl w:ilvl="0" w:tentative="0">
      <w:start w:val="2"/>
      <w:numFmt w:val="decimal"/>
      <w:suff w:val="nothing"/>
      <w:lvlText w:val="%1、"/>
      <w:lvlJc w:val="left"/>
    </w:lvl>
  </w:abstractNum>
  <w:abstractNum w:abstractNumId="6">
    <w:nsid w:val="621F0DDE"/>
    <w:multiLevelType w:val="multilevel"/>
    <w:tmpl w:val="621F0DDE"/>
    <w:lvl w:ilvl="0" w:tentative="0">
      <w:start w:val="1"/>
      <w:numFmt w:val="japaneseCounting"/>
      <w:pStyle w:val="12"/>
      <w:lvlText w:val="%1、"/>
      <w:lvlJc w:val="left"/>
      <w:pPr>
        <w:tabs>
          <w:tab w:val="left" w:pos="962"/>
        </w:tabs>
        <w:ind w:left="962" w:hanging="480"/>
      </w:pPr>
      <w:rPr>
        <w:rFonts w:hint="default"/>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7">
    <w:nsid w:val="666576E2"/>
    <w:multiLevelType w:val="singleLevel"/>
    <w:tmpl w:val="666576E2"/>
    <w:lvl w:ilvl="0" w:tentative="0">
      <w:start w:val="1"/>
      <w:numFmt w:val="decimal"/>
      <w:suff w:val="nothing"/>
      <w:lvlText w:val="%1、"/>
      <w:lvlJc w:val="left"/>
    </w:lvl>
  </w:abstractNum>
  <w:num w:numId="1">
    <w:abstractNumId w:val="6"/>
  </w:num>
  <w:num w:numId="2">
    <w:abstractNumId w:val="0"/>
  </w:num>
  <w:num w:numId="3">
    <w:abstractNumId w:val="1"/>
  </w:num>
  <w:num w:numId="4">
    <w:abstractNumId w:val="4"/>
  </w:num>
  <w:num w:numId="5">
    <w:abstractNumId w:val="3"/>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1"/>
  <w:drawingGridVerticalSpacing w:val="166"/>
  <w:displayHorizontalDrawingGridEvery w:val="2"/>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D0"/>
    <w:rsid w:val="0000160B"/>
    <w:rsid w:val="000026D9"/>
    <w:rsid w:val="00002AE4"/>
    <w:rsid w:val="00006E26"/>
    <w:rsid w:val="000122A5"/>
    <w:rsid w:val="00013A83"/>
    <w:rsid w:val="00017209"/>
    <w:rsid w:val="000210A2"/>
    <w:rsid w:val="00031DA1"/>
    <w:rsid w:val="00033313"/>
    <w:rsid w:val="00034232"/>
    <w:rsid w:val="00034B96"/>
    <w:rsid w:val="0003541E"/>
    <w:rsid w:val="00036963"/>
    <w:rsid w:val="00037E3C"/>
    <w:rsid w:val="00040F1C"/>
    <w:rsid w:val="000423BC"/>
    <w:rsid w:val="00043577"/>
    <w:rsid w:val="000435F3"/>
    <w:rsid w:val="00043CA2"/>
    <w:rsid w:val="00044092"/>
    <w:rsid w:val="00044145"/>
    <w:rsid w:val="00045F96"/>
    <w:rsid w:val="000461C5"/>
    <w:rsid w:val="00046D1B"/>
    <w:rsid w:val="00054858"/>
    <w:rsid w:val="00055614"/>
    <w:rsid w:val="00055FE1"/>
    <w:rsid w:val="000564D4"/>
    <w:rsid w:val="00057513"/>
    <w:rsid w:val="00060986"/>
    <w:rsid w:val="0006505F"/>
    <w:rsid w:val="00066EE4"/>
    <w:rsid w:val="0006777B"/>
    <w:rsid w:val="00080666"/>
    <w:rsid w:val="00081D7C"/>
    <w:rsid w:val="00083B87"/>
    <w:rsid w:val="00084610"/>
    <w:rsid w:val="000852BD"/>
    <w:rsid w:val="0009217D"/>
    <w:rsid w:val="00093BD6"/>
    <w:rsid w:val="00096071"/>
    <w:rsid w:val="000962CF"/>
    <w:rsid w:val="00096C15"/>
    <w:rsid w:val="000A08B6"/>
    <w:rsid w:val="000A139F"/>
    <w:rsid w:val="000A2CCB"/>
    <w:rsid w:val="000A4674"/>
    <w:rsid w:val="000A6B56"/>
    <w:rsid w:val="000A6BE3"/>
    <w:rsid w:val="000A7206"/>
    <w:rsid w:val="000A79D4"/>
    <w:rsid w:val="000B217A"/>
    <w:rsid w:val="000B2F17"/>
    <w:rsid w:val="000B7022"/>
    <w:rsid w:val="000C0211"/>
    <w:rsid w:val="000C2A6F"/>
    <w:rsid w:val="000C35A3"/>
    <w:rsid w:val="000C514F"/>
    <w:rsid w:val="000C70EB"/>
    <w:rsid w:val="000C7DEF"/>
    <w:rsid w:val="000D0277"/>
    <w:rsid w:val="000D09A4"/>
    <w:rsid w:val="000D3C5B"/>
    <w:rsid w:val="000D3E66"/>
    <w:rsid w:val="000D7FE9"/>
    <w:rsid w:val="000E7226"/>
    <w:rsid w:val="000E7D99"/>
    <w:rsid w:val="000F1C1E"/>
    <w:rsid w:val="000F1FEF"/>
    <w:rsid w:val="000F2DB2"/>
    <w:rsid w:val="000F458B"/>
    <w:rsid w:val="000F49F3"/>
    <w:rsid w:val="000F58D5"/>
    <w:rsid w:val="000F6C7B"/>
    <w:rsid w:val="00101077"/>
    <w:rsid w:val="00102286"/>
    <w:rsid w:val="0010284E"/>
    <w:rsid w:val="00111C91"/>
    <w:rsid w:val="001123C0"/>
    <w:rsid w:val="0011388B"/>
    <w:rsid w:val="001138C9"/>
    <w:rsid w:val="00113D94"/>
    <w:rsid w:val="00115B96"/>
    <w:rsid w:val="0012211C"/>
    <w:rsid w:val="00124092"/>
    <w:rsid w:val="00124D30"/>
    <w:rsid w:val="00125707"/>
    <w:rsid w:val="00126619"/>
    <w:rsid w:val="00126D58"/>
    <w:rsid w:val="001313B6"/>
    <w:rsid w:val="00131552"/>
    <w:rsid w:val="001340C6"/>
    <w:rsid w:val="00134706"/>
    <w:rsid w:val="00135AF9"/>
    <w:rsid w:val="00136143"/>
    <w:rsid w:val="00143B16"/>
    <w:rsid w:val="00146989"/>
    <w:rsid w:val="001469CC"/>
    <w:rsid w:val="00150C66"/>
    <w:rsid w:val="00150F74"/>
    <w:rsid w:val="00153DD6"/>
    <w:rsid w:val="00153ED3"/>
    <w:rsid w:val="00154252"/>
    <w:rsid w:val="00161F27"/>
    <w:rsid w:val="00163675"/>
    <w:rsid w:val="00167386"/>
    <w:rsid w:val="00172A27"/>
    <w:rsid w:val="0017512B"/>
    <w:rsid w:val="00175F80"/>
    <w:rsid w:val="001826DE"/>
    <w:rsid w:val="00182B96"/>
    <w:rsid w:val="00184357"/>
    <w:rsid w:val="001854E9"/>
    <w:rsid w:val="00185A07"/>
    <w:rsid w:val="0018609B"/>
    <w:rsid w:val="00187806"/>
    <w:rsid w:val="00187DAB"/>
    <w:rsid w:val="00187E34"/>
    <w:rsid w:val="001918A7"/>
    <w:rsid w:val="00194C80"/>
    <w:rsid w:val="0019510A"/>
    <w:rsid w:val="00195EDD"/>
    <w:rsid w:val="001A168D"/>
    <w:rsid w:val="001A4313"/>
    <w:rsid w:val="001A454D"/>
    <w:rsid w:val="001B0AFD"/>
    <w:rsid w:val="001B1766"/>
    <w:rsid w:val="001B1A48"/>
    <w:rsid w:val="001C1C09"/>
    <w:rsid w:val="001C273F"/>
    <w:rsid w:val="001D23F8"/>
    <w:rsid w:val="001D4EAE"/>
    <w:rsid w:val="001E1D10"/>
    <w:rsid w:val="001E2E76"/>
    <w:rsid w:val="001F072F"/>
    <w:rsid w:val="001F0A18"/>
    <w:rsid w:val="001F1929"/>
    <w:rsid w:val="001F26C3"/>
    <w:rsid w:val="001F29D8"/>
    <w:rsid w:val="001F30E9"/>
    <w:rsid w:val="001F338C"/>
    <w:rsid w:val="001F3458"/>
    <w:rsid w:val="002009F8"/>
    <w:rsid w:val="00201D54"/>
    <w:rsid w:val="00203D9B"/>
    <w:rsid w:val="0020440C"/>
    <w:rsid w:val="00210ACF"/>
    <w:rsid w:val="00212419"/>
    <w:rsid w:val="00213FC0"/>
    <w:rsid w:val="00222C8D"/>
    <w:rsid w:val="0022316C"/>
    <w:rsid w:val="00223502"/>
    <w:rsid w:val="00223791"/>
    <w:rsid w:val="00226A1F"/>
    <w:rsid w:val="00230B07"/>
    <w:rsid w:val="00232E12"/>
    <w:rsid w:val="002352A4"/>
    <w:rsid w:val="002364F0"/>
    <w:rsid w:val="0024212E"/>
    <w:rsid w:val="002438D3"/>
    <w:rsid w:val="002439B6"/>
    <w:rsid w:val="00245793"/>
    <w:rsid w:val="002458B2"/>
    <w:rsid w:val="0024711D"/>
    <w:rsid w:val="00251B48"/>
    <w:rsid w:val="00252976"/>
    <w:rsid w:val="002535D9"/>
    <w:rsid w:val="002558D2"/>
    <w:rsid w:val="002561EB"/>
    <w:rsid w:val="00256EBD"/>
    <w:rsid w:val="002608BC"/>
    <w:rsid w:val="00266081"/>
    <w:rsid w:val="00267920"/>
    <w:rsid w:val="002710A7"/>
    <w:rsid w:val="00272E74"/>
    <w:rsid w:val="002743E7"/>
    <w:rsid w:val="002746C7"/>
    <w:rsid w:val="00274D8E"/>
    <w:rsid w:val="00275EC7"/>
    <w:rsid w:val="00277558"/>
    <w:rsid w:val="00282994"/>
    <w:rsid w:val="00286B05"/>
    <w:rsid w:val="00286CEC"/>
    <w:rsid w:val="0028788E"/>
    <w:rsid w:val="002904FC"/>
    <w:rsid w:val="00290A50"/>
    <w:rsid w:val="00291059"/>
    <w:rsid w:val="00294554"/>
    <w:rsid w:val="00296D93"/>
    <w:rsid w:val="0029777A"/>
    <w:rsid w:val="002A1195"/>
    <w:rsid w:val="002A52D0"/>
    <w:rsid w:val="002A6CF1"/>
    <w:rsid w:val="002A6F41"/>
    <w:rsid w:val="002A725B"/>
    <w:rsid w:val="002A7D95"/>
    <w:rsid w:val="002B1D2A"/>
    <w:rsid w:val="002B372E"/>
    <w:rsid w:val="002B658C"/>
    <w:rsid w:val="002B6F77"/>
    <w:rsid w:val="002B7638"/>
    <w:rsid w:val="002C06B4"/>
    <w:rsid w:val="002C13E6"/>
    <w:rsid w:val="002C3520"/>
    <w:rsid w:val="002C35D8"/>
    <w:rsid w:val="002C46E9"/>
    <w:rsid w:val="002C48CD"/>
    <w:rsid w:val="002C620C"/>
    <w:rsid w:val="002C622A"/>
    <w:rsid w:val="002C6E6C"/>
    <w:rsid w:val="002C78B3"/>
    <w:rsid w:val="002D0E6F"/>
    <w:rsid w:val="002D1000"/>
    <w:rsid w:val="002D69B4"/>
    <w:rsid w:val="002E127B"/>
    <w:rsid w:val="002E2069"/>
    <w:rsid w:val="002E2992"/>
    <w:rsid w:val="002E4B01"/>
    <w:rsid w:val="002E7846"/>
    <w:rsid w:val="002E7CAB"/>
    <w:rsid w:val="002F4230"/>
    <w:rsid w:val="002F4398"/>
    <w:rsid w:val="002F5A32"/>
    <w:rsid w:val="00301A0E"/>
    <w:rsid w:val="00301FCA"/>
    <w:rsid w:val="00303782"/>
    <w:rsid w:val="00303BA3"/>
    <w:rsid w:val="00303CFF"/>
    <w:rsid w:val="003058A6"/>
    <w:rsid w:val="0031034B"/>
    <w:rsid w:val="00310CC2"/>
    <w:rsid w:val="00312BAA"/>
    <w:rsid w:val="00312E9A"/>
    <w:rsid w:val="00314549"/>
    <w:rsid w:val="00315C84"/>
    <w:rsid w:val="003172E1"/>
    <w:rsid w:val="00317EEC"/>
    <w:rsid w:val="003240F9"/>
    <w:rsid w:val="00330A50"/>
    <w:rsid w:val="003318DE"/>
    <w:rsid w:val="00332FEF"/>
    <w:rsid w:val="003423C6"/>
    <w:rsid w:val="003427C4"/>
    <w:rsid w:val="00342C34"/>
    <w:rsid w:val="00343418"/>
    <w:rsid w:val="0034408A"/>
    <w:rsid w:val="0034675D"/>
    <w:rsid w:val="00352E8A"/>
    <w:rsid w:val="003545C9"/>
    <w:rsid w:val="00355845"/>
    <w:rsid w:val="00355E60"/>
    <w:rsid w:val="00362679"/>
    <w:rsid w:val="00362FA3"/>
    <w:rsid w:val="00364CA1"/>
    <w:rsid w:val="003663AA"/>
    <w:rsid w:val="00366E3E"/>
    <w:rsid w:val="0036790D"/>
    <w:rsid w:val="00375076"/>
    <w:rsid w:val="00383711"/>
    <w:rsid w:val="003849DA"/>
    <w:rsid w:val="00385FC7"/>
    <w:rsid w:val="00387316"/>
    <w:rsid w:val="003933F8"/>
    <w:rsid w:val="003A09A0"/>
    <w:rsid w:val="003A0A93"/>
    <w:rsid w:val="003A6254"/>
    <w:rsid w:val="003A645D"/>
    <w:rsid w:val="003A671A"/>
    <w:rsid w:val="003B04A1"/>
    <w:rsid w:val="003B5555"/>
    <w:rsid w:val="003B5FC1"/>
    <w:rsid w:val="003B6B31"/>
    <w:rsid w:val="003C36CB"/>
    <w:rsid w:val="003C3873"/>
    <w:rsid w:val="003C4293"/>
    <w:rsid w:val="003C6BA1"/>
    <w:rsid w:val="003D09C5"/>
    <w:rsid w:val="003D1BA5"/>
    <w:rsid w:val="003D4B31"/>
    <w:rsid w:val="003D6DD6"/>
    <w:rsid w:val="003E2520"/>
    <w:rsid w:val="003E2D7A"/>
    <w:rsid w:val="003E701F"/>
    <w:rsid w:val="003F3D22"/>
    <w:rsid w:val="003F5853"/>
    <w:rsid w:val="003F7A40"/>
    <w:rsid w:val="00402994"/>
    <w:rsid w:val="00403443"/>
    <w:rsid w:val="00404534"/>
    <w:rsid w:val="004054D6"/>
    <w:rsid w:val="00406392"/>
    <w:rsid w:val="00407D82"/>
    <w:rsid w:val="00414039"/>
    <w:rsid w:val="00417F91"/>
    <w:rsid w:val="0042045D"/>
    <w:rsid w:val="00420C30"/>
    <w:rsid w:val="00421BE1"/>
    <w:rsid w:val="00422319"/>
    <w:rsid w:val="00426917"/>
    <w:rsid w:val="00426B7E"/>
    <w:rsid w:val="00426F73"/>
    <w:rsid w:val="0043166A"/>
    <w:rsid w:val="004318C3"/>
    <w:rsid w:val="00432C0C"/>
    <w:rsid w:val="00434857"/>
    <w:rsid w:val="00436D01"/>
    <w:rsid w:val="004405F1"/>
    <w:rsid w:val="00444C35"/>
    <w:rsid w:val="00446333"/>
    <w:rsid w:val="00460467"/>
    <w:rsid w:val="004606AC"/>
    <w:rsid w:val="00460C8F"/>
    <w:rsid w:val="00461283"/>
    <w:rsid w:val="00465D29"/>
    <w:rsid w:val="00471F5F"/>
    <w:rsid w:val="00472E0A"/>
    <w:rsid w:val="00476604"/>
    <w:rsid w:val="00476D6A"/>
    <w:rsid w:val="00480A45"/>
    <w:rsid w:val="00481550"/>
    <w:rsid w:val="00483514"/>
    <w:rsid w:val="00483709"/>
    <w:rsid w:val="00483901"/>
    <w:rsid w:val="00490D19"/>
    <w:rsid w:val="00494476"/>
    <w:rsid w:val="004964A0"/>
    <w:rsid w:val="0049672A"/>
    <w:rsid w:val="00497423"/>
    <w:rsid w:val="004A0056"/>
    <w:rsid w:val="004A0881"/>
    <w:rsid w:val="004A0F2F"/>
    <w:rsid w:val="004A175B"/>
    <w:rsid w:val="004A1D68"/>
    <w:rsid w:val="004A1E2E"/>
    <w:rsid w:val="004A261E"/>
    <w:rsid w:val="004B1970"/>
    <w:rsid w:val="004B1D9A"/>
    <w:rsid w:val="004B2251"/>
    <w:rsid w:val="004B77DF"/>
    <w:rsid w:val="004C0D5E"/>
    <w:rsid w:val="004C3DB2"/>
    <w:rsid w:val="004C461D"/>
    <w:rsid w:val="004C7670"/>
    <w:rsid w:val="004D3FC9"/>
    <w:rsid w:val="004D7919"/>
    <w:rsid w:val="004E0539"/>
    <w:rsid w:val="004E0A02"/>
    <w:rsid w:val="004E1CE7"/>
    <w:rsid w:val="004E26E1"/>
    <w:rsid w:val="004E46DD"/>
    <w:rsid w:val="004E513A"/>
    <w:rsid w:val="004E7A8C"/>
    <w:rsid w:val="004F180C"/>
    <w:rsid w:val="004F1B4C"/>
    <w:rsid w:val="004F444A"/>
    <w:rsid w:val="004F4BF2"/>
    <w:rsid w:val="004F6488"/>
    <w:rsid w:val="004F6625"/>
    <w:rsid w:val="00500C89"/>
    <w:rsid w:val="00501B8E"/>
    <w:rsid w:val="00506253"/>
    <w:rsid w:val="00506931"/>
    <w:rsid w:val="005103B7"/>
    <w:rsid w:val="00510AF7"/>
    <w:rsid w:val="005235DC"/>
    <w:rsid w:val="00524F88"/>
    <w:rsid w:val="00525304"/>
    <w:rsid w:val="0052666B"/>
    <w:rsid w:val="005328F4"/>
    <w:rsid w:val="005355D7"/>
    <w:rsid w:val="005359EE"/>
    <w:rsid w:val="00536288"/>
    <w:rsid w:val="0053699E"/>
    <w:rsid w:val="005369EE"/>
    <w:rsid w:val="00541678"/>
    <w:rsid w:val="00546738"/>
    <w:rsid w:val="005507F5"/>
    <w:rsid w:val="0055674B"/>
    <w:rsid w:val="00560DCC"/>
    <w:rsid w:val="00562036"/>
    <w:rsid w:val="00562FF7"/>
    <w:rsid w:val="00564816"/>
    <w:rsid w:val="00565156"/>
    <w:rsid w:val="0056625F"/>
    <w:rsid w:val="00566DE8"/>
    <w:rsid w:val="00567C72"/>
    <w:rsid w:val="00572867"/>
    <w:rsid w:val="00574B81"/>
    <w:rsid w:val="00575277"/>
    <w:rsid w:val="00575DEF"/>
    <w:rsid w:val="00583D11"/>
    <w:rsid w:val="00586A9D"/>
    <w:rsid w:val="00591907"/>
    <w:rsid w:val="00592FD7"/>
    <w:rsid w:val="005A075E"/>
    <w:rsid w:val="005A48AD"/>
    <w:rsid w:val="005A4F71"/>
    <w:rsid w:val="005A63AA"/>
    <w:rsid w:val="005A7110"/>
    <w:rsid w:val="005A7D41"/>
    <w:rsid w:val="005B18C2"/>
    <w:rsid w:val="005B2905"/>
    <w:rsid w:val="005B46EB"/>
    <w:rsid w:val="005B6EA7"/>
    <w:rsid w:val="005C5E9C"/>
    <w:rsid w:val="005D0B2E"/>
    <w:rsid w:val="005D74DF"/>
    <w:rsid w:val="005E20E6"/>
    <w:rsid w:val="005F25E6"/>
    <w:rsid w:val="00601E55"/>
    <w:rsid w:val="006025CA"/>
    <w:rsid w:val="00604993"/>
    <w:rsid w:val="00606964"/>
    <w:rsid w:val="00606ED9"/>
    <w:rsid w:val="00607085"/>
    <w:rsid w:val="00607558"/>
    <w:rsid w:val="00607575"/>
    <w:rsid w:val="0061488B"/>
    <w:rsid w:val="006229B1"/>
    <w:rsid w:val="006245C8"/>
    <w:rsid w:val="006317FF"/>
    <w:rsid w:val="00631C70"/>
    <w:rsid w:val="00631D9D"/>
    <w:rsid w:val="0063211F"/>
    <w:rsid w:val="006349C1"/>
    <w:rsid w:val="00634A6B"/>
    <w:rsid w:val="0063643D"/>
    <w:rsid w:val="00636E4B"/>
    <w:rsid w:val="0064522A"/>
    <w:rsid w:val="00646426"/>
    <w:rsid w:val="00646CCD"/>
    <w:rsid w:val="0065356E"/>
    <w:rsid w:val="0065359A"/>
    <w:rsid w:val="00654F9F"/>
    <w:rsid w:val="00655664"/>
    <w:rsid w:val="006558D8"/>
    <w:rsid w:val="00655917"/>
    <w:rsid w:val="00657D22"/>
    <w:rsid w:val="006634F2"/>
    <w:rsid w:val="006637CC"/>
    <w:rsid w:val="00666FDD"/>
    <w:rsid w:val="00667641"/>
    <w:rsid w:val="0066791D"/>
    <w:rsid w:val="00667DF0"/>
    <w:rsid w:val="00670299"/>
    <w:rsid w:val="00673AE1"/>
    <w:rsid w:val="00674EC4"/>
    <w:rsid w:val="00676771"/>
    <w:rsid w:val="0068045A"/>
    <w:rsid w:val="00690558"/>
    <w:rsid w:val="006A3F3F"/>
    <w:rsid w:val="006A772B"/>
    <w:rsid w:val="006B0FC9"/>
    <w:rsid w:val="006B2930"/>
    <w:rsid w:val="006B2AE1"/>
    <w:rsid w:val="006B4D4F"/>
    <w:rsid w:val="006B6474"/>
    <w:rsid w:val="006C0178"/>
    <w:rsid w:val="006C10F1"/>
    <w:rsid w:val="006C166B"/>
    <w:rsid w:val="006C18B8"/>
    <w:rsid w:val="006C20D8"/>
    <w:rsid w:val="006C2682"/>
    <w:rsid w:val="006C48F1"/>
    <w:rsid w:val="006D290F"/>
    <w:rsid w:val="006D56A2"/>
    <w:rsid w:val="006D621D"/>
    <w:rsid w:val="006D6297"/>
    <w:rsid w:val="006D651A"/>
    <w:rsid w:val="006E27D6"/>
    <w:rsid w:val="006E2F84"/>
    <w:rsid w:val="006E65D0"/>
    <w:rsid w:val="006E7AB2"/>
    <w:rsid w:val="006F051E"/>
    <w:rsid w:val="006F0945"/>
    <w:rsid w:val="006F6E60"/>
    <w:rsid w:val="007003AA"/>
    <w:rsid w:val="0070174E"/>
    <w:rsid w:val="00703610"/>
    <w:rsid w:val="00706022"/>
    <w:rsid w:val="007060E6"/>
    <w:rsid w:val="0070690A"/>
    <w:rsid w:val="0071148D"/>
    <w:rsid w:val="007118C3"/>
    <w:rsid w:val="0071301D"/>
    <w:rsid w:val="00713477"/>
    <w:rsid w:val="00716622"/>
    <w:rsid w:val="00720153"/>
    <w:rsid w:val="0072272D"/>
    <w:rsid w:val="00723814"/>
    <w:rsid w:val="00723E2A"/>
    <w:rsid w:val="00724D12"/>
    <w:rsid w:val="00727EE1"/>
    <w:rsid w:val="00731A9A"/>
    <w:rsid w:val="0073278C"/>
    <w:rsid w:val="00735C34"/>
    <w:rsid w:val="00736C41"/>
    <w:rsid w:val="00740295"/>
    <w:rsid w:val="00741D64"/>
    <w:rsid w:val="00747569"/>
    <w:rsid w:val="007505EB"/>
    <w:rsid w:val="00754B8A"/>
    <w:rsid w:val="007565A2"/>
    <w:rsid w:val="00756F22"/>
    <w:rsid w:val="00757C6B"/>
    <w:rsid w:val="00762537"/>
    <w:rsid w:val="007632A5"/>
    <w:rsid w:val="0076375C"/>
    <w:rsid w:val="00763BAB"/>
    <w:rsid w:val="007647E7"/>
    <w:rsid w:val="00770246"/>
    <w:rsid w:val="00770AE4"/>
    <w:rsid w:val="00770B7C"/>
    <w:rsid w:val="0077170E"/>
    <w:rsid w:val="007765B5"/>
    <w:rsid w:val="00776A7A"/>
    <w:rsid w:val="00781615"/>
    <w:rsid w:val="007843FA"/>
    <w:rsid w:val="007856F4"/>
    <w:rsid w:val="007879DB"/>
    <w:rsid w:val="00790857"/>
    <w:rsid w:val="00790DE7"/>
    <w:rsid w:val="00792252"/>
    <w:rsid w:val="0079267D"/>
    <w:rsid w:val="00792D3B"/>
    <w:rsid w:val="007944EF"/>
    <w:rsid w:val="0079485B"/>
    <w:rsid w:val="00796365"/>
    <w:rsid w:val="007968A0"/>
    <w:rsid w:val="007A164C"/>
    <w:rsid w:val="007A23CC"/>
    <w:rsid w:val="007A3C24"/>
    <w:rsid w:val="007A66FC"/>
    <w:rsid w:val="007A7E78"/>
    <w:rsid w:val="007B1AA9"/>
    <w:rsid w:val="007B2BC3"/>
    <w:rsid w:val="007B37CD"/>
    <w:rsid w:val="007B6311"/>
    <w:rsid w:val="007B653C"/>
    <w:rsid w:val="007B6F9A"/>
    <w:rsid w:val="007B73DA"/>
    <w:rsid w:val="007C0861"/>
    <w:rsid w:val="007C08F9"/>
    <w:rsid w:val="007C0D0C"/>
    <w:rsid w:val="007C1D01"/>
    <w:rsid w:val="007C4A2F"/>
    <w:rsid w:val="007C5174"/>
    <w:rsid w:val="007C694A"/>
    <w:rsid w:val="007C7658"/>
    <w:rsid w:val="007C79C9"/>
    <w:rsid w:val="007D11AB"/>
    <w:rsid w:val="007D29E6"/>
    <w:rsid w:val="007D442B"/>
    <w:rsid w:val="007D4538"/>
    <w:rsid w:val="007D4906"/>
    <w:rsid w:val="007D5F9E"/>
    <w:rsid w:val="007D6F38"/>
    <w:rsid w:val="007D7C44"/>
    <w:rsid w:val="007D7EA5"/>
    <w:rsid w:val="007E43A1"/>
    <w:rsid w:val="007E4CA7"/>
    <w:rsid w:val="007E5B6F"/>
    <w:rsid w:val="007E5C6B"/>
    <w:rsid w:val="007E7AA7"/>
    <w:rsid w:val="007F2DAF"/>
    <w:rsid w:val="007F671D"/>
    <w:rsid w:val="0080159F"/>
    <w:rsid w:val="008018B1"/>
    <w:rsid w:val="00802DC7"/>
    <w:rsid w:val="00803F15"/>
    <w:rsid w:val="00804B45"/>
    <w:rsid w:val="00806ADF"/>
    <w:rsid w:val="008110AF"/>
    <w:rsid w:val="00811ED5"/>
    <w:rsid w:val="00814441"/>
    <w:rsid w:val="00820891"/>
    <w:rsid w:val="00822E7D"/>
    <w:rsid w:val="00830AAB"/>
    <w:rsid w:val="00833A3C"/>
    <w:rsid w:val="00836731"/>
    <w:rsid w:val="00837904"/>
    <w:rsid w:val="00837E8E"/>
    <w:rsid w:val="00842800"/>
    <w:rsid w:val="00842825"/>
    <w:rsid w:val="008448D4"/>
    <w:rsid w:val="00847D8D"/>
    <w:rsid w:val="00851CC0"/>
    <w:rsid w:val="00852158"/>
    <w:rsid w:val="0085292F"/>
    <w:rsid w:val="00854555"/>
    <w:rsid w:val="00855224"/>
    <w:rsid w:val="00856088"/>
    <w:rsid w:val="00856F8A"/>
    <w:rsid w:val="00857C58"/>
    <w:rsid w:val="00861EC5"/>
    <w:rsid w:val="00863907"/>
    <w:rsid w:val="00865952"/>
    <w:rsid w:val="00870AA2"/>
    <w:rsid w:val="008714F0"/>
    <w:rsid w:val="00872E25"/>
    <w:rsid w:val="008745AE"/>
    <w:rsid w:val="00874B27"/>
    <w:rsid w:val="00876507"/>
    <w:rsid w:val="008800C3"/>
    <w:rsid w:val="0088182D"/>
    <w:rsid w:val="00881D02"/>
    <w:rsid w:val="00882844"/>
    <w:rsid w:val="008866CD"/>
    <w:rsid w:val="00890F40"/>
    <w:rsid w:val="00891037"/>
    <w:rsid w:val="00893261"/>
    <w:rsid w:val="0089480B"/>
    <w:rsid w:val="00894F57"/>
    <w:rsid w:val="008961C9"/>
    <w:rsid w:val="00897AAA"/>
    <w:rsid w:val="008A104F"/>
    <w:rsid w:val="008A3B09"/>
    <w:rsid w:val="008A4599"/>
    <w:rsid w:val="008A59AE"/>
    <w:rsid w:val="008A6A4A"/>
    <w:rsid w:val="008A75BD"/>
    <w:rsid w:val="008A7D91"/>
    <w:rsid w:val="008B1C12"/>
    <w:rsid w:val="008B3C7C"/>
    <w:rsid w:val="008B3E72"/>
    <w:rsid w:val="008B4974"/>
    <w:rsid w:val="008B6B40"/>
    <w:rsid w:val="008B7296"/>
    <w:rsid w:val="008C0CC1"/>
    <w:rsid w:val="008C1298"/>
    <w:rsid w:val="008C29BA"/>
    <w:rsid w:val="008C4FC5"/>
    <w:rsid w:val="008C647C"/>
    <w:rsid w:val="008C6D6C"/>
    <w:rsid w:val="008D0E67"/>
    <w:rsid w:val="008D199A"/>
    <w:rsid w:val="008D1ABE"/>
    <w:rsid w:val="008D2C35"/>
    <w:rsid w:val="008E345B"/>
    <w:rsid w:val="008E544E"/>
    <w:rsid w:val="008F1145"/>
    <w:rsid w:val="008F2F2D"/>
    <w:rsid w:val="008F770D"/>
    <w:rsid w:val="00902434"/>
    <w:rsid w:val="00903254"/>
    <w:rsid w:val="009052E8"/>
    <w:rsid w:val="00907D99"/>
    <w:rsid w:val="00907EAA"/>
    <w:rsid w:val="00913354"/>
    <w:rsid w:val="00913717"/>
    <w:rsid w:val="00913968"/>
    <w:rsid w:val="00913C43"/>
    <w:rsid w:val="0091625E"/>
    <w:rsid w:val="00916C10"/>
    <w:rsid w:val="00917343"/>
    <w:rsid w:val="00917651"/>
    <w:rsid w:val="00917C13"/>
    <w:rsid w:val="00922BBD"/>
    <w:rsid w:val="0092405F"/>
    <w:rsid w:val="00925F07"/>
    <w:rsid w:val="009261D6"/>
    <w:rsid w:val="009271B7"/>
    <w:rsid w:val="00933AA1"/>
    <w:rsid w:val="00935CAD"/>
    <w:rsid w:val="009376B1"/>
    <w:rsid w:val="00941259"/>
    <w:rsid w:val="00946AE0"/>
    <w:rsid w:val="00950A9D"/>
    <w:rsid w:val="00952279"/>
    <w:rsid w:val="009523B3"/>
    <w:rsid w:val="00953576"/>
    <w:rsid w:val="00956151"/>
    <w:rsid w:val="009567FD"/>
    <w:rsid w:val="0095748D"/>
    <w:rsid w:val="00961964"/>
    <w:rsid w:val="00961F90"/>
    <w:rsid w:val="009634BE"/>
    <w:rsid w:val="00963D65"/>
    <w:rsid w:val="00965DE5"/>
    <w:rsid w:val="00967964"/>
    <w:rsid w:val="00970147"/>
    <w:rsid w:val="00972B04"/>
    <w:rsid w:val="0097401C"/>
    <w:rsid w:val="009754DA"/>
    <w:rsid w:val="00980E58"/>
    <w:rsid w:val="00981221"/>
    <w:rsid w:val="00981390"/>
    <w:rsid w:val="00981B22"/>
    <w:rsid w:val="00982EAC"/>
    <w:rsid w:val="00985123"/>
    <w:rsid w:val="00985941"/>
    <w:rsid w:val="0098630F"/>
    <w:rsid w:val="009873BC"/>
    <w:rsid w:val="00987448"/>
    <w:rsid w:val="0098751E"/>
    <w:rsid w:val="00990E86"/>
    <w:rsid w:val="00991EE8"/>
    <w:rsid w:val="00992BB2"/>
    <w:rsid w:val="00993F70"/>
    <w:rsid w:val="00995F3D"/>
    <w:rsid w:val="009A15A8"/>
    <w:rsid w:val="009A4F31"/>
    <w:rsid w:val="009A6D66"/>
    <w:rsid w:val="009B1D05"/>
    <w:rsid w:val="009B1D26"/>
    <w:rsid w:val="009B231A"/>
    <w:rsid w:val="009B4570"/>
    <w:rsid w:val="009B4A6F"/>
    <w:rsid w:val="009C1035"/>
    <w:rsid w:val="009C2859"/>
    <w:rsid w:val="009C4511"/>
    <w:rsid w:val="009D0BA4"/>
    <w:rsid w:val="009D1159"/>
    <w:rsid w:val="009D2905"/>
    <w:rsid w:val="009D2E11"/>
    <w:rsid w:val="009D66F5"/>
    <w:rsid w:val="009E2F94"/>
    <w:rsid w:val="009E5E3E"/>
    <w:rsid w:val="009E66A0"/>
    <w:rsid w:val="009E74F7"/>
    <w:rsid w:val="009E75D5"/>
    <w:rsid w:val="009E7A56"/>
    <w:rsid w:val="009F060E"/>
    <w:rsid w:val="009F0A44"/>
    <w:rsid w:val="009F0C3B"/>
    <w:rsid w:val="009F12D6"/>
    <w:rsid w:val="009F1D78"/>
    <w:rsid w:val="009F2B68"/>
    <w:rsid w:val="009F5542"/>
    <w:rsid w:val="009F72FD"/>
    <w:rsid w:val="00A00084"/>
    <w:rsid w:val="00A0071D"/>
    <w:rsid w:val="00A020C8"/>
    <w:rsid w:val="00A02187"/>
    <w:rsid w:val="00A05327"/>
    <w:rsid w:val="00A12746"/>
    <w:rsid w:val="00A14249"/>
    <w:rsid w:val="00A143E8"/>
    <w:rsid w:val="00A157FA"/>
    <w:rsid w:val="00A16152"/>
    <w:rsid w:val="00A177AE"/>
    <w:rsid w:val="00A17DD7"/>
    <w:rsid w:val="00A204F5"/>
    <w:rsid w:val="00A20B9E"/>
    <w:rsid w:val="00A21444"/>
    <w:rsid w:val="00A22F69"/>
    <w:rsid w:val="00A23166"/>
    <w:rsid w:val="00A233F1"/>
    <w:rsid w:val="00A236B7"/>
    <w:rsid w:val="00A2543F"/>
    <w:rsid w:val="00A3319D"/>
    <w:rsid w:val="00A338DC"/>
    <w:rsid w:val="00A34209"/>
    <w:rsid w:val="00A34A4B"/>
    <w:rsid w:val="00A406E5"/>
    <w:rsid w:val="00A429D4"/>
    <w:rsid w:val="00A4333F"/>
    <w:rsid w:val="00A43F2F"/>
    <w:rsid w:val="00A50531"/>
    <w:rsid w:val="00A52534"/>
    <w:rsid w:val="00A533F5"/>
    <w:rsid w:val="00A5666E"/>
    <w:rsid w:val="00A60FE1"/>
    <w:rsid w:val="00A6267C"/>
    <w:rsid w:val="00A62A51"/>
    <w:rsid w:val="00A62A79"/>
    <w:rsid w:val="00A63E8F"/>
    <w:rsid w:val="00A64E66"/>
    <w:rsid w:val="00A650CE"/>
    <w:rsid w:val="00A651EF"/>
    <w:rsid w:val="00A7047D"/>
    <w:rsid w:val="00A705AF"/>
    <w:rsid w:val="00A71CE2"/>
    <w:rsid w:val="00A72E2F"/>
    <w:rsid w:val="00A735BB"/>
    <w:rsid w:val="00A7380B"/>
    <w:rsid w:val="00A74607"/>
    <w:rsid w:val="00A810E4"/>
    <w:rsid w:val="00A822FB"/>
    <w:rsid w:val="00A83867"/>
    <w:rsid w:val="00A87902"/>
    <w:rsid w:val="00A87E1F"/>
    <w:rsid w:val="00A922DD"/>
    <w:rsid w:val="00A92F96"/>
    <w:rsid w:val="00A93746"/>
    <w:rsid w:val="00A93AE9"/>
    <w:rsid w:val="00A94D71"/>
    <w:rsid w:val="00A95CF8"/>
    <w:rsid w:val="00A96CBD"/>
    <w:rsid w:val="00A978A1"/>
    <w:rsid w:val="00AA06F5"/>
    <w:rsid w:val="00AA1B27"/>
    <w:rsid w:val="00AA2BFA"/>
    <w:rsid w:val="00AA3AA8"/>
    <w:rsid w:val="00AA42AE"/>
    <w:rsid w:val="00AB1089"/>
    <w:rsid w:val="00AB22DE"/>
    <w:rsid w:val="00AB2478"/>
    <w:rsid w:val="00AB41E2"/>
    <w:rsid w:val="00AB5D41"/>
    <w:rsid w:val="00AC0CA7"/>
    <w:rsid w:val="00AC3183"/>
    <w:rsid w:val="00AC3590"/>
    <w:rsid w:val="00AC70C9"/>
    <w:rsid w:val="00AD5707"/>
    <w:rsid w:val="00AD5A12"/>
    <w:rsid w:val="00AD73A0"/>
    <w:rsid w:val="00AE1E9D"/>
    <w:rsid w:val="00AE2279"/>
    <w:rsid w:val="00AE276F"/>
    <w:rsid w:val="00AE386F"/>
    <w:rsid w:val="00AE3A97"/>
    <w:rsid w:val="00AE5E22"/>
    <w:rsid w:val="00AE6BF3"/>
    <w:rsid w:val="00AE78B9"/>
    <w:rsid w:val="00AF0168"/>
    <w:rsid w:val="00AF6892"/>
    <w:rsid w:val="00AF719F"/>
    <w:rsid w:val="00B0276F"/>
    <w:rsid w:val="00B054CC"/>
    <w:rsid w:val="00B05515"/>
    <w:rsid w:val="00B055A0"/>
    <w:rsid w:val="00B07543"/>
    <w:rsid w:val="00B10322"/>
    <w:rsid w:val="00B115B3"/>
    <w:rsid w:val="00B1431B"/>
    <w:rsid w:val="00B220B4"/>
    <w:rsid w:val="00B23828"/>
    <w:rsid w:val="00B247EC"/>
    <w:rsid w:val="00B272BD"/>
    <w:rsid w:val="00B34143"/>
    <w:rsid w:val="00B34550"/>
    <w:rsid w:val="00B35A17"/>
    <w:rsid w:val="00B3601C"/>
    <w:rsid w:val="00B367B2"/>
    <w:rsid w:val="00B42DA8"/>
    <w:rsid w:val="00B45045"/>
    <w:rsid w:val="00B4789F"/>
    <w:rsid w:val="00B50A51"/>
    <w:rsid w:val="00B5161B"/>
    <w:rsid w:val="00B527A2"/>
    <w:rsid w:val="00B55FDD"/>
    <w:rsid w:val="00B56DB9"/>
    <w:rsid w:val="00B623D3"/>
    <w:rsid w:val="00B641E2"/>
    <w:rsid w:val="00B665C8"/>
    <w:rsid w:val="00B67252"/>
    <w:rsid w:val="00B70A5A"/>
    <w:rsid w:val="00B713A2"/>
    <w:rsid w:val="00B74DFF"/>
    <w:rsid w:val="00B76BA3"/>
    <w:rsid w:val="00B775D3"/>
    <w:rsid w:val="00B80CDC"/>
    <w:rsid w:val="00B81770"/>
    <w:rsid w:val="00B82D85"/>
    <w:rsid w:val="00B84E65"/>
    <w:rsid w:val="00B85A7D"/>
    <w:rsid w:val="00B87BF5"/>
    <w:rsid w:val="00B9137D"/>
    <w:rsid w:val="00B94024"/>
    <w:rsid w:val="00B96CEB"/>
    <w:rsid w:val="00BA1469"/>
    <w:rsid w:val="00BB1294"/>
    <w:rsid w:val="00BB1BB0"/>
    <w:rsid w:val="00BB257B"/>
    <w:rsid w:val="00BB2852"/>
    <w:rsid w:val="00BB5842"/>
    <w:rsid w:val="00BB6E7C"/>
    <w:rsid w:val="00BB7625"/>
    <w:rsid w:val="00BC0E58"/>
    <w:rsid w:val="00BC37B4"/>
    <w:rsid w:val="00BC4EEB"/>
    <w:rsid w:val="00BC6220"/>
    <w:rsid w:val="00BC7213"/>
    <w:rsid w:val="00BD0365"/>
    <w:rsid w:val="00BD1359"/>
    <w:rsid w:val="00BD2324"/>
    <w:rsid w:val="00BE37FE"/>
    <w:rsid w:val="00BE6CD2"/>
    <w:rsid w:val="00C003F4"/>
    <w:rsid w:val="00C01938"/>
    <w:rsid w:val="00C02090"/>
    <w:rsid w:val="00C06B1B"/>
    <w:rsid w:val="00C06CAE"/>
    <w:rsid w:val="00C10B3E"/>
    <w:rsid w:val="00C14D8C"/>
    <w:rsid w:val="00C17A36"/>
    <w:rsid w:val="00C219DE"/>
    <w:rsid w:val="00C22187"/>
    <w:rsid w:val="00C22FC1"/>
    <w:rsid w:val="00C24CAD"/>
    <w:rsid w:val="00C24D61"/>
    <w:rsid w:val="00C34E9B"/>
    <w:rsid w:val="00C3551B"/>
    <w:rsid w:val="00C35B1C"/>
    <w:rsid w:val="00C3788C"/>
    <w:rsid w:val="00C46839"/>
    <w:rsid w:val="00C502C0"/>
    <w:rsid w:val="00C50BEB"/>
    <w:rsid w:val="00C53104"/>
    <w:rsid w:val="00C53147"/>
    <w:rsid w:val="00C54322"/>
    <w:rsid w:val="00C55552"/>
    <w:rsid w:val="00C55B0C"/>
    <w:rsid w:val="00C56DCA"/>
    <w:rsid w:val="00C61F52"/>
    <w:rsid w:val="00C62577"/>
    <w:rsid w:val="00C65A5E"/>
    <w:rsid w:val="00C7034F"/>
    <w:rsid w:val="00C70DDB"/>
    <w:rsid w:val="00C73920"/>
    <w:rsid w:val="00C74897"/>
    <w:rsid w:val="00C766EB"/>
    <w:rsid w:val="00C80982"/>
    <w:rsid w:val="00C82355"/>
    <w:rsid w:val="00C82700"/>
    <w:rsid w:val="00C8280A"/>
    <w:rsid w:val="00C87096"/>
    <w:rsid w:val="00C906EA"/>
    <w:rsid w:val="00C90AC7"/>
    <w:rsid w:val="00C93F29"/>
    <w:rsid w:val="00C95485"/>
    <w:rsid w:val="00C97F3B"/>
    <w:rsid w:val="00CA21C9"/>
    <w:rsid w:val="00CB0CFD"/>
    <w:rsid w:val="00CB1C85"/>
    <w:rsid w:val="00CB37EF"/>
    <w:rsid w:val="00CB3EBD"/>
    <w:rsid w:val="00CB4E3C"/>
    <w:rsid w:val="00CB5782"/>
    <w:rsid w:val="00CB7F47"/>
    <w:rsid w:val="00CC2472"/>
    <w:rsid w:val="00CC2D40"/>
    <w:rsid w:val="00CC4165"/>
    <w:rsid w:val="00CD0A43"/>
    <w:rsid w:val="00CD249A"/>
    <w:rsid w:val="00CD30BD"/>
    <w:rsid w:val="00CD3158"/>
    <w:rsid w:val="00CD6473"/>
    <w:rsid w:val="00CE02DA"/>
    <w:rsid w:val="00CE0CEF"/>
    <w:rsid w:val="00CE1F1E"/>
    <w:rsid w:val="00CE219F"/>
    <w:rsid w:val="00CE4DE1"/>
    <w:rsid w:val="00CE5E6C"/>
    <w:rsid w:val="00CE68EC"/>
    <w:rsid w:val="00CE7A29"/>
    <w:rsid w:val="00CF0C02"/>
    <w:rsid w:val="00CF12CB"/>
    <w:rsid w:val="00CF63F2"/>
    <w:rsid w:val="00CF6592"/>
    <w:rsid w:val="00D00856"/>
    <w:rsid w:val="00D00D01"/>
    <w:rsid w:val="00D06588"/>
    <w:rsid w:val="00D10C1B"/>
    <w:rsid w:val="00D1360F"/>
    <w:rsid w:val="00D13AC8"/>
    <w:rsid w:val="00D1574A"/>
    <w:rsid w:val="00D159CC"/>
    <w:rsid w:val="00D2279A"/>
    <w:rsid w:val="00D242F5"/>
    <w:rsid w:val="00D246BD"/>
    <w:rsid w:val="00D2472F"/>
    <w:rsid w:val="00D24B2F"/>
    <w:rsid w:val="00D2510E"/>
    <w:rsid w:val="00D25376"/>
    <w:rsid w:val="00D31313"/>
    <w:rsid w:val="00D3228F"/>
    <w:rsid w:val="00D33028"/>
    <w:rsid w:val="00D3322B"/>
    <w:rsid w:val="00D36A3C"/>
    <w:rsid w:val="00D36F03"/>
    <w:rsid w:val="00D376FE"/>
    <w:rsid w:val="00D42554"/>
    <w:rsid w:val="00D436DC"/>
    <w:rsid w:val="00D43E10"/>
    <w:rsid w:val="00D45318"/>
    <w:rsid w:val="00D47303"/>
    <w:rsid w:val="00D51651"/>
    <w:rsid w:val="00D52C59"/>
    <w:rsid w:val="00D5385E"/>
    <w:rsid w:val="00D548E1"/>
    <w:rsid w:val="00D55FC0"/>
    <w:rsid w:val="00D56445"/>
    <w:rsid w:val="00D56CD6"/>
    <w:rsid w:val="00D6097B"/>
    <w:rsid w:val="00D6117D"/>
    <w:rsid w:val="00D61DF3"/>
    <w:rsid w:val="00D63F26"/>
    <w:rsid w:val="00D73120"/>
    <w:rsid w:val="00D731DB"/>
    <w:rsid w:val="00D7335C"/>
    <w:rsid w:val="00D73DE9"/>
    <w:rsid w:val="00D749D5"/>
    <w:rsid w:val="00D75EC3"/>
    <w:rsid w:val="00D84101"/>
    <w:rsid w:val="00D84EED"/>
    <w:rsid w:val="00D854E7"/>
    <w:rsid w:val="00D87F9A"/>
    <w:rsid w:val="00D91AA1"/>
    <w:rsid w:val="00D93A91"/>
    <w:rsid w:val="00D94E21"/>
    <w:rsid w:val="00D9612C"/>
    <w:rsid w:val="00D96508"/>
    <w:rsid w:val="00DA27E6"/>
    <w:rsid w:val="00DA29B9"/>
    <w:rsid w:val="00DA4679"/>
    <w:rsid w:val="00DA5B5F"/>
    <w:rsid w:val="00DA7146"/>
    <w:rsid w:val="00DA7741"/>
    <w:rsid w:val="00DA7966"/>
    <w:rsid w:val="00DB1DFF"/>
    <w:rsid w:val="00DB377A"/>
    <w:rsid w:val="00DB3B7F"/>
    <w:rsid w:val="00DB446B"/>
    <w:rsid w:val="00DB6F37"/>
    <w:rsid w:val="00DC0AAF"/>
    <w:rsid w:val="00DC1FCB"/>
    <w:rsid w:val="00DC1FD4"/>
    <w:rsid w:val="00DC25FC"/>
    <w:rsid w:val="00DC49EC"/>
    <w:rsid w:val="00DD091D"/>
    <w:rsid w:val="00DD1E8E"/>
    <w:rsid w:val="00DD320A"/>
    <w:rsid w:val="00DD371E"/>
    <w:rsid w:val="00DD3730"/>
    <w:rsid w:val="00DD4311"/>
    <w:rsid w:val="00DE4421"/>
    <w:rsid w:val="00DE5105"/>
    <w:rsid w:val="00DE5CB0"/>
    <w:rsid w:val="00DE607E"/>
    <w:rsid w:val="00DE6153"/>
    <w:rsid w:val="00DE62AA"/>
    <w:rsid w:val="00DF2659"/>
    <w:rsid w:val="00DF3258"/>
    <w:rsid w:val="00DF5650"/>
    <w:rsid w:val="00DF57EE"/>
    <w:rsid w:val="00DF5A08"/>
    <w:rsid w:val="00DF7646"/>
    <w:rsid w:val="00E00D63"/>
    <w:rsid w:val="00E05049"/>
    <w:rsid w:val="00E05742"/>
    <w:rsid w:val="00E05E5F"/>
    <w:rsid w:val="00E07C6E"/>
    <w:rsid w:val="00E12B71"/>
    <w:rsid w:val="00E155CC"/>
    <w:rsid w:val="00E216BC"/>
    <w:rsid w:val="00E23670"/>
    <w:rsid w:val="00E24544"/>
    <w:rsid w:val="00E24A6F"/>
    <w:rsid w:val="00E300E6"/>
    <w:rsid w:val="00E3204A"/>
    <w:rsid w:val="00E3325B"/>
    <w:rsid w:val="00E346FD"/>
    <w:rsid w:val="00E35652"/>
    <w:rsid w:val="00E36952"/>
    <w:rsid w:val="00E372A7"/>
    <w:rsid w:val="00E402A2"/>
    <w:rsid w:val="00E42846"/>
    <w:rsid w:val="00E42CD5"/>
    <w:rsid w:val="00E43B30"/>
    <w:rsid w:val="00E5450C"/>
    <w:rsid w:val="00E55360"/>
    <w:rsid w:val="00E55595"/>
    <w:rsid w:val="00E57D47"/>
    <w:rsid w:val="00E607E1"/>
    <w:rsid w:val="00E6291A"/>
    <w:rsid w:val="00E62DC0"/>
    <w:rsid w:val="00E66754"/>
    <w:rsid w:val="00E721C0"/>
    <w:rsid w:val="00E752C0"/>
    <w:rsid w:val="00E75FC8"/>
    <w:rsid w:val="00E76267"/>
    <w:rsid w:val="00E77E9C"/>
    <w:rsid w:val="00E82263"/>
    <w:rsid w:val="00E83008"/>
    <w:rsid w:val="00E847AE"/>
    <w:rsid w:val="00E8488E"/>
    <w:rsid w:val="00E85004"/>
    <w:rsid w:val="00E86F08"/>
    <w:rsid w:val="00E86F32"/>
    <w:rsid w:val="00E92496"/>
    <w:rsid w:val="00E9265A"/>
    <w:rsid w:val="00EA27EB"/>
    <w:rsid w:val="00EA369A"/>
    <w:rsid w:val="00EB07F2"/>
    <w:rsid w:val="00EB0A40"/>
    <w:rsid w:val="00EB3CF5"/>
    <w:rsid w:val="00EB66FB"/>
    <w:rsid w:val="00EB6DFB"/>
    <w:rsid w:val="00EB7CEA"/>
    <w:rsid w:val="00EC0DB1"/>
    <w:rsid w:val="00EC1210"/>
    <w:rsid w:val="00EC295A"/>
    <w:rsid w:val="00EC431F"/>
    <w:rsid w:val="00EC6C5B"/>
    <w:rsid w:val="00ED2A61"/>
    <w:rsid w:val="00ED7223"/>
    <w:rsid w:val="00ED78B9"/>
    <w:rsid w:val="00EE0BFB"/>
    <w:rsid w:val="00EE23EF"/>
    <w:rsid w:val="00EE2485"/>
    <w:rsid w:val="00EE3387"/>
    <w:rsid w:val="00EE5D22"/>
    <w:rsid w:val="00EE6AA8"/>
    <w:rsid w:val="00EF0375"/>
    <w:rsid w:val="00EF0B29"/>
    <w:rsid w:val="00EF0C15"/>
    <w:rsid w:val="00EF1585"/>
    <w:rsid w:val="00EF3395"/>
    <w:rsid w:val="00EF45F1"/>
    <w:rsid w:val="00EF567B"/>
    <w:rsid w:val="00F00C29"/>
    <w:rsid w:val="00F0131A"/>
    <w:rsid w:val="00F0638B"/>
    <w:rsid w:val="00F06B37"/>
    <w:rsid w:val="00F07E46"/>
    <w:rsid w:val="00F108D2"/>
    <w:rsid w:val="00F10ED9"/>
    <w:rsid w:val="00F206DA"/>
    <w:rsid w:val="00F206E4"/>
    <w:rsid w:val="00F2304A"/>
    <w:rsid w:val="00F23286"/>
    <w:rsid w:val="00F237BD"/>
    <w:rsid w:val="00F24B40"/>
    <w:rsid w:val="00F2688D"/>
    <w:rsid w:val="00F27E64"/>
    <w:rsid w:val="00F30F43"/>
    <w:rsid w:val="00F32E30"/>
    <w:rsid w:val="00F34C71"/>
    <w:rsid w:val="00F369A2"/>
    <w:rsid w:val="00F418AE"/>
    <w:rsid w:val="00F47F68"/>
    <w:rsid w:val="00F51311"/>
    <w:rsid w:val="00F54959"/>
    <w:rsid w:val="00F549FA"/>
    <w:rsid w:val="00F56D5B"/>
    <w:rsid w:val="00F56F95"/>
    <w:rsid w:val="00F57C8F"/>
    <w:rsid w:val="00F60675"/>
    <w:rsid w:val="00F6475B"/>
    <w:rsid w:val="00F701A4"/>
    <w:rsid w:val="00F723BC"/>
    <w:rsid w:val="00F73D90"/>
    <w:rsid w:val="00F76973"/>
    <w:rsid w:val="00F76DD1"/>
    <w:rsid w:val="00F77008"/>
    <w:rsid w:val="00F77F6F"/>
    <w:rsid w:val="00F80766"/>
    <w:rsid w:val="00F82325"/>
    <w:rsid w:val="00F84686"/>
    <w:rsid w:val="00F857F8"/>
    <w:rsid w:val="00F868EE"/>
    <w:rsid w:val="00F87FA9"/>
    <w:rsid w:val="00F9119D"/>
    <w:rsid w:val="00F94174"/>
    <w:rsid w:val="00FA0575"/>
    <w:rsid w:val="00FA24FA"/>
    <w:rsid w:val="00FA654B"/>
    <w:rsid w:val="00FB03B0"/>
    <w:rsid w:val="00FB0FA5"/>
    <w:rsid w:val="00FB1BC6"/>
    <w:rsid w:val="00FB21D2"/>
    <w:rsid w:val="00FB24BC"/>
    <w:rsid w:val="00FB5065"/>
    <w:rsid w:val="00FB6D2A"/>
    <w:rsid w:val="00FC2AC0"/>
    <w:rsid w:val="00FC7278"/>
    <w:rsid w:val="00FD4505"/>
    <w:rsid w:val="00FD50C8"/>
    <w:rsid w:val="00FE023C"/>
    <w:rsid w:val="00FE25BD"/>
    <w:rsid w:val="00FE37C1"/>
    <w:rsid w:val="00FE6762"/>
    <w:rsid w:val="00FE6B58"/>
    <w:rsid w:val="00FE7049"/>
    <w:rsid w:val="00FE75AB"/>
    <w:rsid w:val="00FF11FA"/>
    <w:rsid w:val="00FF4BBD"/>
    <w:rsid w:val="0109513D"/>
    <w:rsid w:val="010E7E38"/>
    <w:rsid w:val="01283CE6"/>
    <w:rsid w:val="012E1C6C"/>
    <w:rsid w:val="012F1157"/>
    <w:rsid w:val="013E7931"/>
    <w:rsid w:val="015A171E"/>
    <w:rsid w:val="017D08D0"/>
    <w:rsid w:val="01846CF2"/>
    <w:rsid w:val="0196185A"/>
    <w:rsid w:val="01AE7847"/>
    <w:rsid w:val="01BE6750"/>
    <w:rsid w:val="01C54C7D"/>
    <w:rsid w:val="01E56F28"/>
    <w:rsid w:val="02076A0A"/>
    <w:rsid w:val="020A6570"/>
    <w:rsid w:val="02205DB7"/>
    <w:rsid w:val="02296E4E"/>
    <w:rsid w:val="02317260"/>
    <w:rsid w:val="023536E6"/>
    <w:rsid w:val="025A5A4A"/>
    <w:rsid w:val="02670DAF"/>
    <w:rsid w:val="02827C29"/>
    <w:rsid w:val="02870D83"/>
    <w:rsid w:val="02AA7B2E"/>
    <w:rsid w:val="02C17CF5"/>
    <w:rsid w:val="02E348F7"/>
    <w:rsid w:val="031518CE"/>
    <w:rsid w:val="031B114C"/>
    <w:rsid w:val="0320457B"/>
    <w:rsid w:val="034574AF"/>
    <w:rsid w:val="035514BE"/>
    <w:rsid w:val="0361295C"/>
    <w:rsid w:val="036433DC"/>
    <w:rsid w:val="036B1263"/>
    <w:rsid w:val="03843BE3"/>
    <w:rsid w:val="03890649"/>
    <w:rsid w:val="03893112"/>
    <w:rsid w:val="03AB7ED9"/>
    <w:rsid w:val="03AC1EA9"/>
    <w:rsid w:val="03CA3E93"/>
    <w:rsid w:val="03E16CC4"/>
    <w:rsid w:val="043104A2"/>
    <w:rsid w:val="04312652"/>
    <w:rsid w:val="047115A9"/>
    <w:rsid w:val="047542BB"/>
    <w:rsid w:val="047C4F99"/>
    <w:rsid w:val="04813C3B"/>
    <w:rsid w:val="048B4253"/>
    <w:rsid w:val="049E2476"/>
    <w:rsid w:val="04B47E84"/>
    <w:rsid w:val="04E8398A"/>
    <w:rsid w:val="050119F0"/>
    <w:rsid w:val="05251A71"/>
    <w:rsid w:val="05887CDC"/>
    <w:rsid w:val="05931955"/>
    <w:rsid w:val="05A01558"/>
    <w:rsid w:val="05A06829"/>
    <w:rsid w:val="05D7148A"/>
    <w:rsid w:val="05DB54A9"/>
    <w:rsid w:val="05DD587F"/>
    <w:rsid w:val="05E30855"/>
    <w:rsid w:val="05EB1897"/>
    <w:rsid w:val="05F201FB"/>
    <w:rsid w:val="0617610F"/>
    <w:rsid w:val="061D16C4"/>
    <w:rsid w:val="062D1053"/>
    <w:rsid w:val="064F3BEE"/>
    <w:rsid w:val="065D5597"/>
    <w:rsid w:val="066255ED"/>
    <w:rsid w:val="0670726C"/>
    <w:rsid w:val="06850360"/>
    <w:rsid w:val="068A2908"/>
    <w:rsid w:val="068A5FEE"/>
    <w:rsid w:val="06A63FE3"/>
    <w:rsid w:val="06AE456A"/>
    <w:rsid w:val="06C14902"/>
    <w:rsid w:val="06E011D1"/>
    <w:rsid w:val="06F641EF"/>
    <w:rsid w:val="0716411F"/>
    <w:rsid w:val="071A004C"/>
    <w:rsid w:val="071A6A70"/>
    <w:rsid w:val="071A7DB2"/>
    <w:rsid w:val="072A5D43"/>
    <w:rsid w:val="072E78A6"/>
    <w:rsid w:val="074A1CED"/>
    <w:rsid w:val="075601AB"/>
    <w:rsid w:val="07792E18"/>
    <w:rsid w:val="078056AF"/>
    <w:rsid w:val="078B5C22"/>
    <w:rsid w:val="07980765"/>
    <w:rsid w:val="07A73072"/>
    <w:rsid w:val="07CB1685"/>
    <w:rsid w:val="07F930A6"/>
    <w:rsid w:val="0801679E"/>
    <w:rsid w:val="080C1E90"/>
    <w:rsid w:val="084A4701"/>
    <w:rsid w:val="085D3C0F"/>
    <w:rsid w:val="08721AE8"/>
    <w:rsid w:val="0872661A"/>
    <w:rsid w:val="0874575C"/>
    <w:rsid w:val="08AD64F5"/>
    <w:rsid w:val="08BF399E"/>
    <w:rsid w:val="08CB44C5"/>
    <w:rsid w:val="08E225A7"/>
    <w:rsid w:val="08EB68EB"/>
    <w:rsid w:val="08FC02FE"/>
    <w:rsid w:val="091E063C"/>
    <w:rsid w:val="09241AED"/>
    <w:rsid w:val="09245209"/>
    <w:rsid w:val="09252B68"/>
    <w:rsid w:val="093552A6"/>
    <w:rsid w:val="0935787A"/>
    <w:rsid w:val="09413BDA"/>
    <w:rsid w:val="095331DF"/>
    <w:rsid w:val="095A4558"/>
    <w:rsid w:val="095F08F3"/>
    <w:rsid w:val="0994741B"/>
    <w:rsid w:val="09A16CA7"/>
    <w:rsid w:val="09AB70ED"/>
    <w:rsid w:val="09B11813"/>
    <w:rsid w:val="09B1552D"/>
    <w:rsid w:val="09B84C6F"/>
    <w:rsid w:val="09C82537"/>
    <w:rsid w:val="09CA1FCC"/>
    <w:rsid w:val="09D15FCF"/>
    <w:rsid w:val="09E50961"/>
    <w:rsid w:val="09E60E28"/>
    <w:rsid w:val="0A0006E0"/>
    <w:rsid w:val="0A2300D9"/>
    <w:rsid w:val="0A243755"/>
    <w:rsid w:val="0A264226"/>
    <w:rsid w:val="0A31642E"/>
    <w:rsid w:val="0A3F1C89"/>
    <w:rsid w:val="0A434147"/>
    <w:rsid w:val="0A5D60C9"/>
    <w:rsid w:val="0A662009"/>
    <w:rsid w:val="0A6C67DD"/>
    <w:rsid w:val="0A815BA2"/>
    <w:rsid w:val="0A856526"/>
    <w:rsid w:val="0A9B5783"/>
    <w:rsid w:val="0AB42B78"/>
    <w:rsid w:val="0AC669AC"/>
    <w:rsid w:val="0AF55188"/>
    <w:rsid w:val="0B154CD7"/>
    <w:rsid w:val="0B24107A"/>
    <w:rsid w:val="0B2B42DA"/>
    <w:rsid w:val="0B4351F1"/>
    <w:rsid w:val="0B482030"/>
    <w:rsid w:val="0B5F1271"/>
    <w:rsid w:val="0B6F4DB9"/>
    <w:rsid w:val="0B8C058E"/>
    <w:rsid w:val="0BAF5063"/>
    <w:rsid w:val="0BBE651E"/>
    <w:rsid w:val="0BC319C7"/>
    <w:rsid w:val="0BC33A5F"/>
    <w:rsid w:val="0BC7296A"/>
    <w:rsid w:val="0C062EDD"/>
    <w:rsid w:val="0C0948EC"/>
    <w:rsid w:val="0C384E7F"/>
    <w:rsid w:val="0C646D55"/>
    <w:rsid w:val="0C6E7EB2"/>
    <w:rsid w:val="0C943E94"/>
    <w:rsid w:val="0CCB4B87"/>
    <w:rsid w:val="0D0700F8"/>
    <w:rsid w:val="0D2F62D9"/>
    <w:rsid w:val="0D6D0250"/>
    <w:rsid w:val="0D753F62"/>
    <w:rsid w:val="0D7A092F"/>
    <w:rsid w:val="0D7D2EF1"/>
    <w:rsid w:val="0D81087C"/>
    <w:rsid w:val="0DAC7893"/>
    <w:rsid w:val="0DBA4C83"/>
    <w:rsid w:val="0DDC17C2"/>
    <w:rsid w:val="0DDC5C9C"/>
    <w:rsid w:val="0DDE08D8"/>
    <w:rsid w:val="0DEC0AAC"/>
    <w:rsid w:val="0E200415"/>
    <w:rsid w:val="0E423271"/>
    <w:rsid w:val="0E511E28"/>
    <w:rsid w:val="0E523C99"/>
    <w:rsid w:val="0E585E37"/>
    <w:rsid w:val="0E7744F2"/>
    <w:rsid w:val="0EA2664C"/>
    <w:rsid w:val="0EBA3E44"/>
    <w:rsid w:val="0EC451D6"/>
    <w:rsid w:val="0ECF4C69"/>
    <w:rsid w:val="0F09489A"/>
    <w:rsid w:val="0F2405DE"/>
    <w:rsid w:val="0F480F11"/>
    <w:rsid w:val="0F5A6ACA"/>
    <w:rsid w:val="0F754CC5"/>
    <w:rsid w:val="0F8C348A"/>
    <w:rsid w:val="0F907DE4"/>
    <w:rsid w:val="0FA657F0"/>
    <w:rsid w:val="0FCA4890"/>
    <w:rsid w:val="0FD900DB"/>
    <w:rsid w:val="0FD901D9"/>
    <w:rsid w:val="0FDB46D3"/>
    <w:rsid w:val="0FDD3167"/>
    <w:rsid w:val="10101C50"/>
    <w:rsid w:val="1020066A"/>
    <w:rsid w:val="10296A65"/>
    <w:rsid w:val="10297CAE"/>
    <w:rsid w:val="102B1A52"/>
    <w:rsid w:val="103E2CFA"/>
    <w:rsid w:val="105F3F44"/>
    <w:rsid w:val="10627DE9"/>
    <w:rsid w:val="1069075F"/>
    <w:rsid w:val="10706ADD"/>
    <w:rsid w:val="10BC66AD"/>
    <w:rsid w:val="10C43C9C"/>
    <w:rsid w:val="10D379B8"/>
    <w:rsid w:val="10E83F15"/>
    <w:rsid w:val="11191B26"/>
    <w:rsid w:val="11345A62"/>
    <w:rsid w:val="1158549D"/>
    <w:rsid w:val="117013E6"/>
    <w:rsid w:val="11AF63CD"/>
    <w:rsid w:val="11B35D01"/>
    <w:rsid w:val="11C87C09"/>
    <w:rsid w:val="11CF7CD5"/>
    <w:rsid w:val="11D431A3"/>
    <w:rsid w:val="12125375"/>
    <w:rsid w:val="12137C6C"/>
    <w:rsid w:val="12170602"/>
    <w:rsid w:val="12206F5E"/>
    <w:rsid w:val="1228342F"/>
    <w:rsid w:val="12480979"/>
    <w:rsid w:val="1254220B"/>
    <w:rsid w:val="12766B2B"/>
    <w:rsid w:val="127856F4"/>
    <w:rsid w:val="129E45B8"/>
    <w:rsid w:val="12B74E6B"/>
    <w:rsid w:val="12D31EAB"/>
    <w:rsid w:val="12E34449"/>
    <w:rsid w:val="12E602BC"/>
    <w:rsid w:val="12F473F0"/>
    <w:rsid w:val="12FA4E80"/>
    <w:rsid w:val="130131AC"/>
    <w:rsid w:val="130202AB"/>
    <w:rsid w:val="1308433D"/>
    <w:rsid w:val="13324DBE"/>
    <w:rsid w:val="13432A34"/>
    <w:rsid w:val="134E369A"/>
    <w:rsid w:val="136F1044"/>
    <w:rsid w:val="136F4379"/>
    <w:rsid w:val="13822576"/>
    <w:rsid w:val="13B303FB"/>
    <w:rsid w:val="13FC4402"/>
    <w:rsid w:val="140B656A"/>
    <w:rsid w:val="141628D6"/>
    <w:rsid w:val="1429361E"/>
    <w:rsid w:val="142D2FA5"/>
    <w:rsid w:val="144613A2"/>
    <w:rsid w:val="145458F0"/>
    <w:rsid w:val="1459506A"/>
    <w:rsid w:val="146F38F0"/>
    <w:rsid w:val="14761FA0"/>
    <w:rsid w:val="147D42CA"/>
    <w:rsid w:val="14C02C1D"/>
    <w:rsid w:val="14D12CB2"/>
    <w:rsid w:val="14E345F4"/>
    <w:rsid w:val="14F0224E"/>
    <w:rsid w:val="14F0337C"/>
    <w:rsid w:val="14FA160C"/>
    <w:rsid w:val="14FB1969"/>
    <w:rsid w:val="1504456E"/>
    <w:rsid w:val="150660D3"/>
    <w:rsid w:val="15167FD8"/>
    <w:rsid w:val="15317166"/>
    <w:rsid w:val="153E782D"/>
    <w:rsid w:val="15446DCC"/>
    <w:rsid w:val="158D333F"/>
    <w:rsid w:val="15903195"/>
    <w:rsid w:val="15B55042"/>
    <w:rsid w:val="15E778F1"/>
    <w:rsid w:val="16053F02"/>
    <w:rsid w:val="16104439"/>
    <w:rsid w:val="162B021C"/>
    <w:rsid w:val="16324237"/>
    <w:rsid w:val="16506CC7"/>
    <w:rsid w:val="168B59A8"/>
    <w:rsid w:val="16AC2F0C"/>
    <w:rsid w:val="16B53231"/>
    <w:rsid w:val="16C11879"/>
    <w:rsid w:val="16C622EA"/>
    <w:rsid w:val="16D27E56"/>
    <w:rsid w:val="170427AB"/>
    <w:rsid w:val="17106E30"/>
    <w:rsid w:val="17161B54"/>
    <w:rsid w:val="17294251"/>
    <w:rsid w:val="172F560A"/>
    <w:rsid w:val="1754014B"/>
    <w:rsid w:val="1773450E"/>
    <w:rsid w:val="1788476D"/>
    <w:rsid w:val="178F0769"/>
    <w:rsid w:val="17D01953"/>
    <w:rsid w:val="17DA0305"/>
    <w:rsid w:val="17FD49A3"/>
    <w:rsid w:val="18041BDA"/>
    <w:rsid w:val="18187285"/>
    <w:rsid w:val="183733DE"/>
    <w:rsid w:val="183E7551"/>
    <w:rsid w:val="18564F37"/>
    <w:rsid w:val="187C2E93"/>
    <w:rsid w:val="187C518F"/>
    <w:rsid w:val="18907F49"/>
    <w:rsid w:val="18A04609"/>
    <w:rsid w:val="18B52DD8"/>
    <w:rsid w:val="18C61A1A"/>
    <w:rsid w:val="18CD3727"/>
    <w:rsid w:val="18CE2BCB"/>
    <w:rsid w:val="18E46238"/>
    <w:rsid w:val="18E9450C"/>
    <w:rsid w:val="18F60AD6"/>
    <w:rsid w:val="19037C7A"/>
    <w:rsid w:val="190578A0"/>
    <w:rsid w:val="1910750B"/>
    <w:rsid w:val="19133CDA"/>
    <w:rsid w:val="19204547"/>
    <w:rsid w:val="192B6867"/>
    <w:rsid w:val="193E5965"/>
    <w:rsid w:val="196E6B7A"/>
    <w:rsid w:val="1978512C"/>
    <w:rsid w:val="198460C7"/>
    <w:rsid w:val="19863298"/>
    <w:rsid w:val="19D306FD"/>
    <w:rsid w:val="19E260F2"/>
    <w:rsid w:val="19E951DC"/>
    <w:rsid w:val="19EC0ECF"/>
    <w:rsid w:val="19EE7653"/>
    <w:rsid w:val="19EF5C39"/>
    <w:rsid w:val="1A1A5329"/>
    <w:rsid w:val="1A336DCF"/>
    <w:rsid w:val="1A525A6B"/>
    <w:rsid w:val="1A575E27"/>
    <w:rsid w:val="1A640328"/>
    <w:rsid w:val="1A724D74"/>
    <w:rsid w:val="1A7C19DE"/>
    <w:rsid w:val="1A83044F"/>
    <w:rsid w:val="1A9B169F"/>
    <w:rsid w:val="1AA53219"/>
    <w:rsid w:val="1AA566A9"/>
    <w:rsid w:val="1ABF3D1B"/>
    <w:rsid w:val="1AC05B21"/>
    <w:rsid w:val="1AC66A6F"/>
    <w:rsid w:val="1AD7606D"/>
    <w:rsid w:val="1AD84D8E"/>
    <w:rsid w:val="1AE81EA5"/>
    <w:rsid w:val="1AEA37AB"/>
    <w:rsid w:val="1AEB4F8F"/>
    <w:rsid w:val="1B0602BD"/>
    <w:rsid w:val="1B1939C8"/>
    <w:rsid w:val="1B2F38F1"/>
    <w:rsid w:val="1B377850"/>
    <w:rsid w:val="1B402CF8"/>
    <w:rsid w:val="1B574829"/>
    <w:rsid w:val="1B591EC3"/>
    <w:rsid w:val="1B7D1C68"/>
    <w:rsid w:val="1B885CCC"/>
    <w:rsid w:val="1B8E6C53"/>
    <w:rsid w:val="1B9B2E00"/>
    <w:rsid w:val="1BEC6094"/>
    <w:rsid w:val="1BFF6576"/>
    <w:rsid w:val="1C3F2113"/>
    <w:rsid w:val="1C555928"/>
    <w:rsid w:val="1C577A16"/>
    <w:rsid w:val="1C5A6E4A"/>
    <w:rsid w:val="1C7D13C0"/>
    <w:rsid w:val="1C8A6D69"/>
    <w:rsid w:val="1C993E2E"/>
    <w:rsid w:val="1C9C3810"/>
    <w:rsid w:val="1CBE77FA"/>
    <w:rsid w:val="1CCE3A82"/>
    <w:rsid w:val="1CD00845"/>
    <w:rsid w:val="1CD52C7B"/>
    <w:rsid w:val="1D085328"/>
    <w:rsid w:val="1D19203E"/>
    <w:rsid w:val="1D1E3BB1"/>
    <w:rsid w:val="1D242231"/>
    <w:rsid w:val="1D250771"/>
    <w:rsid w:val="1D5630A6"/>
    <w:rsid w:val="1D615CA0"/>
    <w:rsid w:val="1D62334F"/>
    <w:rsid w:val="1D6402CD"/>
    <w:rsid w:val="1D6F1F94"/>
    <w:rsid w:val="1D7225FA"/>
    <w:rsid w:val="1D763F7E"/>
    <w:rsid w:val="1D8470AA"/>
    <w:rsid w:val="1DA96897"/>
    <w:rsid w:val="1DAC69B1"/>
    <w:rsid w:val="1DD55280"/>
    <w:rsid w:val="1DED40B4"/>
    <w:rsid w:val="1E0A41CC"/>
    <w:rsid w:val="1E263A63"/>
    <w:rsid w:val="1E297820"/>
    <w:rsid w:val="1E2F315F"/>
    <w:rsid w:val="1E332CA7"/>
    <w:rsid w:val="1E47755C"/>
    <w:rsid w:val="1E4A672A"/>
    <w:rsid w:val="1E663662"/>
    <w:rsid w:val="1E8B4348"/>
    <w:rsid w:val="1E95289E"/>
    <w:rsid w:val="1EB72EF4"/>
    <w:rsid w:val="1EBD15D5"/>
    <w:rsid w:val="1EC7431E"/>
    <w:rsid w:val="1EF923AB"/>
    <w:rsid w:val="1F102E3F"/>
    <w:rsid w:val="1F15725E"/>
    <w:rsid w:val="1F1D1B25"/>
    <w:rsid w:val="1F235977"/>
    <w:rsid w:val="1F237C3E"/>
    <w:rsid w:val="1F3B739B"/>
    <w:rsid w:val="1F440FD5"/>
    <w:rsid w:val="1F4E5B27"/>
    <w:rsid w:val="1F5E5702"/>
    <w:rsid w:val="1F736A29"/>
    <w:rsid w:val="1F876125"/>
    <w:rsid w:val="1F8A04A3"/>
    <w:rsid w:val="1FC71CE3"/>
    <w:rsid w:val="1FE57EE8"/>
    <w:rsid w:val="1FEF09C8"/>
    <w:rsid w:val="1FF010E5"/>
    <w:rsid w:val="20382AE0"/>
    <w:rsid w:val="203A4585"/>
    <w:rsid w:val="203C7CC0"/>
    <w:rsid w:val="203F16B0"/>
    <w:rsid w:val="204C6639"/>
    <w:rsid w:val="20542580"/>
    <w:rsid w:val="2059792A"/>
    <w:rsid w:val="208D7F89"/>
    <w:rsid w:val="20906BDA"/>
    <w:rsid w:val="20980932"/>
    <w:rsid w:val="20B64BD8"/>
    <w:rsid w:val="20C72E12"/>
    <w:rsid w:val="20D31B94"/>
    <w:rsid w:val="20E41E79"/>
    <w:rsid w:val="20EB0A1A"/>
    <w:rsid w:val="211D5DB6"/>
    <w:rsid w:val="2120599C"/>
    <w:rsid w:val="212F2B2E"/>
    <w:rsid w:val="21363761"/>
    <w:rsid w:val="213735C6"/>
    <w:rsid w:val="215F05B6"/>
    <w:rsid w:val="21795A9A"/>
    <w:rsid w:val="219B7CCB"/>
    <w:rsid w:val="21A473B5"/>
    <w:rsid w:val="21B34723"/>
    <w:rsid w:val="21C26656"/>
    <w:rsid w:val="21C86C87"/>
    <w:rsid w:val="21E777F6"/>
    <w:rsid w:val="21EA5CE6"/>
    <w:rsid w:val="21EC70E4"/>
    <w:rsid w:val="21FA0D89"/>
    <w:rsid w:val="22484F8C"/>
    <w:rsid w:val="22513ADB"/>
    <w:rsid w:val="22757ED6"/>
    <w:rsid w:val="22970245"/>
    <w:rsid w:val="22A03488"/>
    <w:rsid w:val="22B810B7"/>
    <w:rsid w:val="22CA2534"/>
    <w:rsid w:val="22DE5FB2"/>
    <w:rsid w:val="22E56A1A"/>
    <w:rsid w:val="22E960A7"/>
    <w:rsid w:val="22F13239"/>
    <w:rsid w:val="22F47704"/>
    <w:rsid w:val="23010C7E"/>
    <w:rsid w:val="23090AA4"/>
    <w:rsid w:val="230C06A9"/>
    <w:rsid w:val="23541C5C"/>
    <w:rsid w:val="236261CD"/>
    <w:rsid w:val="23666474"/>
    <w:rsid w:val="238F35B4"/>
    <w:rsid w:val="239600A0"/>
    <w:rsid w:val="239D322E"/>
    <w:rsid w:val="23C04277"/>
    <w:rsid w:val="23C23E2C"/>
    <w:rsid w:val="23EC4965"/>
    <w:rsid w:val="23ED6B98"/>
    <w:rsid w:val="241A1298"/>
    <w:rsid w:val="24460ED4"/>
    <w:rsid w:val="24482965"/>
    <w:rsid w:val="244E43EB"/>
    <w:rsid w:val="24581BB6"/>
    <w:rsid w:val="24625747"/>
    <w:rsid w:val="246A2483"/>
    <w:rsid w:val="246B4886"/>
    <w:rsid w:val="249F55BB"/>
    <w:rsid w:val="24A156D9"/>
    <w:rsid w:val="24A52314"/>
    <w:rsid w:val="24B6090C"/>
    <w:rsid w:val="24B7117A"/>
    <w:rsid w:val="24D075C4"/>
    <w:rsid w:val="24D357BC"/>
    <w:rsid w:val="24E41EBD"/>
    <w:rsid w:val="251D6150"/>
    <w:rsid w:val="252D0EDC"/>
    <w:rsid w:val="255F46C0"/>
    <w:rsid w:val="25695520"/>
    <w:rsid w:val="2588497F"/>
    <w:rsid w:val="25894F1C"/>
    <w:rsid w:val="25910F73"/>
    <w:rsid w:val="259B4EAA"/>
    <w:rsid w:val="25B50668"/>
    <w:rsid w:val="2601730F"/>
    <w:rsid w:val="26047CDB"/>
    <w:rsid w:val="260B3AA2"/>
    <w:rsid w:val="261A0447"/>
    <w:rsid w:val="26304A03"/>
    <w:rsid w:val="26731A45"/>
    <w:rsid w:val="268A2E9F"/>
    <w:rsid w:val="269B3FDD"/>
    <w:rsid w:val="269C61AD"/>
    <w:rsid w:val="26B900D5"/>
    <w:rsid w:val="26BC7BF6"/>
    <w:rsid w:val="26C14ABC"/>
    <w:rsid w:val="26D311FF"/>
    <w:rsid w:val="26D47BBD"/>
    <w:rsid w:val="26D80CCE"/>
    <w:rsid w:val="26E11C81"/>
    <w:rsid w:val="270952D9"/>
    <w:rsid w:val="27102361"/>
    <w:rsid w:val="271978F7"/>
    <w:rsid w:val="27272A96"/>
    <w:rsid w:val="27283244"/>
    <w:rsid w:val="27376DC6"/>
    <w:rsid w:val="274055D0"/>
    <w:rsid w:val="274B46B3"/>
    <w:rsid w:val="27535D84"/>
    <w:rsid w:val="276052A0"/>
    <w:rsid w:val="277512F4"/>
    <w:rsid w:val="278F1145"/>
    <w:rsid w:val="279436AC"/>
    <w:rsid w:val="27981532"/>
    <w:rsid w:val="27AA21B2"/>
    <w:rsid w:val="27B73A1A"/>
    <w:rsid w:val="27BE674E"/>
    <w:rsid w:val="27CF4540"/>
    <w:rsid w:val="27DE2D94"/>
    <w:rsid w:val="27EE4A9C"/>
    <w:rsid w:val="27F4459E"/>
    <w:rsid w:val="280458A8"/>
    <w:rsid w:val="28264760"/>
    <w:rsid w:val="28274F18"/>
    <w:rsid w:val="28282657"/>
    <w:rsid w:val="28333119"/>
    <w:rsid w:val="28484132"/>
    <w:rsid w:val="28654F05"/>
    <w:rsid w:val="28664F00"/>
    <w:rsid w:val="28746362"/>
    <w:rsid w:val="289D73A3"/>
    <w:rsid w:val="28A34D78"/>
    <w:rsid w:val="28A7275C"/>
    <w:rsid w:val="28AF543D"/>
    <w:rsid w:val="28C26D95"/>
    <w:rsid w:val="28D50FDF"/>
    <w:rsid w:val="28DF5AF6"/>
    <w:rsid w:val="28EE2872"/>
    <w:rsid w:val="28FA4362"/>
    <w:rsid w:val="28FA66C3"/>
    <w:rsid w:val="292F4988"/>
    <w:rsid w:val="293002B5"/>
    <w:rsid w:val="294F7299"/>
    <w:rsid w:val="295D6A67"/>
    <w:rsid w:val="29680A5D"/>
    <w:rsid w:val="29791F3B"/>
    <w:rsid w:val="297D1992"/>
    <w:rsid w:val="29825BBC"/>
    <w:rsid w:val="29904D58"/>
    <w:rsid w:val="29997AF6"/>
    <w:rsid w:val="29A25FFE"/>
    <w:rsid w:val="29A45906"/>
    <w:rsid w:val="29A506FC"/>
    <w:rsid w:val="29BD5C6D"/>
    <w:rsid w:val="29CB2F2E"/>
    <w:rsid w:val="29CD3C84"/>
    <w:rsid w:val="29EC1B96"/>
    <w:rsid w:val="2A017C21"/>
    <w:rsid w:val="2A0D61D2"/>
    <w:rsid w:val="2A1F107E"/>
    <w:rsid w:val="2A286490"/>
    <w:rsid w:val="2A2F6C73"/>
    <w:rsid w:val="2A313078"/>
    <w:rsid w:val="2A65641F"/>
    <w:rsid w:val="2A7321CD"/>
    <w:rsid w:val="2A8069DE"/>
    <w:rsid w:val="2AD00E5A"/>
    <w:rsid w:val="2AD27564"/>
    <w:rsid w:val="2B0058DE"/>
    <w:rsid w:val="2B0E6870"/>
    <w:rsid w:val="2B222450"/>
    <w:rsid w:val="2B2A73BF"/>
    <w:rsid w:val="2B4572CE"/>
    <w:rsid w:val="2B484A17"/>
    <w:rsid w:val="2B55193E"/>
    <w:rsid w:val="2B711F28"/>
    <w:rsid w:val="2B7201B7"/>
    <w:rsid w:val="2B761F33"/>
    <w:rsid w:val="2B863FB0"/>
    <w:rsid w:val="2B8D085C"/>
    <w:rsid w:val="2B95102F"/>
    <w:rsid w:val="2B985264"/>
    <w:rsid w:val="2B9C7794"/>
    <w:rsid w:val="2BA13147"/>
    <w:rsid w:val="2BC37EC0"/>
    <w:rsid w:val="2BCF5B2C"/>
    <w:rsid w:val="2BDD73DE"/>
    <w:rsid w:val="2BE04876"/>
    <w:rsid w:val="2BE805A8"/>
    <w:rsid w:val="2BEA0C12"/>
    <w:rsid w:val="2BEC2235"/>
    <w:rsid w:val="2C004316"/>
    <w:rsid w:val="2C08491D"/>
    <w:rsid w:val="2C145A60"/>
    <w:rsid w:val="2C310072"/>
    <w:rsid w:val="2C321771"/>
    <w:rsid w:val="2C3A7715"/>
    <w:rsid w:val="2C5E46AE"/>
    <w:rsid w:val="2C624FE0"/>
    <w:rsid w:val="2C747A1E"/>
    <w:rsid w:val="2C7A45DE"/>
    <w:rsid w:val="2C821439"/>
    <w:rsid w:val="2C8E261E"/>
    <w:rsid w:val="2C911B42"/>
    <w:rsid w:val="2C957B0A"/>
    <w:rsid w:val="2CBA7C54"/>
    <w:rsid w:val="2CBB4533"/>
    <w:rsid w:val="2CC23379"/>
    <w:rsid w:val="2CCA7766"/>
    <w:rsid w:val="2CFC3C68"/>
    <w:rsid w:val="2CFE413E"/>
    <w:rsid w:val="2D081A1B"/>
    <w:rsid w:val="2D204C5E"/>
    <w:rsid w:val="2D204D0C"/>
    <w:rsid w:val="2D2A0D7D"/>
    <w:rsid w:val="2D322B06"/>
    <w:rsid w:val="2D357BC4"/>
    <w:rsid w:val="2D4E7F5B"/>
    <w:rsid w:val="2D543EC1"/>
    <w:rsid w:val="2D5D3C0C"/>
    <w:rsid w:val="2D7333BF"/>
    <w:rsid w:val="2D7F2732"/>
    <w:rsid w:val="2D8F7CFB"/>
    <w:rsid w:val="2D9211D0"/>
    <w:rsid w:val="2D947E9C"/>
    <w:rsid w:val="2D990B9C"/>
    <w:rsid w:val="2D9E2037"/>
    <w:rsid w:val="2DA6121D"/>
    <w:rsid w:val="2DAA47C7"/>
    <w:rsid w:val="2DB13E52"/>
    <w:rsid w:val="2DC31B03"/>
    <w:rsid w:val="2DD972D9"/>
    <w:rsid w:val="2DDF3E3D"/>
    <w:rsid w:val="2DE6023D"/>
    <w:rsid w:val="2E040334"/>
    <w:rsid w:val="2E0532FE"/>
    <w:rsid w:val="2E3A1FC5"/>
    <w:rsid w:val="2E5E5416"/>
    <w:rsid w:val="2E6E2922"/>
    <w:rsid w:val="2E7A120C"/>
    <w:rsid w:val="2E7A66FC"/>
    <w:rsid w:val="2E7E53C3"/>
    <w:rsid w:val="2E8D4D26"/>
    <w:rsid w:val="2E9927A3"/>
    <w:rsid w:val="2EA122AD"/>
    <w:rsid w:val="2ECB17EB"/>
    <w:rsid w:val="2ECB5E92"/>
    <w:rsid w:val="2EE82886"/>
    <w:rsid w:val="2EEE27ED"/>
    <w:rsid w:val="2EF201EA"/>
    <w:rsid w:val="2EFC7D3B"/>
    <w:rsid w:val="2F0B2DD5"/>
    <w:rsid w:val="2F2039C0"/>
    <w:rsid w:val="2F21032A"/>
    <w:rsid w:val="2F210D27"/>
    <w:rsid w:val="2F3E3794"/>
    <w:rsid w:val="2F4973FC"/>
    <w:rsid w:val="2F4B51D4"/>
    <w:rsid w:val="2F4E302C"/>
    <w:rsid w:val="2F7167B0"/>
    <w:rsid w:val="2F8844C9"/>
    <w:rsid w:val="2F8C3113"/>
    <w:rsid w:val="2F940AB6"/>
    <w:rsid w:val="2FA71E09"/>
    <w:rsid w:val="2FB90B9B"/>
    <w:rsid w:val="2FC00136"/>
    <w:rsid w:val="2FD1530B"/>
    <w:rsid w:val="2FE90991"/>
    <w:rsid w:val="2FED36DB"/>
    <w:rsid w:val="2FED7A26"/>
    <w:rsid w:val="2FF351B1"/>
    <w:rsid w:val="300346D5"/>
    <w:rsid w:val="300C14D7"/>
    <w:rsid w:val="30355611"/>
    <w:rsid w:val="3041294A"/>
    <w:rsid w:val="30504C5C"/>
    <w:rsid w:val="306D0246"/>
    <w:rsid w:val="307739D9"/>
    <w:rsid w:val="307B7F53"/>
    <w:rsid w:val="30952E46"/>
    <w:rsid w:val="309B787D"/>
    <w:rsid w:val="30DA0679"/>
    <w:rsid w:val="30E726E8"/>
    <w:rsid w:val="30EA06B3"/>
    <w:rsid w:val="311A339B"/>
    <w:rsid w:val="312D7213"/>
    <w:rsid w:val="314F230B"/>
    <w:rsid w:val="319B0473"/>
    <w:rsid w:val="31BA3A3F"/>
    <w:rsid w:val="31D42819"/>
    <w:rsid w:val="31E87904"/>
    <w:rsid w:val="31F95A80"/>
    <w:rsid w:val="32131AD0"/>
    <w:rsid w:val="32406EEF"/>
    <w:rsid w:val="32490371"/>
    <w:rsid w:val="324F33D7"/>
    <w:rsid w:val="32545C17"/>
    <w:rsid w:val="32AC4779"/>
    <w:rsid w:val="32AE1EDA"/>
    <w:rsid w:val="32B4451E"/>
    <w:rsid w:val="32C369AC"/>
    <w:rsid w:val="32CD5629"/>
    <w:rsid w:val="32E71A71"/>
    <w:rsid w:val="32EC3387"/>
    <w:rsid w:val="32F05CA0"/>
    <w:rsid w:val="330B029A"/>
    <w:rsid w:val="330C2A6F"/>
    <w:rsid w:val="33121752"/>
    <w:rsid w:val="33135C29"/>
    <w:rsid w:val="332D40C2"/>
    <w:rsid w:val="33326DBD"/>
    <w:rsid w:val="334B2675"/>
    <w:rsid w:val="33530D5D"/>
    <w:rsid w:val="33536431"/>
    <w:rsid w:val="33561838"/>
    <w:rsid w:val="33577D64"/>
    <w:rsid w:val="33600DD6"/>
    <w:rsid w:val="3381788D"/>
    <w:rsid w:val="33987FE8"/>
    <w:rsid w:val="33B311B3"/>
    <w:rsid w:val="33B37AA9"/>
    <w:rsid w:val="33D644A8"/>
    <w:rsid w:val="33ED5577"/>
    <w:rsid w:val="340B208B"/>
    <w:rsid w:val="34377B0A"/>
    <w:rsid w:val="34535EC7"/>
    <w:rsid w:val="34671CE5"/>
    <w:rsid w:val="34BD5D44"/>
    <w:rsid w:val="34C101C1"/>
    <w:rsid w:val="34DC2644"/>
    <w:rsid w:val="34E77ECD"/>
    <w:rsid w:val="34FE5200"/>
    <w:rsid w:val="35027FFE"/>
    <w:rsid w:val="35045C4E"/>
    <w:rsid w:val="35332DA5"/>
    <w:rsid w:val="35360159"/>
    <w:rsid w:val="3541520B"/>
    <w:rsid w:val="35566F4D"/>
    <w:rsid w:val="357A34F0"/>
    <w:rsid w:val="35B15849"/>
    <w:rsid w:val="35C258CD"/>
    <w:rsid w:val="35DE085F"/>
    <w:rsid w:val="35E21547"/>
    <w:rsid w:val="36040E2C"/>
    <w:rsid w:val="360D4C4A"/>
    <w:rsid w:val="36343A72"/>
    <w:rsid w:val="36424100"/>
    <w:rsid w:val="36491401"/>
    <w:rsid w:val="365D508B"/>
    <w:rsid w:val="369D5767"/>
    <w:rsid w:val="36A7728A"/>
    <w:rsid w:val="36DD5C81"/>
    <w:rsid w:val="36E233F0"/>
    <w:rsid w:val="36FF1C5E"/>
    <w:rsid w:val="37021F31"/>
    <w:rsid w:val="37556F27"/>
    <w:rsid w:val="37736ED8"/>
    <w:rsid w:val="37781ACC"/>
    <w:rsid w:val="379D203C"/>
    <w:rsid w:val="379E68E4"/>
    <w:rsid w:val="37B413CC"/>
    <w:rsid w:val="37DA75D0"/>
    <w:rsid w:val="37EF1A1D"/>
    <w:rsid w:val="37F13E18"/>
    <w:rsid w:val="37F71530"/>
    <w:rsid w:val="38004B13"/>
    <w:rsid w:val="380A71F4"/>
    <w:rsid w:val="381E11CA"/>
    <w:rsid w:val="385F455C"/>
    <w:rsid w:val="38682503"/>
    <w:rsid w:val="388E4824"/>
    <w:rsid w:val="38A27406"/>
    <w:rsid w:val="38B42DF8"/>
    <w:rsid w:val="38CC0AD8"/>
    <w:rsid w:val="38D72DC0"/>
    <w:rsid w:val="38F35E91"/>
    <w:rsid w:val="38F62947"/>
    <w:rsid w:val="38F745EA"/>
    <w:rsid w:val="38FA4FE2"/>
    <w:rsid w:val="391A2D9D"/>
    <w:rsid w:val="392171F8"/>
    <w:rsid w:val="392E478D"/>
    <w:rsid w:val="393461AE"/>
    <w:rsid w:val="394E1D26"/>
    <w:rsid w:val="397D4B49"/>
    <w:rsid w:val="398A6349"/>
    <w:rsid w:val="39A21CE3"/>
    <w:rsid w:val="39CB3DA2"/>
    <w:rsid w:val="39F32293"/>
    <w:rsid w:val="39FF77B6"/>
    <w:rsid w:val="3A03056E"/>
    <w:rsid w:val="3A061029"/>
    <w:rsid w:val="3A0812AA"/>
    <w:rsid w:val="3A097111"/>
    <w:rsid w:val="3A306F82"/>
    <w:rsid w:val="3A362B17"/>
    <w:rsid w:val="3A39487F"/>
    <w:rsid w:val="3A5835CA"/>
    <w:rsid w:val="3A6158E7"/>
    <w:rsid w:val="3A652295"/>
    <w:rsid w:val="3A6D6F01"/>
    <w:rsid w:val="3A7B3DA6"/>
    <w:rsid w:val="3A9835D4"/>
    <w:rsid w:val="3AA53C7E"/>
    <w:rsid w:val="3AE76180"/>
    <w:rsid w:val="3AF25226"/>
    <w:rsid w:val="3AF32B72"/>
    <w:rsid w:val="3AF43933"/>
    <w:rsid w:val="3AF81B60"/>
    <w:rsid w:val="3AFA06D3"/>
    <w:rsid w:val="3AFC455B"/>
    <w:rsid w:val="3AFE27BE"/>
    <w:rsid w:val="3AFF5F80"/>
    <w:rsid w:val="3B090EA8"/>
    <w:rsid w:val="3B13630C"/>
    <w:rsid w:val="3B355D3B"/>
    <w:rsid w:val="3B3A2548"/>
    <w:rsid w:val="3B4A3888"/>
    <w:rsid w:val="3B5126F8"/>
    <w:rsid w:val="3B5A7171"/>
    <w:rsid w:val="3B8861D5"/>
    <w:rsid w:val="3B8D2622"/>
    <w:rsid w:val="3BA04801"/>
    <w:rsid w:val="3BAC7B48"/>
    <w:rsid w:val="3BB96578"/>
    <w:rsid w:val="3BC42B0B"/>
    <w:rsid w:val="3BCE589D"/>
    <w:rsid w:val="3BD16847"/>
    <w:rsid w:val="3BFC1A20"/>
    <w:rsid w:val="3C03716C"/>
    <w:rsid w:val="3C0E6D98"/>
    <w:rsid w:val="3C8601EE"/>
    <w:rsid w:val="3C985662"/>
    <w:rsid w:val="3CC82D1A"/>
    <w:rsid w:val="3CE70CB0"/>
    <w:rsid w:val="3CF667EF"/>
    <w:rsid w:val="3D295D6B"/>
    <w:rsid w:val="3D2A5D53"/>
    <w:rsid w:val="3D2F7075"/>
    <w:rsid w:val="3D3340A8"/>
    <w:rsid w:val="3D54258F"/>
    <w:rsid w:val="3D7658FA"/>
    <w:rsid w:val="3D81052C"/>
    <w:rsid w:val="3DAA3B69"/>
    <w:rsid w:val="3DBD3592"/>
    <w:rsid w:val="3DE67D91"/>
    <w:rsid w:val="3E046C9F"/>
    <w:rsid w:val="3E502662"/>
    <w:rsid w:val="3E5543AC"/>
    <w:rsid w:val="3E5E11C6"/>
    <w:rsid w:val="3E8E3C86"/>
    <w:rsid w:val="3E911700"/>
    <w:rsid w:val="3E9A12A1"/>
    <w:rsid w:val="3EBF4075"/>
    <w:rsid w:val="3EE63D3B"/>
    <w:rsid w:val="3EEF1CCB"/>
    <w:rsid w:val="3EF827D2"/>
    <w:rsid w:val="3F1F50B1"/>
    <w:rsid w:val="3F403AC3"/>
    <w:rsid w:val="3F425D4A"/>
    <w:rsid w:val="3F434A9C"/>
    <w:rsid w:val="3F583EB5"/>
    <w:rsid w:val="3F6C7322"/>
    <w:rsid w:val="3F787457"/>
    <w:rsid w:val="3FC25ADE"/>
    <w:rsid w:val="3FD2570A"/>
    <w:rsid w:val="3FE4547E"/>
    <w:rsid w:val="40051B04"/>
    <w:rsid w:val="401C68A1"/>
    <w:rsid w:val="401D75AE"/>
    <w:rsid w:val="4026430F"/>
    <w:rsid w:val="402C64BF"/>
    <w:rsid w:val="40300523"/>
    <w:rsid w:val="40301FC1"/>
    <w:rsid w:val="40371E75"/>
    <w:rsid w:val="40434560"/>
    <w:rsid w:val="405705F5"/>
    <w:rsid w:val="406A310F"/>
    <w:rsid w:val="407B754E"/>
    <w:rsid w:val="40804C32"/>
    <w:rsid w:val="408C48DB"/>
    <w:rsid w:val="408F07C9"/>
    <w:rsid w:val="40D21B1D"/>
    <w:rsid w:val="40F476B6"/>
    <w:rsid w:val="414F1A0A"/>
    <w:rsid w:val="41557FAD"/>
    <w:rsid w:val="417E059E"/>
    <w:rsid w:val="41A94951"/>
    <w:rsid w:val="41AC0759"/>
    <w:rsid w:val="41AF7D55"/>
    <w:rsid w:val="41B15FF2"/>
    <w:rsid w:val="41B23EC9"/>
    <w:rsid w:val="41C15CA7"/>
    <w:rsid w:val="422E0FDC"/>
    <w:rsid w:val="42353388"/>
    <w:rsid w:val="426600C7"/>
    <w:rsid w:val="427A7E2A"/>
    <w:rsid w:val="428576F0"/>
    <w:rsid w:val="428727A0"/>
    <w:rsid w:val="428A41C7"/>
    <w:rsid w:val="42C352A0"/>
    <w:rsid w:val="42D47B9E"/>
    <w:rsid w:val="43097248"/>
    <w:rsid w:val="43167C4C"/>
    <w:rsid w:val="43227D24"/>
    <w:rsid w:val="433F54B9"/>
    <w:rsid w:val="43640C0A"/>
    <w:rsid w:val="43656782"/>
    <w:rsid w:val="437752F4"/>
    <w:rsid w:val="439E64C0"/>
    <w:rsid w:val="43A932A4"/>
    <w:rsid w:val="43B525A4"/>
    <w:rsid w:val="43CE7185"/>
    <w:rsid w:val="43DC25B2"/>
    <w:rsid w:val="43E33C23"/>
    <w:rsid w:val="43F46499"/>
    <w:rsid w:val="44136510"/>
    <w:rsid w:val="442C1839"/>
    <w:rsid w:val="44334166"/>
    <w:rsid w:val="446169BE"/>
    <w:rsid w:val="44744ACD"/>
    <w:rsid w:val="449F7CCD"/>
    <w:rsid w:val="44B60464"/>
    <w:rsid w:val="44BC07EA"/>
    <w:rsid w:val="44E6098D"/>
    <w:rsid w:val="44FA7E6E"/>
    <w:rsid w:val="45131D9C"/>
    <w:rsid w:val="451372B3"/>
    <w:rsid w:val="45201856"/>
    <w:rsid w:val="45232BED"/>
    <w:rsid w:val="454F73EC"/>
    <w:rsid w:val="45501EE0"/>
    <w:rsid w:val="45873BF9"/>
    <w:rsid w:val="458804AD"/>
    <w:rsid w:val="45AD60F2"/>
    <w:rsid w:val="45D954EC"/>
    <w:rsid w:val="45F474B6"/>
    <w:rsid w:val="460D4E70"/>
    <w:rsid w:val="460D55B1"/>
    <w:rsid w:val="4615699D"/>
    <w:rsid w:val="461F29E8"/>
    <w:rsid w:val="46374AB1"/>
    <w:rsid w:val="4649016D"/>
    <w:rsid w:val="4650089E"/>
    <w:rsid w:val="466A50BF"/>
    <w:rsid w:val="468C5F42"/>
    <w:rsid w:val="46933026"/>
    <w:rsid w:val="469B257B"/>
    <w:rsid w:val="469C0B90"/>
    <w:rsid w:val="46B85AD7"/>
    <w:rsid w:val="46B92CCF"/>
    <w:rsid w:val="46C62ABB"/>
    <w:rsid w:val="46E56077"/>
    <w:rsid w:val="46F86283"/>
    <w:rsid w:val="470A1DF9"/>
    <w:rsid w:val="470B47B9"/>
    <w:rsid w:val="4715007E"/>
    <w:rsid w:val="47275F83"/>
    <w:rsid w:val="473D6B29"/>
    <w:rsid w:val="47475E43"/>
    <w:rsid w:val="47751955"/>
    <w:rsid w:val="47927FD4"/>
    <w:rsid w:val="47C2788A"/>
    <w:rsid w:val="47D760AC"/>
    <w:rsid w:val="48020EF5"/>
    <w:rsid w:val="480F6F18"/>
    <w:rsid w:val="48102045"/>
    <w:rsid w:val="48110F06"/>
    <w:rsid w:val="48113042"/>
    <w:rsid w:val="4826495F"/>
    <w:rsid w:val="48313FAB"/>
    <w:rsid w:val="483E0A8D"/>
    <w:rsid w:val="484540A0"/>
    <w:rsid w:val="48492BB7"/>
    <w:rsid w:val="485300F2"/>
    <w:rsid w:val="488A436F"/>
    <w:rsid w:val="488B4BAD"/>
    <w:rsid w:val="489958D1"/>
    <w:rsid w:val="48BC04FA"/>
    <w:rsid w:val="48E12D60"/>
    <w:rsid w:val="490724AB"/>
    <w:rsid w:val="4919795E"/>
    <w:rsid w:val="492A23F4"/>
    <w:rsid w:val="49332778"/>
    <w:rsid w:val="494F634D"/>
    <w:rsid w:val="495B788B"/>
    <w:rsid w:val="49694317"/>
    <w:rsid w:val="496A46B7"/>
    <w:rsid w:val="49714137"/>
    <w:rsid w:val="498243F0"/>
    <w:rsid w:val="498841A1"/>
    <w:rsid w:val="49992AEC"/>
    <w:rsid w:val="499E7AA5"/>
    <w:rsid w:val="49A47C69"/>
    <w:rsid w:val="49AC6B23"/>
    <w:rsid w:val="49B33D02"/>
    <w:rsid w:val="49C83B58"/>
    <w:rsid w:val="49E660C0"/>
    <w:rsid w:val="49FA60CD"/>
    <w:rsid w:val="4A043F74"/>
    <w:rsid w:val="4A0B67DE"/>
    <w:rsid w:val="4A151F1C"/>
    <w:rsid w:val="4A29366D"/>
    <w:rsid w:val="4A5E21AB"/>
    <w:rsid w:val="4A6743A2"/>
    <w:rsid w:val="4A73398D"/>
    <w:rsid w:val="4A901EF0"/>
    <w:rsid w:val="4A9268E3"/>
    <w:rsid w:val="4A9465C3"/>
    <w:rsid w:val="4AB51DE1"/>
    <w:rsid w:val="4AB74A8E"/>
    <w:rsid w:val="4AC14768"/>
    <w:rsid w:val="4AC62608"/>
    <w:rsid w:val="4AF25861"/>
    <w:rsid w:val="4B0F6D9E"/>
    <w:rsid w:val="4B115E09"/>
    <w:rsid w:val="4B172C96"/>
    <w:rsid w:val="4B1A3A3B"/>
    <w:rsid w:val="4B22570A"/>
    <w:rsid w:val="4B330D2D"/>
    <w:rsid w:val="4B4D65C7"/>
    <w:rsid w:val="4B5472DF"/>
    <w:rsid w:val="4B576832"/>
    <w:rsid w:val="4B69625A"/>
    <w:rsid w:val="4B7A01D0"/>
    <w:rsid w:val="4B813B79"/>
    <w:rsid w:val="4B976E58"/>
    <w:rsid w:val="4BAA03FF"/>
    <w:rsid w:val="4BB6026E"/>
    <w:rsid w:val="4BBB4AE8"/>
    <w:rsid w:val="4BBB5677"/>
    <w:rsid w:val="4BC83610"/>
    <w:rsid w:val="4BDD7204"/>
    <w:rsid w:val="4BFF4051"/>
    <w:rsid w:val="4C3014A4"/>
    <w:rsid w:val="4C446A4E"/>
    <w:rsid w:val="4C5F7190"/>
    <w:rsid w:val="4C6E27E3"/>
    <w:rsid w:val="4C6F0CE9"/>
    <w:rsid w:val="4C763035"/>
    <w:rsid w:val="4C8118B9"/>
    <w:rsid w:val="4CFA7602"/>
    <w:rsid w:val="4D020AA6"/>
    <w:rsid w:val="4D4C473B"/>
    <w:rsid w:val="4DBF45C2"/>
    <w:rsid w:val="4DD601B5"/>
    <w:rsid w:val="4DDA084B"/>
    <w:rsid w:val="4E05665F"/>
    <w:rsid w:val="4E08582B"/>
    <w:rsid w:val="4E194D5A"/>
    <w:rsid w:val="4E3B59F7"/>
    <w:rsid w:val="4E440E94"/>
    <w:rsid w:val="4E492772"/>
    <w:rsid w:val="4E4E5768"/>
    <w:rsid w:val="4E574300"/>
    <w:rsid w:val="4E880754"/>
    <w:rsid w:val="4E9E2997"/>
    <w:rsid w:val="4EA66CFA"/>
    <w:rsid w:val="4EB32A97"/>
    <w:rsid w:val="4EB41C51"/>
    <w:rsid w:val="4EC82A17"/>
    <w:rsid w:val="4ECA4C3D"/>
    <w:rsid w:val="4ECF09C4"/>
    <w:rsid w:val="4ED36269"/>
    <w:rsid w:val="4EE0329E"/>
    <w:rsid w:val="4F0C7BD1"/>
    <w:rsid w:val="4F2F0031"/>
    <w:rsid w:val="4F377A7E"/>
    <w:rsid w:val="4F3C3FED"/>
    <w:rsid w:val="4F4814CB"/>
    <w:rsid w:val="4F4A5A41"/>
    <w:rsid w:val="4F6146AB"/>
    <w:rsid w:val="4F6D70F8"/>
    <w:rsid w:val="4F732766"/>
    <w:rsid w:val="4F996A2F"/>
    <w:rsid w:val="4FCC12F3"/>
    <w:rsid w:val="4FDA0213"/>
    <w:rsid w:val="4FDF6722"/>
    <w:rsid w:val="501472E1"/>
    <w:rsid w:val="501777DD"/>
    <w:rsid w:val="501E15C1"/>
    <w:rsid w:val="506C02F6"/>
    <w:rsid w:val="50795217"/>
    <w:rsid w:val="507D2A84"/>
    <w:rsid w:val="50843DF8"/>
    <w:rsid w:val="5085704B"/>
    <w:rsid w:val="50953BA3"/>
    <w:rsid w:val="50A055ED"/>
    <w:rsid w:val="50B22415"/>
    <w:rsid w:val="50CE74F5"/>
    <w:rsid w:val="50DC235F"/>
    <w:rsid w:val="50E9789A"/>
    <w:rsid w:val="50EC1F3E"/>
    <w:rsid w:val="50EC624A"/>
    <w:rsid w:val="50F4013B"/>
    <w:rsid w:val="51173D18"/>
    <w:rsid w:val="5123317C"/>
    <w:rsid w:val="51273D43"/>
    <w:rsid w:val="51295380"/>
    <w:rsid w:val="51306C83"/>
    <w:rsid w:val="51464D28"/>
    <w:rsid w:val="51681BD4"/>
    <w:rsid w:val="5177787E"/>
    <w:rsid w:val="517837AF"/>
    <w:rsid w:val="51891565"/>
    <w:rsid w:val="51D07E7E"/>
    <w:rsid w:val="51E733D2"/>
    <w:rsid w:val="51E8623A"/>
    <w:rsid w:val="51ED581F"/>
    <w:rsid w:val="51ED7B1B"/>
    <w:rsid w:val="51EE0686"/>
    <w:rsid w:val="51FE5B7A"/>
    <w:rsid w:val="52070207"/>
    <w:rsid w:val="52312980"/>
    <w:rsid w:val="523B58B8"/>
    <w:rsid w:val="525A3D70"/>
    <w:rsid w:val="525B5F5B"/>
    <w:rsid w:val="525C1C3C"/>
    <w:rsid w:val="527E2886"/>
    <w:rsid w:val="52C6081B"/>
    <w:rsid w:val="52D61297"/>
    <w:rsid w:val="52D7389B"/>
    <w:rsid w:val="52E4451C"/>
    <w:rsid w:val="534B3EF0"/>
    <w:rsid w:val="536C3E36"/>
    <w:rsid w:val="536D51C0"/>
    <w:rsid w:val="537275A1"/>
    <w:rsid w:val="537A2483"/>
    <w:rsid w:val="538600D8"/>
    <w:rsid w:val="539217C8"/>
    <w:rsid w:val="539C0E9E"/>
    <w:rsid w:val="53A567D2"/>
    <w:rsid w:val="53C13554"/>
    <w:rsid w:val="53CC1099"/>
    <w:rsid w:val="53CD2A8B"/>
    <w:rsid w:val="53CF2378"/>
    <w:rsid w:val="53D30CBF"/>
    <w:rsid w:val="53E56014"/>
    <w:rsid w:val="53FB51F0"/>
    <w:rsid w:val="541B1610"/>
    <w:rsid w:val="541F1508"/>
    <w:rsid w:val="542715FB"/>
    <w:rsid w:val="54300008"/>
    <w:rsid w:val="54453B78"/>
    <w:rsid w:val="546B2B3B"/>
    <w:rsid w:val="54737637"/>
    <w:rsid w:val="54AC5402"/>
    <w:rsid w:val="54AF4AEE"/>
    <w:rsid w:val="54B33101"/>
    <w:rsid w:val="54CC4290"/>
    <w:rsid w:val="54EA712A"/>
    <w:rsid w:val="54F97692"/>
    <w:rsid w:val="54FD5035"/>
    <w:rsid w:val="54FF1B35"/>
    <w:rsid w:val="55240897"/>
    <w:rsid w:val="553A1002"/>
    <w:rsid w:val="555122CB"/>
    <w:rsid w:val="555552B8"/>
    <w:rsid w:val="55624E03"/>
    <w:rsid w:val="556C080C"/>
    <w:rsid w:val="557C1BB2"/>
    <w:rsid w:val="5583252B"/>
    <w:rsid w:val="55DD37AF"/>
    <w:rsid w:val="560B737E"/>
    <w:rsid w:val="56117E69"/>
    <w:rsid w:val="561262B0"/>
    <w:rsid w:val="56172336"/>
    <w:rsid w:val="561D38D4"/>
    <w:rsid w:val="56360D1F"/>
    <w:rsid w:val="56383F81"/>
    <w:rsid w:val="564D26C7"/>
    <w:rsid w:val="56697849"/>
    <w:rsid w:val="566C3E4C"/>
    <w:rsid w:val="567E7F02"/>
    <w:rsid w:val="56A16B09"/>
    <w:rsid w:val="56A274BB"/>
    <w:rsid w:val="56BB0E9E"/>
    <w:rsid w:val="56BC61BB"/>
    <w:rsid w:val="56C37188"/>
    <w:rsid w:val="56C734DB"/>
    <w:rsid w:val="570279A4"/>
    <w:rsid w:val="5718551D"/>
    <w:rsid w:val="571F69D0"/>
    <w:rsid w:val="57410CC1"/>
    <w:rsid w:val="5765253A"/>
    <w:rsid w:val="576A443C"/>
    <w:rsid w:val="576D165D"/>
    <w:rsid w:val="577309FA"/>
    <w:rsid w:val="57883F28"/>
    <w:rsid w:val="578E0ED2"/>
    <w:rsid w:val="57A406B6"/>
    <w:rsid w:val="57AF52EF"/>
    <w:rsid w:val="57BB02DB"/>
    <w:rsid w:val="57BD4EF1"/>
    <w:rsid w:val="57CF01A4"/>
    <w:rsid w:val="57DB48D4"/>
    <w:rsid w:val="57DC2EDB"/>
    <w:rsid w:val="58151FDB"/>
    <w:rsid w:val="5821562E"/>
    <w:rsid w:val="5837645C"/>
    <w:rsid w:val="58493333"/>
    <w:rsid w:val="58510A4A"/>
    <w:rsid w:val="585B31F9"/>
    <w:rsid w:val="5891081D"/>
    <w:rsid w:val="58AB5CBB"/>
    <w:rsid w:val="58BF2147"/>
    <w:rsid w:val="58CB2844"/>
    <w:rsid w:val="58D009AE"/>
    <w:rsid w:val="58DC3CFE"/>
    <w:rsid w:val="58F659A2"/>
    <w:rsid w:val="591079CB"/>
    <w:rsid w:val="59183B30"/>
    <w:rsid w:val="591E039F"/>
    <w:rsid w:val="5935517D"/>
    <w:rsid w:val="59493F41"/>
    <w:rsid w:val="594F79E3"/>
    <w:rsid w:val="595373B8"/>
    <w:rsid w:val="59587106"/>
    <w:rsid w:val="598600A2"/>
    <w:rsid w:val="598F3AC0"/>
    <w:rsid w:val="59944BAA"/>
    <w:rsid w:val="59B31A79"/>
    <w:rsid w:val="59B549B6"/>
    <w:rsid w:val="59C14BC6"/>
    <w:rsid w:val="59C8125B"/>
    <w:rsid w:val="59CE448F"/>
    <w:rsid w:val="59D17213"/>
    <w:rsid w:val="59D94BC8"/>
    <w:rsid w:val="59E12331"/>
    <w:rsid w:val="59E51821"/>
    <w:rsid w:val="59F0020A"/>
    <w:rsid w:val="59FF337E"/>
    <w:rsid w:val="5A0538EB"/>
    <w:rsid w:val="5A067C2D"/>
    <w:rsid w:val="5A096AFC"/>
    <w:rsid w:val="5A140C59"/>
    <w:rsid w:val="5A28252C"/>
    <w:rsid w:val="5A7B66F5"/>
    <w:rsid w:val="5A7F21B4"/>
    <w:rsid w:val="5A7F6762"/>
    <w:rsid w:val="5A8E0759"/>
    <w:rsid w:val="5A9C7AE5"/>
    <w:rsid w:val="5AB62FAA"/>
    <w:rsid w:val="5ABA709E"/>
    <w:rsid w:val="5AD72471"/>
    <w:rsid w:val="5AE90AB1"/>
    <w:rsid w:val="5AF951C8"/>
    <w:rsid w:val="5AFE64C4"/>
    <w:rsid w:val="5B0A723B"/>
    <w:rsid w:val="5B100DAA"/>
    <w:rsid w:val="5B1012DD"/>
    <w:rsid w:val="5B435861"/>
    <w:rsid w:val="5B480BF2"/>
    <w:rsid w:val="5B4936C8"/>
    <w:rsid w:val="5B5973FA"/>
    <w:rsid w:val="5B5A198F"/>
    <w:rsid w:val="5B65332F"/>
    <w:rsid w:val="5B732B98"/>
    <w:rsid w:val="5BA14FFA"/>
    <w:rsid w:val="5BA4750A"/>
    <w:rsid w:val="5BE87363"/>
    <w:rsid w:val="5BEF4723"/>
    <w:rsid w:val="5BF7485F"/>
    <w:rsid w:val="5BFE5AAD"/>
    <w:rsid w:val="5C015121"/>
    <w:rsid w:val="5C0A3453"/>
    <w:rsid w:val="5C2A31CE"/>
    <w:rsid w:val="5C51066C"/>
    <w:rsid w:val="5C5C35BF"/>
    <w:rsid w:val="5C662BA1"/>
    <w:rsid w:val="5C6A514A"/>
    <w:rsid w:val="5C6E3947"/>
    <w:rsid w:val="5C827B46"/>
    <w:rsid w:val="5C9C7955"/>
    <w:rsid w:val="5CA23B6C"/>
    <w:rsid w:val="5CA56C7A"/>
    <w:rsid w:val="5CB4587F"/>
    <w:rsid w:val="5CB5392D"/>
    <w:rsid w:val="5CEB4ED5"/>
    <w:rsid w:val="5CEF1CD5"/>
    <w:rsid w:val="5CFC130C"/>
    <w:rsid w:val="5D2D1190"/>
    <w:rsid w:val="5D2F1EA3"/>
    <w:rsid w:val="5D346980"/>
    <w:rsid w:val="5D513EF4"/>
    <w:rsid w:val="5D674CF8"/>
    <w:rsid w:val="5D7E68F3"/>
    <w:rsid w:val="5D82708B"/>
    <w:rsid w:val="5DA57093"/>
    <w:rsid w:val="5DF53344"/>
    <w:rsid w:val="5E10546C"/>
    <w:rsid w:val="5E240FA2"/>
    <w:rsid w:val="5E4D7601"/>
    <w:rsid w:val="5E695614"/>
    <w:rsid w:val="5E8E6D53"/>
    <w:rsid w:val="5EB23633"/>
    <w:rsid w:val="5EBA7D8F"/>
    <w:rsid w:val="5EC807A0"/>
    <w:rsid w:val="5EF047A6"/>
    <w:rsid w:val="5F2062FC"/>
    <w:rsid w:val="5F212CC1"/>
    <w:rsid w:val="5F2B2393"/>
    <w:rsid w:val="5F313F9A"/>
    <w:rsid w:val="5F320AC3"/>
    <w:rsid w:val="5F381851"/>
    <w:rsid w:val="5F4229F1"/>
    <w:rsid w:val="5F6F5575"/>
    <w:rsid w:val="5F835427"/>
    <w:rsid w:val="5FC823D6"/>
    <w:rsid w:val="5FDB4E15"/>
    <w:rsid w:val="5FED406A"/>
    <w:rsid w:val="600852DD"/>
    <w:rsid w:val="601136FB"/>
    <w:rsid w:val="601D5174"/>
    <w:rsid w:val="602F6574"/>
    <w:rsid w:val="606C120D"/>
    <w:rsid w:val="60D554F1"/>
    <w:rsid w:val="60DE0F30"/>
    <w:rsid w:val="60FA7EC1"/>
    <w:rsid w:val="60FB737A"/>
    <w:rsid w:val="61084FEB"/>
    <w:rsid w:val="610B4F05"/>
    <w:rsid w:val="611A037C"/>
    <w:rsid w:val="61432ADA"/>
    <w:rsid w:val="614F4F4C"/>
    <w:rsid w:val="616502BC"/>
    <w:rsid w:val="61684EF9"/>
    <w:rsid w:val="616869BE"/>
    <w:rsid w:val="617756DB"/>
    <w:rsid w:val="61942516"/>
    <w:rsid w:val="619B464A"/>
    <w:rsid w:val="61CB7B18"/>
    <w:rsid w:val="61D3345D"/>
    <w:rsid w:val="61D51448"/>
    <w:rsid w:val="61EE1426"/>
    <w:rsid w:val="62000274"/>
    <w:rsid w:val="6215351C"/>
    <w:rsid w:val="62153B7B"/>
    <w:rsid w:val="62175BE3"/>
    <w:rsid w:val="621A6620"/>
    <w:rsid w:val="622B65EA"/>
    <w:rsid w:val="62347ABB"/>
    <w:rsid w:val="623F3ADB"/>
    <w:rsid w:val="6275464A"/>
    <w:rsid w:val="628120D0"/>
    <w:rsid w:val="62963F8A"/>
    <w:rsid w:val="62A661C1"/>
    <w:rsid w:val="62AA1DCF"/>
    <w:rsid w:val="62B43B0D"/>
    <w:rsid w:val="62B90059"/>
    <w:rsid w:val="62BD60CF"/>
    <w:rsid w:val="62C4748D"/>
    <w:rsid w:val="62CF0B1F"/>
    <w:rsid w:val="63101255"/>
    <w:rsid w:val="631A5E32"/>
    <w:rsid w:val="632D1657"/>
    <w:rsid w:val="63411BAF"/>
    <w:rsid w:val="634C6EEE"/>
    <w:rsid w:val="63711368"/>
    <w:rsid w:val="637F46F6"/>
    <w:rsid w:val="63A47126"/>
    <w:rsid w:val="63E77572"/>
    <w:rsid w:val="63F348D9"/>
    <w:rsid w:val="64040604"/>
    <w:rsid w:val="641E4151"/>
    <w:rsid w:val="642A11B5"/>
    <w:rsid w:val="64452F29"/>
    <w:rsid w:val="6456236E"/>
    <w:rsid w:val="64665458"/>
    <w:rsid w:val="64893C0E"/>
    <w:rsid w:val="648E1BC0"/>
    <w:rsid w:val="64AC0CFF"/>
    <w:rsid w:val="64B41591"/>
    <w:rsid w:val="64D812FF"/>
    <w:rsid w:val="64D92FA0"/>
    <w:rsid w:val="64EB0FBE"/>
    <w:rsid w:val="64EB7B01"/>
    <w:rsid w:val="65136AF1"/>
    <w:rsid w:val="652A6D49"/>
    <w:rsid w:val="652A7142"/>
    <w:rsid w:val="652D0A19"/>
    <w:rsid w:val="654B1B04"/>
    <w:rsid w:val="65506C25"/>
    <w:rsid w:val="65603BEF"/>
    <w:rsid w:val="657C2366"/>
    <w:rsid w:val="65815295"/>
    <w:rsid w:val="65903BC0"/>
    <w:rsid w:val="659C032F"/>
    <w:rsid w:val="65A5003C"/>
    <w:rsid w:val="65D22B1F"/>
    <w:rsid w:val="65E2056D"/>
    <w:rsid w:val="65E279CC"/>
    <w:rsid w:val="65E61FDC"/>
    <w:rsid w:val="65E93500"/>
    <w:rsid w:val="65F218A3"/>
    <w:rsid w:val="65F23E19"/>
    <w:rsid w:val="65FA04F9"/>
    <w:rsid w:val="660671D2"/>
    <w:rsid w:val="66394CCA"/>
    <w:rsid w:val="66476A3E"/>
    <w:rsid w:val="66522722"/>
    <w:rsid w:val="66725F06"/>
    <w:rsid w:val="667E72B9"/>
    <w:rsid w:val="668D309D"/>
    <w:rsid w:val="669259D6"/>
    <w:rsid w:val="66AF52E3"/>
    <w:rsid w:val="66BF4894"/>
    <w:rsid w:val="66C97BDC"/>
    <w:rsid w:val="67344EEE"/>
    <w:rsid w:val="67480BE2"/>
    <w:rsid w:val="676644C1"/>
    <w:rsid w:val="677155A7"/>
    <w:rsid w:val="679623CC"/>
    <w:rsid w:val="6796303D"/>
    <w:rsid w:val="67AA1BD4"/>
    <w:rsid w:val="67B03E1C"/>
    <w:rsid w:val="67B63ADD"/>
    <w:rsid w:val="67BA24F7"/>
    <w:rsid w:val="67BD327A"/>
    <w:rsid w:val="67BE743F"/>
    <w:rsid w:val="67DD5CD3"/>
    <w:rsid w:val="67DF53A5"/>
    <w:rsid w:val="67E63583"/>
    <w:rsid w:val="67F4187F"/>
    <w:rsid w:val="67FC698C"/>
    <w:rsid w:val="67FD6F7B"/>
    <w:rsid w:val="680349A7"/>
    <w:rsid w:val="68046717"/>
    <w:rsid w:val="68160F07"/>
    <w:rsid w:val="68282FC4"/>
    <w:rsid w:val="682B4A91"/>
    <w:rsid w:val="683B6C01"/>
    <w:rsid w:val="68522D85"/>
    <w:rsid w:val="68A1661F"/>
    <w:rsid w:val="68E0788A"/>
    <w:rsid w:val="69082581"/>
    <w:rsid w:val="6910135B"/>
    <w:rsid w:val="69162D19"/>
    <w:rsid w:val="69306998"/>
    <w:rsid w:val="693717F2"/>
    <w:rsid w:val="69442FE9"/>
    <w:rsid w:val="695A3AF9"/>
    <w:rsid w:val="696463EB"/>
    <w:rsid w:val="69734D74"/>
    <w:rsid w:val="697B6A64"/>
    <w:rsid w:val="69862CE3"/>
    <w:rsid w:val="6986629D"/>
    <w:rsid w:val="69D76785"/>
    <w:rsid w:val="6A152EFB"/>
    <w:rsid w:val="6A5F0006"/>
    <w:rsid w:val="6A7925A8"/>
    <w:rsid w:val="6A8A41CB"/>
    <w:rsid w:val="6A9D6E15"/>
    <w:rsid w:val="6AA54363"/>
    <w:rsid w:val="6AB24160"/>
    <w:rsid w:val="6ABA4896"/>
    <w:rsid w:val="6AD206F4"/>
    <w:rsid w:val="6ADF1F96"/>
    <w:rsid w:val="6AF77BC8"/>
    <w:rsid w:val="6B000B6C"/>
    <w:rsid w:val="6B050FD0"/>
    <w:rsid w:val="6B0A1D4A"/>
    <w:rsid w:val="6B0E317F"/>
    <w:rsid w:val="6B0F6FCC"/>
    <w:rsid w:val="6B216572"/>
    <w:rsid w:val="6B277DA2"/>
    <w:rsid w:val="6B501A20"/>
    <w:rsid w:val="6B592A06"/>
    <w:rsid w:val="6B601C74"/>
    <w:rsid w:val="6B752969"/>
    <w:rsid w:val="6B814F29"/>
    <w:rsid w:val="6B9F4803"/>
    <w:rsid w:val="6BF43D27"/>
    <w:rsid w:val="6C1F7BCC"/>
    <w:rsid w:val="6C4145B4"/>
    <w:rsid w:val="6C5972A7"/>
    <w:rsid w:val="6C733352"/>
    <w:rsid w:val="6C7C747A"/>
    <w:rsid w:val="6CD400B2"/>
    <w:rsid w:val="6CE23959"/>
    <w:rsid w:val="6D404CA9"/>
    <w:rsid w:val="6D472903"/>
    <w:rsid w:val="6D723243"/>
    <w:rsid w:val="6D78793E"/>
    <w:rsid w:val="6D832F84"/>
    <w:rsid w:val="6D9E2848"/>
    <w:rsid w:val="6DA34920"/>
    <w:rsid w:val="6DA9096F"/>
    <w:rsid w:val="6DB1336D"/>
    <w:rsid w:val="6DE044A0"/>
    <w:rsid w:val="6DE97DFA"/>
    <w:rsid w:val="6DF92ABB"/>
    <w:rsid w:val="6DFC1659"/>
    <w:rsid w:val="6E044FCF"/>
    <w:rsid w:val="6E084681"/>
    <w:rsid w:val="6E0B6526"/>
    <w:rsid w:val="6E0E1276"/>
    <w:rsid w:val="6E1A137E"/>
    <w:rsid w:val="6E3E507C"/>
    <w:rsid w:val="6E4228F4"/>
    <w:rsid w:val="6E4B4A93"/>
    <w:rsid w:val="6E5E44CA"/>
    <w:rsid w:val="6E5E6AE5"/>
    <w:rsid w:val="6E915B2B"/>
    <w:rsid w:val="6EA0426C"/>
    <w:rsid w:val="6EB73738"/>
    <w:rsid w:val="6ECF3481"/>
    <w:rsid w:val="6EE258B6"/>
    <w:rsid w:val="6EE33B44"/>
    <w:rsid w:val="6EEF486F"/>
    <w:rsid w:val="6F023328"/>
    <w:rsid w:val="6F1E572C"/>
    <w:rsid w:val="6F1E67F9"/>
    <w:rsid w:val="6F205906"/>
    <w:rsid w:val="6F4E55B4"/>
    <w:rsid w:val="6F4F7EE5"/>
    <w:rsid w:val="6F7C56EC"/>
    <w:rsid w:val="6F99794B"/>
    <w:rsid w:val="6FA06680"/>
    <w:rsid w:val="6FAD5482"/>
    <w:rsid w:val="6FC2332A"/>
    <w:rsid w:val="6FD50C02"/>
    <w:rsid w:val="6FE5472F"/>
    <w:rsid w:val="70254322"/>
    <w:rsid w:val="705010AC"/>
    <w:rsid w:val="705F560F"/>
    <w:rsid w:val="706711CC"/>
    <w:rsid w:val="70774CA8"/>
    <w:rsid w:val="70787D88"/>
    <w:rsid w:val="707A5A81"/>
    <w:rsid w:val="70A5017C"/>
    <w:rsid w:val="70A95B73"/>
    <w:rsid w:val="70F434E9"/>
    <w:rsid w:val="70F62ADA"/>
    <w:rsid w:val="70F94B37"/>
    <w:rsid w:val="71071084"/>
    <w:rsid w:val="71075340"/>
    <w:rsid w:val="7126257A"/>
    <w:rsid w:val="712B3BDF"/>
    <w:rsid w:val="713C7E5B"/>
    <w:rsid w:val="71530633"/>
    <w:rsid w:val="71694FD9"/>
    <w:rsid w:val="717D2301"/>
    <w:rsid w:val="717E46EB"/>
    <w:rsid w:val="71CA0D5E"/>
    <w:rsid w:val="71DB5A01"/>
    <w:rsid w:val="71F77485"/>
    <w:rsid w:val="720C6CA3"/>
    <w:rsid w:val="721915C9"/>
    <w:rsid w:val="721B753E"/>
    <w:rsid w:val="72285892"/>
    <w:rsid w:val="723138DA"/>
    <w:rsid w:val="724D3390"/>
    <w:rsid w:val="72577CDB"/>
    <w:rsid w:val="726D363D"/>
    <w:rsid w:val="726F2321"/>
    <w:rsid w:val="726F39E2"/>
    <w:rsid w:val="727F2BF1"/>
    <w:rsid w:val="729736F6"/>
    <w:rsid w:val="72A72EF0"/>
    <w:rsid w:val="72BE185C"/>
    <w:rsid w:val="72C1068E"/>
    <w:rsid w:val="72D82C31"/>
    <w:rsid w:val="72EC4945"/>
    <w:rsid w:val="730640FD"/>
    <w:rsid w:val="730F547D"/>
    <w:rsid w:val="730F56F4"/>
    <w:rsid w:val="731745A4"/>
    <w:rsid w:val="733539C1"/>
    <w:rsid w:val="733D5BF9"/>
    <w:rsid w:val="735348AA"/>
    <w:rsid w:val="7361714C"/>
    <w:rsid w:val="7361744F"/>
    <w:rsid w:val="736D650D"/>
    <w:rsid w:val="736F4CA0"/>
    <w:rsid w:val="73916DD4"/>
    <w:rsid w:val="739C40DD"/>
    <w:rsid w:val="739F4721"/>
    <w:rsid w:val="73AA34E8"/>
    <w:rsid w:val="73AD290B"/>
    <w:rsid w:val="73B93D66"/>
    <w:rsid w:val="73D33243"/>
    <w:rsid w:val="73DD3E20"/>
    <w:rsid w:val="73E2566E"/>
    <w:rsid w:val="741930C3"/>
    <w:rsid w:val="743D2D86"/>
    <w:rsid w:val="74447439"/>
    <w:rsid w:val="744805BD"/>
    <w:rsid w:val="744A3664"/>
    <w:rsid w:val="744D6CBF"/>
    <w:rsid w:val="744F09F6"/>
    <w:rsid w:val="74643211"/>
    <w:rsid w:val="74655062"/>
    <w:rsid w:val="746F4E37"/>
    <w:rsid w:val="747F51EF"/>
    <w:rsid w:val="748C7EE9"/>
    <w:rsid w:val="748F4977"/>
    <w:rsid w:val="749A2D3C"/>
    <w:rsid w:val="74AD131B"/>
    <w:rsid w:val="74D13F15"/>
    <w:rsid w:val="74D17B88"/>
    <w:rsid w:val="74D62315"/>
    <w:rsid w:val="74DF6994"/>
    <w:rsid w:val="75063B1B"/>
    <w:rsid w:val="750A66F9"/>
    <w:rsid w:val="75273D41"/>
    <w:rsid w:val="7548293C"/>
    <w:rsid w:val="75601454"/>
    <w:rsid w:val="7561110F"/>
    <w:rsid w:val="758A653E"/>
    <w:rsid w:val="75961649"/>
    <w:rsid w:val="75A00FB4"/>
    <w:rsid w:val="75AD63E0"/>
    <w:rsid w:val="75B400F6"/>
    <w:rsid w:val="75CA7745"/>
    <w:rsid w:val="75CF5209"/>
    <w:rsid w:val="76070BA2"/>
    <w:rsid w:val="760C57AA"/>
    <w:rsid w:val="76163BCE"/>
    <w:rsid w:val="761B0B1B"/>
    <w:rsid w:val="7628188A"/>
    <w:rsid w:val="765062A0"/>
    <w:rsid w:val="7663289D"/>
    <w:rsid w:val="76790ADF"/>
    <w:rsid w:val="76851556"/>
    <w:rsid w:val="768E7646"/>
    <w:rsid w:val="76A26E06"/>
    <w:rsid w:val="76BB585B"/>
    <w:rsid w:val="76D96FB9"/>
    <w:rsid w:val="76E94E87"/>
    <w:rsid w:val="76F20DF1"/>
    <w:rsid w:val="7703566A"/>
    <w:rsid w:val="77106EBA"/>
    <w:rsid w:val="77163160"/>
    <w:rsid w:val="77214A06"/>
    <w:rsid w:val="772B5EA8"/>
    <w:rsid w:val="77454297"/>
    <w:rsid w:val="77535D86"/>
    <w:rsid w:val="777D19FE"/>
    <w:rsid w:val="778871A2"/>
    <w:rsid w:val="77921AE7"/>
    <w:rsid w:val="77A22B2C"/>
    <w:rsid w:val="77A410DD"/>
    <w:rsid w:val="77C37958"/>
    <w:rsid w:val="77D508C0"/>
    <w:rsid w:val="77D54035"/>
    <w:rsid w:val="77F3010A"/>
    <w:rsid w:val="78631056"/>
    <w:rsid w:val="786D0427"/>
    <w:rsid w:val="78737360"/>
    <w:rsid w:val="787D0594"/>
    <w:rsid w:val="78974FFF"/>
    <w:rsid w:val="78B3330A"/>
    <w:rsid w:val="78E368F2"/>
    <w:rsid w:val="7901185B"/>
    <w:rsid w:val="79492CDF"/>
    <w:rsid w:val="794C05FF"/>
    <w:rsid w:val="79802F5F"/>
    <w:rsid w:val="79834A9F"/>
    <w:rsid w:val="798749BE"/>
    <w:rsid w:val="798E7305"/>
    <w:rsid w:val="79BA618A"/>
    <w:rsid w:val="79C4400F"/>
    <w:rsid w:val="79CC3171"/>
    <w:rsid w:val="79E14287"/>
    <w:rsid w:val="7A001C0B"/>
    <w:rsid w:val="7A6A0313"/>
    <w:rsid w:val="7A8E6064"/>
    <w:rsid w:val="7AD043A4"/>
    <w:rsid w:val="7AED691F"/>
    <w:rsid w:val="7AF0153E"/>
    <w:rsid w:val="7AF75B8C"/>
    <w:rsid w:val="7AFE7932"/>
    <w:rsid w:val="7B0A1520"/>
    <w:rsid w:val="7B2A6400"/>
    <w:rsid w:val="7B314879"/>
    <w:rsid w:val="7B3E431F"/>
    <w:rsid w:val="7B4B6A3E"/>
    <w:rsid w:val="7B5778B1"/>
    <w:rsid w:val="7B5C2331"/>
    <w:rsid w:val="7B6B503D"/>
    <w:rsid w:val="7B783589"/>
    <w:rsid w:val="7B8B3E2D"/>
    <w:rsid w:val="7B8C6F4A"/>
    <w:rsid w:val="7B8D3EC5"/>
    <w:rsid w:val="7BE12942"/>
    <w:rsid w:val="7BE71E9D"/>
    <w:rsid w:val="7C130F84"/>
    <w:rsid w:val="7C161AE6"/>
    <w:rsid w:val="7C3743DA"/>
    <w:rsid w:val="7C401813"/>
    <w:rsid w:val="7C505E7A"/>
    <w:rsid w:val="7C5E6603"/>
    <w:rsid w:val="7C6B6EC1"/>
    <w:rsid w:val="7C851534"/>
    <w:rsid w:val="7C882158"/>
    <w:rsid w:val="7C8E0964"/>
    <w:rsid w:val="7C973094"/>
    <w:rsid w:val="7CA17115"/>
    <w:rsid w:val="7CA43F68"/>
    <w:rsid w:val="7CA91C4F"/>
    <w:rsid w:val="7CAD2604"/>
    <w:rsid w:val="7CD56075"/>
    <w:rsid w:val="7CDD3D19"/>
    <w:rsid w:val="7CE771D7"/>
    <w:rsid w:val="7D0C4762"/>
    <w:rsid w:val="7D2B6B73"/>
    <w:rsid w:val="7D2C4A96"/>
    <w:rsid w:val="7D2E3A96"/>
    <w:rsid w:val="7D3578D6"/>
    <w:rsid w:val="7D49333C"/>
    <w:rsid w:val="7D6E66D5"/>
    <w:rsid w:val="7D7D108B"/>
    <w:rsid w:val="7D834D66"/>
    <w:rsid w:val="7D8C0CB6"/>
    <w:rsid w:val="7DBB12A7"/>
    <w:rsid w:val="7DC33BE2"/>
    <w:rsid w:val="7DC55428"/>
    <w:rsid w:val="7DCF183C"/>
    <w:rsid w:val="7DD86355"/>
    <w:rsid w:val="7DDB2C21"/>
    <w:rsid w:val="7DE70D9D"/>
    <w:rsid w:val="7DED64A1"/>
    <w:rsid w:val="7DEF258E"/>
    <w:rsid w:val="7DF52A8D"/>
    <w:rsid w:val="7E015A30"/>
    <w:rsid w:val="7E0E140A"/>
    <w:rsid w:val="7E2E19B0"/>
    <w:rsid w:val="7E63691E"/>
    <w:rsid w:val="7E714D0A"/>
    <w:rsid w:val="7E900B7E"/>
    <w:rsid w:val="7EC15ADF"/>
    <w:rsid w:val="7EC7328B"/>
    <w:rsid w:val="7EC81C49"/>
    <w:rsid w:val="7ED7341E"/>
    <w:rsid w:val="7EEB51F6"/>
    <w:rsid w:val="7EED1710"/>
    <w:rsid w:val="7F1309E5"/>
    <w:rsid w:val="7F3B13D4"/>
    <w:rsid w:val="7F582019"/>
    <w:rsid w:val="7F596ADA"/>
    <w:rsid w:val="7F6678BE"/>
    <w:rsid w:val="7FC0112C"/>
    <w:rsid w:val="7FC8149F"/>
    <w:rsid w:val="7FCF3BB2"/>
    <w:rsid w:val="7FD94153"/>
    <w:rsid w:val="7FDD108D"/>
    <w:rsid w:val="7FF70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92"/>
    <w:qFormat/>
    <w:uiPriority w:val="0"/>
    <w:pPr>
      <w:keepNext/>
      <w:keepLines/>
      <w:adjustRightInd w:val="0"/>
      <w:snapToGrid w:val="0"/>
      <w:spacing w:before="156" w:beforeLines="50" w:line="360" w:lineRule="auto"/>
      <w:jc w:val="left"/>
      <w:outlineLvl w:val="0"/>
    </w:pPr>
    <w:rPr>
      <w:rFonts w:eastAsia="黑体"/>
      <w:b/>
      <w:kern w:val="44"/>
      <w:sz w:val="32"/>
    </w:rPr>
  </w:style>
  <w:style w:type="paragraph" w:styleId="5">
    <w:name w:val="heading 2"/>
    <w:basedOn w:val="1"/>
    <w:next w:val="1"/>
    <w:link w:val="64"/>
    <w:qFormat/>
    <w:uiPriority w:val="0"/>
    <w:pPr>
      <w:keepNext/>
      <w:keepLines/>
      <w:tabs>
        <w:tab w:val="left" w:pos="630"/>
      </w:tabs>
      <w:spacing w:before="260" w:after="120" w:line="360" w:lineRule="auto"/>
      <w:ind w:left="936" w:hanging="576"/>
      <w:outlineLvl w:val="1"/>
    </w:pPr>
    <w:rPr>
      <w:b/>
      <w:sz w:val="32"/>
    </w:rPr>
  </w:style>
  <w:style w:type="paragraph" w:styleId="6">
    <w:name w:val="heading 3"/>
    <w:basedOn w:val="1"/>
    <w:next w:val="7"/>
    <w:link w:val="112"/>
    <w:qFormat/>
    <w:uiPriority w:val="0"/>
    <w:pPr>
      <w:keepNext/>
      <w:keepLines/>
      <w:spacing w:before="260" w:after="260" w:line="416" w:lineRule="auto"/>
      <w:outlineLvl w:val="2"/>
    </w:pPr>
    <w:rPr>
      <w:b/>
      <w:bCs/>
      <w:sz w:val="32"/>
      <w:szCs w:val="32"/>
    </w:rPr>
  </w:style>
  <w:style w:type="paragraph" w:styleId="8">
    <w:name w:val="heading 4"/>
    <w:basedOn w:val="1"/>
    <w:next w:val="1"/>
    <w:link w:val="111"/>
    <w:qFormat/>
    <w:uiPriority w:val="0"/>
    <w:pPr>
      <w:keepNext/>
      <w:keepLines/>
      <w:widowControl/>
      <w:adjustRightInd w:val="0"/>
      <w:snapToGrid w:val="0"/>
      <w:spacing w:before="280" w:after="290" w:line="376" w:lineRule="auto"/>
      <w:jc w:val="left"/>
      <w:outlineLvl w:val="3"/>
    </w:pPr>
    <w:rPr>
      <w:rFonts w:ascii="Cambria" w:hAnsi="Cambria"/>
      <w:b/>
      <w:bCs/>
      <w:kern w:val="0"/>
      <w:sz w:val="28"/>
      <w:szCs w:val="28"/>
    </w:rPr>
  </w:style>
  <w:style w:type="character" w:default="1" w:styleId="42">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0"/>
    <w:qFormat/>
    <w:uiPriority w:val="0"/>
    <w:pPr>
      <w:spacing w:after="120"/>
    </w:pPr>
  </w:style>
  <w:style w:type="paragraph" w:customStyle="1" w:styleId="3">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7">
    <w:name w:val="Normal Indent"/>
    <w:basedOn w:val="1"/>
    <w:link w:val="71"/>
    <w:qFormat/>
    <w:uiPriority w:val="0"/>
    <w:pPr>
      <w:jc w:val="center"/>
    </w:pPr>
    <w:rPr>
      <w:rFonts w:eastAsia="黑体"/>
      <w:sz w:val="24"/>
      <w:szCs w:val="21"/>
    </w:rPr>
  </w:style>
  <w:style w:type="paragraph" w:styleId="9">
    <w:name w:val="toc 7"/>
    <w:basedOn w:val="1"/>
    <w:next w:val="1"/>
    <w:qFormat/>
    <w:uiPriority w:val="0"/>
    <w:pPr>
      <w:ind w:left="2520" w:leftChars="1200"/>
    </w:pPr>
    <w:rPr>
      <w:szCs w:val="24"/>
    </w:rPr>
  </w:style>
  <w:style w:type="paragraph" w:styleId="10">
    <w:name w:val="Note Heading"/>
    <w:basedOn w:val="1"/>
    <w:next w:val="1"/>
    <w:qFormat/>
    <w:uiPriority w:val="0"/>
    <w:pPr>
      <w:jc w:val="center"/>
    </w:pPr>
  </w:style>
  <w:style w:type="paragraph" w:styleId="11">
    <w:name w:val="caption"/>
    <w:basedOn w:val="1"/>
    <w:next w:val="1"/>
    <w:qFormat/>
    <w:uiPriority w:val="0"/>
    <w:pPr>
      <w:adjustRightInd w:val="0"/>
      <w:snapToGrid w:val="0"/>
      <w:spacing w:line="360" w:lineRule="auto"/>
      <w:jc w:val="left"/>
    </w:pPr>
    <w:rPr>
      <w:rFonts w:eastAsia="黑体"/>
      <w:sz w:val="24"/>
    </w:rPr>
  </w:style>
  <w:style w:type="paragraph" w:styleId="12">
    <w:name w:val="List Bullet"/>
    <w:basedOn w:val="1"/>
    <w:qFormat/>
    <w:uiPriority w:val="0"/>
    <w:pPr>
      <w:numPr>
        <w:ilvl w:val="0"/>
        <w:numId w:val="1"/>
      </w:numPr>
      <w:tabs>
        <w:tab w:val="left" w:pos="360"/>
      </w:tabs>
    </w:pPr>
  </w:style>
  <w:style w:type="paragraph" w:styleId="13">
    <w:name w:val="Document Map"/>
    <w:basedOn w:val="1"/>
    <w:semiHidden/>
    <w:qFormat/>
    <w:uiPriority w:val="0"/>
    <w:pPr>
      <w:shd w:val="clear" w:color="auto" w:fill="000080"/>
    </w:pPr>
  </w:style>
  <w:style w:type="paragraph" w:styleId="14">
    <w:name w:val="annotation text"/>
    <w:basedOn w:val="1"/>
    <w:link w:val="70"/>
    <w:qFormat/>
    <w:uiPriority w:val="0"/>
    <w:pPr>
      <w:jc w:val="left"/>
    </w:pPr>
  </w:style>
  <w:style w:type="paragraph" w:styleId="15">
    <w:name w:val="Body Text Indent"/>
    <w:basedOn w:val="1"/>
    <w:link w:val="62"/>
    <w:qFormat/>
    <w:uiPriority w:val="0"/>
    <w:pPr>
      <w:spacing w:after="120"/>
      <w:ind w:left="420" w:leftChars="200"/>
    </w:pPr>
  </w:style>
  <w:style w:type="paragraph" w:styleId="16">
    <w:name w:val="Block Text"/>
    <w:basedOn w:val="1"/>
    <w:qFormat/>
    <w:uiPriority w:val="0"/>
    <w:pPr>
      <w:spacing w:line="500" w:lineRule="exact"/>
      <w:ind w:left="-105" w:leftChars="-50" w:right="-105" w:rightChars="-50"/>
      <w:jc w:val="center"/>
    </w:pPr>
    <w:rPr>
      <w:rFonts w:eastAsia="仿宋_GB2312"/>
      <w:sz w:val="28"/>
      <w:szCs w:val="24"/>
    </w:rPr>
  </w:style>
  <w:style w:type="paragraph" w:styleId="17">
    <w:name w:val="toc 5"/>
    <w:basedOn w:val="1"/>
    <w:next w:val="1"/>
    <w:qFormat/>
    <w:uiPriority w:val="0"/>
    <w:pPr>
      <w:ind w:left="1680" w:leftChars="800"/>
    </w:pPr>
    <w:rPr>
      <w:szCs w:val="24"/>
    </w:rPr>
  </w:style>
  <w:style w:type="paragraph" w:styleId="18">
    <w:name w:val="toc 3"/>
    <w:basedOn w:val="1"/>
    <w:next w:val="1"/>
    <w:qFormat/>
    <w:uiPriority w:val="0"/>
    <w:pPr>
      <w:ind w:left="840" w:leftChars="400"/>
    </w:pPr>
    <w:rPr>
      <w:szCs w:val="24"/>
    </w:rPr>
  </w:style>
  <w:style w:type="paragraph" w:styleId="19">
    <w:name w:val="Plain Text"/>
    <w:basedOn w:val="1"/>
    <w:link w:val="66"/>
    <w:qFormat/>
    <w:uiPriority w:val="0"/>
    <w:rPr>
      <w:rFonts w:ascii="宋体" w:hAnsi="Courier New"/>
    </w:rPr>
  </w:style>
  <w:style w:type="paragraph" w:styleId="20">
    <w:name w:val="toc 8"/>
    <w:basedOn w:val="1"/>
    <w:next w:val="1"/>
    <w:qFormat/>
    <w:uiPriority w:val="0"/>
    <w:pPr>
      <w:ind w:left="2940" w:leftChars="1400"/>
    </w:pPr>
    <w:rPr>
      <w:szCs w:val="24"/>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after="120" w:line="480" w:lineRule="auto"/>
      <w:ind w:left="420" w:leftChars="200"/>
    </w:pPr>
  </w:style>
  <w:style w:type="paragraph" w:styleId="23">
    <w:name w:val="Balloon Text"/>
    <w:basedOn w:val="1"/>
    <w:link w:val="85"/>
    <w:qFormat/>
    <w:uiPriority w:val="0"/>
    <w:rPr>
      <w:sz w:val="18"/>
      <w:szCs w:val="18"/>
    </w:rPr>
  </w:style>
  <w:style w:type="paragraph" w:styleId="24">
    <w:name w:val="footer"/>
    <w:basedOn w:val="1"/>
    <w:link w:val="101"/>
    <w:qFormat/>
    <w:uiPriority w:val="99"/>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39"/>
    <w:pPr>
      <w:tabs>
        <w:tab w:val="right" w:leader="dot" w:pos="8891"/>
      </w:tabs>
      <w:spacing w:line="360" w:lineRule="auto"/>
    </w:pPr>
    <w:rPr>
      <w:sz w:val="28"/>
    </w:rPr>
  </w:style>
  <w:style w:type="paragraph" w:styleId="27">
    <w:name w:val="toc 4"/>
    <w:basedOn w:val="1"/>
    <w:next w:val="1"/>
    <w:qFormat/>
    <w:uiPriority w:val="0"/>
    <w:pPr>
      <w:ind w:left="1260" w:leftChars="600"/>
    </w:pPr>
    <w:rPr>
      <w:szCs w:val="24"/>
    </w:rPr>
  </w:style>
  <w:style w:type="paragraph" w:styleId="28">
    <w:name w:val="List Number 5"/>
    <w:basedOn w:val="1"/>
    <w:qFormat/>
    <w:uiPriority w:val="0"/>
    <w:pPr>
      <w:numPr>
        <w:ilvl w:val="0"/>
        <w:numId w:val="2"/>
      </w:numPr>
      <w:tabs>
        <w:tab w:val="left" w:pos="2040"/>
      </w:tabs>
    </w:pPr>
  </w:style>
  <w:style w:type="paragraph" w:styleId="29">
    <w:name w:val="List"/>
    <w:basedOn w:val="1"/>
    <w:qFormat/>
    <w:uiPriority w:val="0"/>
    <w:pPr>
      <w:widowControl/>
      <w:ind w:left="200" w:hanging="200" w:hangingChars="200"/>
      <w:jc w:val="left"/>
    </w:pPr>
    <w:rPr>
      <w:rFonts w:ascii="宋体" w:hAnsi="宋体" w:cs="宋体"/>
      <w:kern w:val="0"/>
      <w:sz w:val="24"/>
      <w:szCs w:val="24"/>
    </w:rPr>
  </w:style>
  <w:style w:type="paragraph" w:styleId="30">
    <w:name w:val="toc 6"/>
    <w:basedOn w:val="1"/>
    <w:next w:val="1"/>
    <w:qFormat/>
    <w:uiPriority w:val="0"/>
    <w:pPr>
      <w:ind w:left="2100" w:leftChars="1000"/>
    </w:pPr>
    <w:rPr>
      <w:szCs w:val="24"/>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qFormat/>
    <w:uiPriority w:val="0"/>
    <w:pPr>
      <w:ind w:left="420" w:leftChars="200"/>
    </w:pPr>
    <w:rPr>
      <w:szCs w:val="24"/>
    </w:rPr>
  </w:style>
  <w:style w:type="paragraph" w:styleId="33">
    <w:name w:val="toc 9"/>
    <w:basedOn w:val="1"/>
    <w:next w:val="1"/>
    <w:qFormat/>
    <w:uiPriority w:val="0"/>
    <w:pPr>
      <w:ind w:left="3360" w:leftChars="1600"/>
    </w:pPr>
    <w:rPr>
      <w:szCs w:val="24"/>
    </w:rPr>
  </w:style>
  <w:style w:type="paragraph" w:styleId="34">
    <w:name w:val="Body Text 2"/>
    <w:basedOn w:val="1"/>
    <w:qFormat/>
    <w:uiPriority w:val="0"/>
    <w:pPr>
      <w:spacing w:after="120" w:line="480" w:lineRule="auto"/>
    </w:pPr>
  </w:style>
  <w:style w:type="paragraph" w:styleId="3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36">
    <w:name w:val="annotation subject"/>
    <w:basedOn w:val="14"/>
    <w:next w:val="14"/>
    <w:link w:val="82"/>
    <w:qFormat/>
    <w:uiPriority w:val="0"/>
    <w:rPr>
      <w:b/>
      <w:bCs/>
    </w:rPr>
  </w:style>
  <w:style w:type="paragraph" w:styleId="37">
    <w:name w:val="Body Text First Indent"/>
    <w:basedOn w:val="2"/>
    <w:link w:val="99"/>
    <w:qFormat/>
    <w:uiPriority w:val="0"/>
    <w:pPr>
      <w:adjustRightInd w:val="0"/>
      <w:snapToGrid w:val="0"/>
      <w:spacing w:before="156" w:beforeLines="50" w:after="0" w:line="360" w:lineRule="auto"/>
      <w:ind w:firstLine="200" w:firstLineChars="200"/>
    </w:pPr>
    <w:rPr>
      <w:sz w:val="24"/>
    </w:rPr>
  </w:style>
  <w:style w:type="paragraph" w:styleId="38">
    <w:name w:val="Body Text First Indent 2"/>
    <w:basedOn w:val="15"/>
    <w:qFormat/>
    <w:uiPriority w:val="0"/>
    <w:pPr>
      <w:ind w:firstLine="420" w:firstLineChars="200"/>
    </w:p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1">
    <w:name w:val="Table Grid 5"/>
    <w:basedOn w:val="39"/>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none"/>
    </w:rPr>
  </w:style>
  <w:style w:type="character" w:styleId="46">
    <w:name w:val="Emphasis"/>
    <w:basedOn w:val="42"/>
    <w:qFormat/>
    <w:uiPriority w:val="0"/>
  </w:style>
  <w:style w:type="character" w:styleId="47">
    <w:name w:val="Hyperlink"/>
    <w:qFormat/>
    <w:uiPriority w:val="99"/>
    <w:rPr>
      <w:color w:val="0000FF"/>
      <w:u w:val="none"/>
    </w:rPr>
  </w:style>
  <w:style w:type="character" w:styleId="48">
    <w:name w:val="annotation reference"/>
    <w:qFormat/>
    <w:uiPriority w:val="0"/>
    <w:rPr>
      <w:sz w:val="21"/>
      <w:szCs w:val="21"/>
    </w:rPr>
  </w:style>
  <w:style w:type="paragraph" w:customStyle="1" w:styleId="49">
    <w:name w:val="Default"/>
    <w:link w:val="88"/>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0">
    <w:name w:val="四级条标题"/>
    <w:basedOn w:val="51"/>
    <w:next w:val="55"/>
    <w:qFormat/>
    <w:uiPriority w:val="0"/>
    <w:pPr>
      <w:widowControl/>
      <w:numPr>
        <w:ilvl w:val="3"/>
        <w:numId w:val="0"/>
      </w:numPr>
      <w:outlineLvl w:val="5"/>
    </w:pPr>
    <w:rPr>
      <w:rFonts w:ascii="黑体" w:eastAsia="黑体"/>
      <w:kern w:val="0"/>
      <w:szCs w:val="20"/>
    </w:rPr>
  </w:style>
  <w:style w:type="paragraph" w:customStyle="1" w:styleId="51">
    <w:name w:val="三级条标题"/>
    <w:basedOn w:val="52"/>
    <w:next w:val="55"/>
    <w:qFormat/>
    <w:uiPriority w:val="0"/>
    <w:pPr>
      <w:numPr>
        <w:ilvl w:val="3"/>
        <w:numId w:val="0"/>
      </w:numPr>
      <w:outlineLvl w:val="4"/>
    </w:pPr>
  </w:style>
  <w:style w:type="paragraph" w:customStyle="1" w:styleId="52">
    <w:name w:val="二级条标题"/>
    <w:basedOn w:val="53"/>
    <w:next w:val="55"/>
    <w:qFormat/>
    <w:uiPriority w:val="0"/>
    <w:pPr>
      <w:numPr>
        <w:ilvl w:val="3"/>
        <w:numId w:val="3"/>
      </w:numPr>
      <w:outlineLvl w:val="3"/>
    </w:pPr>
  </w:style>
  <w:style w:type="paragraph" w:customStyle="1" w:styleId="53">
    <w:name w:val="一级条标题"/>
    <w:basedOn w:val="54"/>
    <w:next w:val="55"/>
    <w:qFormat/>
    <w:uiPriority w:val="0"/>
    <w:pPr>
      <w:numPr>
        <w:ilvl w:val="2"/>
        <w:numId w:val="3"/>
      </w:numPr>
      <w:spacing w:before="0" w:beforeLines="0" w:after="0" w:afterLines="0"/>
      <w:outlineLvl w:val="2"/>
    </w:pPr>
  </w:style>
  <w:style w:type="paragraph" w:customStyle="1" w:styleId="54">
    <w:name w:val="章标题"/>
    <w:next w:val="55"/>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5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6">
    <w:name w:val="font51"/>
    <w:qFormat/>
    <w:uiPriority w:val="0"/>
    <w:rPr>
      <w:rFonts w:hint="eastAsia" w:ascii="宋体" w:hAnsi="宋体" w:eastAsia="宋体" w:cs="宋体"/>
      <w:color w:val="000000"/>
      <w:sz w:val="20"/>
      <w:szCs w:val="20"/>
      <w:u w:val="none"/>
    </w:rPr>
  </w:style>
  <w:style w:type="character" w:customStyle="1" w:styleId="57">
    <w:name w:val="Char Char6"/>
    <w:semiHidden/>
    <w:qFormat/>
    <w:locked/>
    <w:uiPriority w:val="0"/>
    <w:rPr>
      <w:rFonts w:ascii="宋体" w:hAnsi="宋体" w:eastAsia="宋体"/>
      <w:kern w:val="2"/>
      <w:sz w:val="18"/>
      <w:szCs w:val="18"/>
      <w:lang w:val="en-US" w:eastAsia="zh-CN" w:bidi="ar-SA"/>
    </w:rPr>
  </w:style>
  <w:style w:type="character" w:customStyle="1" w:styleId="58">
    <w:name w:val="表 Char"/>
    <w:link w:val="59"/>
    <w:qFormat/>
    <w:uiPriority w:val="0"/>
    <w:rPr>
      <w:sz w:val="24"/>
      <w:lang w:val="en-US" w:eastAsia="zh-CN" w:bidi="ar-SA"/>
    </w:rPr>
  </w:style>
  <w:style w:type="paragraph" w:customStyle="1" w:styleId="59">
    <w:name w:val="表"/>
    <w:link w:val="58"/>
    <w:qFormat/>
    <w:uiPriority w:val="0"/>
    <w:pPr>
      <w:spacing w:line="440" w:lineRule="exact"/>
      <w:ind w:firstLine="200" w:firstLineChars="200"/>
      <w:jc w:val="both"/>
    </w:pPr>
    <w:rPr>
      <w:rFonts w:ascii="Times New Roman" w:hAnsi="Times New Roman" w:eastAsia="宋体" w:cs="Times New Roman"/>
      <w:sz w:val="24"/>
      <w:lang w:val="en-US" w:eastAsia="zh-CN" w:bidi="ar-SA"/>
    </w:rPr>
  </w:style>
  <w:style w:type="character" w:customStyle="1" w:styleId="60">
    <w:name w:val="正文文本 字符"/>
    <w:link w:val="2"/>
    <w:qFormat/>
    <w:uiPriority w:val="0"/>
    <w:rPr>
      <w:kern w:val="2"/>
      <w:sz w:val="21"/>
    </w:rPr>
  </w:style>
  <w:style w:type="character" w:customStyle="1" w:styleId="61">
    <w:name w:val="postbody1"/>
    <w:qFormat/>
    <w:uiPriority w:val="0"/>
    <w:rPr>
      <w:sz w:val="21"/>
      <w:szCs w:val="21"/>
    </w:rPr>
  </w:style>
  <w:style w:type="character" w:customStyle="1" w:styleId="62">
    <w:name w:val="正文文本缩进 字符"/>
    <w:link w:val="15"/>
    <w:qFormat/>
    <w:uiPriority w:val="0"/>
    <w:rPr>
      <w:kern w:val="2"/>
      <w:sz w:val="21"/>
    </w:rPr>
  </w:style>
  <w:style w:type="character" w:customStyle="1" w:styleId="63">
    <w:name w:val="font31"/>
    <w:basedOn w:val="42"/>
    <w:qFormat/>
    <w:uiPriority w:val="0"/>
    <w:rPr>
      <w:rFonts w:hint="default" w:ascii="Times New Roman" w:hAnsi="Times New Roman" w:cs="Times New Roman"/>
      <w:color w:val="000000"/>
      <w:sz w:val="21"/>
      <w:szCs w:val="21"/>
      <w:u w:val="none"/>
    </w:rPr>
  </w:style>
  <w:style w:type="character" w:customStyle="1" w:styleId="64">
    <w:name w:val="标题 2 字符"/>
    <w:link w:val="5"/>
    <w:qFormat/>
    <w:uiPriority w:val="0"/>
    <w:rPr>
      <w:b/>
      <w:kern w:val="2"/>
      <w:sz w:val="32"/>
    </w:rPr>
  </w:style>
  <w:style w:type="character" w:customStyle="1" w:styleId="65">
    <w:name w:val="普通文字 Char Char1"/>
    <w:qFormat/>
    <w:uiPriority w:val="0"/>
    <w:rPr>
      <w:rFonts w:ascii="宋体" w:hAnsi="Courier New" w:eastAsia="宋体"/>
      <w:kern w:val="2"/>
      <w:sz w:val="21"/>
      <w:lang w:val="en-US" w:eastAsia="zh-CN" w:bidi="ar-SA"/>
    </w:rPr>
  </w:style>
  <w:style w:type="character" w:customStyle="1" w:styleId="66">
    <w:name w:val="纯文本 字符"/>
    <w:link w:val="19"/>
    <w:qFormat/>
    <w:uiPriority w:val="0"/>
    <w:rPr>
      <w:rFonts w:ascii="宋体" w:hAnsi="Courier New" w:eastAsia="宋体"/>
      <w:kern w:val="2"/>
      <w:sz w:val="21"/>
      <w:lang w:val="en-US" w:eastAsia="zh-CN" w:bidi="ar-SA"/>
    </w:rPr>
  </w:style>
  <w:style w:type="character" w:customStyle="1" w:styleId="67">
    <w:name w:val="表格第一行 Char Char"/>
    <w:link w:val="68"/>
    <w:qFormat/>
    <w:uiPriority w:val="0"/>
    <w:rPr>
      <w:b/>
      <w:szCs w:val="21"/>
    </w:rPr>
  </w:style>
  <w:style w:type="paragraph" w:customStyle="1" w:styleId="68">
    <w:name w:val="表格第一行"/>
    <w:basedOn w:val="1"/>
    <w:link w:val="67"/>
    <w:qFormat/>
    <w:uiPriority w:val="0"/>
    <w:pPr>
      <w:widowControl/>
      <w:adjustRightInd w:val="0"/>
      <w:snapToGrid w:val="0"/>
      <w:spacing w:before="156" w:after="156"/>
      <w:jc w:val="center"/>
      <w:textAlignment w:val="baseline"/>
    </w:pPr>
    <w:rPr>
      <w:b/>
      <w:kern w:val="0"/>
      <w:sz w:val="20"/>
      <w:szCs w:val="21"/>
    </w:rPr>
  </w:style>
  <w:style w:type="character" w:customStyle="1" w:styleId="69">
    <w:name w:val="font61"/>
    <w:qFormat/>
    <w:uiPriority w:val="0"/>
    <w:rPr>
      <w:rFonts w:hint="default" w:ascii="Times New Roman" w:hAnsi="Times New Roman" w:cs="Times New Roman"/>
      <w:color w:val="000000"/>
      <w:sz w:val="20"/>
      <w:szCs w:val="20"/>
      <w:u w:val="none"/>
    </w:rPr>
  </w:style>
  <w:style w:type="character" w:customStyle="1" w:styleId="70">
    <w:name w:val="批注文字 字符"/>
    <w:link w:val="14"/>
    <w:qFormat/>
    <w:uiPriority w:val="0"/>
    <w:rPr>
      <w:kern w:val="2"/>
      <w:sz w:val="21"/>
    </w:rPr>
  </w:style>
  <w:style w:type="character" w:customStyle="1" w:styleId="71">
    <w:name w:val="正文缩进 字符"/>
    <w:link w:val="7"/>
    <w:qFormat/>
    <w:uiPriority w:val="0"/>
    <w:rPr>
      <w:rFonts w:eastAsia="黑体"/>
      <w:kern w:val="2"/>
      <w:sz w:val="24"/>
      <w:szCs w:val="21"/>
      <w:lang w:bidi="ar-SA"/>
    </w:rPr>
  </w:style>
  <w:style w:type="character" w:customStyle="1" w:styleId="72">
    <w:name w:val="三级 Char Char"/>
    <w:link w:val="73"/>
    <w:qFormat/>
    <w:locked/>
    <w:uiPriority w:val="0"/>
    <w:rPr>
      <w:b/>
      <w:kern w:val="2"/>
      <w:sz w:val="24"/>
    </w:rPr>
  </w:style>
  <w:style w:type="paragraph" w:customStyle="1" w:styleId="73">
    <w:name w:val="三级"/>
    <w:basedOn w:val="1"/>
    <w:link w:val="72"/>
    <w:qFormat/>
    <w:uiPriority w:val="0"/>
    <w:pPr>
      <w:tabs>
        <w:tab w:val="left" w:pos="567"/>
      </w:tabs>
      <w:spacing w:beforeLines="50" w:afterLines="50" w:line="360" w:lineRule="auto"/>
      <w:ind w:left="720" w:hanging="720"/>
      <w:outlineLvl w:val="2"/>
    </w:pPr>
    <w:rPr>
      <w:b/>
      <w:sz w:val="24"/>
    </w:rPr>
  </w:style>
  <w:style w:type="character" w:customStyle="1" w:styleId="74">
    <w:name w:val="表格文字 Char"/>
    <w:link w:val="75"/>
    <w:qFormat/>
    <w:uiPriority w:val="0"/>
    <w:rPr>
      <w:rFonts w:eastAsia="宋体"/>
      <w:kern w:val="2"/>
      <w:sz w:val="21"/>
      <w:lang w:val="en-US" w:eastAsia="zh-CN" w:bidi="ar-SA"/>
    </w:rPr>
  </w:style>
  <w:style w:type="paragraph" w:customStyle="1" w:styleId="75">
    <w:name w:val="表格文字"/>
    <w:basedOn w:val="1"/>
    <w:link w:val="74"/>
    <w:qFormat/>
    <w:uiPriority w:val="0"/>
    <w:pPr>
      <w:adjustRightInd w:val="0"/>
      <w:snapToGrid w:val="0"/>
      <w:jc w:val="center"/>
      <w:textAlignment w:val="center"/>
    </w:pPr>
  </w:style>
  <w:style w:type="character" w:customStyle="1" w:styleId="76">
    <w:name w:val="中气表头 Char"/>
    <w:link w:val="77"/>
    <w:qFormat/>
    <w:uiPriority w:val="0"/>
    <w:rPr>
      <w:rFonts w:eastAsia="黑体"/>
      <w:b/>
      <w:kern w:val="2"/>
      <w:sz w:val="21"/>
      <w:szCs w:val="21"/>
    </w:rPr>
  </w:style>
  <w:style w:type="paragraph" w:customStyle="1" w:styleId="77">
    <w:name w:val="中气表头"/>
    <w:basedOn w:val="1"/>
    <w:link w:val="76"/>
    <w:qFormat/>
    <w:uiPriority w:val="0"/>
    <w:pPr>
      <w:jc w:val="center"/>
    </w:pPr>
    <w:rPr>
      <w:rFonts w:eastAsia="黑体"/>
      <w:b/>
      <w:szCs w:val="21"/>
    </w:rPr>
  </w:style>
  <w:style w:type="character" w:customStyle="1" w:styleId="78">
    <w:name w:val="hover69"/>
    <w:basedOn w:val="42"/>
    <w:qFormat/>
    <w:uiPriority w:val="0"/>
  </w:style>
  <w:style w:type="character" w:customStyle="1" w:styleId="79">
    <w:name w:val="content1"/>
    <w:qFormat/>
    <w:uiPriority w:val="0"/>
    <w:rPr>
      <w:color w:val="000000"/>
      <w:sz w:val="20"/>
      <w:szCs w:val="20"/>
    </w:rPr>
  </w:style>
  <w:style w:type="character" w:customStyle="1" w:styleId="80">
    <w:name w:val="表格标题 Char"/>
    <w:link w:val="81"/>
    <w:qFormat/>
    <w:uiPriority w:val="0"/>
    <w:rPr>
      <w:rFonts w:eastAsia="黑体"/>
      <w:kern w:val="2"/>
      <w:sz w:val="24"/>
    </w:rPr>
  </w:style>
  <w:style w:type="paragraph" w:customStyle="1" w:styleId="81">
    <w:name w:val="表格标题"/>
    <w:basedOn w:val="2"/>
    <w:link w:val="80"/>
    <w:qFormat/>
    <w:uiPriority w:val="0"/>
    <w:pPr>
      <w:spacing w:before="0" w:beforeLines="0"/>
      <w:ind w:firstLine="0" w:firstLineChars="0"/>
      <w:jc w:val="center"/>
    </w:pPr>
    <w:rPr>
      <w:rFonts w:eastAsia="黑体"/>
    </w:rPr>
  </w:style>
  <w:style w:type="character" w:customStyle="1" w:styleId="82">
    <w:name w:val="批注主题 字符"/>
    <w:link w:val="36"/>
    <w:qFormat/>
    <w:uiPriority w:val="0"/>
    <w:rPr>
      <w:b/>
      <w:bCs/>
      <w:kern w:val="2"/>
      <w:sz w:val="21"/>
    </w:rPr>
  </w:style>
  <w:style w:type="character" w:customStyle="1" w:styleId="83">
    <w:name w:val="apple-converted-space"/>
    <w:basedOn w:val="42"/>
    <w:qFormat/>
    <w:uiPriority w:val="0"/>
  </w:style>
  <w:style w:type="character" w:customStyle="1" w:styleId="84">
    <w:name w:val="ca-21"/>
    <w:basedOn w:val="42"/>
    <w:qFormat/>
    <w:uiPriority w:val="0"/>
  </w:style>
  <w:style w:type="character" w:customStyle="1" w:styleId="85">
    <w:name w:val="批注框文本 字符"/>
    <w:link w:val="23"/>
    <w:qFormat/>
    <w:uiPriority w:val="0"/>
    <w:rPr>
      <w:kern w:val="2"/>
      <w:sz w:val="18"/>
      <w:szCs w:val="18"/>
    </w:rPr>
  </w:style>
  <w:style w:type="character" w:customStyle="1" w:styleId="86">
    <w:name w:val="标题3 Char"/>
    <w:qFormat/>
    <w:locked/>
    <w:uiPriority w:val="0"/>
    <w:rPr>
      <w:rFonts w:ascii="Times New Roman" w:hAnsi="Times New Roman" w:eastAsia="宋体" w:cs="Times New Roman"/>
      <w:kern w:val="2"/>
      <w:sz w:val="32"/>
      <w:szCs w:val="32"/>
    </w:rPr>
  </w:style>
  <w:style w:type="character" w:customStyle="1" w:styleId="87">
    <w:name w:val="表文字 Char"/>
    <w:qFormat/>
    <w:uiPriority w:val="0"/>
    <w:rPr>
      <w:rFonts w:eastAsia="宋体"/>
      <w:sz w:val="24"/>
      <w:lang w:val="en-US" w:eastAsia="zh-CN"/>
    </w:rPr>
  </w:style>
  <w:style w:type="character" w:customStyle="1" w:styleId="88">
    <w:name w:val="Default Char"/>
    <w:link w:val="49"/>
    <w:qFormat/>
    <w:uiPriority w:val="0"/>
    <w:rPr>
      <w:rFonts w:ascii="宋体"/>
      <w:color w:val="000000"/>
      <w:sz w:val="24"/>
      <w:szCs w:val="24"/>
      <w:lang w:val="en-US" w:eastAsia="zh-CN" w:bidi="ar-SA"/>
    </w:rPr>
  </w:style>
  <w:style w:type="character" w:customStyle="1" w:styleId="89">
    <w:name w:val="hover70"/>
    <w:qFormat/>
    <w:uiPriority w:val="0"/>
    <w:rPr>
      <w:color w:val="000000"/>
      <w:shd w:val="clear" w:color="auto" w:fill="FFFFFF"/>
    </w:rPr>
  </w:style>
  <w:style w:type="character" w:customStyle="1" w:styleId="90">
    <w:name w:val="金光华文本正文 Char Char"/>
    <w:link w:val="91"/>
    <w:qFormat/>
    <w:uiPriority w:val="0"/>
    <w:rPr>
      <w:rFonts w:ascii="宋体" w:hAnsi="宋体"/>
      <w:sz w:val="24"/>
      <w:szCs w:val="24"/>
    </w:rPr>
  </w:style>
  <w:style w:type="paragraph" w:customStyle="1" w:styleId="91">
    <w:name w:val="金光华文本正文"/>
    <w:basedOn w:val="1"/>
    <w:link w:val="90"/>
    <w:qFormat/>
    <w:uiPriority w:val="0"/>
    <w:pPr>
      <w:widowControl/>
      <w:tabs>
        <w:tab w:val="left" w:pos="6840"/>
      </w:tabs>
      <w:spacing w:line="360" w:lineRule="auto"/>
      <w:ind w:firstLine="510"/>
      <w:jc w:val="left"/>
    </w:pPr>
    <w:rPr>
      <w:rFonts w:ascii="宋体" w:hAnsi="宋体"/>
      <w:kern w:val="0"/>
      <w:sz w:val="24"/>
      <w:szCs w:val="24"/>
    </w:rPr>
  </w:style>
  <w:style w:type="character" w:customStyle="1" w:styleId="92">
    <w:name w:val="标题 1 字符"/>
    <w:link w:val="4"/>
    <w:qFormat/>
    <w:uiPriority w:val="0"/>
    <w:rPr>
      <w:rFonts w:eastAsia="黑体"/>
      <w:b/>
      <w:kern w:val="44"/>
      <w:sz w:val="32"/>
    </w:rPr>
  </w:style>
  <w:style w:type="character" w:customStyle="1" w:styleId="93">
    <w:name w:val="标准正文 Char"/>
    <w:link w:val="94"/>
    <w:qFormat/>
    <w:uiPriority w:val="0"/>
    <w:rPr>
      <w:rFonts w:eastAsia="宋体"/>
      <w:bCs/>
      <w:kern w:val="2"/>
      <w:sz w:val="24"/>
      <w:lang w:val="en-US" w:eastAsia="zh-CN" w:bidi="ar-SA"/>
    </w:rPr>
  </w:style>
  <w:style w:type="paragraph" w:customStyle="1" w:styleId="94">
    <w:name w:val="标准正文"/>
    <w:basedOn w:val="1"/>
    <w:link w:val="93"/>
    <w:qFormat/>
    <w:uiPriority w:val="0"/>
    <w:pPr>
      <w:spacing w:line="540" w:lineRule="exact"/>
      <w:ind w:firstLine="480" w:firstLineChars="200"/>
    </w:pPr>
    <w:rPr>
      <w:bCs/>
      <w:sz w:val="24"/>
    </w:rPr>
  </w:style>
  <w:style w:type="character" w:customStyle="1" w:styleId="95">
    <w:name w:val="表格文字 Char Char"/>
    <w:qFormat/>
    <w:uiPriority w:val="0"/>
    <w:rPr>
      <w:position w:val="-10"/>
    </w:rPr>
  </w:style>
  <w:style w:type="character" w:customStyle="1" w:styleId="96">
    <w:name w:val="样式 文本正文 + 首行缩进:  2 字符 Char Char"/>
    <w:link w:val="97"/>
    <w:qFormat/>
    <w:uiPriority w:val="0"/>
    <w:rPr>
      <w:rFonts w:ascii="宋体"/>
      <w:spacing w:val="4"/>
      <w:kern w:val="2"/>
      <w:sz w:val="24"/>
      <w:szCs w:val="24"/>
      <w:lang w:val="zh-CN"/>
    </w:rPr>
  </w:style>
  <w:style w:type="paragraph" w:customStyle="1" w:styleId="97">
    <w:name w:val="样式 文本正文 + 首行缩进:  2 字符"/>
    <w:basedOn w:val="1"/>
    <w:link w:val="96"/>
    <w:qFormat/>
    <w:uiPriority w:val="0"/>
    <w:pPr>
      <w:widowControl/>
      <w:adjustRightInd w:val="0"/>
      <w:snapToGrid w:val="0"/>
      <w:spacing w:line="360" w:lineRule="auto"/>
      <w:ind w:firstLine="480" w:firstLineChars="200"/>
      <w:jc w:val="left"/>
    </w:pPr>
    <w:rPr>
      <w:rFonts w:ascii="宋体"/>
      <w:spacing w:val="4"/>
      <w:sz w:val="24"/>
      <w:szCs w:val="24"/>
      <w:lang w:val="zh-CN"/>
    </w:rPr>
  </w:style>
  <w:style w:type="character" w:customStyle="1" w:styleId="98">
    <w:name w:val="font11"/>
    <w:basedOn w:val="42"/>
    <w:qFormat/>
    <w:uiPriority w:val="0"/>
    <w:rPr>
      <w:rFonts w:ascii="font-weight : 400" w:hAnsi="font-weight : 400" w:eastAsia="font-weight : 400" w:cs="font-weight : 400"/>
      <w:color w:val="000000"/>
      <w:sz w:val="22"/>
      <w:szCs w:val="22"/>
      <w:u w:val="none"/>
      <w:vertAlign w:val="superscript"/>
    </w:rPr>
  </w:style>
  <w:style w:type="character" w:customStyle="1" w:styleId="99">
    <w:name w:val="正文首行缩进 字符"/>
    <w:link w:val="37"/>
    <w:qFormat/>
    <w:uiPriority w:val="0"/>
    <w:rPr>
      <w:kern w:val="2"/>
      <w:sz w:val="24"/>
    </w:rPr>
  </w:style>
  <w:style w:type="character" w:customStyle="1" w:styleId="100">
    <w:name w:val="hover68"/>
    <w:basedOn w:val="42"/>
    <w:qFormat/>
    <w:uiPriority w:val="0"/>
  </w:style>
  <w:style w:type="character" w:customStyle="1" w:styleId="101">
    <w:name w:val="页脚 字符"/>
    <w:link w:val="24"/>
    <w:qFormat/>
    <w:uiPriority w:val="99"/>
    <w:rPr>
      <w:kern w:val="2"/>
      <w:sz w:val="18"/>
    </w:rPr>
  </w:style>
  <w:style w:type="character" w:customStyle="1" w:styleId="102">
    <w:name w:val="font01"/>
    <w:basedOn w:val="42"/>
    <w:qFormat/>
    <w:uiPriority w:val="0"/>
    <w:rPr>
      <w:rFonts w:hint="default" w:ascii="Times New Roman" w:hAnsi="Times New Roman" w:cs="Times New Roman"/>
      <w:b/>
      <w:color w:val="000000"/>
      <w:sz w:val="21"/>
      <w:szCs w:val="21"/>
      <w:u w:val="none"/>
    </w:rPr>
  </w:style>
  <w:style w:type="character" w:customStyle="1" w:styleId="103">
    <w:name w:val="font21"/>
    <w:basedOn w:val="42"/>
    <w:qFormat/>
    <w:uiPriority w:val="0"/>
    <w:rPr>
      <w:rFonts w:hint="default" w:ascii="font-weight : 400" w:hAnsi="font-weight : 400" w:eastAsia="font-weight : 400" w:cs="font-weight : 400"/>
      <w:color w:val="000000"/>
      <w:sz w:val="22"/>
      <w:szCs w:val="22"/>
      <w:u w:val="none"/>
    </w:rPr>
  </w:style>
  <w:style w:type="character" w:customStyle="1" w:styleId="104">
    <w:name w:val="报告文本 Char"/>
    <w:link w:val="105"/>
    <w:qFormat/>
    <w:uiPriority w:val="0"/>
    <w:rPr>
      <w:sz w:val="24"/>
      <w:szCs w:val="24"/>
    </w:rPr>
  </w:style>
  <w:style w:type="paragraph" w:customStyle="1" w:styleId="105">
    <w:name w:val="报告文本"/>
    <w:basedOn w:val="1"/>
    <w:link w:val="104"/>
    <w:qFormat/>
    <w:uiPriority w:val="0"/>
    <w:pPr>
      <w:widowControl/>
      <w:spacing w:line="360" w:lineRule="auto"/>
      <w:ind w:firstLine="200" w:firstLineChars="200"/>
      <w:jc w:val="left"/>
    </w:pPr>
    <w:rPr>
      <w:kern w:val="0"/>
      <w:sz w:val="24"/>
      <w:szCs w:val="24"/>
    </w:rPr>
  </w:style>
  <w:style w:type="character" w:customStyle="1" w:styleId="106">
    <w:name w:val="Char Char4"/>
    <w:qFormat/>
    <w:uiPriority w:val="0"/>
    <w:rPr>
      <w:rFonts w:ascii="Times New Roman" w:hAnsi="Times New Roman" w:eastAsia="宋体" w:cs="Times New Roman"/>
      <w:kern w:val="2"/>
      <w:sz w:val="28"/>
      <w:szCs w:val="20"/>
      <w:lang w:val="en-US" w:eastAsia="zh-CN" w:bidi="ar-SA"/>
    </w:rPr>
  </w:style>
  <w:style w:type="character" w:customStyle="1" w:styleId="107">
    <w:name w:val="文章正文样式 Char"/>
    <w:link w:val="108"/>
    <w:qFormat/>
    <w:uiPriority w:val="0"/>
    <w:rPr>
      <w:rFonts w:ascii="宋体" w:hAnsi="宋体" w:eastAsia="宋体" w:cs="宋体"/>
      <w:kern w:val="2"/>
      <w:sz w:val="24"/>
      <w:lang w:val="en-US" w:eastAsia="zh-CN" w:bidi="ar-SA"/>
    </w:rPr>
  </w:style>
  <w:style w:type="paragraph" w:customStyle="1" w:styleId="108">
    <w:name w:val="文章正文样式"/>
    <w:basedOn w:val="1"/>
    <w:link w:val="107"/>
    <w:qFormat/>
    <w:uiPriority w:val="0"/>
    <w:pPr>
      <w:spacing w:line="520" w:lineRule="exact"/>
      <w:ind w:firstLine="480" w:firstLineChars="200"/>
      <w:jc w:val="left"/>
    </w:pPr>
    <w:rPr>
      <w:rFonts w:ascii="宋体" w:hAnsi="宋体" w:cs="宋体"/>
      <w:sz w:val="24"/>
    </w:rPr>
  </w:style>
  <w:style w:type="character" w:customStyle="1" w:styleId="109">
    <w:name w:val="宗兴正文 Char Char"/>
    <w:link w:val="110"/>
    <w:qFormat/>
    <w:uiPriority w:val="0"/>
    <w:rPr>
      <w:kern w:val="2"/>
      <w:sz w:val="24"/>
      <w:szCs w:val="24"/>
    </w:rPr>
  </w:style>
  <w:style w:type="paragraph" w:customStyle="1" w:styleId="110">
    <w:name w:val="宗兴正文"/>
    <w:basedOn w:val="1"/>
    <w:link w:val="109"/>
    <w:qFormat/>
    <w:uiPriority w:val="0"/>
    <w:pPr>
      <w:widowControl/>
      <w:spacing w:before="93" w:after="93" w:line="360" w:lineRule="auto"/>
      <w:ind w:firstLine="480" w:firstLineChars="200"/>
      <w:jc w:val="left"/>
    </w:pPr>
    <w:rPr>
      <w:sz w:val="24"/>
      <w:szCs w:val="24"/>
    </w:rPr>
  </w:style>
  <w:style w:type="character" w:customStyle="1" w:styleId="111">
    <w:name w:val="标题 4 字符"/>
    <w:link w:val="8"/>
    <w:qFormat/>
    <w:uiPriority w:val="0"/>
    <w:rPr>
      <w:rFonts w:ascii="Cambria" w:hAnsi="Cambria"/>
      <w:b/>
      <w:bCs/>
      <w:sz w:val="28"/>
      <w:szCs w:val="28"/>
    </w:rPr>
  </w:style>
  <w:style w:type="character" w:customStyle="1" w:styleId="112">
    <w:name w:val="标题 3 字符"/>
    <w:link w:val="6"/>
    <w:qFormat/>
    <w:uiPriority w:val="0"/>
    <w:rPr>
      <w:b/>
      <w:bCs/>
      <w:kern w:val="2"/>
      <w:sz w:val="32"/>
      <w:szCs w:val="32"/>
    </w:rPr>
  </w:style>
  <w:style w:type="character" w:customStyle="1" w:styleId="113">
    <w:name w:val="font41"/>
    <w:basedOn w:val="42"/>
    <w:qFormat/>
    <w:uiPriority w:val="0"/>
    <w:rPr>
      <w:rFonts w:hint="eastAsia" w:ascii="宋体" w:hAnsi="宋体" w:eastAsia="宋体" w:cs="宋体"/>
      <w:color w:val="000000"/>
      <w:sz w:val="21"/>
      <w:szCs w:val="21"/>
      <w:u w:val="none"/>
    </w:rPr>
  </w:style>
  <w:style w:type="paragraph" w:customStyle="1" w:styleId="114">
    <w:name w:val="样式1"/>
    <w:basedOn w:val="1"/>
    <w:qFormat/>
    <w:uiPriority w:val="0"/>
    <w:pPr>
      <w:tabs>
        <w:tab w:val="left" w:pos="8820"/>
      </w:tabs>
    </w:pPr>
    <w:rPr>
      <w:sz w:val="30"/>
    </w:rPr>
  </w:style>
  <w:style w:type="paragraph" w:customStyle="1" w:styleId="115">
    <w:name w:val="CM78"/>
    <w:basedOn w:val="49"/>
    <w:next w:val="49"/>
    <w:qFormat/>
    <w:uiPriority w:val="0"/>
    <w:pPr>
      <w:spacing w:after="173"/>
    </w:pPr>
    <w:rPr>
      <w:rFonts w:hAnsi="Calibri"/>
      <w:color w:val="auto"/>
    </w:rPr>
  </w:style>
  <w:style w:type="paragraph" w:customStyle="1" w:styleId="116">
    <w:name w:val="CM27"/>
    <w:basedOn w:val="49"/>
    <w:next w:val="49"/>
    <w:qFormat/>
    <w:uiPriority w:val="0"/>
    <w:pPr>
      <w:spacing w:line="436" w:lineRule="atLeast"/>
    </w:pPr>
    <w:rPr>
      <w:rFonts w:hAnsi="Calibri"/>
      <w:color w:val="auto"/>
    </w:rPr>
  </w:style>
  <w:style w:type="paragraph" w:customStyle="1" w:styleId="117">
    <w:name w:val="表格1"/>
    <w:basedOn w:val="1"/>
    <w:qFormat/>
    <w:uiPriority w:val="0"/>
    <w:pPr>
      <w:spacing w:line="20" w:lineRule="atLeast"/>
      <w:jc w:val="center"/>
      <w:textAlignment w:val="baseline"/>
    </w:pPr>
    <w:rPr>
      <w:rFonts w:ascii="CG Times (W1)" w:hAnsi="CG Times (W1)"/>
      <w:spacing w:val="-20"/>
      <w:kern w:val="0"/>
    </w:rPr>
  </w:style>
  <w:style w:type="paragraph" w:customStyle="1" w:styleId="118">
    <w:name w:val="CM13"/>
    <w:basedOn w:val="49"/>
    <w:next w:val="49"/>
    <w:qFormat/>
    <w:uiPriority w:val="0"/>
    <w:pPr>
      <w:spacing w:line="466" w:lineRule="atLeast"/>
    </w:pPr>
    <w:rPr>
      <w:rFonts w:hAnsi="Calibri"/>
      <w:color w:val="auto"/>
    </w:rPr>
  </w:style>
  <w:style w:type="paragraph" w:customStyle="1" w:styleId="119">
    <w:name w:val="表文字"/>
    <w:basedOn w:val="1"/>
    <w:qFormat/>
    <w:uiPriority w:val="0"/>
    <w:pPr>
      <w:overflowPunct w:val="0"/>
      <w:autoSpaceDE w:val="0"/>
      <w:autoSpaceDN w:val="0"/>
      <w:adjustRightInd w:val="0"/>
      <w:spacing w:line="240" w:lineRule="atLeast"/>
      <w:textAlignment w:val="baseline"/>
    </w:pPr>
    <w:rPr>
      <w:sz w:val="24"/>
    </w:rPr>
  </w:style>
  <w:style w:type="paragraph" w:customStyle="1" w:styleId="120">
    <w:name w:val="正文01"/>
    <w:basedOn w:val="1"/>
    <w:qFormat/>
    <w:uiPriority w:val="0"/>
    <w:pPr>
      <w:adjustRightInd w:val="0"/>
      <w:spacing w:line="360" w:lineRule="auto"/>
      <w:ind w:firstLine="360" w:firstLineChars="150"/>
      <w:textAlignment w:val="baseline"/>
    </w:pPr>
    <w:rPr>
      <w:bCs/>
      <w:sz w:val="24"/>
      <w:szCs w:val="24"/>
    </w:rPr>
  </w:style>
  <w:style w:type="paragraph" w:customStyle="1" w:styleId="121">
    <w:name w:val="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22">
    <w:name w:val="CM14"/>
    <w:basedOn w:val="49"/>
    <w:next w:val="49"/>
    <w:qFormat/>
    <w:uiPriority w:val="0"/>
    <w:pPr>
      <w:spacing w:line="468" w:lineRule="atLeast"/>
    </w:pPr>
    <w:rPr>
      <w:rFonts w:hAnsi="Calibri"/>
      <w:color w:val="auto"/>
    </w:rPr>
  </w:style>
  <w:style w:type="paragraph" w:customStyle="1" w:styleId="123">
    <w:name w:val="简单回函地址"/>
    <w:basedOn w:val="1"/>
    <w:qFormat/>
    <w:uiPriority w:val="0"/>
    <w:rPr>
      <w:rFonts w:ascii="宋体" w:hAnsi="宋体"/>
      <w:sz w:val="24"/>
      <w:szCs w:val="32"/>
    </w:rPr>
  </w:style>
  <w:style w:type="paragraph" w:customStyle="1" w:styleId="124">
    <w:name w:val="表体"/>
    <w:basedOn w:val="1"/>
    <w:qFormat/>
    <w:uiPriority w:val="0"/>
    <w:pPr>
      <w:spacing w:before="40" w:after="40"/>
      <w:jc w:val="center"/>
    </w:pPr>
    <w:rPr>
      <w:color w:val="000080"/>
    </w:rPr>
  </w:style>
  <w:style w:type="paragraph" w:customStyle="1" w:styleId="125">
    <w:name w:val="CM50"/>
    <w:basedOn w:val="49"/>
    <w:next w:val="49"/>
    <w:qFormat/>
    <w:uiPriority w:val="0"/>
    <w:pPr>
      <w:spacing w:line="443" w:lineRule="atLeast"/>
    </w:pPr>
    <w:rPr>
      <w:rFonts w:hAnsi="Calibri"/>
      <w:color w:val="auto"/>
    </w:rPr>
  </w:style>
  <w:style w:type="paragraph" w:customStyle="1" w:styleId="126">
    <w:name w:val="正文样式1"/>
    <w:basedOn w:val="1"/>
    <w:qFormat/>
    <w:uiPriority w:val="0"/>
    <w:pPr>
      <w:adjustRightInd w:val="0"/>
      <w:spacing w:line="360" w:lineRule="auto"/>
      <w:ind w:firstLine="510"/>
      <w:textAlignment w:val="baseline"/>
    </w:pPr>
    <w:rPr>
      <w:spacing w:val="8"/>
      <w:kern w:val="0"/>
      <w:sz w:val="24"/>
    </w:rPr>
  </w:style>
  <w:style w:type="paragraph" w:customStyle="1" w:styleId="127">
    <w:name w:val="样式 小四 首行缩进:  0.85 厘米 行距: 1.5 倍行距"/>
    <w:basedOn w:val="1"/>
    <w:qFormat/>
    <w:uiPriority w:val="0"/>
    <w:pPr>
      <w:spacing w:line="360" w:lineRule="auto"/>
      <w:ind w:firstLine="482"/>
    </w:pPr>
    <w:rPr>
      <w:sz w:val="24"/>
      <w:szCs w:val="24"/>
    </w:rPr>
  </w:style>
  <w:style w:type="paragraph" w:customStyle="1" w:styleId="128">
    <w:name w:val="表字居中O"/>
    <w:next w:val="1"/>
    <w:qFormat/>
    <w:uiPriority w:val="0"/>
    <w:pPr>
      <w:widowControl w:val="0"/>
      <w:adjustRightInd w:val="0"/>
      <w:jc w:val="both"/>
      <w:textAlignment w:val="baseline"/>
    </w:pPr>
    <w:rPr>
      <w:rFonts w:ascii="Times New Roman" w:hAnsi="Times New Roman" w:eastAsia="宋体" w:cs="Times New Roman"/>
      <w:spacing w:val="-4"/>
      <w:sz w:val="21"/>
      <w:szCs w:val="21"/>
      <w:lang w:val="en-US" w:eastAsia="zh-CN" w:bidi="ar-SA"/>
    </w:rPr>
  </w:style>
  <w:style w:type="paragraph" w:customStyle="1" w:styleId="129">
    <w:name w:val="金光华表头"/>
    <w:basedOn w:val="1"/>
    <w:qFormat/>
    <w:uiPriority w:val="0"/>
    <w:pPr>
      <w:widowControl/>
      <w:spacing w:line="360" w:lineRule="auto"/>
      <w:ind w:firstLine="794"/>
      <w:jc w:val="left"/>
    </w:pPr>
    <w:rPr>
      <w:rFonts w:ascii="宋体" w:hAnsi="宋体" w:cs="宋体"/>
      <w:kern w:val="0"/>
      <w:sz w:val="24"/>
      <w:szCs w:val="24"/>
    </w:rPr>
  </w:style>
  <w:style w:type="paragraph" w:customStyle="1" w:styleId="130">
    <w:name w:val="xl22"/>
    <w:basedOn w:val="1"/>
    <w:qFormat/>
    <w:uiPriority w:val="0"/>
    <w:pPr>
      <w:widowControl/>
      <w:spacing w:before="100" w:after="100"/>
      <w:jc w:val="center"/>
    </w:pPr>
    <w:rPr>
      <w:kern w:val="0"/>
      <w:sz w:val="24"/>
      <w:szCs w:val="24"/>
    </w:rPr>
  </w:style>
  <w:style w:type="paragraph" w:customStyle="1" w:styleId="131">
    <w:name w:val="表头文字"/>
    <w:basedOn w:val="1"/>
    <w:next w:val="37"/>
    <w:qFormat/>
    <w:uiPriority w:val="0"/>
    <w:pPr>
      <w:adjustRightInd w:val="0"/>
      <w:snapToGrid w:val="0"/>
      <w:spacing w:before="156" w:beforeLines="50" w:line="360" w:lineRule="auto"/>
      <w:jc w:val="left"/>
    </w:pPr>
    <w:rPr>
      <w:rFonts w:eastAsia="黑体"/>
      <w:sz w:val="24"/>
    </w:rPr>
  </w:style>
  <w:style w:type="paragraph" w:customStyle="1" w:styleId="132">
    <w:name w:val="CM48"/>
    <w:basedOn w:val="49"/>
    <w:next w:val="49"/>
    <w:qFormat/>
    <w:uiPriority w:val="0"/>
    <w:pPr>
      <w:spacing w:line="440" w:lineRule="atLeast"/>
    </w:pPr>
    <w:rPr>
      <w:rFonts w:hAnsi="Calibri"/>
      <w:color w:val="auto"/>
    </w:rPr>
  </w:style>
  <w:style w:type="paragraph" w:customStyle="1" w:styleId="133">
    <w:name w:val="Char"/>
    <w:basedOn w:val="1"/>
    <w:qFormat/>
    <w:uiPriority w:val="0"/>
    <w:rPr>
      <w:szCs w:val="21"/>
    </w:rPr>
  </w:style>
  <w:style w:type="paragraph" w:customStyle="1" w:styleId="134">
    <w:name w:val="中文报告书样式"/>
    <w:basedOn w:val="1"/>
    <w:qFormat/>
    <w:uiPriority w:val="0"/>
    <w:pPr>
      <w:adjustRightInd w:val="0"/>
      <w:spacing w:line="480" w:lineRule="atLeast"/>
      <w:ind w:firstLine="482"/>
      <w:textAlignment w:val="baseline"/>
    </w:pPr>
    <w:rPr>
      <w:kern w:val="24"/>
      <w:sz w:val="24"/>
      <w:szCs w:val="24"/>
    </w:rPr>
  </w:style>
  <w:style w:type="paragraph" w:customStyle="1" w:styleId="135">
    <w:name w:val="表格内容"/>
    <w:basedOn w:val="1"/>
    <w:qFormat/>
    <w:uiPriority w:val="99"/>
    <w:pPr>
      <w:spacing w:line="240" w:lineRule="atLeast"/>
      <w:jc w:val="center"/>
    </w:pPr>
    <w:rPr>
      <w:szCs w:val="24"/>
    </w:rPr>
  </w:style>
  <w:style w:type="paragraph" w:customStyle="1" w:styleId="136">
    <w:name w:val="3"/>
    <w:basedOn w:val="1"/>
    <w:qFormat/>
    <w:uiPriority w:val="0"/>
  </w:style>
  <w:style w:type="paragraph" w:customStyle="1" w:styleId="137">
    <w:name w:val="样式 首行缩进:  1 厘米 行距: 固定值 25 磅"/>
    <w:basedOn w:val="1"/>
    <w:qFormat/>
    <w:uiPriority w:val="0"/>
    <w:pPr>
      <w:adjustRightInd w:val="0"/>
      <w:spacing w:line="360" w:lineRule="auto"/>
      <w:ind w:firstLine="200" w:firstLineChars="200"/>
      <w:jc w:val="left"/>
      <w:textAlignment w:val="baseline"/>
    </w:pPr>
    <w:rPr>
      <w:rFonts w:ascii="宋体" w:cs="宋体"/>
      <w:snapToGrid w:val="0"/>
      <w:kern w:val="24"/>
      <w:sz w:val="24"/>
      <w:szCs w:val="24"/>
    </w:rPr>
  </w:style>
  <w:style w:type="paragraph" w:customStyle="1" w:styleId="138">
    <w:name w:val="表文"/>
    <w:basedOn w:val="1"/>
    <w:qFormat/>
    <w:uiPriority w:val="0"/>
    <w:pPr>
      <w:tabs>
        <w:tab w:val="left" w:pos="1021"/>
      </w:tabs>
      <w:jc w:val="center"/>
    </w:pPr>
    <w:rPr>
      <w:kern w:val="0"/>
      <w:position w:val="-24"/>
      <w:szCs w:val="21"/>
    </w:rPr>
  </w:style>
  <w:style w:type="paragraph" w:customStyle="1" w:styleId="139">
    <w:name w:val="CM26"/>
    <w:basedOn w:val="49"/>
    <w:next w:val="49"/>
    <w:qFormat/>
    <w:uiPriority w:val="0"/>
    <w:pPr>
      <w:spacing w:line="468" w:lineRule="atLeast"/>
    </w:pPr>
    <w:rPr>
      <w:rFonts w:hAnsi="Calibri"/>
      <w:color w:val="auto"/>
    </w:rPr>
  </w:style>
  <w:style w:type="paragraph" w:customStyle="1" w:styleId="140">
    <w:name w:val="表格"/>
    <w:basedOn w:val="1"/>
    <w:qFormat/>
    <w:uiPriority w:val="0"/>
    <w:pPr>
      <w:jc w:val="center"/>
    </w:pPr>
    <w:rPr>
      <w:sz w:val="24"/>
    </w:rPr>
  </w:style>
  <w:style w:type="paragraph" w:customStyle="1" w:styleId="141">
    <w:name w:val="reader-word-layer reader-word-s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2">
    <w:name w:val="表格文字2"/>
    <w:basedOn w:val="1"/>
    <w:qFormat/>
    <w:uiPriority w:val="0"/>
    <w:pPr>
      <w:tabs>
        <w:tab w:val="left" w:pos="277"/>
        <w:tab w:val="left" w:pos="600"/>
        <w:tab w:val="left" w:pos="780"/>
        <w:tab w:val="left" w:pos="2517"/>
      </w:tabs>
      <w:adjustRightInd w:val="0"/>
      <w:jc w:val="center"/>
      <w:textAlignment w:val="baseline"/>
    </w:pPr>
    <w:rPr>
      <w:kern w:val="0"/>
      <w:szCs w:val="21"/>
    </w:rPr>
  </w:style>
  <w:style w:type="paragraph" w:customStyle="1" w:styleId="143">
    <w:name w:val="样式8"/>
    <w:basedOn w:val="1"/>
    <w:qFormat/>
    <w:uiPriority w:val="0"/>
    <w:pPr>
      <w:widowControl/>
      <w:adjustRightInd w:val="0"/>
      <w:snapToGrid w:val="0"/>
      <w:spacing w:before="156" w:beforeLines="50" w:line="288" w:lineRule="auto"/>
      <w:jc w:val="center"/>
    </w:pPr>
    <w:rPr>
      <w:rFonts w:ascii="宋体" w:hAnsi="宋体" w:cs="宋体"/>
      <w:b/>
      <w:kern w:val="0"/>
    </w:rPr>
  </w:style>
  <w:style w:type="paragraph" w:customStyle="1" w:styleId="144">
    <w:name w:val="表格正文"/>
    <w:basedOn w:val="117"/>
    <w:qFormat/>
    <w:uiPriority w:val="0"/>
    <w:pPr>
      <w:spacing w:line="240" w:lineRule="auto"/>
    </w:pPr>
  </w:style>
  <w:style w:type="paragraph" w:customStyle="1" w:styleId="145">
    <w:name w:val="样式 样式 (符号) 宋体 小四 行距: 1.5 倍行距 + 首行缩进:  2 字符"/>
    <w:basedOn w:val="1"/>
    <w:qFormat/>
    <w:uiPriority w:val="0"/>
    <w:pPr>
      <w:spacing w:line="360" w:lineRule="auto"/>
      <w:ind w:firstLine="456" w:firstLineChars="200"/>
    </w:pPr>
    <w:rPr>
      <w:rFonts w:hAnsi="宋体" w:cs="宋体"/>
      <w:sz w:val="24"/>
    </w:rPr>
  </w:style>
  <w:style w:type="paragraph" w:customStyle="1" w:styleId="146">
    <w:name w:val="表头"/>
    <w:basedOn w:val="7"/>
    <w:next w:val="1"/>
    <w:qFormat/>
    <w:uiPriority w:val="0"/>
    <w:pPr>
      <w:tabs>
        <w:tab w:val="left" w:pos="720"/>
        <w:tab w:val="left" w:pos="2040"/>
        <w:tab w:val="left" w:pos="6902"/>
      </w:tabs>
    </w:pPr>
  </w:style>
  <w:style w:type="paragraph" w:customStyle="1" w:styleId="147">
    <w:name w:val="Char Char2"/>
    <w:basedOn w:val="1"/>
    <w:qFormat/>
    <w:uiPriority w:val="0"/>
    <w:pPr>
      <w:spacing w:line="360" w:lineRule="auto"/>
      <w:ind w:firstLine="200" w:firstLineChars="200"/>
    </w:pPr>
    <w:rPr>
      <w:rFonts w:ascii="宋体" w:hAnsi="宋体" w:cs="宋体"/>
      <w:sz w:val="24"/>
      <w:szCs w:val="21"/>
    </w:rPr>
  </w:style>
  <w:style w:type="paragraph" w:customStyle="1" w:styleId="148">
    <w:name w:val="CM74"/>
    <w:basedOn w:val="49"/>
    <w:next w:val="49"/>
    <w:qFormat/>
    <w:uiPriority w:val="0"/>
    <w:pPr>
      <w:spacing w:after="98"/>
    </w:pPr>
    <w:rPr>
      <w:rFonts w:hAnsi="Calibri"/>
      <w:color w:val="auto"/>
    </w:rPr>
  </w:style>
  <w:style w:type="paragraph" w:customStyle="1" w:styleId="149">
    <w:name w:val="样式 四号 加粗 段前: 6 磅 段后: 5 磅 行距: 固定值 23 磅"/>
    <w:basedOn w:val="8"/>
    <w:next w:val="1"/>
    <w:qFormat/>
    <w:uiPriority w:val="0"/>
    <w:pPr>
      <w:keepNext w:val="0"/>
      <w:keepLines w:val="0"/>
      <w:adjustRightInd/>
      <w:snapToGrid/>
      <w:spacing w:before="0" w:after="0" w:line="360" w:lineRule="auto"/>
      <w:ind w:firstLine="482" w:firstLineChars="200"/>
      <w:outlineLvl w:val="9"/>
    </w:pPr>
    <w:rPr>
      <w:rFonts w:ascii="Times New Roman" w:hAnsi="Times New Roman"/>
      <w:bCs w:val="0"/>
      <w:sz w:val="24"/>
      <w:szCs w:val="24"/>
    </w:rPr>
  </w:style>
  <w:style w:type="paragraph" w:customStyle="1" w:styleId="150">
    <w:name w:val="表格 23"/>
    <w:basedOn w:val="1"/>
    <w:qFormat/>
    <w:uiPriority w:val="0"/>
    <w:pPr>
      <w:autoSpaceDE w:val="0"/>
      <w:autoSpaceDN w:val="0"/>
      <w:adjustRightInd w:val="0"/>
      <w:jc w:val="center"/>
    </w:pPr>
    <w:rPr>
      <w:rFonts w:eastAsia="仿宋体"/>
      <w:kern w:val="0"/>
    </w:rPr>
  </w:style>
  <w:style w:type="paragraph" w:customStyle="1" w:styleId="151">
    <w:name w:val="表头 Char"/>
    <w:basedOn w:val="1"/>
    <w:qFormat/>
    <w:uiPriority w:val="0"/>
    <w:pPr>
      <w:tabs>
        <w:tab w:val="left" w:pos="1021"/>
      </w:tabs>
      <w:spacing w:line="360" w:lineRule="auto"/>
      <w:jc w:val="center"/>
    </w:pPr>
    <w:rPr>
      <w:rFonts w:ascii="宋体" w:hAnsi="宋体"/>
      <w:b/>
      <w:bCs/>
      <w:kern w:val="24"/>
      <w:sz w:val="24"/>
      <w:szCs w:val="24"/>
    </w:rPr>
  </w:style>
  <w:style w:type="paragraph" w:customStyle="1" w:styleId="152">
    <w:name w:val="三级标题"/>
    <w:basedOn w:val="1"/>
    <w:next w:val="38"/>
    <w:qFormat/>
    <w:uiPriority w:val="0"/>
    <w:pPr>
      <w:adjustRightInd w:val="0"/>
      <w:snapToGrid w:val="0"/>
      <w:spacing w:line="360" w:lineRule="exact"/>
      <w:jc w:val="center"/>
    </w:pPr>
    <w:rPr>
      <w:bCs/>
      <w:sz w:val="24"/>
    </w:rPr>
  </w:style>
  <w:style w:type="paragraph" w:customStyle="1" w:styleId="153">
    <w:name w:val="默认段落字体 Para Char Char Char Char"/>
    <w:basedOn w:val="1"/>
    <w:qFormat/>
    <w:uiPriority w:val="0"/>
    <w:rPr>
      <w:sz w:val="24"/>
      <w:szCs w:val="24"/>
    </w:rPr>
  </w:style>
  <w:style w:type="paragraph" w:customStyle="1" w:styleId="154">
    <w:name w:val="zhang正文"/>
    <w:basedOn w:val="15"/>
    <w:qFormat/>
    <w:uiPriority w:val="0"/>
    <w:pPr>
      <w:autoSpaceDE w:val="0"/>
      <w:autoSpaceDN w:val="0"/>
      <w:adjustRightInd w:val="0"/>
      <w:snapToGrid w:val="0"/>
      <w:spacing w:after="0" w:line="360" w:lineRule="auto"/>
      <w:ind w:left="0" w:leftChars="0" w:firstLine="539"/>
      <w:textAlignment w:val="baseline"/>
    </w:pPr>
    <w:rPr>
      <w:rFonts w:eastAsia="楷体_GB2312"/>
      <w:kern w:val="0"/>
      <w:sz w:val="28"/>
    </w:rPr>
  </w:style>
  <w:style w:type="paragraph" w:customStyle="1" w:styleId="155">
    <w:name w:val="Char Char Char Char Char"/>
    <w:basedOn w:val="1"/>
    <w:next w:val="1"/>
    <w:semiHidden/>
    <w:qFormat/>
    <w:uiPriority w:val="0"/>
    <w:pPr>
      <w:spacing w:line="336" w:lineRule="auto"/>
      <w:ind w:firstLine="200" w:firstLineChars="200"/>
    </w:pPr>
    <w:rPr>
      <w:rFonts w:ascii="宋体" w:hAnsi="宋体" w:eastAsia="汉鼎简书宋" w:cs="宋体"/>
      <w:sz w:val="24"/>
      <w:szCs w:val="24"/>
    </w:rPr>
  </w:style>
  <w:style w:type="paragraph" w:customStyle="1" w:styleId="156">
    <w:name w:val="样式3"/>
    <w:basedOn w:val="1"/>
    <w:qFormat/>
    <w:uiPriority w:val="0"/>
    <w:pPr>
      <w:autoSpaceDE w:val="0"/>
      <w:autoSpaceDN w:val="0"/>
      <w:snapToGrid w:val="0"/>
      <w:spacing w:before="120" w:line="460" w:lineRule="atLeast"/>
      <w:jc w:val="center"/>
    </w:pPr>
    <w:rPr>
      <w:rFonts w:eastAsia="黑体"/>
      <w:sz w:val="28"/>
      <w:szCs w:val="24"/>
    </w:rPr>
  </w:style>
  <w:style w:type="paragraph" w:customStyle="1" w:styleId="157">
    <w:name w:val="CM6"/>
    <w:basedOn w:val="49"/>
    <w:next w:val="49"/>
    <w:qFormat/>
    <w:uiPriority w:val="0"/>
    <w:pPr>
      <w:spacing w:line="466" w:lineRule="atLeast"/>
    </w:pPr>
    <w:rPr>
      <w:rFonts w:hAnsi="Calibri"/>
      <w:color w:val="auto"/>
    </w:rPr>
  </w:style>
  <w:style w:type="paragraph" w:customStyle="1" w:styleId="158">
    <w:name w:val="CM61"/>
    <w:basedOn w:val="49"/>
    <w:next w:val="49"/>
    <w:qFormat/>
    <w:uiPriority w:val="0"/>
    <w:pPr>
      <w:spacing w:line="468" w:lineRule="atLeast"/>
    </w:pPr>
    <w:rPr>
      <w:rFonts w:hAnsi="Calibri"/>
      <w:color w:val="auto"/>
    </w:rPr>
  </w:style>
  <w:style w:type="paragraph" w:customStyle="1" w:styleId="159">
    <w:name w:val="段落 Char Char Char"/>
    <w:basedOn w:val="1"/>
    <w:qFormat/>
    <w:uiPriority w:val="0"/>
    <w:pPr>
      <w:tabs>
        <w:tab w:val="left" w:pos="1021"/>
      </w:tabs>
      <w:spacing w:line="360" w:lineRule="auto"/>
      <w:ind w:firstLine="480" w:firstLineChars="200"/>
    </w:pPr>
    <w:rPr>
      <w:bCs/>
      <w:sz w:val="24"/>
    </w:rPr>
  </w:style>
  <w:style w:type="paragraph" w:customStyle="1" w:styleId="160">
    <w:name w:val="报告书正文"/>
    <w:basedOn w:val="1"/>
    <w:link w:val="172"/>
    <w:qFormat/>
    <w:uiPriority w:val="0"/>
    <w:pPr>
      <w:adjustRightInd w:val="0"/>
      <w:spacing w:line="360" w:lineRule="auto"/>
      <w:ind w:firstLine="200" w:firstLineChars="200"/>
      <w:textAlignment w:val="baseline"/>
    </w:pPr>
    <w:rPr>
      <w:kern w:val="0"/>
      <w:sz w:val="24"/>
    </w:rPr>
  </w:style>
  <w:style w:type="paragraph" w:customStyle="1" w:styleId="161">
    <w:name w:val="Char1"/>
    <w:basedOn w:val="1"/>
    <w:qFormat/>
    <w:uiPriority w:val="0"/>
    <w:pPr>
      <w:snapToGrid w:val="0"/>
      <w:spacing w:line="360" w:lineRule="auto"/>
      <w:ind w:firstLine="529" w:firstLineChars="200"/>
    </w:pPr>
    <w:rPr>
      <w:szCs w:val="24"/>
    </w:rPr>
  </w:style>
  <w:style w:type="paragraph" w:styleId="162">
    <w:name w:val="List Paragraph"/>
    <w:basedOn w:val="1"/>
    <w:qFormat/>
    <w:uiPriority w:val="99"/>
    <w:pPr>
      <w:ind w:firstLine="420" w:firstLineChars="200"/>
    </w:pPr>
    <w:rPr>
      <w:szCs w:val="24"/>
    </w:rPr>
  </w:style>
  <w:style w:type="paragraph" w:customStyle="1" w:styleId="163">
    <w:name w:val="_Style 24"/>
    <w:basedOn w:val="1"/>
    <w:next w:val="1"/>
    <w:qFormat/>
    <w:uiPriority w:val="0"/>
    <w:pPr>
      <w:spacing w:line="360" w:lineRule="auto"/>
      <w:ind w:firstLine="200" w:firstLineChars="200"/>
    </w:pPr>
    <w:rPr>
      <w:sz w:val="24"/>
    </w:rPr>
  </w:style>
  <w:style w:type="paragraph" w:customStyle="1" w:styleId="164">
    <w:name w:val="p0"/>
    <w:basedOn w:val="1"/>
    <w:qFormat/>
    <w:uiPriority w:val="0"/>
    <w:pPr>
      <w:widowControl/>
    </w:pPr>
    <w:rPr>
      <w:kern w:val="0"/>
      <w:szCs w:val="21"/>
    </w:rPr>
  </w:style>
  <w:style w:type="paragraph" w:customStyle="1" w:styleId="165">
    <w:name w:val="样式 小四 行距: 1.5 倍行距 首行缩进:  2 字符1"/>
    <w:basedOn w:val="1"/>
    <w:qFormat/>
    <w:uiPriority w:val="0"/>
    <w:pPr>
      <w:spacing w:line="360" w:lineRule="auto"/>
      <w:ind w:firstLine="480" w:firstLineChars="200"/>
    </w:pPr>
    <w:rPr>
      <w:rFonts w:cs="宋体"/>
      <w:sz w:val="24"/>
      <w:szCs w:val="21"/>
    </w:rPr>
  </w:style>
  <w:style w:type="paragraph" w:customStyle="1" w:styleId="166">
    <w:name w:val="永环表内格式"/>
    <w:basedOn w:val="1"/>
    <w:qFormat/>
    <w:uiPriority w:val="0"/>
    <w:pPr>
      <w:spacing w:line="360" w:lineRule="exact"/>
      <w:jc w:val="center"/>
    </w:pPr>
    <w:rPr>
      <w:szCs w:val="21"/>
    </w:rPr>
  </w:style>
  <w:style w:type="paragraph" w:customStyle="1" w:styleId="167">
    <w:name w:val="永环图标标题格式"/>
    <w:basedOn w:val="1"/>
    <w:qFormat/>
    <w:uiPriority w:val="0"/>
    <w:pPr>
      <w:spacing w:before="20" w:beforeLines="20" w:after="20" w:afterLines="20" w:line="560" w:lineRule="exact"/>
      <w:jc w:val="center"/>
    </w:pPr>
    <w:rPr>
      <w:rFonts w:eastAsia="黑体"/>
      <w:bCs/>
      <w:sz w:val="24"/>
      <w:szCs w:val="24"/>
    </w:rPr>
  </w:style>
  <w:style w:type="paragraph" w:customStyle="1" w:styleId="168">
    <w:name w:val="永环正文格式"/>
    <w:basedOn w:val="1"/>
    <w:qFormat/>
    <w:uiPriority w:val="0"/>
    <w:pPr>
      <w:spacing w:line="540" w:lineRule="exact"/>
      <w:ind w:firstLine="200" w:firstLineChars="200"/>
    </w:pPr>
    <w:rPr>
      <w:sz w:val="24"/>
      <w:szCs w:val="21"/>
    </w:rPr>
  </w:style>
  <w:style w:type="paragraph" w:customStyle="1" w:styleId="16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70">
    <w:name w:val="样式 行距: 1.5 倍行距"/>
    <w:basedOn w:val="1"/>
    <w:qFormat/>
    <w:uiPriority w:val="0"/>
    <w:pPr>
      <w:spacing w:line="360" w:lineRule="auto"/>
      <w:ind w:firstLine="480" w:firstLineChars="200"/>
    </w:pPr>
    <w:rPr>
      <w:rFonts w:eastAsia="仿宋_GB2312" w:cs="宋体"/>
      <w:kern w:val="0"/>
      <w:sz w:val="24"/>
    </w:rPr>
  </w:style>
  <w:style w:type="paragraph" w:customStyle="1" w:styleId="171">
    <w:name w:val="Char1 Char Char1 Char"/>
    <w:basedOn w:val="1"/>
    <w:qFormat/>
    <w:uiPriority w:val="0"/>
    <w:rPr>
      <w:sz w:val="24"/>
      <w:szCs w:val="24"/>
    </w:rPr>
  </w:style>
  <w:style w:type="character" w:customStyle="1" w:styleId="172">
    <w:name w:val="报告书正文 Char"/>
    <w:link w:val="160"/>
    <w:qFormat/>
    <w:uiPriority w:val="0"/>
    <w:rPr>
      <w:sz w:val="24"/>
    </w:rPr>
  </w:style>
  <w:style w:type="paragraph" w:customStyle="1" w:styleId="173">
    <w:name w:val="Default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4">
    <w:name w:val="样式 行距: 固定值 24 磅 首行缩进:  2 字符"/>
    <w:basedOn w:val="1"/>
    <w:qFormat/>
    <w:uiPriority w:val="0"/>
    <w:pPr>
      <w:spacing w:line="480" w:lineRule="exact"/>
      <w:ind w:firstLine="480" w:firstLineChars="200"/>
    </w:pPr>
    <w:rPr>
      <w:rFonts w:cs="宋体"/>
      <w:sz w:val="24"/>
    </w:rPr>
  </w:style>
  <w:style w:type="paragraph" w:customStyle="1" w:styleId="175">
    <w:name w:val="列出段落8"/>
    <w:basedOn w:val="1"/>
    <w:qFormat/>
    <w:uiPriority w:val="0"/>
    <w:pPr>
      <w:ind w:firstLine="420" w:firstLineChars="200"/>
    </w:pPr>
    <w:rPr>
      <w:rFonts w:ascii="Calibri" w:hAnsi="Calibri"/>
      <w:szCs w:val="22"/>
    </w:rPr>
  </w:style>
  <w:style w:type="paragraph" w:customStyle="1" w:styleId="176">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77">
    <w:name w:val="报告正文-连续目录"/>
    <w:basedOn w:val="1"/>
    <w:qFormat/>
    <w:uiPriority w:val="0"/>
    <w:pPr>
      <w:spacing w:line="440" w:lineRule="exact"/>
      <w:ind w:firstLine="200" w:firstLineChars="200"/>
    </w:pPr>
    <w:rPr>
      <w:rFonts w:ascii="Arial" w:hAnsi="Arial"/>
      <w:snapToGrid w:val="0"/>
      <w:kern w:val="0"/>
      <w:sz w:val="24"/>
      <w:szCs w:val="24"/>
    </w:rPr>
  </w:style>
  <w:style w:type="character" w:customStyle="1" w:styleId="178">
    <w:name w:val="纯文本 Char1"/>
    <w:qFormat/>
    <w:uiPriority w:val="0"/>
    <w:rPr>
      <w:rFonts w:ascii="宋体" w:hAnsi="Courier New" w:eastAsia="宋体" w:cs="Courier New"/>
      <w:szCs w:val="21"/>
    </w:rPr>
  </w:style>
  <w:style w:type="paragraph" w:customStyle="1" w:styleId="179">
    <w:name w:val="标题 41"/>
    <w:basedOn w:val="1"/>
    <w:qFormat/>
    <w:uiPriority w:val="1"/>
    <w:pPr>
      <w:autoSpaceDE w:val="0"/>
      <w:autoSpaceDN w:val="0"/>
      <w:ind w:left="1017"/>
      <w:jc w:val="left"/>
      <w:outlineLvl w:val="4"/>
    </w:pPr>
    <w:rPr>
      <w:rFonts w:ascii="宋体" w:hAnsi="宋体" w:cs="宋体"/>
      <w:b/>
      <w:bCs/>
      <w:kern w:val="0"/>
      <w:sz w:val="24"/>
      <w:szCs w:val="24"/>
      <w:lang w:eastAsia="en-US"/>
    </w:rPr>
  </w:style>
  <w:style w:type="paragraph" w:customStyle="1" w:styleId="180">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181">
    <w:name w:val="表字体"/>
    <w:basedOn w:val="1"/>
    <w:next w:val="1"/>
    <w:qFormat/>
    <w:uiPriority w:val="0"/>
    <w:pPr>
      <w:jc w:val="center"/>
    </w:pPr>
    <w:rPr>
      <w:rFonts w:ascii="Times New Roman" w:hAnsi="Times New Roman" w:eastAsia="宋体"/>
    </w:rPr>
  </w:style>
  <w:style w:type="paragraph" w:customStyle="1" w:styleId="182">
    <w:name w:val="1标题"/>
    <w:basedOn w:val="1"/>
    <w:qFormat/>
    <w:uiPriority w:val="0"/>
    <w:pPr>
      <w:spacing w:line="360" w:lineRule="auto"/>
      <w:ind w:firstLine="723" w:firstLineChars="200"/>
    </w:pPr>
    <w:rPr>
      <w:rFonts w:ascii="Times New Roman" w:hAnsi="Times New Roman" w:eastAsia="宋体"/>
      <w:b/>
      <w:sz w:val="24"/>
    </w:rPr>
  </w:style>
  <w:style w:type="paragraph" w:customStyle="1" w:styleId="183">
    <w:name w:val="表标题"/>
    <w:basedOn w:val="1"/>
    <w:qFormat/>
    <w:uiPriority w:val="0"/>
    <w:pPr>
      <w:jc w:val="center"/>
    </w:pPr>
    <w:rPr>
      <w:rFonts w:ascii="Times New Roman" w:hAnsi="Times New Roman" w:eastAsia="宋体"/>
      <w:b/>
    </w:rPr>
  </w:style>
  <w:style w:type="paragraph" w:customStyle="1" w:styleId="184">
    <w:name w:val="段落1"/>
    <w:basedOn w:val="1"/>
    <w:qFormat/>
    <w:uiPriority w:val="0"/>
    <w:pPr>
      <w:adjustRightInd w:val="0"/>
      <w:spacing w:line="440" w:lineRule="exact"/>
      <w:ind w:firstLine="200" w:firstLineChars="200"/>
    </w:pPr>
    <w:rPr>
      <w:rFonts w:ascii="Calibri" w:hAnsi="Calibri" w:eastAsia="宋体" w:cs="Times New Roman"/>
      <w:spacing w:val="8"/>
      <w:sz w:val="28"/>
    </w:rPr>
  </w:style>
  <w:style w:type="paragraph" w:customStyle="1" w:styleId="185">
    <w:name w:val="0"/>
    <w:basedOn w:val="1"/>
    <w:qFormat/>
    <w:uiPriority w:val="0"/>
    <w:pPr>
      <w:widowControl/>
    </w:pPr>
    <w:rPr>
      <w:kern w:val="0"/>
      <w:szCs w:val="21"/>
    </w:rPr>
  </w:style>
  <w:style w:type="character" w:customStyle="1" w:styleId="186">
    <w:name w:val="cur1"/>
    <w:basedOn w:val="42"/>
    <w:qFormat/>
    <w:uiPriority w:val="0"/>
    <w:rPr>
      <w:color w:val="FFFFFF"/>
      <w:shd w:val="clear" w:fill="2F6B98"/>
    </w:rPr>
  </w:style>
  <w:style w:type="character" w:customStyle="1" w:styleId="187">
    <w:name w:val="radio-btn"/>
    <w:basedOn w:val="42"/>
    <w:qFormat/>
    <w:uiPriority w:val="0"/>
    <w:rPr>
      <w:sz w:val="24"/>
      <w:szCs w:val="24"/>
    </w:rPr>
  </w:style>
  <w:style w:type="character" w:customStyle="1" w:styleId="188">
    <w:name w:val="radio-btn1"/>
    <w:basedOn w:val="42"/>
    <w:qFormat/>
    <w:uiPriority w:val="0"/>
    <w:rPr>
      <w:sz w:val="21"/>
      <w:szCs w:val="21"/>
    </w:rPr>
  </w:style>
  <w:style w:type="character" w:customStyle="1" w:styleId="189">
    <w:name w:val="radio-btn2"/>
    <w:basedOn w:val="42"/>
    <w:qFormat/>
    <w:uiPriority w:val="0"/>
    <w:rPr>
      <w:sz w:val="24"/>
      <w:szCs w:val="24"/>
    </w:rPr>
  </w:style>
  <w:style w:type="character" w:customStyle="1" w:styleId="190">
    <w:name w:val="lable"/>
    <w:basedOn w:val="42"/>
    <w:qFormat/>
    <w:uiPriority w:val="0"/>
    <w:rPr>
      <w:sz w:val="24"/>
      <w:szCs w:val="24"/>
    </w:rPr>
  </w:style>
  <w:style w:type="character" w:customStyle="1" w:styleId="191">
    <w:name w:val="lishishuju"/>
    <w:basedOn w:val="42"/>
    <w:qFormat/>
    <w:uiPriority w:val="0"/>
    <w:rPr>
      <w:b/>
      <w:color w:val="000052"/>
      <w:sz w:val="24"/>
      <w:szCs w:val="24"/>
      <w:bdr w:val="single" w:color="E3E3E3" w:sz="6" w:space="0"/>
    </w:rPr>
  </w:style>
  <w:style w:type="character" w:customStyle="1" w:styleId="192">
    <w:name w:val="znspantitle"/>
    <w:basedOn w:val="42"/>
    <w:qFormat/>
    <w:uiPriority w:val="0"/>
    <w:rPr>
      <w:b/>
      <w:color w:val="333333"/>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04B223-AC68-4AEF-A9E0-371EE7A0DD5F}">
  <ds:schemaRefs/>
</ds:datastoreItem>
</file>

<file path=docProps/app.xml><?xml version="1.0" encoding="utf-8"?>
<Properties xmlns="http://schemas.openxmlformats.org/officeDocument/2006/extended-properties" xmlns:vt="http://schemas.openxmlformats.org/officeDocument/2006/docPropsVTypes">
  <Template>Normal</Template>
  <Company>微软系统</Company>
  <Pages>91</Pages>
  <Words>31577</Words>
  <Characters>36018</Characters>
  <Lines>279</Lines>
  <Paragraphs>78</Paragraphs>
  <TotalTime>0</TotalTime>
  <ScaleCrop>false</ScaleCrop>
  <LinksUpToDate>false</LinksUpToDate>
  <CharactersWithSpaces>38867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2018-11-01T10:26:00Z</dcterms:created>
  <dc:creator>微软用户</dc:creator>
  <cp:lastModifiedBy>浮生若梦</cp:lastModifiedBy>
  <cp:lastPrinted>2020-08-26T00:39:00Z</cp:lastPrinted>
  <dcterms:modified xsi:type="dcterms:W3CDTF">2020-12-10T06:26:36Z</dcterms:modified>
  <dc:title>建设项目环境影响报告表</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