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after="480" w:afterLines="200"/>
        <w:ind w:right="69" w:rightChars="33"/>
        <w:jc w:val="center"/>
        <w:rPr>
          <w:rFonts w:eastAsiaTheme="minorEastAsia"/>
          <w:b/>
          <w:sz w:val="52"/>
          <w:szCs w:val="52"/>
        </w:rPr>
      </w:pPr>
      <w:bookmarkStart w:id="0" w:name="_Toc299452528"/>
      <w:bookmarkStart w:id="1" w:name="_Toc299451763"/>
      <w:bookmarkStart w:id="2" w:name="_Toc299450897"/>
      <w:bookmarkStart w:id="3" w:name="_Toc299451558"/>
      <w:bookmarkStart w:id="4" w:name="_Toc299450797"/>
      <w:bookmarkStart w:id="5" w:name="_Toc299450997"/>
    </w:p>
    <w:p>
      <w:pPr>
        <w:snapToGrid w:val="0"/>
        <w:spacing w:after="480" w:afterLines="200"/>
        <w:ind w:right="69" w:rightChars="33"/>
        <w:jc w:val="center"/>
        <w:rPr>
          <w:rFonts w:eastAsiaTheme="minorEastAsia"/>
          <w:b/>
          <w:sz w:val="52"/>
          <w:szCs w:val="52"/>
        </w:rPr>
      </w:pPr>
      <w:r>
        <w:rPr>
          <w:rFonts w:eastAsiaTheme="minorEastAsia"/>
          <w:b/>
          <w:sz w:val="52"/>
          <w:szCs w:val="52"/>
        </w:rPr>
        <w:t>湘阴县中医院整体搬迁项目</w:t>
      </w:r>
    </w:p>
    <w:p>
      <w:pPr>
        <w:snapToGrid w:val="0"/>
        <w:spacing w:after="480" w:afterLines="200"/>
        <w:ind w:right="69" w:rightChars="33"/>
        <w:jc w:val="center"/>
        <w:rPr>
          <w:rFonts w:eastAsiaTheme="minorEastAsia"/>
          <w:b/>
          <w:spacing w:val="50"/>
          <w:sz w:val="84"/>
          <w:szCs w:val="84"/>
        </w:rPr>
      </w:pPr>
      <w:r>
        <w:rPr>
          <w:rFonts w:eastAsiaTheme="minorEastAsia"/>
          <w:b/>
          <w:spacing w:val="50"/>
          <w:sz w:val="84"/>
          <w:szCs w:val="84"/>
        </w:rPr>
        <w:t>环境影响报告书</w:t>
      </w:r>
    </w:p>
    <w:p>
      <w:pPr>
        <w:snapToGrid w:val="0"/>
        <w:ind w:right="69" w:rightChars="33"/>
        <w:jc w:val="center"/>
        <w:rPr>
          <w:rFonts w:eastAsiaTheme="minorEastAsia"/>
          <w:b/>
          <w:sz w:val="48"/>
          <w:szCs w:val="48"/>
        </w:rPr>
      </w:pPr>
      <w:r>
        <w:rPr>
          <w:rFonts w:eastAsiaTheme="minorEastAsia"/>
          <w:b/>
          <w:sz w:val="48"/>
          <w:szCs w:val="48"/>
        </w:rPr>
        <w:t>（</w:t>
      </w:r>
      <w:r>
        <w:rPr>
          <w:rFonts w:hint="eastAsia" w:eastAsiaTheme="minorEastAsia"/>
          <w:b/>
          <w:sz w:val="48"/>
          <w:szCs w:val="48"/>
        </w:rPr>
        <w:t>报批稿</w:t>
      </w:r>
      <w:r>
        <w:rPr>
          <w:rFonts w:eastAsiaTheme="minorEastAsia"/>
          <w:b/>
          <w:sz w:val="48"/>
          <w:szCs w:val="48"/>
        </w:rPr>
        <w:t>）</w:t>
      </w:r>
    </w:p>
    <w:p>
      <w:pPr>
        <w:snapToGrid w:val="0"/>
        <w:ind w:right="69" w:rightChars="33"/>
        <w:jc w:val="center"/>
        <w:rPr>
          <w:rFonts w:eastAsiaTheme="minorEastAsia"/>
          <w:sz w:val="28"/>
        </w:rPr>
      </w:pPr>
    </w:p>
    <w:p>
      <w:pPr>
        <w:snapToGrid w:val="0"/>
        <w:ind w:right="69" w:rightChars="33"/>
        <w:jc w:val="center"/>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ind w:right="69" w:rightChars="33"/>
        <w:rPr>
          <w:rFonts w:eastAsiaTheme="minorEastAsia"/>
          <w:sz w:val="28"/>
        </w:rPr>
      </w:pPr>
    </w:p>
    <w:p>
      <w:pPr>
        <w:snapToGrid w:val="0"/>
        <w:spacing w:line="360" w:lineRule="auto"/>
        <w:ind w:left="1" w:right="69" w:rightChars="33" w:firstLine="425"/>
        <w:rPr>
          <w:rFonts w:eastAsiaTheme="minorEastAsia"/>
          <w:b/>
          <w:spacing w:val="20"/>
          <w:sz w:val="36"/>
          <w:u w:val="single"/>
        </w:rPr>
      </w:pPr>
      <w:r>
        <w:rPr>
          <w:rFonts w:eastAsiaTheme="minorEastAsia"/>
          <w:b/>
          <w:spacing w:val="20"/>
          <w:sz w:val="36"/>
        </w:rPr>
        <w:t>建设单位：</w:t>
      </w:r>
      <w:r>
        <w:rPr>
          <w:rFonts w:eastAsiaTheme="minorEastAsia"/>
          <w:b/>
          <w:spacing w:val="20"/>
          <w:sz w:val="36"/>
          <w:u w:val="single"/>
        </w:rPr>
        <w:t xml:space="preserve">        湘阴县中医院</w:t>
      </w:r>
      <w:r>
        <w:rPr>
          <w:rFonts w:hint="eastAsia" w:eastAsiaTheme="minorEastAsia"/>
          <w:b/>
          <w:spacing w:val="20"/>
          <w:sz w:val="36"/>
          <w:u w:val="single"/>
        </w:rPr>
        <w:t xml:space="preserve"> </w:t>
      </w:r>
      <w:r>
        <w:rPr>
          <w:rFonts w:eastAsiaTheme="minorEastAsia"/>
          <w:b/>
          <w:spacing w:val="20"/>
          <w:sz w:val="36"/>
          <w:u w:val="single"/>
        </w:rPr>
        <w:t xml:space="preserve">        </w:t>
      </w:r>
      <w:r>
        <w:rPr>
          <w:rFonts w:hint="eastAsia" w:eastAsiaTheme="minorEastAsia"/>
          <w:b/>
          <w:spacing w:val="20"/>
          <w:sz w:val="36"/>
          <w:u w:val="single"/>
        </w:rPr>
        <w:t xml:space="preserve"> </w:t>
      </w:r>
    </w:p>
    <w:p>
      <w:pPr>
        <w:snapToGrid w:val="0"/>
        <w:spacing w:line="360" w:lineRule="auto"/>
        <w:ind w:right="69" w:rightChars="33" w:firstLine="425"/>
        <w:rPr>
          <w:rFonts w:eastAsiaTheme="minorEastAsia"/>
          <w:sz w:val="28"/>
        </w:rPr>
      </w:pPr>
      <w:r>
        <w:rPr>
          <w:rFonts w:eastAsiaTheme="minorEastAsia"/>
          <w:b/>
          <w:spacing w:val="20"/>
          <w:sz w:val="36"/>
        </w:rPr>
        <w:t>环评单位：</w:t>
      </w:r>
      <w:r>
        <w:rPr>
          <w:rFonts w:eastAsiaTheme="minorEastAsia"/>
          <w:b/>
          <w:spacing w:val="20"/>
          <w:sz w:val="36"/>
          <w:u w:val="single"/>
        </w:rPr>
        <w:t xml:space="preserve"> 北京国环益达环保技术有限公司</w:t>
      </w:r>
      <w:r>
        <w:rPr>
          <w:rFonts w:hint="eastAsia" w:eastAsiaTheme="minorEastAsia"/>
          <w:b/>
          <w:spacing w:val="20"/>
          <w:sz w:val="36"/>
          <w:u w:val="single"/>
        </w:rPr>
        <w:t xml:space="preserve">  </w:t>
      </w:r>
      <w:r>
        <w:rPr>
          <w:rFonts w:eastAsiaTheme="minorEastAsia"/>
          <w:b/>
          <w:spacing w:val="20"/>
          <w:sz w:val="36"/>
          <w:u w:val="single"/>
        </w:rPr>
        <w:t xml:space="preserve"> </w:t>
      </w:r>
    </w:p>
    <w:p>
      <w:pPr>
        <w:pStyle w:val="45"/>
        <w:snapToGrid w:val="0"/>
        <w:ind w:left="5250" w:right="69" w:rightChars="33"/>
        <w:jc w:val="center"/>
        <w:rPr>
          <w:rFonts w:eastAsiaTheme="minorEastAsia"/>
          <w:b/>
          <w:spacing w:val="20"/>
          <w:sz w:val="36"/>
        </w:rPr>
      </w:pPr>
    </w:p>
    <w:p>
      <w:pPr>
        <w:pStyle w:val="45"/>
        <w:snapToGrid w:val="0"/>
        <w:ind w:left="5254" w:leftChars="0" w:right="69" w:rightChars="33" w:hanging="5254" w:hangingChars="1309"/>
        <w:jc w:val="center"/>
        <w:rPr>
          <w:rFonts w:eastAsiaTheme="minorEastAsia"/>
          <w:b/>
          <w:spacing w:val="20"/>
          <w:sz w:val="36"/>
        </w:rPr>
      </w:pPr>
    </w:p>
    <w:p>
      <w:pPr>
        <w:pStyle w:val="45"/>
        <w:snapToGrid w:val="0"/>
        <w:ind w:left="5254" w:leftChars="0" w:right="69" w:rightChars="33" w:hanging="5254" w:hangingChars="1309"/>
        <w:jc w:val="center"/>
        <w:rPr>
          <w:rFonts w:eastAsiaTheme="minorEastAsia"/>
          <w:b/>
          <w:spacing w:val="20"/>
          <w:sz w:val="36"/>
        </w:rPr>
      </w:pPr>
    </w:p>
    <w:p>
      <w:pPr>
        <w:pStyle w:val="45"/>
        <w:snapToGrid w:val="0"/>
        <w:ind w:left="5254" w:leftChars="0" w:right="69" w:rightChars="33" w:hanging="5254" w:hangingChars="1309"/>
        <w:jc w:val="center"/>
        <w:rPr>
          <w:rFonts w:eastAsiaTheme="minorEastAsia"/>
          <w:b/>
          <w:spacing w:val="20"/>
          <w:sz w:val="36"/>
        </w:rPr>
      </w:pPr>
    </w:p>
    <w:p>
      <w:pPr>
        <w:pStyle w:val="45"/>
        <w:snapToGrid w:val="0"/>
        <w:ind w:left="5254" w:leftChars="0" w:right="69" w:rightChars="33" w:hanging="5254" w:hangingChars="1309"/>
        <w:jc w:val="center"/>
        <w:rPr>
          <w:rFonts w:eastAsiaTheme="minorEastAsia"/>
          <w:b/>
          <w:spacing w:val="20"/>
          <w:sz w:val="36"/>
        </w:rPr>
      </w:pPr>
      <w:r>
        <w:rPr>
          <w:rFonts w:eastAsiaTheme="minorEastAsia"/>
          <w:b/>
          <w:spacing w:val="20"/>
          <w:sz w:val="36"/>
        </w:rPr>
        <w:t>二〇二</w:t>
      </w:r>
      <w:r>
        <w:rPr>
          <w:rFonts w:hint="eastAsia" w:eastAsiaTheme="minorEastAsia"/>
          <w:b/>
          <w:spacing w:val="20"/>
          <w:sz w:val="36"/>
        </w:rPr>
        <w:t>一</w:t>
      </w:r>
      <w:r>
        <w:rPr>
          <w:rFonts w:eastAsiaTheme="minorEastAsia"/>
          <w:b/>
          <w:spacing w:val="20"/>
          <w:sz w:val="36"/>
        </w:rPr>
        <w:t>年</w:t>
      </w:r>
      <w:r>
        <w:rPr>
          <w:rFonts w:hint="eastAsia" w:eastAsiaTheme="minorEastAsia"/>
          <w:b/>
          <w:spacing w:val="20"/>
          <w:sz w:val="36"/>
        </w:rPr>
        <w:t>一</w:t>
      </w:r>
      <w:r>
        <w:rPr>
          <w:rFonts w:eastAsiaTheme="minorEastAsia"/>
          <w:b/>
          <w:spacing w:val="20"/>
          <w:sz w:val="36"/>
        </w:rPr>
        <w:t>月</w:t>
      </w:r>
    </w:p>
    <w:p>
      <w:pPr>
        <w:snapToGrid w:val="0"/>
        <w:rPr>
          <w:rFonts w:eastAsiaTheme="minorEastAsia"/>
        </w:rPr>
      </w:pPr>
    </w:p>
    <w:p>
      <w:pPr>
        <w:snapToGrid w:val="0"/>
        <w:rPr>
          <w:rFonts w:eastAsiaTheme="minorEastAsia"/>
        </w:rPr>
      </w:pPr>
    </w:p>
    <w:p>
      <w:pPr>
        <w:snapToGrid w:val="0"/>
        <w:rPr>
          <w:rFonts w:eastAsiaTheme="minorEastAsia"/>
        </w:rPr>
      </w:pPr>
    </w:p>
    <w:p>
      <w:pPr>
        <w:snapToGrid w:val="0"/>
        <w:rPr>
          <w:rFonts w:eastAsiaTheme="minorEastAsia"/>
        </w:rPr>
        <w:sectPr>
          <w:headerReference r:id="rId3" w:type="default"/>
          <w:footerReference r:id="rId5" w:type="default"/>
          <w:headerReference r:id="rId4" w:type="even"/>
          <w:footerReference r:id="rId6" w:type="even"/>
          <w:pgSz w:w="11906" w:h="16838"/>
          <w:pgMar w:top="1418" w:right="1304" w:bottom="1418" w:left="1474" w:header="992" w:footer="992" w:gutter="0"/>
          <w:pgNumType w:fmt="lowerRoman" w:start="1"/>
          <w:cols w:space="720" w:num="1"/>
          <w:docGrid w:linePitch="312" w:charSpace="0"/>
        </w:sectPr>
      </w:pPr>
    </w:p>
    <w:p>
      <w:pPr>
        <w:snapToGrid w:val="0"/>
        <w:rPr>
          <w:rFonts w:eastAsiaTheme="minorEastAsia"/>
        </w:rPr>
      </w:pPr>
    </w:p>
    <w:p>
      <w:pPr>
        <w:snapToGrid w:val="0"/>
        <w:rPr>
          <w:rFonts w:eastAsiaTheme="minorEastAsia"/>
        </w:rPr>
      </w:pPr>
    </w:p>
    <w:p>
      <w:pPr>
        <w:snapToGrid w:val="0"/>
        <w:rPr>
          <w:rFonts w:eastAsiaTheme="minorEastAsia"/>
        </w:rPr>
        <w:sectPr>
          <w:pgSz w:w="11906" w:h="16838"/>
          <w:pgMar w:top="1418" w:right="1304" w:bottom="1418" w:left="1474" w:header="992" w:footer="992" w:gutter="0"/>
          <w:pgNumType w:fmt="lowerRoman" w:start="1"/>
          <w:cols w:space="720" w:num="1"/>
          <w:docGrid w:linePitch="312" w:charSpace="0"/>
        </w:sectPr>
      </w:pPr>
    </w:p>
    <w:p>
      <w:pPr>
        <w:snapToGrid w:val="0"/>
        <w:spacing w:line="360" w:lineRule="auto"/>
        <w:jc w:val="center"/>
        <w:rPr>
          <w:rFonts w:eastAsiaTheme="minorEastAsia"/>
          <w:b/>
          <w:bCs/>
          <w:sz w:val="24"/>
          <w:szCs w:val="32"/>
        </w:rPr>
      </w:pPr>
      <w:r>
        <w:rPr>
          <w:rFonts w:hint="eastAsia" w:eastAsiaTheme="minorEastAsia"/>
          <w:b/>
          <w:bCs/>
          <w:sz w:val="24"/>
          <w:szCs w:val="32"/>
        </w:rPr>
        <w:t>修改清单</w:t>
      </w:r>
    </w:p>
    <w:tbl>
      <w:tblPr>
        <w:tblStyle w:val="80"/>
        <w:tblW w:w="935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5074"/>
        <w:gridCol w:w="38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b/>
                <w:bCs/>
              </w:rPr>
            </w:pPr>
            <w:r>
              <w:rPr>
                <w:rFonts w:hint="eastAsia" w:eastAsiaTheme="minorEastAsia"/>
                <w:b/>
                <w:bCs/>
              </w:rPr>
              <w:t>序号</w:t>
            </w:r>
          </w:p>
        </w:tc>
        <w:tc>
          <w:tcPr>
            <w:tcW w:w="5074" w:type="dxa"/>
            <w:vAlign w:val="center"/>
          </w:tcPr>
          <w:p>
            <w:pPr>
              <w:snapToGrid w:val="0"/>
              <w:spacing w:line="276" w:lineRule="auto"/>
              <w:jc w:val="center"/>
              <w:rPr>
                <w:rFonts w:eastAsiaTheme="minorEastAsia"/>
                <w:b/>
                <w:bCs/>
              </w:rPr>
            </w:pPr>
            <w:r>
              <w:rPr>
                <w:rFonts w:hint="eastAsia" w:eastAsiaTheme="minorEastAsia"/>
                <w:b/>
                <w:bCs/>
              </w:rPr>
              <w:t>专家意见</w:t>
            </w:r>
          </w:p>
        </w:tc>
        <w:tc>
          <w:tcPr>
            <w:tcW w:w="3855" w:type="dxa"/>
            <w:vAlign w:val="center"/>
          </w:tcPr>
          <w:p>
            <w:pPr>
              <w:snapToGrid w:val="0"/>
              <w:spacing w:line="276" w:lineRule="auto"/>
              <w:jc w:val="center"/>
              <w:rPr>
                <w:rFonts w:eastAsiaTheme="minorEastAsia"/>
                <w:b/>
                <w:bCs/>
              </w:rPr>
            </w:pPr>
            <w:r>
              <w:rPr>
                <w:rFonts w:hint="eastAsia" w:eastAsiaTheme="minorEastAsia"/>
                <w:b/>
                <w:bCs/>
              </w:rPr>
              <w:t>修改情况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rPr>
            </w:pPr>
            <w:r>
              <w:rPr>
                <w:rFonts w:hint="eastAsia" w:eastAsiaTheme="minorEastAsia"/>
              </w:rPr>
              <w:t>1</w:t>
            </w:r>
          </w:p>
        </w:tc>
        <w:tc>
          <w:tcPr>
            <w:tcW w:w="5074" w:type="dxa"/>
            <w:vAlign w:val="center"/>
          </w:tcPr>
          <w:p>
            <w:pPr>
              <w:snapToGrid w:val="0"/>
              <w:spacing w:line="276" w:lineRule="auto"/>
              <w:jc w:val="center"/>
              <w:rPr>
                <w:rFonts w:eastAsiaTheme="minorEastAsia"/>
              </w:rPr>
            </w:pPr>
            <w:r>
              <w:rPr>
                <w:rFonts w:hint="eastAsia" w:eastAsiaTheme="minorEastAsia"/>
              </w:rPr>
              <w:t>结合相关规划、用地性质和现状细化项目由来，强化项目搬迁建设的必要性分析，补充医疗机构设置规划相符性分析和县政府会议纪要、卫计部门核定意见等相关文件，核实项目建设性质，完善项目与产业政策的相符性分析。</w:t>
            </w:r>
          </w:p>
        </w:tc>
        <w:tc>
          <w:tcPr>
            <w:tcW w:w="3855" w:type="dxa"/>
            <w:vAlign w:val="center"/>
          </w:tcPr>
          <w:p>
            <w:pPr>
              <w:snapToGrid w:val="0"/>
              <w:spacing w:line="276" w:lineRule="auto"/>
              <w:jc w:val="center"/>
              <w:rPr>
                <w:rFonts w:eastAsiaTheme="minorEastAsia"/>
              </w:rPr>
            </w:pPr>
            <w:r>
              <w:rPr>
                <w:rFonts w:eastAsiaTheme="minorEastAsia"/>
              </w:rPr>
              <w:t>已补充相关用地性质、项目由来一级必要性分析，见</w:t>
            </w:r>
            <w:r>
              <w:rPr>
                <w:rFonts w:hint="eastAsia" w:eastAsiaTheme="minorEastAsia"/>
              </w:rPr>
              <w:t>P1-2；</w:t>
            </w:r>
          </w:p>
          <w:p>
            <w:pPr>
              <w:snapToGrid w:val="0"/>
              <w:spacing w:line="276" w:lineRule="auto"/>
              <w:jc w:val="center"/>
              <w:rPr>
                <w:rFonts w:eastAsiaTheme="minorEastAsia"/>
              </w:rPr>
            </w:pPr>
            <w:r>
              <w:rPr>
                <w:rFonts w:hint="eastAsia" w:eastAsiaTheme="minorEastAsia"/>
              </w:rPr>
              <w:t>已补充相关资料，见附件10-12；</w:t>
            </w:r>
          </w:p>
          <w:p>
            <w:pPr>
              <w:snapToGrid w:val="0"/>
              <w:spacing w:line="276" w:lineRule="auto"/>
              <w:jc w:val="center"/>
              <w:rPr>
                <w:rFonts w:eastAsiaTheme="minorEastAsia"/>
              </w:rPr>
            </w:pPr>
            <w:r>
              <w:rPr>
                <w:rFonts w:hint="eastAsia" w:eastAsiaTheme="minorEastAsia"/>
              </w:rPr>
              <w:t>已完善政策相符性分析，见P7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rPr>
            </w:pPr>
            <w:r>
              <w:rPr>
                <w:rFonts w:hint="eastAsia" w:eastAsiaTheme="minorEastAsia"/>
              </w:rPr>
              <w:t>2</w:t>
            </w:r>
          </w:p>
        </w:tc>
        <w:tc>
          <w:tcPr>
            <w:tcW w:w="5074" w:type="dxa"/>
            <w:vAlign w:val="center"/>
          </w:tcPr>
          <w:p>
            <w:pPr>
              <w:snapToGrid w:val="0"/>
              <w:spacing w:line="276" w:lineRule="auto"/>
              <w:jc w:val="center"/>
              <w:rPr>
                <w:rFonts w:eastAsiaTheme="minorEastAsia"/>
              </w:rPr>
            </w:pPr>
            <w:r>
              <w:rPr>
                <w:rFonts w:hint="eastAsia" w:eastAsiaTheme="minorEastAsia"/>
              </w:rPr>
              <w:t>完善项目建设内容，校核主体建筑工程的相关描述和床位规模，细化科室设置情况；明确施工期内容、油漆等装修材料的相关环保要求和拆除工程的责任主体；补充医疗设备、中央空调的型号规格，明确搬迁淘汰设备及其处置要求；细化明确原辅材料消耗情况。</w:t>
            </w:r>
          </w:p>
        </w:tc>
        <w:tc>
          <w:tcPr>
            <w:tcW w:w="3855" w:type="dxa"/>
            <w:vAlign w:val="center"/>
          </w:tcPr>
          <w:p>
            <w:pPr>
              <w:snapToGrid w:val="0"/>
              <w:spacing w:line="276" w:lineRule="auto"/>
              <w:jc w:val="center"/>
              <w:rPr>
                <w:rFonts w:eastAsiaTheme="minorEastAsia"/>
              </w:rPr>
            </w:pPr>
            <w:r>
              <w:rPr>
                <w:rFonts w:hint="eastAsia" w:eastAsiaTheme="minorEastAsia"/>
              </w:rPr>
              <w:t>已核实相关建设内容，见P</w:t>
            </w:r>
            <w:r>
              <w:rPr>
                <w:rFonts w:eastAsiaTheme="minorEastAsia"/>
              </w:rPr>
              <w:t>33-34</w:t>
            </w:r>
            <w:r>
              <w:rPr>
                <w:rFonts w:hint="eastAsia" w:eastAsiaTheme="minorEastAsia"/>
              </w:rPr>
              <w:t>；已明确施工期建设情况及工程拆除主体责任，见P2和P46；已补充设备相关信息及淘汰设备处置要求，见P36和P48；细化原辅材料情况，见P37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rPr>
            </w:pPr>
            <w:r>
              <w:rPr>
                <w:rFonts w:hint="eastAsia" w:eastAsiaTheme="minorEastAsia"/>
              </w:rPr>
              <w:t>3</w:t>
            </w:r>
          </w:p>
        </w:tc>
        <w:tc>
          <w:tcPr>
            <w:tcW w:w="5074" w:type="dxa"/>
            <w:vAlign w:val="center"/>
          </w:tcPr>
          <w:p>
            <w:pPr>
              <w:snapToGrid w:val="0"/>
              <w:spacing w:line="276" w:lineRule="auto"/>
              <w:jc w:val="center"/>
              <w:rPr>
                <w:rFonts w:eastAsiaTheme="minorEastAsia"/>
              </w:rPr>
            </w:pPr>
            <w:r>
              <w:rPr>
                <w:rFonts w:hint="eastAsia" w:eastAsiaTheme="minorEastAsia"/>
              </w:rPr>
              <w:t>核实项目与原湘阴县人民医院相关建筑和设施的依托关系，进一步补充完善湘阴县人民医院和原湘阴县中医院旧址的现状调查，明确依托工程情况，核实有无残留医疗废水、医疗废物、淘汰设备设施等历史遗留环境问题和解决方案</w:t>
            </w:r>
          </w:p>
        </w:tc>
        <w:tc>
          <w:tcPr>
            <w:tcW w:w="3855" w:type="dxa"/>
            <w:vAlign w:val="center"/>
          </w:tcPr>
          <w:p>
            <w:pPr>
              <w:snapToGrid w:val="0"/>
              <w:spacing w:line="276" w:lineRule="auto"/>
              <w:jc w:val="center"/>
              <w:rPr>
                <w:rFonts w:eastAsiaTheme="minorEastAsia"/>
              </w:rPr>
            </w:pPr>
            <w:r>
              <w:rPr>
                <w:rFonts w:hint="eastAsia" w:eastAsiaTheme="minorEastAsia"/>
              </w:rPr>
              <w:t>经建设单位核实、现场查看，原湘阴县人民医院污水处理设备部分已搬走且基本老化陈旧，并且原有设备位置与现有布局不协调，因此建设单位拟重新建设；原有医疗暂存间位于门诊楼负一楼，而门诊楼即将拆除，因此需重新建设危废间；已进一步核实原有项目情况，见P</w:t>
            </w:r>
            <w:r>
              <w:rPr>
                <w:rFonts w:eastAsiaTheme="minorEastAsia"/>
              </w:rPr>
              <w:t>32</w:t>
            </w: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rPr>
            </w:pPr>
            <w:r>
              <w:rPr>
                <w:rFonts w:hint="eastAsia" w:eastAsiaTheme="minorEastAsia"/>
              </w:rPr>
              <w:t>4</w:t>
            </w:r>
          </w:p>
        </w:tc>
        <w:tc>
          <w:tcPr>
            <w:tcW w:w="5074" w:type="dxa"/>
            <w:vAlign w:val="center"/>
          </w:tcPr>
          <w:p>
            <w:pPr>
              <w:snapToGrid w:val="0"/>
              <w:spacing w:line="276" w:lineRule="auto"/>
              <w:jc w:val="center"/>
              <w:rPr>
                <w:rFonts w:eastAsiaTheme="minorEastAsia"/>
              </w:rPr>
            </w:pPr>
            <w:r>
              <w:rPr>
                <w:rFonts w:hint="eastAsia" w:eastAsiaTheme="minorEastAsia"/>
              </w:rPr>
              <w:t>根据“2021版”校核环评编制依据，核实更新项目编制依据，核实项目评价因子和地表水功能区划，补充核实声环境质量标准和地表水环境质量标准相关指标，废水排放标准建议补充完善湘阴县第一污水处理厂纳管标准；核实主要环境保护目标，补充东湖的地表水环境质量现状数据。</w:t>
            </w:r>
          </w:p>
        </w:tc>
        <w:tc>
          <w:tcPr>
            <w:tcW w:w="3855" w:type="dxa"/>
            <w:vAlign w:val="center"/>
          </w:tcPr>
          <w:p>
            <w:pPr>
              <w:snapToGrid w:val="0"/>
              <w:spacing w:line="276" w:lineRule="auto"/>
              <w:jc w:val="center"/>
              <w:rPr>
                <w:rFonts w:eastAsiaTheme="minorEastAsia"/>
              </w:rPr>
            </w:pPr>
            <w:r>
              <w:rPr>
                <w:rFonts w:hint="eastAsia" w:eastAsiaTheme="minorEastAsia"/>
              </w:rPr>
              <w:t>已核实更新项目编制依据，见P2；已核实评价因子和地表水功能，见P13、P18；已修改污水处理厂名称。已补充东湖水环境质量现状数据，见P68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rPr>
            </w:pPr>
            <w:r>
              <w:rPr>
                <w:rFonts w:hint="eastAsia" w:eastAsiaTheme="minorEastAsia"/>
              </w:rPr>
              <w:t>5</w:t>
            </w:r>
          </w:p>
        </w:tc>
        <w:tc>
          <w:tcPr>
            <w:tcW w:w="5074" w:type="dxa"/>
            <w:vAlign w:val="center"/>
          </w:tcPr>
          <w:p>
            <w:pPr>
              <w:snapToGrid w:val="0"/>
              <w:spacing w:line="276" w:lineRule="auto"/>
              <w:jc w:val="center"/>
              <w:rPr>
                <w:rFonts w:eastAsiaTheme="minorEastAsia"/>
                <w:color w:val="FF0000"/>
              </w:rPr>
            </w:pPr>
            <w:r>
              <w:rPr>
                <w:rFonts w:hint="eastAsia" w:eastAsiaTheme="minorEastAsia"/>
              </w:rPr>
              <w:t>补充污染物排放类比情况和污染源强核定依据，明确恶臭气体收集处理措施，完善事故应急池设置的合理性分析，强化项目废水、废气处理措施的达标可行性、可靠性分析；核实项目用水量和水平衡，补充住宿楼废水，根据医疗废水和生活污水的污污分流原则核实废水处理设施和规模。</w:t>
            </w:r>
          </w:p>
        </w:tc>
        <w:tc>
          <w:tcPr>
            <w:tcW w:w="3855" w:type="dxa"/>
            <w:vAlign w:val="center"/>
          </w:tcPr>
          <w:p>
            <w:pPr>
              <w:snapToGrid w:val="0"/>
              <w:spacing w:line="276" w:lineRule="auto"/>
              <w:jc w:val="center"/>
              <w:rPr>
                <w:rFonts w:eastAsiaTheme="minorEastAsia"/>
              </w:rPr>
            </w:pPr>
            <w:r>
              <w:rPr>
                <w:rFonts w:hint="eastAsia" w:eastAsiaTheme="minorEastAsia"/>
              </w:rPr>
              <w:t>已补充污染防治措施相关信息，见P52、P86、P143；完善事故应急池设置，见P91；已补充项目污染物防治措施可行性分析，见P140、P145；已核实水平衡图，见P44；住宿楼废水已纳入医护人员生活污水，完善污污分流措施，见P42；已核实污水处理站规模，为3</w:t>
            </w:r>
            <w:bookmarkStart w:id="6" w:name="OLE_LINK52"/>
            <w:r>
              <w:rPr>
                <w:rFonts w:hint="eastAsia" w:eastAsiaTheme="minorEastAsia"/>
              </w:rPr>
              <w:t>00m</w:t>
            </w:r>
            <w:r>
              <w:rPr>
                <w:rFonts w:hint="eastAsia" w:eastAsiaTheme="minorEastAsia"/>
                <w:vertAlign w:val="superscript"/>
              </w:rPr>
              <w:t>3</w:t>
            </w:r>
            <w:r>
              <w:rPr>
                <w:rFonts w:hint="eastAsia" w:eastAsiaTheme="minorEastAsia"/>
              </w:rPr>
              <w:t>/d</w:t>
            </w:r>
            <w:bookmarkEnd w:id="6"/>
            <w:r>
              <w:rPr>
                <w:rFonts w:hint="eastAsia" w:eastAsiaTheme="minorEastAsia"/>
              </w:rPr>
              <w:t>，见P87。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rPr>
            </w:pPr>
            <w:r>
              <w:rPr>
                <w:rFonts w:hint="eastAsia" w:eastAsiaTheme="minorEastAsia"/>
              </w:rPr>
              <w:t>6</w:t>
            </w:r>
          </w:p>
        </w:tc>
        <w:tc>
          <w:tcPr>
            <w:tcW w:w="5074" w:type="dxa"/>
            <w:vAlign w:val="center"/>
          </w:tcPr>
          <w:p>
            <w:pPr>
              <w:snapToGrid w:val="0"/>
              <w:spacing w:line="276" w:lineRule="auto"/>
              <w:jc w:val="center"/>
              <w:rPr>
                <w:rFonts w:eastAsiaTheme="minorEastAsia"/>
              </w:rPr>
            </w:pPr>
            <w:r>
              <w:rPr>
                <w:rFonts w:hint="eastAsia" w:eastAsiaTheme="minorEastAsia"/>
              </w:rPr>
              <w:t>核实固废属性及去向，补充医疗废物的处置协议；完善周边外环境对本项目的影响分析，并提出对周边用地的规划控制建议；补充项目噪声对周边声环境敏感点的影响；环境风险物质识别补充次氯酸钠，完善环境风险防范措施。</w:t>
            </w:r>
          </w:p>
        </w:tc>
        <w:tc>
          <w:tcPr>
            <w:tcW w:w="3855" w:type="dxa"/>
            <w:vAlign w:val="center"/>
          </w:tcPr>
          <w:p>
            <w:pPr>
              <w:snapToGrid w:val="0"/>
              <w:spacing w:line="276" w:lineRule="auto"/>
              <w:jc w:val="center"/>
              <w:rPr>
                <w:rFonts w:eastAsiaTheme="minorEastAsia"/>
              </w:rPr>
            </w:pPr>
            <w:r>
              <w:rPr>
                <w:rFonts w:hint="eastAsia" w:eastAsiaTheme="minorEastAsia"/>
              </w:rPr>
              <w:t>已核实相关信息和资料，见附件10</w:t>
            </w:r>
            <w:r>
              <w:rPr>
                <w:rFonts w:eastAsiaTheme="minorEastAsia"/>
              </w:rPr>
              <w:t>-11</w:t>
            </w:r>
            <w:r>
              <w:rPr>
                <w:rFonts w:hint="eastAsia" w:eastAsiaTheme="minorEastAsia"/>
              </w:rPr>
              <w:t>；已完善周边环境对本项目影响，见P102-103；已补充完善风险相关信息，见P104、P</w:t>
            </w:r>
            <w:r>
              <w:rPr>
                <w:rFonts w:eastAsiaTheme="minorEastAsia"/>
              </w:rPr>
              <w:t>120</w:t>
            </w:r>
            <w:r>
              <w:rPr>
                <w:rFonts w:hint="eastAsia" w:eastAsiaTheme="minorEastAsia"/>
              </w:rPr>
              <w:t>、</w:t>
            </w:r>
            <w:r>
              <w:rPr>
                <w:rFonts w:eastAsiaTheme="minorEastAsia"/>
              </w:rPr>
              <w:t>124</w:t>
            </w: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27" w:type="dxa"/>
            <w:vAlign w:val="center"/>
          </w:tcPr>
          <w:p>
            <w:pPr>
              <w:snapToGrid w:val="0"/>
              <w:spacing w:line="276" w:lineRule="auto"/>
              <w:jc w:val="center"/>
              <w:rPr>
                <w:rFonts w:eastAsiaTheme="minorEastAsia"/>
              </w:rPr>
            </w:pPr>
            <w:r>
              <w:rPr>
                <w:rFonts w:hint="eastAsia" w:eastAsiaTheme="minorEastAsia"/>
              </w:rPr>
              <w:t>7</w:t>
            </w:r>
          </w:p>
        </w:tc>
        <w:tc>
          <w:tcPr>
            <w:tcW w:w="5074" w:type="dxa"/>
            <w:vAlign w:val="center"/>
          </w:tcPr>
          <w:p>
            <w:pPr>
              <w:snapToGrid w:val="0"/>
              <w:spacing w:line="276" w:lineRule="auto"/>
              <w:jc w:val="center"/>
              <w:rPr>
                <w:rFonts w:eastAsiaTheme="minorEastAsia"/>
                <w:color w:val="FF0000"/>
              </w:rPr>
            </w:pPr>
            <w:r>
              <w:rPr>
                <w:rFonts w:hint="eastAsia" w:eastAsiaTheme="minorEastAsia"/>
              </w:rPr>
              <w:t>根据排污许可技术规范，完善项目环境管理与监测计划；完善环保投资、竣工验收一览表和总量控制指标的控制建议；完善厂区平面布置图、平面布局合理性分析和环保目标图，补充项目现场图片和标准函。</w:t>
            </w:r>
          </w:p>
        </w:tc>
        <w:tc>
          <w:tcPr>
            <w:tcW w:w="3855" w:type="dxa"/>
            <w:vAlign w:val="center"/>
          </w:tcPr>
          <w:p>
            <w:pPr>
              <w:snapToGrid w:val="0"/>
              <w:spacing w:line="276" w:lineRule="auto"/>
              <w:jc w:val="center"/>
              <w:rPr>
                <w:rFonts w:eastAsiaTheme="minorEastAsia"/>
              </w:rPr>
            </w:pPr>
            <w:r>
              <w:rPr>
                <w:rFonts w:hint="eastAsia" w:eastAsiaTheme="minorEastAsia"/>
              </w:rPr>
              <w:t xml:space="preserve">已核实、完善监测管理与计划，见P161；已完善环保投资及验收信息，见P152；已核实总量指标，见P162；已完善相关附图附件，见附图2、附图5、附图12、附件13 </w:t>
            </w:r>
          </w:p>
        </w:tc>
      </w:tr>
    </w:tbl>
    <w:p>
      <w:pPr>
        <w:snapToGrid w:val="0"/>
        <w:rPr>
          <w:rFonts w:eastAsiaTheme="minorEastAsia"/>
        </w:rPr>
        <w:sectPr>
          <w:pgSz w:w="11906" w:h="16838"/>
          <w:pgMar w:top="1418" w:right="1304" w:bottom="1418" w:left="1474" w:header="992" w:footer="992" w:gutter="0"/>
          <w:pgNumType w:fmt="lowerRoman" w:start="1"/>
          <w:cols w:space="720" w:num="1"/>
          <w:docGrid w:linePitch="312" w:charSpace="0"/>
        </w:sectPr>
      </w:pPr>
    </w:p>
    <w:p>
      <w:pPr>
        <w:snapToGrid w:val="0"/>
        <w:spacing w:line="276" w:lineRule="auto"/>
        <w:jc w:val="center"/>
      </w:pPr>
      <w:r>
        <w:rPr>
          <w:rFonts w:eastAsiaTheme="minorEastAsia"/>
          <w:b/>
          <w:sz w:val="28"/>
          <w:szCs w:val="28"/>
        </w:rPr>
        <w:t>目  录</w:t>
      </w:r>
      <w:bookmarkEnd w:id="0"/>
      <w:r>
        <w:rPr>
          <w:rFonts w:eastAsiaTheme="minorEastAsia"/>
          <w:b/>
          <w:sz w:val="24"/>
        </w:rPr>
        <w:fldChar w:fldCharType="begin"/>
      </w:r>
      <w:r>
        <w:rPr>
          <w:rFonts w:eastAsiaTheme="minorEastAsia"/>
          <w:b/>
          <w:sz w:val="24"/>
        </w:rPr>
        <w:instrText xml:space="preserve"> TOC \o "1-2" \h \z \u </w:instrText>
      </w:r>
      <w:r>
        <w:rPr>
          <w:rFonts w:eastAsiaTheme="minorEastAsia"/>
          <w:b/>
          <w:sz w:val="24"/>
        </w:rPr>
        <w:fldChar w:fldCharType="separate"/>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"_Toc61026577" </w:instrText>
      </w:r>
      <w:r>
        <w:fldChar w:fldCharType="separate"/>
      </w:r>
      <w:r>
        <w:rPr>
          <w:rStyle w:val="95"/>
          <w:sz w:val="24"/>
          <w:szCs w:val="24"/>
          <w:lang w:val="zh-CN"/>
        </w:rPr>
        <w:t>1 概述</w:t>
      </w:r>
      <w:r>
        <w:rPr>
          <w:sz w:val="24"/>
          <w:szCs w:val="24"/>
        </w:rPr>
        <w:tab/>
      </w:r>
      <w:r>
        <w:rPr>
          <w:sz w:val="24"/>
          <w:szCs w:val="24"/>
        </w:rPr>
        <w:fldChar w:fldCharType="begin"/>
      </w:r>
      <w:r>
        <w:rPr>
          <w:sz w:val="24"/>
          <w:szCs w:val="24"/>
        </w:rPr>
        <w:instrText xml:space="preserve"> PAGEREF _Toc61026577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"_Toc61026578" </w:instrText>
      </w:r>
      <w:r>
        <w:fldChar w:fldCharType="separate"/>
      </w:r>
      <w:r>
        <w:rPr>
          <w:rStyle w:val="95"/>
          <w:sz w:val="24"/>
          <w:szCs w:val="24"/>
          <w:lang w:val="zh-CN"/>
        </w:rPr>
        <w:t>1.1 项目由来</w:t>
      </w:r>
      <w:r>
        <w:rPr>
          <w:sz w:val="24"/>
          <w:szCs w:val="24"/>
        </w:rPr>
        <w:tab/>
      </w:r>
      <w:r>
        <w:rPr>
          <w:sz w:val="24"/>
          <w:szCs w:val="24"/>
        </w:rPr>
        <w:fldChar w:fldCharType="begin"/>
      </w:r>
      <w:r>
        <w:rPr>
          <w:sz w:val="24"/>
          <w:szCs w:val="24"/>
        </w:rPr>
        <w:instrText xml:space="preserve"> PAGEREF _Toc61026578 \h </w:instrText>
      </w:r>
      <w:r>
        <w:rPr>
          <w:sz w:val="24"/>
          <w:szCs w:val="24"/>
        </w:rPr>
        <w:fldChar w:fldCharType="separate"/>
      </w:r>
      <w:r>
        <w:rPr>
          <w:sz w:val="24"/>
          <w:szCs w:val="24"/>
        </w:rPr>
        <w:t>1</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"_Toc61026579" </w:instrText>
      </w:r>
      <w:r>
        <w:fldChar w:fldCharType="separate"/>
      </w:r>
      <w:r>
        <w:rPr>
          <w:rStyle w:val="95"/>
          <w:sz w:val="24"/>
          <w:szCs w:val="24"/>
          <w:lang w:val="zh-CN"/>
        </w:rPr>
        <w:t>1.2 建设项目特点</w:t>
      </w:r>
      <w:r>
        <w:rPr>
          <w:sz w:val="24"/>
          <w:szCs w:val="24"/>
        </w:rPr>
        <w:tab/>
      </w:r>
      <w:r>
        <w:rPr>
          <w:sz w:val="24"/>
          <w:szCs w:val="24"/>
        </w:rPr>
        <w:fldChar w:fldCharType="begin"/>
      </w:r>
      <w:r>
        <w:rPr>
          <w:sz w:val="24"/>
          <w:szCs w:val="24"/>
        </w:rPr>
        <w:instrText xml:space="preserve"> PAGEREF _Toc61026579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"_Toc61026580" </w:instrText>
      </w:r>
      <w:r>
        <w:fldChar w:fldCharType="separate"/>
      </w:r>
      <w:r>
        <w:rPr>
          <w:rStyle w:val="95"/>
          <w:sz w:val="24"/>
          <w:szCs w:val="24"/>
          <w:lang w:val="zh-CN"/>
        </w:rPr>
        <w:t>1.3 环境影响评价工作过程</w:t>
      </w:r>
      <w:r>
        <w:rPr>
          <w:sz w:val="24"/>
          <w:szCs w:val="24"/>
        </w:rPr>
        <w:tab/>
      </w:r>
      <w:r>
        <w:rPr>
          <w:sz w:val="24"/>
          <w:szCs w:val="24"/>
        </w:rPr>
        <w:fldChar w:fldCharType="begin"/>
      </w:r>
      <w:r>
        <w:rPr>
          <w:sz w:val="24"/>
          <w:szCs w:val="24"/>
        </w:rPr>
        <w:instrText xml:space="preserve"> PAGEREF _Toc61026580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"_Toc61026581" </w:instrText>
      </w:r>
      <w:r>
        <w:fldChar w:fldCharType="separate"/>
      </w:r>
      <w:r>
        <w:rPr>
          <w:rStyle w:val="95"/>
          <w:sz w:val="24"/>
          <w:szCs w:val="24"/>
          <w:lang w:val="zh-CN"/>
        </w:rPr>
        <w:t>1.4 产业政策、相关规划及环境功能区划</w:t>
      </w:r>
      <w:r>
        <w:rPr>
          <w:sz w:val="24"/>
          <w:szCs w:val="24"/>
        </w:rPr>
        <w:tab/>
      </w:r>
      <w:r>
        <w:rPr>
          <w:sz w:val="24"/>
          <w:szCs w:val="24"/>
        </w:rPr>
        <w:fldChar w:fldCharType="begin"/>
      </w:r>
      <w:r>
        <w:rPr>
          <w:sz w:val="24"/>
          <w:szCs w:val="24"/>
        </w:rPr>
        <w:instrText xml:space="preserve"> PAGEREF _Toc61026581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"_Toc61026582" </w:instrText>
      </w:r>
      <w:r>
        <w:fldChar w:fldCharType="separate"/>
      </w:r>
      <w:r>
        <w:rPr>
          <w:rStyle w:val="95"/>
          <w:sz w:val="24"/>
          <w:szCs w:val="24"/>
          <w:lang w:val="zh-CN"/>
        </w:rPr>
        <w:t>1.5 关注的主要环境问题</w:t>
      </w:r>
      <w:r>
        <w:rPr>
          <w:sz w:val="24"/>
          <w:szCs w:val="24"/>
        </w:rPr>
        <w:tab/>
      </w:r>
      <w:r>
        <w:rPr>
          <w:sz w:val="24"/>
          <w:szCs w:val="24"/>
        </w:rPr>
        <w:fldChar w:fldCharType="begin"/>
      </w:r>
      <w:r>
        <w:rPr>
          <w:sz w:val="24"/>
          <w:szCs w:val="24"/>
        </w:rPr>
        <w:instrText xml:space="preserve"> PAGEREF _Toc61026582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"_Toc61026583" </w:instrText>
      </w:r>
      <w:r>
        <w:fldChar w:fldCharType="separate"/>
      </w:r>
      <w:r>
        <w:rPr>
          <w:rStyle w:val="95"/>
          <w:sz w:val="24"/>
          <w:szCs w:val="24"/>
          <w:lang w:val="zh-CN"/>
        </w:rPr>
        <w:t>1.6 环境影响报告主要结论</w:t>
      </w:r>
      <w:r>
        <w:rPr>
          <w:sz w:val="24"/>
          <w:szCs w:val="24"/>
        </w:rPr>
        <w:tab/>
      </w:r>
      <w:r>
        <w:rPr>
          <w:sz w:val="24"/>
          <w:szCs w:val="24"/>
        </w:rPr>
        <w:fldChar w:fldCharType="begin"/>
      </w:r>
      <w:r>
        <w:rPr>
          <w:sz w:val="24"/>
          <w:szCs w:val="24"/>
        </w:rPr>
        <w:instrText xml:space="preserve"> PAGEREF _Toc61026583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"_Toc61026584" </w:instrText>
      </w:r>
      <w:r>
        <w:fldChar w:fldCharType="separate"/>
      </w:r>
      <w:r>
        <w:rPr>
          <w:rStyle w:val="95"/>
          <w:sz w:val="24"/>
          <w:szCs w:val="24"/>
          <w:lang w:val="zh-CN"/>
        </w:rPr>
        <w:t>2 总则</w:t>
      </w:r>
      <w:r>
        <w:rPr>
          <w:sz w:val="24"/>
          <w:szCs w:val="24"/>
        </w:rPr>
        <w:tab/>
      </w:r>
      <w:r>
        <w:rPr>
          <w:sz w:val="24"/>
          <w:szCs w:val="24"/>
        </w:rPr>
        <w:fldChar w:fldCharType="begin"/>
      </w:r>
      <w:r>
        <w:rPr>
          <w:sz w:val="24"/>
          <w:szCs w:val="24"/>
        </w:rPr>
        <w:instrText xml:space="preserve"> PAGEREF _Toc61026584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"_Toc61026585" </w:instrText>
      </w:r>
      <w:r>
        <w:fldChar w:fldCharType="separate"/>
      </w:r>
      <w:r>
        <w:rPr>
          <w:rStyle w:val="95"/>
          <w:sz w:val="24"/>
          <w:szCs w:val="24"/>
          <w:lang w:val="zh-CN"/>
        </w:rPr>
        <w:t>2.1 编制依据</w:t>
      </w:r>
      <w:r>
        <w:rPr>
          <w:sz w:val="24"/>
          <w:szCs w:val="24"/>
        </w:rPr>
        <w:tab/>
      </w:r>
      <w:r>
        <w:rPr>
          <w:sz w:val="24"/>
          <w:szCs w:val="24"/>
        </w:rPr>
        <w:fldChar w:fldCharType="begin"/>
      </w:r>
      <w:r>
        <w:rPr>
          <w:sz w:val="24"/>
          <w:szCs w:val="24"/>
        </w:rPr>
        <w:instrText xml:space="preserve"> PAGEREF _Toc61026585 \h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"_Toc61026586" </w:instrText>
      </w:r>
      <w:r>
        <w:fldChar w:fldCharType="separate"/>
      </w:r>
      <w:r>
        <w:rPr>
          <w:rStyle w:val="95"/>
          <w:sz w:val="24"/>
          <w:szCs w:val="24"/>
          <w:lang w:val="zh-CN"/>
        </w:rPr>
        <w:t>2.2 环境影响识别与评价因子筛选</w:t>
      </w:r>
      <w:r>
        <w:rPr>
          <w:sz w:val="24"/>
          <w:szCs w:val="24"/>
        </w:rPr>
        <w:tab/>
      </w:r>
      <w:r>
        <w:rPr>
          <w:sz w:val="24"/>
          <w:szCs w:val="24"/>
        </w:rPr>
        <w:fldChar w:fldCharType="begin"/>
      </w:r>
      <w:r>
        <w:rPr>
          <w:sz w:val="24"/>
          <w:szCs w:val="24"/>
        </w:rPr>
        <w:instrText xml:space="preserve"> PAGEREF _Toc61026586 \h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"_Toc61026587" </w:instrText>
      </w:r>
      <w:r>
        <w:fldChar w:fldCharType="separate"/>
      </w:r>
      <w:r>
        <w:rPr>
          <w:rStyle w:val="95"/>
          <w:sz w:val="24"/>
          <w:szCs w:val="24"/>
          <w:lang w:val="zh-CN"/>
        </w:rPr>
        <w:t>2.3 环境影响评价标准</w:t>
      </w:r>
      <w:r>
        <w:rPr>
          <w:sz w:val="24"/>
          <w:szCs w:val="24"/>
        </w:rPr>
        <w:tab/>
      </w:r>
      <w:r>
        <w:rPr>
          <w:sz w:val="24"/>
          <w:szCs w:val="24"/>
        </w:rPr>
        <w:fldChar w:fldCharType="begin"/>
      </w:r>
      <w:r>
        <w:rPr>
          <w:sz w:val="24"/>
          <w:szCs w:val="24"/>
        </w:rPr>
        <w:instrText xml:space="preserve"> PAGEREF _Toc61026587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"_Toc61026588" </w:instrText>
      </w:r>
      <w:r>
        <w:fldChar w:fldCharType="separate"/>
      </w:r>
      <w:r>
        <w:rPr>
          <w:rStyle w:val="95"/>
          <w:sz w:val="24"/>
          <w:szCs w:val="24"/>
          <w:lang w:val="zh-CN"/>
        </w:rPr>
        <w:t>2.4 评价工作等级和评价范围</w:t>
      </w:r>
      <w:r>
        <w:rPr>
          <w:sz w:val="24"/>
          <w:szCs w:val="24"/>
        </w:rPr>
        <w:tab/>
      </w:r>
      <w:r>
        <w:rPr>
          <w:sz w:val="24"/>
          <w:szCs w:val="24"/>
        </w:rPr>
        <w:fldChar w:fldCharType="begin"/>
      </w:r>
      <w:r>
        <w:rPr>
          <w:sz w:val="24"/>
          <w:szCs w:val="24"/>
        </w:rPr>
        <w:instrText xml:space="preserve"> PAGEREF _Toc61026588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"_Toc61026589" </w:instrText>
      </w:r>
      <w:r>
        <w:fldChar w:fldCharType="separate"/>
      </w:r>
      <w:r>
        <w:rPr>
          <w:rStyle w:val="95"/>
          <w:sz w:val="24"/>
          <w:szCs w:val="24"/>
          <w:lang w:val="zh-CN"/>
        </w:rPr>
        <w:t>2.5 保护目标</w:t>
      </w:r>
      <w:r>
        <w:rPr>
          <w:sz w:val="24"/>
          <w:szCs w:val="24"/>
        </w:rPr>
        <w:tab/>
      </w:r>
      <w:r>
        <w:rPr>
          <w:sz w:val="24"/>
          <w:szCs w:val="24"/>
        </w:rPr>
        <w:fldChar w:fldCharType="begin"/>
      </w:r>
      <w:r>
        <w:rPr>
          <w:sz w:val="24"/>
          <w:szCs w:val="24"/>
        </w:rPr>
        <w:instrText xml:space="preserve"> PAGEREF _Toc61026589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"_Toc61026590" </w:instrText>
      </w:r>
      <w:r>
        <w:fldChar w:fldCharType="separate"/>
      </w:r>
      <w:r>
        <w:rPr>
          <w:rStyle w:val="95"/>
          <w:sz w:val="24"/>
          <w:szCs w:val="24"/>
          <w:lang w:val="zh-CN"/>
        </w:rPr>
        <w:t>3 现有项目概况</w:t>
      </w:r>
      <w:r>
        <w:rPr>
          <w:sz w:val="24"/>
          <w:szCs w:val="24"/>
        </w:rPr>
        <w:tab/>
      </w:r>
      <w:r>
        <w:rPr>
          <w:sz w:val="24"/>
          <w:szCs w:val="24"/>
        </w:rPr>
        <w:fldChar w:fldCharType="begin"/>
      </w:r>
      <w:r>
        <w:rPr>
          <w:sz w:val="24"/>
          <w:szCs w:val="24"/>
        </w:rPr>
        <w:instrText xml:space="preserve"> PAGEREF _Toc61026590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"_Toc61026591" </w:instrText>
      </w:r>
      <w:r>
        <w:fldChar w:fldCharType="separate"/>
      </w:r>
      <w:r>
        <w:rPr>
          <w:rStyle w:val="95"/>
          <w:sz w:val="24"/>
          <w:szCs w:val="24"/>
          <w:lang w:val="zh-CN"/>
        </w:rPr>
        <w:t>3.1 现有项目基本情况</w:t>
      </w:r>
      <w:r>
        <w:rPr>
          <w:sz w:val="24"/>
          <w:szCs w:val="24"/>
        </w:rPr>
        <w:tab/>
      </w:r>
      <w:r>
        <w:rPr>
          <w:sz w:val="24"/>
          <w:szCs w:val="24"/>
        </w:rPr>
        <w:fldChar w:fldCharType="begin"/>
      </w:r>
      <w:r>
        <w:rPr>
          <w:sz w:val="24"/>
          <w:szCs w:val="24"/>
        </w:rPr>
        <w:instrText xml:space="preserve"> PAGEREF _Toc61026591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"_Toc61026592" </w:instrText>
      </w:r>
      <w:r>
        <w:fldChar w:fldCharType="separate"/>
      </w:r>
      <w:r>
        <w:rPr>
          <w:rStyle w:val="95"/>
          <w:sz w:val="24"/>
          <w:szCs w:val="24"/>
          <w:lang w:val="zh-CN"/>
        </w:rPr>
        <w:t>3.2 现有项目污染源分析</w:t>
      </w:r>
      <w:r>
        <w:rPr>
          <w:sz w:val="24"/>
          <w:szCs w:val="24"/>
        </w:rPr>
        <w:tab/>
      </w:r>
      <w:r>
        <w:rPr>
          <w:sz w:val="24"/>
          <w:szCs w:val="24"/>
        </w:rPr>
        <w:fldChar w:fldCharType="begin"/>
      </w:r>
      <w:r>
        <w:rPr>
          <w:sz w:val="24"/>
          <w:szCs w:val="24"/>
        </w:rPr>
        <w:instrText xml:space="preserve"> PAGEREF _Toc61026592 \h </w:instrText>
      </w:r>
      <w:r>
        <w:rPr>
          <w:sz w:val="24"/>
          <w:szCs w:val="24"/>
        </w:rPr>
        <w:fldChar w:fldCharType="separate"/>
      </w:r>
      <w:r>
        <w:rPr>
          <w:sz w:val="24"/>
          <w:szCs w:val="24"/>
        </w:rPr>
        <w:t>28</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"_Toc61026593" </w:instrText>
      </w:r>
      <w:r>
        <w:fldChar w:fldCharType="separate"/>
      </w:r>
      <w:r>
        <w:rPr>
          <w:rStyle w:val="95"/>
          <w:sz w:val="24"/>
          <w:szCs w:val="24"/>
          <w:lang w:val="zh-CN"/>
        </w:rPr>
        <w:t>3.3 现有项目环评批复、验收意见的落实情况</w:t>
      </w:r>
      <w:r>
        <w:rPr>
          <w:sz w:val="24"/>
          <w:szCs w:val="24"/>
        </w:rPr>
        <w:tab/>
      </w:r>
      <w:r>
        <w:rPr>
          <w:sz w:val="24"/>
          <w:szCs w:val="24"/>
        </w:rPr>
        <w:fldChar w:fldCharType="begin"/>
      </w:r>
      <w:r>
        <w:rPr>
          <w:sz w:val="24"/>
          <w:szCs w:val="24"/>
        </w:rPr>
        <w:instrText xml:space="preserve"> PAGEREF _Toc61026593 \h </w:instrText>
      </w:r>
      <w:r>
        <w:rPr>
          <w:sz w:val="24"/>
          <w:szCs w:val="24"/>
        </w:rPr>
        <w:fldChar w:fldCharType="separate"/>
      </w:r>
      <w:r>
        <w:rPr>
          <w:sz w:val="24"/>
          <w:szCs w:val="24"/>
        </w:rPr>
        <w:t>32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"_Toc61026594" </w:instrText>
      </w:r>
      <w:r>
        <w:fldChar w:fldCharType="separate"/>
      </w:r>
      <w:r>
        <w:rPr>
          <w:rStyle w:val="95"/>
          <w:sz w:val="24"/>
          <w:szCs w:val="24"/>
          <w:lang w:val="zh-CN"/>
        </w:rPr>
        <w:t>3.4 现有项目存在的问题、整改措施及搬迁要求</w:t>
      </w:r>
      <w:r>
        <w:rPr>
          <w:sz w:val="24"/>
          <w:szCs w:val="24"/>
        </w:rPr>
        <w:tab/>
      </w:r>
      <w:r>
        <w:rPr>
          <w:sz w:val="24"/>
          <w:szCs w:val="24"/>
        </w:rPr>
        <w:fldChar w:fldCharType="begin"/>
      </w:r>
      <w:r>
        <w:rPr>
          <w:sz w:val="24"/>
          <w:szCs w:val="24"/>
        </w:rPr>
        <w:instrText xml:space="preserve"> PAGEREF _Toc61026594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"_Toc61026595" </w:instrText>
      </w:r>
      <w:r>
        <w:fldChar w:fldCharType="separate"/>
      </w:r>
      <w:r>
        <w:rPr>
          <w:rStyle w:val="95"/>
          <w:sz w:val="24"/>
          <w:szCs w:val="24"/>
          <w:lang w:val="zh-CN"/>
        </w:rPr>
        <w:t>3.5 本项目拟搬迁地主要情况</w:t>
      </w:r>
      <w:r>
        <w:rPr>
          <w:sz w:val="24"/>
          <w:szCs w:val="24"/>
        </w:rPr>
        <w:tab/>
      </w:r>
      <w:r>
        <w:rPr>
          <w:sz w:val="24"/>
          <w:szCs w:val="24"/>
        </w:rPr>
        <w:fldChar w:fldCharType="begin"/>
      </w:r>
      <w:r>
        <w:rPr>
          <w:sz w:val="24"/>
          <w:szCs w:val="24"/>
        </w:rPr>
        <w:instrText xml:space="preserve"> PAGEREF _Toc61026595 \h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"_Toc61026596" </w:instrText>
      </w:r>
      <w:r>
        <w:fldChar w:fldCharType="separate"/>
      </w:r>
      <w:r>
        <w:rPr>
          <w:rStyle w:val="95"/>
          <w:sz w:val="24"/>
          <w:szCs w:val="24"/>
          <w:lang w:val="zh-CN"/>
        </w:rPr>
        <w:t>4 建设项目工程分析</w:t>
      </w:r>
      <w:r>
        <w:rPr>
          <w:sz w:val="24"/>
          <w:szCs w:val="24"/>
        </w:rPr>
        <w:tab/>
      </w:r>
      <w:r>
        <w:rPr>
          <w:sz w:val="24"/>
          <w:szCs w:val="24"/>
        </w:rPr>
        <w:fldChar w:fldCharType="begin"/>
      </w:r>
      <w:r>
        <w:rPr>
          <w:sz w:val="24"/>
          <w:szCs w:val="24"/>
        </w:rPr>
        <w:instrText xml:space="preserve"> PAGEREF _Toc61026596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"_Toc61026597" </w:instrText>
      </w:r>
      <w:r>
        <w:fldChar w:fldCharType="separate"/>
      </w:r>
      <w:r>
        <w:rPr>
          <w:rStyle w:val="95"/>
          <w:sz w:val="24"/>
          <w:szCs w:val="24"/>
          <w:lang w:val="zh-CN"/>
        </w:rPr>
        <w:t>4.1 建设项目情况介绍</w:t>
      </w:r>
      <w:r>
        <w:rPr>
          <w:sz w:val="24"/>
          <w:szCs w:val="24"/>
        </w:rPr>
        <w:tab/>
      </w:r>
      <w:r>
        <w:rPr>
          <w:sz w:val="24"/>
          <w:szCs w:val="24"/>
        </w:rPr>
        <w:fldChar w:fldCharType="begin"/>
      </w:r>
      <w:r>
        <w:rPr>
          <w:sz w:val="24"/>
          <w:szCs w:val="24"/>
        </w:rPr>
        <w:instrText xml:space="preserve"> PAGEREF _Toc61026597 \h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"_Toc61026598" </w:instrText>
      </w:r>
      <w:r>
        <w:fldChar w:fldCharType="separate"/>
      </w:r>
      <w:r>
        <w:rPr>
          <w:rStyle w:val="95"/>
          <w:sz w:val="24"/>
          <w:szCs w:val="24"/>
          <w:lang w:val="zh-CN"/>
        </w:rPr>
        <w:t>4.2 主体建筑工程</w:t>
      </w:r>
      <w:r>
        <w:rPr>
          <w:sz w:val="24"/>
          <w:szCs w:val="24"/>
        </w:rPr>
        <w:tab/>
      </w:r>
      <w:r>
        <w:rPr>
          <w:sz w:val="24"/>
          <w:szCs w:val="24"/>
        </w:rPr>
        <w:fldChar w:fldCharType="begin"/>
      </w:r>
      <w:r>
        <w:rPr>
          <w:sz w:val="24"/>
          <w:szCs w:val="24"/>
        </w:rPr>
        <w:instrText xml:space="preserve"> PAGEREF _Toc61026598 \h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"_Toc61026599" </w:instrText>
      </w:r>
      <w:r>
        <w:fldChar w:fldCharType="separate"/>
      </w:r>
      <w:r>
        <w:rPr>
          <w:rStyle w:val="95"/>
          <w:sz w:val="24"/>
          <w:szCs w:val="24"/>
          <w:lang w:val="zh-CN"/>
        </w:rPr>
        <w:t>4.3 公用工程</w:t>
      </w:r>
      <w:r>
        <w:rPr>
          <w:sz w:val="24"/>
          <w:szCs w:val="24"/>
        </w:rPr>
        <w:tab/>
      </w:r>
      <w:r>
        <w:rPr>
          <w:sz w:val="24"/>
          <w:szCs w:val="24"/>
        </w:rPr>
        <w:fldChar w:fldCharType="begin"/>
      </w:r>
      <w:r>
        <w:rPr>
          <w:sz w:val="24"/>
          <w:szCs w:val="24"/>
        </w:rPr>
        <w:instrText xml:space="preserve"> PAGEREF _Toc61026599 \h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"_Toc61026600" </w:instrText>
      </w:r>
      <w:r>
        <w:fldChar w:fldCharType="separate"/>
      </w:r>
      <w:r>
        <w:rPr>
          <w:rStyle w:val="95"/>
          <w:sz w:val="24"/>
          <w:szCs w:val="24"/>
        </w:rPr>
        <w:t xml:space="preserve">4.5 </w:t>
      </w:r>
      <w:r>
        <w:rPr>
          <w:rStyle w:val="95"/>
          <w:sz w:val="24"/>
          <w:szCs w:val="24"/>
          <w:lang w:val="zh-CN"/>
        </w:rPr>
        <w:t>施工期污染源分析</w:t>
      </w:r>
      <w:r>
        <w:rPr>
          <w:sz w:val="24"/>
          <w:szCs w:val="24"/>
        </w:rPr>
        <w:tab/>
      </w:r>
      <w:r>
        <w:rPr>
          <w:sz w:val="24"/>
          <w:szCs w:val="24"/>
        </w:rPr>
        <w:fldChar w:fldCharType="begin"/>
      </w:r>
      <w:r>
        <w:rPr>
          <w:sz w:val="24"/>
          <w:szCs w:val="24"/>
        </w:rPr>
        <w:instrText xml:space="preserve"> PAGEREF _Toc61026600 \h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"_Toc61026601" </w:instrText>
      </w:r>
      <w:r>
        <w:fldChar w:fldCharType="separate"/>
      </w:r>
      <w:r>
        <w:rPr>
          <w:rStyle w:val="95"/>
          <w:sz w:val="24"/>
          <w:szCs w:val="24"/>
        </w:rPr>
        <w:t xml:space="preserve">4.6 </w:t>
      </w:r>
      <w:r>
        <w:rPr>
          <w:rStyle w:val="95"/>
          <w:sz w:val="24"/>
          <w:szCs w:val="24"/>
          <w:lang w:val="zh-CN"/>
        </w:rPr>
        <w:t>营运期污染源分析</w:t>
      </w:r>
      <w:r>
        <w:rPr>
          <w:sz w:val="24"/>
          <w:szCs w:val="24"/>
        </w:rPr>
        <w:tab/>
      </w:r>
      <w:r>
        <w:rPr>
          <w:sz w:val="24"/>
          <w:szCs w:val="24"/>
        </w:rPr>
        <w:fldChar w:fldCharType="begin"/>
      </w:r>
      <w:r>
        <w:rPr>
          <w:sz w:val="24"/>
          <w:szCs w:val="24"/>
        </w:rPr>
        <w:instrText xml:space="preserve"> PAGEREF _Toc61026601 \h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"_Toc61026602" </w:instrText>
      </w:r>
      <w:r>
        <w:fldChar w:fldCharType="separate"/>
      </w:r>
      <w:r>
        <w:rPr>
          <w:rStyle w:val="95"/>
          <w:sz w:val="24"/>
          <w:szCs w:val="24"/>
        </w:rPr>
        <w:t>4.7 污染物汇总</w:t>
      </w:r>
      <w:r>
        <w:rPr>
          <w:sz w:val="24"/>
          <w:szCs w:val="24"/>
        </w:rPr>
        <w:tab/>
      </w:r>
      <w:r>
        <w:rPr>
          <w:sz w:val="24"/>
          <w:szCs w:val="24"/>
        </w:rPr>
        <w:fldChar w:fldCharType="begin"/>
      </w:r>
      <w:r>
        <w:rPr>
          <w:sz w:val="24"/>
          <w:szCs w:val="24"/>
        </w:rPr>
        <w:instrText xml:space="preserve"> PAGEREF _Toc61026602 \h </w:instrText>
      </w:r>
      <w:r>
        <w:rPr>
          <w:sz w:val="24"/>
          <w:szCs w:val="24"/>
        </w:rPr>
        <w:fldChar w:fldCharType="separate"/>
      </w:r>
      <w:r>
        <w:rPr>
          <w:sz w:val="24"/>
          <w:szCs w:val="24"/>
        </w:rPr>
        <w:t>62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"_Toc61026603" </w:instrText>
      </w:r>
      <w:r>
        <w:fldChar w:fldCharType="separate"/>
      </w:r>
      <w:r>
        <w:rPr>
          <w:rStyle w:val="95"/>
          <w:sz w:val="24"/>
          <w:szCs w:val="24"/>
        </w:rPr>
        <w:t>4.8 项目迁建前后污染物 “ 三本账 ”</w:t>
      </w:r>
      <w:r>
        <w:rPr>
          <w:sz w:val="24"/>
          <w:szCs w:val="24"/>
        </w:rPr>
        <w:tab/>
      </w:r>
      <w:r>
        <w:rPr>
          <w:sz w:val="24"/>
          <w:szCs w:val="24"/>
        </w:rPr>
        <w:fldChar w:fldCharType="begin"/>
      </w:r>
      <w:r>
        <w:rPr>
          <w:sz w:val="24"/>
          <w:szCs w:val="24"/>
        </w:rPr>
        <w:instrText xml:space="preserve"> PAGEREF _Toc61026603 \h </w:instrText>
      </w:r>
      <w:r>
        <w:rPr>
          <w:sz w:val="24"/>
          <w:szCs w:val="24"/>
        </w:rPr>
        <w:fldChar w:fldCharType="separate"/>
      </w:r>
      <w:r>
        <w:rPr>
          <w:sz w:val="24"/>
          <w:szCs w:val="24"/>
        </w:rPr>
        <w:t>63</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"_Toc61026604" </w:instrText>
      </w:r>
      <w:r>
        <w:fldChar w:fldCharType="separate"/>
      </w:r>
      <w:r>
        <w:rPr>
          <w:rStyle w:val="95"/>
          <w:sz w:val="24"/>
          <w:szCs w:val="24"/>
          <w:lang w:val="zh-CN"/>
        </w:rPr>
        <w:t>5 环境现状调查与评价</w:t>
      </w:r>
      <w:r>
        <w:rPr>
          <w:sz w:val="24"/>
          <w:szCs w:val="24"/>
        </w:rPr>
        <w:tab/>
      </w:r>
      <w:r>
        <w:rPr>
          <w:sz w:val="24"/>
          <w:szCs w:val="24"/>
        </w:rPr>
        <w:fldChar w:fldCharType="begin"/>
      </w:r>
      <w:r>
        <w:rPr>
          <w:sz w:val="24"/>
          <w:szCs w:val="24"/>
        </w:rPr>
        <w:instrText xml:space="preserve"> PAGEREF _Toc61026604 \h </w:instrText>
      </w:r>
      <w:r>
        <w:rPr>
          <w:sz w:val="24"/>
          <w:szCs w:val="24"/>
        </w:rPr>
        <w:fldChar w:fldCharType="separate"/>
      </w:r>
      <w:r>
        <w:rPr>
          <w:sz w:val="24"/>
          <w:szCs w:val="24"/>
        </w:rPr>
        <w:t>65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"_Toc61026605" </w:instrText>
      </w:r>
      <w:r>
        <w:fldChar w:fldCharType="separate"/>
      </w:r>
      <w:r>
        <w:rPr>
          <w:rStyle w:val="95"/>
          <w:sz w:val="24"/>
          <w:szCs w:val="24"/>
          <w:lang w:val="zh-CN"/>
        </w:rPr>
        <w:t>5.1 自然环境现状调查</w:t>
      </w:r>
      <w:r>
        <w:rPr>
          <w:sz w:val="24"/>
          <w:szCs w:val="24"/>
        </w:rPr>
        <w:tab/>
      </w:r>
      <w:r>
        <w:rPr>
          <w:sz w:val="24"/>
          <w:szCs w:val="24"/>
        </w:rPr>
        <w:fldChar w:fldCharType="begin"/>
      </w:r>
      <w:r>
        <w:rPr>
          <w:sz w:val="24"/>
          <w:szCs w:val="24"/>
        </w:rPr>
        <w:instrText xml:space="preserve"> PAGEREF _Toc61026605 \h </w:instrText>
      </w:r>
      <w:r>
        <w:rPr>
          <w:sz w:val="24"/>
          <w:szCs w:val="24"/>
        </w:rPr>
        <w:fldChar w:fldCharType="separate"/>
      </w:r>
      <w:r>
        <w:rPr>
          <w:sz w:val="24"/>
          <w:szCs w:val="24"/>
        </w:rPr>
        <w:t>65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"_Toc61026606" </w:instrText>
      </w:r>
      <w:r>
        <w:fldChar w:fldCharType="separate"/>
      </w:r>
      <w:r>
        <w:rPr>
          <w:rStyle w:val="95"/>
          <w:sz w:val="24"/>
          <w:szCs w:val="24"/>
          <w:lang w:val="zh-CN"/>
        </w:rPr>
        <w:t>5.2 地表水质量现状调查与评价</w:t>
      </w:r>
      <w:r>
        <w:rPr>
          <w:sz w:val="24"/>
          <w:szCs w:val="24"/>
        </w:rPr>
        <w:tab/>
      </w:r>
      <w:r>
        <w:rPr>
          <w:sz w:val="24"/>
          <w:szCs w:val="24"/>
        </w:rPr>
        <w:fldChar w:fldCharType="begin"/>
      </w:r>
      <w:r>
        <w:rPr>
          <w:sz w:val="24"/>
          <w:szCs w:val="24"/>
        </w:rPr>
        <w:instrText xml:space="preserve"> PAGEREF _Toc61026606 \h </w:instrText>
      </w:r>
      <w:r>
        <w:rPr>
          <w:sz w:val="24"/>
          <w:szCs w:val="24"/>
        </w:rPr>
        <w:fldChar w:fldCharType="separate"/>
      </w:r>
      <w:r>
        <w:rPr>
          <w:sz w:val="24"/>
          <w:szCs w:val="24"/>
        </w:rPr>
        <w:t>68</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"_Toc61026607" </w:instrText>
      </w:r>
      <w:r>
        <w:fldChar w:fldCharType="separate"/>
      </w:r>
      <w:r>
        <w:rPr>
          <w:rStyle w:val="95"/>
          <w:sz w:val="24"/>
          <w:szCs w:val="24"/>
        </w:rPr>
        <w:t>5.3 环境空气现状调查与评价</w:t>
      </w:r>
      <w:r>
        <w:rPr>
          <w:sz w:val="24"/>
          <w:szCs w:val="24"/>
        </w:rPr>
        <w:tab/>
      </w:r>
      <w:r>
        <w:rPr>
          <w:sz w:val="24"/>
          <w:szCs w:val="24"/>
        </w:rPr>
        <w:fldChar w:fldCharType="begin"/>
      </w:r>
      <w:r>
        <w:rPr>
          <w:sz w:val="24"/>
          <w:szCs w:val="24"/>
        </w:rPr>
        <w:instrText xml:space="preserve"> PAGEREF _Toc61026607 \h </w:instrText>
      </w:r>
      <w:r>
        <w:rPr>
          <w:sz w:val="24"/>
          <w:szCs w:val="24"/>
        </w:rPr>
        <w:fldChar w:fldCharType="separate"/>
      </w:r>
      <w:r>
        <w:rPr>
          <w:sz w:val="24"/>
          <w:szCs w:val="24"/>
        </w:rPr>
        <w:t>70</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"_Toc61026608" </w:instrText>
      </w:r>
      <w:r>
        <w:fldChar w:fldCharType="separate"/>
      </w:r>
      <w:r>
        <w:rPr>
          <w:rStyle w:val="95"/>
          <w:sz w:val="24"/>
          <w:szCs w:val="24"/>
          <w:lang w:val="zh-CN"/>
        </w:rPr>
        <w:t>5.4 声环境质量现状调查与评价</w:t>
      </w:r>
      <w:r>
        <w:rPr>
          <w:sz w:val="24"/>
          <w:szCs w:val="24"/>
        </w:rPr>
        <w:tab/>
      </w:r>
      <w:r>
        <w:rPr>
          <w:sz w:val="24"/>
          <w:szCs w:val="24"/>
        </w:rPr>
        <w:fldChar w:fldCharType="begin"/>
      </w:r>
      <w:r>
        <w:rPr>
          <w:sz w:val="24"/>
          <w:szCs w:val="24"/>
        </w:rPr>
        <w:instrText xml:space="preserve"> PAGEREF _Toc61026608 \h </w:instrText>
      </w:r>
      <w:r>
        <w:rPr>
          <w:sz w:val="24"/>
          <w:szCs w:val="24"/>
        </w:rPr>
        <w:fldChar w:fldCharType="separate"/>
      </w:r>
      <w:r>
        <w:rPr>
          <w:sz w:val="24"/>
          <w:szCs w:val="24"/>
        </w:rPr>
        <w:t>73</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"_Toc61026609" </w:instrText>
      </w:r>
      <w:r>
        <w:fldChar w:fldCharType="separate"/>
      </w:r>
      <w:r>
        <w:rPr>
          <w:rStyle w:val="95"/>
          <w:sz w:val="24"/>
          <w:szCs w:val="24"/>
          <w:lang w:val="zh-CN"/>
        </w:rPr>
        <w:t>6 环境影响预测与评价</w:t>
      </w:r>
      <w:r>
        <w:rPr>
          <w:sz w:val="24"/>
          <w:szCs w:val="24"/>
        </w:rPr>
        <w:tab/>
      </w:r>
      <w:r>
        <w:rPr>
          <w:sz w:val="24"/>
          <w:szCs w:val="24"/>
        </w:rPr>
        <w:fldChar w:fldCharType="begin"/>
      </w:r>
      <w:r>
        <w:rPr>
          <w:sz w:val="24"/>
          <w:szCs w:val="24"/>
        </w:rPr>
        <w:instrText xml:space="preserve"> PAGEREF _Toc61026609 \h </w:instrText>
      </w:r>
      <w:r>
        <w:rPr>
          <w:sz w:val="24"/>
          <w:szCs w:val="24"/>
        </w:rPr>
        <w:fldChar w:fldCharType="separate"/>
      </w:r>
      <w:r>
        <w:rPr>
          <w:sz w:val="24"/>
          <w:szCs w:val="24"/>
        </w:rPr>
        <w:t>74</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"_Toc61026610" </w:instrText>
      </w:r>
      <w:r>
        <w:fldChar w:fldCharType="separate"/>
      </w:r>
      <w:r>
        <w:rPr>
          <w:rStyle w:val="95"/>
          <w:sz w:val="24"/>
          <w:szCs w:val="24"/>
          <w:lang w:val="zh-CN"/>
        </w:rPr>
        <w:t>6.1 施工期环境影响分析与评价</w:t>
      </w:r>
      <w:r>
        <w:rPr>
          <w:sz w:val="24"/>
          <w:szCs w:val="24"/>
        </w:rPr>
        <w:tab/>
      </w:r>
      <w:r>
        <w:rPr>
          <w:sz w:val="24"/>
          <w:szCs w:val="24"/>
        </w:rPr>
        <w:fldChar w:fldCharType="begin"/>
      </w:r>
      <w:r>
        <w:rPr>
          <w:sz w:val="24"/>
          <w:szCs w:val="24"/>
        </w:rPr>
        <w:instrText xml:space="preserve"> PAGEREF _Toc61026610 \h </w:instrText>
      </w:r>
      <w:r>
        <w:rPr>
          <w:sz w:val="24"/>
          <w:szCs w:val="24"/>
        </w:rPr>
        <w:fldChar w:fldCharType="separate"/>
      </w:r>
      <w:r>
        <w:rPr>
          <w:sz w:val="24"/>
          <w:szCs w:val="24"/>
        </w:rPr>
        <w:t>74</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"_Toc61026611" </w:instrText>
      </w:r>
      <w:r>
        <w:fldChar w:fldCharType="separate"/>
      </w:r>
      <w:r>
        <w:rPr>
          <w:rStyle w:val="95"/>
          <w:sz w:val="24"/>
          <w:szCs w:val="24"/>
          <w:lang w:val="zh-CN"/>
        </w:rPr>
        <w:t>6.2 营运期大气环境影响预测与评价</w:t>
      </w:r>
      <w:r>
        <w:rPr>
          <w:sz w:val="24"/>
          <w:szCs w:val="24"/>
        </w:rPr>
        <w:tab/>
      </w:r>
      <w:r>
        <w:rPr>
          <w:sz w:val="24"/>
          <w:szCs w:val="24"/>
        </w:rPr>
        <w:fldChar w:fldCharType="begin"/>
      </w:r>
      <w:r>
        <w:rPr>
          <w:sz w:val="24"/>
          <w:szCs w:val="24"/>
        </w:rPr>
        <w:instrText xml:space="preserve"> PAGEREF _Toc61026611 \h </w:instrText>
      </w:r>
      <w:r>
        <w:rPr>
          <w:sz w:val="24"/>
          <w:szCs w:val="24"/>
        </w:rPr>
        <w:fldChar w:fldCharType="separate"/>
      </w:r>
      <w:r>
        <w:rPr>
          <w:sz w:val="24"/>
          <w:szCs w:val="24"/>
        </w:rPr>
        <w:t>79</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"_Toc61026612" </w:instrText>
      </w:r>
      <w:r>
        <w:fldChar w:fldCharType="separate"/>
      </w:r>
      <w:r>
        <w:rPr>
          <w:rStyle w:val="95"/>
          <w:sz w:val="24"/>
          <w:szCs w:val="24"/>
          <w:lang w:val="zh-CN"/>
        </w:rPr>
        <w:t>6.3 营运期地表水环境影响评价</w:t>
      </w:r>
      <w:r>
        <w:rPr>
          <w:sz w:val="24"/>
          <w:szCs w:val="24"/>
        </w:rPr>
        <w:tab/>
      </w:r>
      <w:r>
        <w:rPr>
          <w:sz w:val="24"/>
          <w:szCs w:val="24"/>
        </w:rPr>
        <w:fldChar w:fldCharType="begin"/>
      </w:r>
      <w:r>
        <w:rPr>
          <w:sz w:val="24"/>
          <w:szCs w:val="24"/>
        </w:rPr>
        <w:instrText xml:space="preserve"> PAGEREF _Toc61026612 \h </w:instrText>
      </w:r>
      <w:r>
        <w:rPr>
          <w:sz w:val="24"/>
          <w:szCs w:val="24"/>
        </w:rPr>
        <w:fldChar w:fldCharType="separate"/>
      </w:r>
      <w:r>
        <w:rPr>
          <w:sz w:val="24"/>
          <w:szCs w:val="24"/>
        </w:rPr>
        <w:t>87</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"_Toc61026613" </w:instrText>
      </w:r>
      <w:r>
        <w:fldChar w:fldCharType="separate"/>
      </w:r>
      <w:r>
        <w:rPr>
          <w:rStyle w:val="95"/>
          <w:sz w:val="24"/>
          <w:szCs w:val="24"/>
          <w:lang w:val="zh-CN"/>
        </w:rPr>
        <w:t>6.4 营运期地下水环境影响评价</w:t>
      </w:r>
      <w:r>
        <w:rPr>
          <w:sz w:val="24"/>
          <w:szCs w:val="24"/>
        </w:rPr>
        <w:tab/>
      </w:r>
      <w:r>
        <w:rPr>
          <w:sz w:val="24"/>
          <w:szCs w:val="24"/>
        </w:rPr>
        <w:fldChar w:fldCharType="begin"/>
      </w:r>
      <w:r>
        <w:rPr>
          <w:sz w:val="24"/>
          <w:szCs w:val="24"/>
        </w:rPr>
        <w:instrText xml:space="preserve"> PAGEREF _Toc61026613 \h </w:instrText>
      </w:r>
      <w:r>
        <w:rPr>
          <w:sz w:val="24"/>
          <w:szCs w:val="24"/>
        </w:rPr>
        <w:fldChar w:fldCharType="separate"/>
      </w:r>
      <w:r>
        <w:rPr>
          <w:sz w:val="24"/>
          <w:szCs w:val="24"/>
        </w:rPr>
        <w:t>94</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"_Toc61026614" </w:instrText>
      </w:r>
      <w:r>
        <w:fldChar w:fldCharType="separate"/>
      </w:r>
      <w:r>
        <w:rPr>
          <w:rStyle w:val="95"/>
          <w:sz w:val="24"/>
          <w:szCs w:val="24"/>
          <w:lang w:val="zh-CN"/>
        </w:rPr>
        <w:t>6.5 营运期固体废物环境影响评价</w:t>
      </w:r>
      <w:r>
        <w:rPr>
          <w:sz w:val="24"/>
          <w:szCs w:val="24"/>
        </w:rPr>
        <w:tab/>
      </w:r>
      <w:r>
        <w:rPr>
          <w:sz w:val="24"/>
          <w:szCs w:val="24"/>
        </w:rPr>
        <w:fldChar w:fldCharType="begin"/>
      </w:r>
      <w:r>
        <w:rPr>
          <w:sz w:val="24"/>
          <w:szCs w:val="24"/>
        </w:rPr>
        <w:instrText xml:space="preserve"> PAGEREF _Toc61026614 \h </w:instrText>
      </w:r>
      <w:r>
        <w:rPr>
          <w:sz w:val="24"/>
          <w:szCs w:val="24"/>
        </w:rPr>
        <w:fldChar w:fldCharType="separate"/>
      </w:r>
      <w:r>
        <w:rPr>
          <w:sz w:val="24"/>
          <w:szCs w:val="24"/>
        </w:rPr>
        <w:t>94</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"_Toc61026615" </w:instrText>
      </w:r>
      <w:r>
        <w:fldChar w:fldCharType="separate"/>
      </w:r>
      <w:r>
        <w:rPr>
          <w:rStyle w:val="95"/>
          <w:sz w:val="24"/>
          <w:szCs w:val="24"/>
          <w:lang w:val="zh-CN"/>
        </w:rPr>
        <w:t>6.6 营运期声环境影响评价</w:t>
      </w:r>
      <w:r>
        <w:rPr>
          <w:sz w:val="24"/>
          <w:szCs w:val="24"/>
        </w:rPr>
        <w:tab/>
      </w:r>
      <w:r>
        <w:rPr>
          <w:sz w:val="24"/>
          <w:szCs w:val="24"/>
        </w:rPr>
        <w:fldChar w:fldCharType="begin"/>
      </w:r>
      <w:r>
        <w:rPr>
          <w:sz w:val="24"/>
          <w:szCs w:val="24"/>
        </w:rPr>
        <w:instrText xml:space="preserve"> PAGEREF _Toc61026615 \h </w:instrText>
      </w:r>
      <w:r>
        <w:rPr>
          <w:sz w:val="24"/>
          <w:szCs w:val="24"/>
        </w:rPr>
        <w:fldChar w:fldCharType="separate"/>
      </w:r>
      <w:r>
        <w:rPr>
          <w:sz w:val="24"/>
          <w:szCs w:val="24"/>
        </w:rPr>
        <w:t>97</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"_Toc61026616" </w:instrText>
      </w:r>
      <w:r>
        <w:fldChar w:fldCharType="separate"/>
      </w:r>
      <w:r>
        <w:rPr>
          <w:rStyle w:val="95"/>
          <w:sz w:val="24"/>
          <w:szCs w:val="24"/>
          <w:lang w:val="zh-CN"/>
        </w:rPr>
        <w:t>7、环境风险评价</w:t>
      </w:r>
      <w:r>
        <w:rPr>
          <w:sz w:val="24"/>
          <w:szCs w:val="24"/>
        </w:rPr>
        <w:tab/>
      </w:r>
      <w:r>
        <w:rPr>
          <w:sz w:val="24"/>
          <w:szCs w:val="24"/>
        </w:rPr>
        <w:fldChar w:fldCharType="begin"/>
      </w:r>
      <w:r>
        <w:rPr>
          <w:sz w:val="24"/>
          <w:szCs w:val="24"/>
        </w:rPr>
        <w:instrText xml:space="preserve"> PAGEREF _Toc61026616 \h </w:instrText>
      </w:r>
      <w:r>
        <w:rPr>
          <w:sz w:val="24"/>
          <w:szCs w:val="24"/>
        </w:rPr>
        <w:fldChar w:fldCharType="separate"/>
      </w:r>
      <w:r>
        <w:rPr>
          <w:sz w:val="24"/>
          <w:szCs w:val="24"/>
        </w:rPr>
        <w:t>105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"_Toc61026617" </w:instrText>
      </w:r>
      <w:r>
        <w:fldChar w:fldCharType="separate"/>
      </w:r>
      <w:r>
        <w:rPr>
          <w:rStyle w:val="95"/>
          <w:sz w:val="24"/>
          <w:szCs w:val="24"/>
          <w:lang w:val="zh-CN"/>
        </w:rPr>
        <w:t>7.1 评价依据</w:t>
      </w:r>
      <w:r>
        <w:rPr>
          <w:sz w:val="24"/>
          <w:szCs w:val="24"/>
        </w:rPr>
        <w:tab/>
      </w:r>
      <w:r>
        <w:rPr>
          <w:sz w:val="24"/>
          <w:szCs w:val="24"/>
        </w:rPr>
        <w:fldChar w:fldCharType="begin"/>
      </w:r>
      <w:r>
        <w:rPr>
          <w:sz w:val="24"/>
          <w:szCs w:val="24"/>
        </w:rPr>
        <w:instrText xml:space="preserve"> PAGEREF _Toc61026617 \h </w:instrText>
      </w:r>
      <w:r>
        <w:rPr>
          <w:sz w:val="24"/>
          <w:szCs w:val="24"/>
        </w:rPr>
        <w:fldChar w:fldCharType="separate"/>
      </w:r>
      <w:r>
        <w:rPr>
          <w:sz w:val="24"/>
          <w:szCs w:val="24"/>
        </w:rPr>
        <w:t>105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"_Toc61026618" </w:instrText>
      </w:r>
      <w:r>
        <w:fldChar w:fldCharType="separate"/>
      </w:r>
      <w:r>
        <w:rPr>
          <w:rStyle w:val="95"/>
          <w:sz w:val="24"/>
          <w:szCs w:val="24"/>
          <w:lang w:val="zh-CN"/>
        </w:rPr>
        <w:t>7.2 最大可信事故</w:t>
      </w:r>
      <w:r>
        <w:rPr>
          <w:sz w:val="24"/>
          <w:szCs w:val="24"/>
        </w:rPr>
        <w:tab/>
      </w:r>
      <w:r>
        <w:rPr>
          <w:sz w:val="24"/>
          <w:szCs w:val="24"/>
        </w:rPr>
        <w:fldChar w:fldCharType="begin"/>
      </w:r>
      <w:r>
        <w:rPr>
          <w:sz w:val="24"/>
          <w:szCs w:val="24"/>
        </w:rPr>
        <w:instrText xml:space="preserve"> PAGEREF _Toc61026618 \h </w:instrText>
      </w:r>
      <w:r>
        <w:rPr>
          <w:sz w:val="24"/>
          <w:szCs w:val="24"/>
        </w:rPr>
        <w:fldChar w:fldCharType="separate"/>
      </w:r>
      <w:r>
        <w:rPr>
          <w:sz w:val="24"/>
          <w:szCs w:val="24"/>
        </w:rPr>
        <w:t>117</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"_Toc61026619" </w:instrText>
      </w:r>
      <w:r>
        <w:fldChar w:fldCharType="separate"/>
      </w:r>
      <w:r>
        <w:rPr>
          <w:rStyle w:val="95"/>
          <w:sz w:val="24"/>
          <w:szCs w:val="24"/>
          <w:lang w:val="zh-CN"/>
        </w:rPr>
        <w:t>7.3 环境风险影响分析</w:t>
      </w:r>
      <w:r>
        <w:rPr>
          <w:sz w:val="24"/>
          <w:szCs w:val="24"/>
        </w:rPr>
        <w:tab/>
      </w:r>
      <w:r>
        <w:rPr>
          <w:sz w:val="24"/>
          <w:szCs w:val="24"/>
        </w:rPr>
        <w:fldChar w:fldCharType="begin"/>
      </w:r>
      <w:r>
        <w:rPr>
          <w:sz w:val="24"/>
          <w:szCs w:val="24"/>
        </w:rPr>
        <w:instrText xml:space="preserve"> PAGEREF _Toc61026619 \h </w:instrText>
      </w:r>
      <w:r>
        <w:rPr>
          <w:sz w:val="24"/>
          <w:szCs w:val="24"/>
        </w:rPr>
        <w:fldChar w:fldCharType="separate"/>
      </w:r>
      <w:r>
        <w:rPr>
          <w:sz w:val="24"/>
          <w:szCs w:val="24"/>
        </w:rPr>
        <w:t>117</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"_Toc61026620" </w:instrText>
      </w:r>
      <w:r>
        <w:fldChar w:fldCharType="separate"/>
      </w:r>
      <w:r>
        <w:rPr>
          <w:rStyle w:val="95"/>
          <w:sz w:val="24"/>
          <w:szCs w:val="24"/>
          <w:lang w:val="zh-CN"/>
        </w:rPr>
        <w:t>7.4 环境风险管理措施</w:t>
      </w:r>
      <w:r>
        <w:rPr>
          <w:sz w:val="24"/>
          <w:szCs w:val="24"/>
        </w:rPr>
        <w:tab/>
      </w:r>
      <w:r>
        <w:rPr>
          <w:sz w:val="24"/>
          <w:szCs w:val="24"/>
        </w:rPr>
        <w:fldChar w:fldCharType="begin"/>
      </w:r>
      <w:r>
        <w:rPr>
          <w:sz w:val="24"/>
          <w:szCs w:val="24"/>
        </w:rPr>
        <w:instrText xml:space="preserve"> PAGEREF _Toc61026620 \h </w:instrText>
      </w:r>
      <w:r>
        <w:rPr>
          <w:sz w:val="24"/>
          <w:szCs w:val="24"/>
        </w:rPr>
        <w:fldChar w:fldCharType="separate"/>
      </w:r>
      <w:r>
        <w:rPr>
          <w:sz w:val="24"/>
          <w:szCs w:val="24"/>
        </w:rPr>
        <w:t>122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"_Toc61026621" </w:instrText>
      </w:r>
      <w:r>
        <w:fldChar w:fldCharType="separate"/>
      </w:r>
      <w:r>
        <w:rPr>
          <w:rStyle w:val="95"/>
          <w:sz w:val="24"/>
          <w:szCs w:val="24"/>
          <w:lang w:val="zh-CN"/>
        </w:rPr>
        <w:t>7.5 环境防范措施</w:t>
      </w:r>
      <w:r>
        <w:rPr>
          <w:sz w:val="24"/>
          <w:szCs w:val="24"/>
        </w:rPr>
        <w:tab/>
      </w:r>
      <w:r>
        <w:rPr>
          <w:sz w:val="24"/>
          <w:szCs w:val="24"/>
        </w:rPr>
        <w:fldChar w:fldCharType="begin"/>
      </w:r>
      <w:r>
        <w:rPr>
          <w:sz w:val="24"/>
          <w:szCs w:val="24"/>
        </w:rPr>
        <w:instrText xml:space="preserve"> PAGEREF _Toc61026621 \h </w:instrText>
      </w:r>
      <w:r>
        <w:rPr>
          <w:sz w:val="24"/>
          <w:szCs w:val="24"/>
        </w:rPr>
        <w:fldChar w:fldCharType="separate"/>
      </w:r>
      <w:r>
        <w:rPr>
          <w:sz w:val="24"/>
          <w:szCs w:val="24"/>
        </w:rPr>
        <w:t>127</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"_Toc61026622" </w:instrText>
      </w:r>
      <w:r>
        <w:fldChar w:fldCharType="separate"/>
      </w:r>
      <w:r>
        <w:rPr>
          <w:rStyle w:val="95"/>
          <w:sz w:val="24"/>
          <w:szCs w:val="24"/>
          <w:lang w:val="zh-CN"/>
        </w:rPr>
        <w:t>7.6 分析结论</w:t>
      </w:r>
      <w:r>
        <w:rPr>
          <w:sz w:val="24"/>
          <w:szCs w:val="24"/>
        </w:rPr>
        <w:tab/>
      </w:r>
      <w:r>
        <w:rPr>
          <w:sz w:val="24"/>
          <w:szCs w:val="24"/>
        </w:rPr>
        <w:fldChar w:fldCharType="begin"/>
      </w:r>
      <w:r>
        <w:rPr>
          <w:sz w:val="24"/>
          <w:szCs w:val="24"/>
        </w:rPr>
        <w:instrText xml:space="preserve"> PAGEREF _Toc61026622 \h </w:instrText>
      </w:r>
      <w:r>
        <w:rPr>
          <w:sz w:val="24"/>
          <w:szCs w:val="24"/>
        </w:rPr>
        <w:fldChar w:fldCharType="separate"/>
      </w:r>
      <w:r>
        <w:rPr>
          <w:sz w:val="24"/>
          <w:szCs w:val="24"/>
        </w:rPr>
        <w:t>130</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"_Toc61026623" </w:instrText>
      </w:r>
      <w:r>
        <w:fldChar w:fldCharType="separate"/>
      </w:r>
      <w:r>
        <w:rPr>
          <w:rStyle w:val="95"/>
          <w:sz w:val="24"/>
          <w:szCs w:val="24"/>
          <w:lang w:val="zh-CN"/>
        </w:rPr>
        <w:t>8 环境保护措施及其可行性论证</w:t>
      </w:r>
      <w:r>
        <w:rPr>
          <w:sz w:val="24"/>
          <w:szCs w:val="24"/>
        </w:rPr>
        <w:tab/>
      </w:r>
      <w:r>
        <w:rPr>
          <w:sz w:val="24"/>
          <w:szCs w:val="24"/>
        </w:rPr>
        <w:fldChar w:fldCharType="begin"/>
      </w:r>
      <w:r>
        <w:rPr>
          <w:sz w:val="24"/>
          <w:szCs w:val="24"/>
        </w:rPr>
        <w:instrText xml:space="preserve"> PAGEREF _Toc61026623 \h </w:instrText>
      </w:r>
      <w:r>
        <w:rPr>
          <w:sz w:val="24"/>
          <w:szCs w:val="24"/>
        </w:rPr>
        <w:fldChar w:fldCharType="separate"/>
      </w:r>
      <w:r>
        <w:rPr>
          <w:sz w:val="24"/>
          <w:szCs w:val="24"/>
        </w:rPr>
        <w:t>131</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"_Toc61026624" </w:instrText>
      </w:r>
      <w:r>
        <w:fldChar w:fldCharType="separate"/>
      </w:r>
      <w:r>
        <w:rPr>
          <w:rStyle w:val="95"/>
          <w:kern w:val="0"/>
          <w:sz w:val="24"/>
          <w:szCs w:val="24"/>
        </w:rPr>
        <w:t>8.1 施工期环境保护措施及其可行性分析</w:t>
      </w:r>
      <w:r>
        <w:rPr>
          <w:sz w:val="24"/>
          <w:szCs w:val="24"/>
        </w:rPr>
        <w:tab/>
      </w:r>
      <w:r>
        <w:rPr>
          <w:sz w:val="24"/>
          <w:szCs w:val="24"/>
        </w:rPr>
        <w:fldChar w:fldCharType="begin"/>
      </w:r>
      <w:r>
        <w:rPr>
          <w:sz w:val="24"/>
          <w:szCs w:val="24"/>
        </w:rPr>
        <w:instrText xml:space="preserve"> PAGEREF _Toc61026624 \h </w:instrText>
      </w:r>
      <w:r>
        <w:rPr>
          <w:sz w:val="24"/>
          <w:szCs w:val="24"/>
        </w:rPr>
        <w:fldChar w:fldCharType="separate"/>
      </w:r>
      <w:r>
        <w:rPr>
          <w:sz w:val="24"/>
          <w:szCs w:val="24"/>
        </w:rPr>
        <w:t>131</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"_Toc61026625" </w:instrText>
      </w:r>
      <w:r>
        <w:fldChar w:fldCharType="separate"/>
      </w:r>
      <w:r>
        <w:rPr>
          <w:rStyle w:val="95"/>
          <w:kern w:val="0"/>
          <w:sz w:val="24"/>
          <w:szCs w:val="24"/>
        </w:rPr>
        <w:t>8.2 营运期废水治理措施</w:t>
      </w:r>
      <w:r>
        <w:rPr>
          <w:sz w:val="24"/>
          <w:szCs w:val="24"/>
        </w:rPr>
        <w:tab/>
      </w:r>
      <w:r>
        <w:rPr>
          <w:sz w:val="24"/>
          <w:szCs w:val="24"/>
        </w:rPr>
        <w:fldChar w:fldCharType="begin"/>
      </w:r>
      <w:r>
        <w:rPr>
          <w:sz w:val="24"/>
          <w:szCs w:val="24"/>
        </w:rPr>
        <w:instrText xml:space="preserve"> PAGEREF _Toc61026625 \h </w:instrText>
      </w:r>
      <w:r>
        <w:rPr>
          <w:sz w:val="24"/>
          <w:szCs w:val="24"/>
        </w:rPr>
        <w:fldChar w:fldCharType="separate"/>
      </w:r>
      <w:r>
        <w:rPr>
          <w:sz w:val="24"/>
          <w:szCs w:val="24"/>
        </w:rPr>
        <w:t>135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"_Toc61026626" </w:instrText>
      </w:r>
      <w:r>
        <w:fldChar w:fldCharType="separate"/>
      </w:r>
      <w:r>
        <w:rPr>
          <w:rStyle w:val="95"/>
          <w:kern w:val="0"/>
          <w:sz w:val="24"/>
          <w:szCs w:val="24"/>
        </w:rPr>
        <w:t>8.3 营运期废气治理措施</w:t>
      </w:r>
      <w:r>
        <w:rPr>
          <w:sz w:val="24"/>
          <w:szCs w:val="24"/>
        </w:rPr>
        <w:tab/>
      </w:r>
      <w:r>
        <w:rPr>
          <w:sz w:val="24"/>
          <w:szCs w:val="24"/>
        </w:rPr>
        <w:fldChar w:fldCharType="begin"/>
      </w:r>
      <w:r>
        <w:rPr>
          <w:sz w:val="24"/>
          <w:szCs w:val="24"/>
        </w:rPr>
        <w:instrText xml:space="preserve"> PAGEREF _Toc61026626 \h </w:instrText>
      </w:r>
      <w:r>
        <w:rPr>
          <w:sz w:val="24"/>
          <w:szCs w:val="24"/>
        </w:rPr>
        <w:fldChar w:fldCharType="separate"/>
      </w:r>
      <w:r>
        <w:rPr>
          <w:sz w:val="24"/>
          <w:szCs w:val="24"/>
        </w:rPr>
        <w:t>142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"_Toc61026627" </w:instrText>
      </w:r>
      <w:r>
        <w:fldChar w:fldCharType="separate"/>
      </w:r>
      <w:r>
        <w:rPr>
          <w:rStyle w:val="95"/>
          <w:kern w:val="0"/>
          <w:sz w:val="24"/>
          <w:szCs w:val="24"/>
        </w:rPr>
        <w:t>8.4 运营期噪声污染防治措施</w:t>
      </w:r>
      <w:r>
        <w:rPr>
          <w:sz w:val="24"/>
          <w:szCs w:val="24"/>
        </w:rPr>
        <w:tab/>
      </w:r>
      <w:r>
        <w:rPr>
          <w:sz w:val="24"/>
          <w:szCs w:val="24"/>
        </w:rPr>
        <w:fldChar w:fldCharType="begin"/>
      </w:r>
      <w:r>
        <w:rPr>
          <w:sz w:val="24"/>
          <w:szCs w:val="24"/>
        </w:rPr>
        <w:instrText xml:space="preserve"> PAGEREF _Toc61026627 \h </w:instrText>
      </w:r>
      <w:r>
        <w:rPr>
          <w:sz w:val="24"/>
          <w:szCs w:val="24"/>
        </w:rPr>
        <w:fldChar w:fldCharType="separate"/>
      </w:r>
      <w:r>
        <w:rPr>
          <w:sz w:val="24"/>
          <w:szCs w:val="24"/>
        </w:rPr>
        <w:t>146</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"_Toc61026628" </w:instrText>
      </w:r>
      <w:r>
        <w:fldChar w:fldCharType="separate"/>
      </w:r>
      <w:r>
        <w:rPr>
          <w:rStyle w:val="95"/>
          <w:kern w:val="0"/>
          <w:sz w:val="24"/>
          <w:szCs w:val="24"/>
        </w:rPr>
        <w:t>8.5 营运期固体废物处置措施</w:t>
      </w:r>
      <w:r>
        <w:rPr>
          <w:sz w:val="24"/>
          <w:szCs w:val="24"/>
        </w:rPr>
        <w:tab/>
      </w:r>
      <w:r>
        <w:rPr>
          <w:sz w:val="24"/>
          <w:szCs w:val="24"/>
        </w:rPr>
        <w:fldChar w:fldCharType="begin"/>
      </w:r>
      <w:r>
        <w:rPr>
          <w:sz w:val="24"/>
          <w:szCs w:val="24"/>
        </w:rPr>
        <w:instrText xml:space="preserve"> PAGEREF _Toc61026628 \h </w:instrText>
      </w:r>
      <w:r>
        <w:rPr>
          <w:sz w:val="24"/>
          <w:szCs w:val="24"/>
        </w:rPr>
        <w:fldChar w:fldCharType="separate"/>
      </w:r>
      <w:r>
        <w:rPr>
          <w:sz w:val="24"/>
          <w:szCs w:val="24"/>
        </w:rPr>
        <w:t>146</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"_Toc61026629" </w:instrText>
      </w:r>
      <w:r>
        <w:fldChar w:fldCharType="separate"/>
      </w:r>
      <w:r>
        <w:rPr>
          <w:rStyle w:val="95"/>
          <w:kern w:val="0"/>
          <w:sz w:val="24"/>
          <w:szCs w:val="24"/>
        </w:rPr>
        <w:t>8.6 生态防护措施</w:t>
      </w:r>
      <w:r>
        <w:rPr>
          <w:sz w:val="24"/>
          <w:szCs w:val="24"/>
        </w:rPr>
        <w:tab/>
      </w:r>
      <w:r>
        <w:rPr>
          <w:sz w:val="24"/>
          <w:szCs w:val="24"/>
        </w:rPr>
        <w:fldChar w:fldCharType="begin"/>
      </w:r>
      <w:r>
        <w:rPr>
          <w:sz w:val="24"/>
          <w:szCs w:val="24"/>
        </w:rPr>
        <w:instrText xml:space="preserve"> PAGEREF _Toc61026629 \h </w:instrText>
      </w:r>
      <w:r>
        <w:rPr>
          <w:sz w:val="24"/>
          <w:szCs w:val="24"/>
        </w:rPr>
        <w:fldChar w:fldCharType="separate"/>
      </w:r>
      <w:r>
        <w:rPr>
          <w:sz w:val="24"/>
          <w:szCs w:val="24"/>
        </w:rPr>
        <w:t>150</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"_Toc61026630" </w:instrText>
      </w:r>
      <w:r>
        <w:fldChar w:fldCharType="separate"/>
      </w:r>
      <w:r>
        <w:rPr>
          <w:rStyle w:val="95"/>
          <w:kern w:val="0"/>
          <w:sz w:val="24"/>
          <w:szCs w:val="24"/>
        </w:rPr>
        <w:t>8.7 本章小结</w:t>
      </w:r>
      <w:r>
        <w:rPr>
          <w:sz w:val="24"/>
          <w:szCs w:val="24"/>
        </w:rPr>
        <w:tab/>
      </w:r>
      <w:r>
        <w:rPr>
          <w:sz w:val="24"/>
          <w:szCs w:val="24"/>
        </w:rPr>
        <w:fldChar w:fldCharType="begin"/>
      </w:r>
      <w:r>
        <w:rPr>
          <w:sz w:val="24"/>
          <w:szCs w:val="24"/>
        </w:rPr>
        <w:instrText xml:space="preserve"> PAGEREF _Toc61026630 \h </w:instrText>
      </w:r>
      <w:r>
        <w:rPr>
          <w:sz w:val="24"/>
          <w:szCs w:val="24"/>
        </w:rPr>
        <w:fldChar w:fldCharType="separate"/>
      </w:r>
      <w:r>
        <w:rPr>
          <w:sz w:val="24"/>
          <w:szCs w:val="24"/>
        </w:rPr>
        <w:t>151</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"_Toc61026631" </w:instrText>
      </w:r>
      <w:r>
        <w:fldChar w:fldCharType="separate"/>
      </w:r>
      <w:r>
        <w:rPr>
          <w:rStyle w:val="95"/>
          <w:sz w:val="24"/>
          <w:szCs w:val="24"/>
          <w:lang w:val="zh-CN"/>
        </w:rPr>
        <w:t>9 环境影响经济损益分析</w:t>
      </w:r>
      <w:r>
        <w:rPr>
          <w:sz w:val="24"/>
          <w:szCs w:val="24"/>
        </w:rPr>
        <w:tab/>
      </w:r>
      <w:r>
        <w:rPr>
          <w:sz w:val="24"/>
          <w:szCs w:val="24"/>
        </w:rPr>
        <w:fldChar w:fldCharType="begin"/>
      </w:r>
      <w:r>
        <w:rPr>
          <w:sz w:val="24"/>
          <w:szCs w:val="24"/>
        </w:rPr>
        <w:instrText xml:space="preserve"> PAGEREF _Toc61026631 \h </w:instrText>
      </w:r>
      <w:r>
        <w:rPr>
          <w:sz w:val="24"/>
          <w:szCs w:val="24"/>
        </w:rPr>
        <w:fldChar w:fldCharType="separate"/>
      </w:r>
      <w:r>
        <w:rPr>
          <w:sz w:val="24"/>
          <w:szCs w:val="24"/>
        </w:rPr>
        <w:t>152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"_Toc61026632" </w:instrText>
      </w:r>
      <w:r>
        <w:fldChar w:fldCharType="separate"/>
      </w:r>
      <w:r>
        <w:rPr>
          <w:rStyle w:val="95"/>
          <w:kern w:val="0"/>
          <w:sz w:val="24"/>
          <w:szCs w:val="24"/>
        </w:rPr>
        <w:t>9.1 环境保护投资估算</w:t>
      </w:r>
      <w:r>
        <w:rPr>
          <w:sz w:val="24"/>
          <w:szCs w:val="24"/>
        </w:rPr>
        <w:tab/>
      </w:r>
      <w:r>
        <w:rPr>
          <w:sz w:val="24"/>
          <w:szCs w:val="24"/>
        </w:rPr>
        <w:fldChar w:fldCharType="begin"/>
      </w:r>
      <w:r>
        <w:rPr>
          <w:sz w:val="24"/>
          <w:szCs w:val="24"/>
        </w:rPr>
        <w:instrText xml:space="preserve"> PAGEREF _Toc61026632 \h </w:instrText>
      </w:r>
      <w:r>
        <w:rPr>
          <w:sz w:val="24"/>
          <w:szCs w:val="24"/>
        </w:rPr>
        <w:fldChar w:fldCharType="separate"/>
      </w:r>
      <w:r>
        <w:rPr>
          <w:sz w:val="24"/>
          <w:szCs w:val="24"/>
        </w:rPr>
        <w:t>152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"_Toc61026633" </w:instrText>
      </w:r>
      <w:r>
        <w:fldChar w:fldCharType="separate"/>
      </w:r>
      <w:r>
        <w:rPr>
          <w:rStyle w:val="95"/>
          <w:kern w:val="0"/>
          <w:sz w:val="24"/>
          <w:szCs w:val="24"/>
        </w:rPr>
        <w:t>9.2 环境影响损益分析</w:t>
      </w:r>
      <w:r>
        <w:rPr>
          <w:sz w:val="24"/>
          <w:szCs w:val="24"/>
        </w:rPr>
        <w:tab/>
      </w:r>
      <w:r>
        <w:rPr>
          <w:sz w:val="24"/>
          <w:szCs w:val="24"/>
        </w:rPr>
        <w:fldChar w:fldCharType="begin"/>
      </w:r>
      <w:r>
        <w:rPr>
          <w:sz w:val="24"/>
          <w:szCs w:val="24"/>
        </w:rPr>
        <w:instrText xml:space="preserve"> PAGEREF _Toc61026633 \h </w:instrText>
      </w:r>
      <w:r>
        <w:rPr>
          <w:sz w:val="24"/>
          <w:szCs w:val="24"/>
        </w:rPr>
        <w:fldChar w:fldCharType="separate"/>
      </w:r>
      <w:r>
        <w:rPr>
          <w:sz w:val="24"/>
          <w:szCs w:val="24"/>
        </w:rPr>
        <w:t>153</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"_Toc61026634" </w:instrText>
      </w:r>
      <w:r>
        <w:fldChar w:fldCharType="separate"/>
      </w:r>
      <w:r>
        <w:rPr>
          <w:rStyle w:val="95"/>
          <w:kern w:val="0"/>
          <w:sz w:val="24"/>
          <w:szCs w:val="24"/>
        </w:rPr>
        <w:t>9.3 社会效益分析</w:t>
      </w:r>
      <w:r>
        <w:rPr>
          <w:sz w:val="24"/>
          <w:szCs w:val="24"/>
        </w:rPr>
        <w:tab/>
      </w:r>
      <w:r>
        <w:rPr>
          <w:sz w:val="24"/>
          <w:szCs w:val="24"/>
        </w:rPr>
        <w:fldChar w:fldCharType="begin"/>
      </w:r>
      <w:r>
        <w:rPr>
          <w:sz w:val="24"/>
          <w:szCs w:val="24"/>
        </w:rPr>
        <w:instrText xml:space="preserve"> PAGEREF _Toc61026634 \h </w:instrText>
      </w:r>
      <w:r>
        <w:rPr>
          <w:sz w:val="24"/>
          <w:szCs w:val="24"/>
        </w:rPr>
        <w:fldChar w:fldCharType="separate"/>
      </w:r>
      <w:r>
        <w:rPr>
          <w:sz w:val="24"/>
          <w:szCs w:val="24"/>
        </w:rPr>
        <w:t>154</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"_Toc61026635" </w:instrText>
      </w:r>
      <w:r>
        <w:fldChar w:fldCharType="separate"/>
      </w:r>
      <w:r>
        <w:rPr>
          <w:rStyle w:val="95"/>
          <w:sz w:val="24"/>
          <w:szCs w:val="24"/>
          <w:lang w:val="zh-CN"/>
        </w:rPr>
        <w:t>10 环境管理与监测计划</w:t>
      </w:r>
      <w:r>
        <w:rPr>
          <w:sz w:val="24"/>
          <w:szCs w:val="24"/>
        </w:rPr>
        <w:tab/>
      </w:r>
      <w:r>
        <w:rPr>
          <w:sz w:val="24"/>
          <w:szCs w:val="24"/>
        </w:rPr>
        <w:fldChar w:fldCharType="begin"/>
      </w:r>
      <w:r>
        <w:rPr>
          <w:sz w:val="24"/>
          <w:szCs w:val="24"/>
        </w:rPr>
        <w:instrText xml:space="preserve"> PAGEREF _Toc61026635 \h </w:instrText>
      </w:r>
      <w:r>
        <w:rPr>
          <w:sz w:val="24"/>
          <w:szCs w:val="24"/>
        </w:rPr>
        <w:fldChar w:fldCharType="separate"/>
      </w:r>
      <w:r>
        <w:rPr>
          <w:sz w:val="24"/>
          <w:szCs w:val="24"/>
        </w:rPr>
        <w:t>155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"_Toc61026636" </w:instrText>
      </w:r>
      <w:r>
        <w:fldChar w:fldCharType="separate"/>
      </w:r>
      <w:r>
        <w:rPr>
          <w:rStyle w:val="95"/>
          <w:sz w:val="24"/>
          <w:szCs w:val="24"/>
          <w:lang w:val="zh-CN"/>
        </w:rPr>
        <w:t>10.1 环境管理</w:t>
      </w:r>
      <w:r>
        <w:rPr>
          <w:sz w:val="24"/>
          <w:szCs w:val="24"/>
        </w:rPr>
        <w:tab/>
      </w:r>
      <w:r>
        <w:rPr>
          <w:sz w:val="24"/>
          <w:szCs w:val="24"/>
        </w:rPr>
        <w:fldChar w:fldCharType="begin"/>
      </w:r>
      <w:r>
        <w:rPr>
          <w:sz w:val="24"/>
          <w:szCs w:val="24"/>
        </w:rPr>
        <w:instrText xml:space="preserve"> PAGEREF _Toc61026636 \h </w:instrText>
      </w:r>
      <w:r>
        <w:rPr>
          <w:sz w:val="24"/>
          <w:szCs w:val="24"/>
        </w:rPr>
        <w:fldChar w:fldCharType="separate"/>
      </w:r>
      <w:r>
        <w:rPr>
          <w:sz w:val="24"/>
          <w:szCs w:val="24"/>
        </w:rPr>
        <w:t>155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"_Toc61026637" </w:instrText>
      </w:r>
      <w:r>
        <w:fldChar w:fldCharType="separate"/>
      </w:r>
      <w:r>
        <w:rPr>
          <w:rStyle w:val="95"/>
          <w:sz w:val="24"/>
          <w:szCs w:val="24"/>
          <w:lang w:val="zh-CN"/>
        </w:rPr>
        <w:t>10.2 竣工环保验收</w:t>
      </w:r>
      <w:r>
        <w:rPr>
          <w:sz w:val="24"/>
          <w:szCs w:val="24"/>
        </w:rPr>
        <w:tab/>
      </w:r>
      <w:r>
        <w:rPr>
          <w:sz w:val="24"/>
          <w:szCs w:val="24"/>
        </w:rPr>
        <w:fldChar w:fldCharType="begin"/>
      </w:r>
      <w:r>
        <w:rPr>
          <w:sz w:val="24"/>
          <w:szCs w:val="24"/>
        </w:rPr>
        <w:instrText xml:space="preserve"> PAGEREF _Toc61026637 \h </w:instrText>
      </w:r>
      <w:r>
        <w:rPr>
          <w:sz w:val="24"/>
          <w:szCs w:val="24"/>
        </w:rPr>
        <w:fldChar w:fldCharType="separate"/>
      </w:r>
      <w:r>
        <w:rPr>
          <w:sz w:val="24"/>
          <w:szCs w:val="24"/>
        </w:rPr>
        <w:t>157</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"_Toc61026638" </w:instrText>
      </w:r>
      <w:r>
        <w:fldChar w:fldCharType="separate"/>
      </w:r>
      <w:r>
        <w:rPr>
          <w:rStyle w:val="95"/>
          <w:sz w:val="24"/>
          <w:szCs w:val="24"/>
          <w:lang w:val="zh-CN"/>
        </w:rPr>
        <w:t>10.3 排污许可证制度</w:t>
      </w:r>
      <w:r>
        <w:rPr>
          <w:sz w:val="24"/>
          <w:szCs w:val="24"/>
        </w:rPr>
        <w:tab/>
      </w:r>
      <w:r>
        <w:rPr>
          <w:sz w:val="24"/>
          <w:szCs w:val="24"/>
        </w:rPr>
        <w:fldChar w:fldCharType="begin"/>
      </w:r>
      <w:r>
        <w:rPr>
          <w:sz w:val="24"/>
          <w:szCs w:val="24"/>
        </w:rPr>
        <w:instrText xml:space="preserve"> PAGEREF _Toc61026638 \h </w:instrText>
      </w:r>
      <w:r>
        <w:rPr>
          <w:sz w:val="24"/>
          <w:szCs w:val="24"/>
        </w:rPr>
        <w:fldChar w:fldCharType="separate"/>
      </w:r>
      <w:r>
        <w:rPr>
          <w:sz w:val="24"/>
          <w:szCs w:val="24"/>
        </w:rPr>
        <w:t>159</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"_Toc61026639" </w:instrText>
      </w:r>
      <w:r>
        <w:fldChar w:fldCharType="separate"/>
      </w:r>
      <w:r>
        <w:rPr>
          <w:rStyle w:val="95"/>
          <w:kern w:val="0"/>
          <w:sz w:val="24"/>
          <w:szCs w:val="24"/>
        </w:rPr>
        <w:t>10.4 排污口规范化</w:t>
      </w:r>
      <w:r>
        <w:rPr>
          <w:sz w:val="24"/>
          <w:szCs w:val="24"/>
        </w:rPr>
        <w:tab/>
      </w:r>
      <w:r>
        <w:rPr>
          <w:sz w:val="24"/>
          <w:szCs w:val="24"/>
        </w:rPr>
        <w:fldChar w:fldCharType="begin"/>
      </w:r>
      <w:r>
        <w:rPr>
          <w:sz w:val="24"/>
          <w:szCs w:val="24"/>
        </w:rPr>
        <w:instrText xml:space="preserve"> PAGEREF _Toc61026639 \h </w:instrText>
      </w:r>
      <w:r>
        <w:rPr>
          <w:sz w:val="24"/>
          <w:szCs w:val="24"/>
        </w:rPr>
        <w:fldChar w:fldCharType="separate"/>
      </w:r>
      <w:r>
        <w:rPr>
          <w:sz w:val="24"/>
          <w:szCs w:val="24"/>
        </w:rPr>
        <w:t>160</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"_Toc61026640" </w:instrText>
      </w:r>
      <w:r>
        <w:fldChar w:fldCharType="separate"/>
      </w:r>
      <w:r>
        <w:rPr>
          <w:rStyle w:val="95"/>
          <w:kern w:val="0"/>
          <w:sz w:val="24"/>
          <w:szCs w:val="24"/>
        </w:rPr>
        <w:t>10.5 环境监测计划</w:t>
      </w:r>
      <w:r>
        <w:rPr>
          <w:sz w:val="24"/>
          <w:szCs w:val="24"/>
        </w:rPr>
        <w:tab/>
      </w:r>
      <w:r>
        <w:rPr>
          <w:sz w:val="24"/>
          <w:szCs w:val="24"/>
        </w:rPr>
        <w:fldChar w:fldCharType="begin"/>
      </w:r>
      <w:r>
        <w:rPr>
          <w:sz w:val="24"/>
          <w:szCs w:val="24"/>
        </w:rPr>
        <w:instrText xml:space="preserve"> PAGEREF _Toc61026640 \h </w:instrText>
      </w:r>
      <w:r>
        <w:rPr>
          <w:sz w:val="24"/>
          <w:szCs w:val="24"/>
        </w:rPr>
        <w:fldChar w:fldCharType="separate"/>
      </w:r>
      <w:r>
        <w:rPr>
          <w:sz w:val="24"/>
          <w:szCs w:val="24"/>
        </w:rPr>
        <w:t>162</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"_Toc61026641" </w:instrText>
      </w:r>
      <w:r>
        <w:fldChar w:fldCharType="separate"/>
      </w:r>
      <w:r>
        <w:rPr>
          <w:rStyle w:val="95"/>
          <w:kern w:val="0"/>
          <w:sz w:val="24"/>
          <w:szCs w:val="24"/>
        </w:rPr>
        <w:t>10.6 总量控制指标建议</w:t>
      </w:r>
      <w:r>
        <w:rPr>
          <w:sz w:val="24"/>
          <w:szCs w:val="24"/>
        </w:rPr>
        <w:tab/>
      </w:r>
      <w:r>
        <w:rPr>
          <w:sz w:val="24"/>
          <w:szCs w:val="24"/>
        </w:rPr>
        <w:fldChar w:fldCharType="begin"/>
      </w:r>
      <w:r>
        <w:rPr>
          <w:sz w:val="24"/>
          <w:szCs w:val="24"/>
        </w:rPr>
        <w:instrText xml:space="preserve"> PAGEREF _Toc61026641 \h </w:instrText>
      </w:r>
      <w:r>
        <w:rPr>
          <w:sz w:val="24"/>
          <w:szCs w:val="24"/>
        </w:rPr>
        <w:fldChar w:fldCharType="separate"/>
      </w:r>
      <w:r>
        <w:rPr>
          <w:sz w:val="24"/>
          <w:szCs w:val="24"/>
        </w:rPr>
        <w:t>163</w:t>
      </w:r>
      <w:r>
        <w:rPr>
          <w:sz w:val="24"/>
          <w:szCs w:val="24"/>
        </w:rPr>
        <w:fldChar w:fldCharType="end"/>
      </w:r>
      <w:r>
        <w:rPr>
          <w:sz w:val="24"/>
          <w:szCs w:val="24"/>
        </w:rPr>
        <w:fldChar w:fldCharType="end"/>
      </w:r>
    </w:p>
    <w:p>
      <w:pPr>
        <w:pStyle w:val="54"/>
        <w:snapToGrid w:val="0"/>
        <w:spacing w:line="293" w:lineRule="auto"/>
        <w:rPr>
          <w:rFonts w:asciiTheme="minorHAnsi" w:hAnsiTheme="minorHAnsi" w:eastAsiaTheme="minorEastAsia" w:cstheme="minorBidi"/>
          <w:b w:val="0"/>
          <w:bCs w:val="0"/>
          <w:caps w:val="0"/>
          <w:sz w:val="24"/>
          <w:szCs w:val="24"/>
        </w:rPr>
      </w:pPr>
      <w:r>
        <w:fldChar w:fldCharType="begin"/>
      </w:r>
      <w:r>
        <w:instrText xml:space="preserve"> HYPERLINK \l "_Toc61026642" </w:instrText>
      </w:r>
      <w:r>
        <w:fldChar w:fldCharType="separate"/>
      </w:r>
      <w:r>
        <w:rPr>
          <w:rStyle w:val="95"/>
          <w:sz w:val="24"/>
          <w:szCs w:val="24"/>
          <w:lang w:val="zh-CN"/>
        </w:rPr>
        <w:t>11 环境影响评价结论</w:t>
      </w:r>
      <w:r>
        <w:rPr>
          <w:sz w:val="24"/>
          <w:szCs w:val="24"/>
        </w:rPr>
        <w:tab/>
      </w:r>
      <w:r>
        <w:rPr>
          <w:sz w:val="24"/>
          <w:szCs w:val="24"/>
        </w:rPr>
        <w:fldChar w:fldCharType="begin"/>
      </w:r>
      <w:r>
        <w:rPr>
          <w:sz w:val="24"/>
          <w:szCs w:val="24"/>
        </w:rPr>
        <w:instrText xml:space="preserve"> PAGEREF _Toc61026642 \h </w:instrText>
      </w:r>
      <w:r>
        <w:rPr>
          <w:sz w:val="24"/>
          <w:szCs w:val="24"/>
        </w:rPr>
        <w:fldChar w:fldCharType="separate"/>
      </w:r>
      <w:r>
        <w:rPr>
          <w:sz w:val="24"/>
          <w:szCs w:val="24"/>
        </w:rPr>
        <w:t>165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"_Toc61026643" </w:instrText>
      </w:r>
      <w:r>
        <w:fldChar w:fldCharType="separate"/>
      </w:r>
      <w:r>
        <w:rPr>
          <w:rStyle w:val="95"/>
          <w:kern w:val="0"/>
          <w:sz w:val="24"/>
          <w:szCs w:val="24"/>
        </w:rPr>
        <w:t>11.1 项目概况</w:t>
      </w:r>
      <w:r>
        <w:rPr>
          <w:sz w:val="24"/>
          <w:szCs w:val="24"/>
        </w:rPr>
        <w:tab/>
      </w:r>
      <w:r>
        <w:rPr>
          <w:sz w:val="24"/>
          <w:szCs w:val="24"/>
        </w:rPr>
        <w:fldChar w:fldCharType="begin"/>
      </w:r>
      <w:r>
        <w:rPr>
          <w:sz w:val="24"/>
          <w:szCs w:val="24"/>
        </w:rPr>
        <w:instrText xml:space="preserve"> PAGEREF _Toc61026643 \h </w:instrText>
      </w:r>
      <w:r>
        <w:rPr>
          <w:sz w:val="24"/>
          <w:szCs w:val="24"/>
        </w:rPr>
        <w:fldChar w:fldCharType="separate"/>
      </w:r>
      <w:r>
        <w:rPr>
          <w:sz w:val="24"/>
          <w:szCs w:val="24"/>
        </w:rPr>
        <w:t>165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"_Toc61026644" </w:instrText>
      </w:r>
      <w:r>
        <w:fldChar w:fldCharType="separate"/>
      </w:r>
      <w:r>
        <w:rPr>
          <w:rStyle w:val="95"/>
          <w:kern w:val="0"/>
          <w:sz w:val="24"/>
          <w:szCs w:val="24"/>
        </w:rPr>
        <w:t>11.2 产业政策的相符合性结论</w:t>
      </w:r>
      <w:r>
        <w:rPr>
          <w:sz w:val="24"/>
          <w:szCs w:val="24"/>
        </w:rPr>
        <w:tab/>
      </w:r>
      <w:r>
        <w:rPr>
          <w:sz w:val="24"/>
          <w:szCs w:val="24"/>
        </w:rPr>
        <w:fldChar w:fldCharType="begin"/>
      </w:r>
      <w:r>
        <w:rPr>
          <w:sz w:val="24"/>
          <w:szCs w:val="24"/>
        </w:rPr>
        <w:instrText xml:space="preserve"> PAGEREF _Toc61026644 \h </w:instrText>
      </w:r>
      <w:r>
        <w:rPr>
          <w:sz w:val="24"/>
          <w:szCs w:val="24"/>
        </w:rPr>
        <w:fldChar w:fldCharType="separate"/>
      </w:r>
      <w:r>
        <w:rPr>
          <w:sz w:val="24"/>
          <w:szCs w:val="24"/>
        </w:rPr>
        <w:t>165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"_Toc61026645" </w:instrText>
      </w:r>
      <w:r>
        <w:fldChar w:fldCharType="separate"/>
      </w:r>
      <w:r>
        <w:rPr>
          <w:rStyle w:val="95"/>
          <w:kern w:val="0"/>
          <w:sz w:val="24"/>
          <w:szCs w:val="24"/>
        </w:rPr>
        <w:t>11.3 环境质量现状</w:t>
      </w:r>
      <w:r>
        <w:rPr>
          <w:sz w:val="24"/>
          <w:szCs w:val="24"/>
        </w:rPr>
        <w:tab/>
      </w:r>
      <w:r>
        <w:rPr>
          <w:sz w:val="24"/>
          <w:szCs w:val="24"/>
        </w:rPr>
        <w:fldChar w:fldCharType="begin"/>
      </w:r>
      <w:r>
        <w:rPr>
          <w:sz w:val="24"/>
          <w:szCs w:val="24"/>
        </w:rPr>
        <w:instrText xml:space="preserve"> PAGEREF _Toc61026645 \h </w:instrText>
      </w:r>
      <w:r>
        <w:rPr>
          <w:sz w:val="24"/>
          <w:szCs w:val="24"/>
        </w:rPr>
        <w:fldChar w:fldCharType="separate"/>
      </w:r>
      <w:r>
        <w:rPr>
          <w:sz w:val="24"/>
          <w:szCs w:val="24"/>
        </w:rPr>
        <w:t>165</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"_Toc61026646" </w:instrText>
      </w:r>
      <w:r>
        <w:fldChar w:fldCharType="separate"/>
      </w:r>
      <w:r>
        <w:rPr>
          <w:rStyle w:val="95"/>
          <w:kern w:val="0"/>
          <w:sz w:val="24"/>
          <w:szCs w:val="24"/>
        </w:rPr>
        <w:t>11.4 环境影响分析及保护措施</w:t>
      </w:r>
      <w:r>
        <w:rPr>
          <w:sz w:val="24"/>
          <w:szCs w:val="24"/>
        </w:rPr>
        <w:tab/>
      </w:r>
      <w:r>
        <w:rPr>
          <w:sz w:val="24"/>
          <w:szCs w:val="24"/>
        </w:rPr>
        <w:fldChar w:fldCharType="begin"/>
      </w:r>
      <w:r>
        <w:rPr>
          <w:sz w:val="24"/>
          <w:szCs w:val="24"/>
        </w:rPr>
        <w:instrText xml:space="preserve"> PAGEREF _Toc61026646 \h </w:instrText>
      </w:r>
      <w:r>
        <w:rPr>
          <w:sz w:val="24"/>
          <w:szCs w:val="24"/>
        </w:rPr>
        <w:fldChar w:fldCharType="separate"/>
      </w:r>
      <w:r>
        <w:rPr>
          <w:sz w:val="24"/>
          <w:szCs w:val="24"/>
        </w:rPr>
        <w:t>166</w:t>
      </w:r>
      <w:r>
        <w:rPr>
          <w:sz w:val="24"/>
          <w:szCs w:val="24"/>
        </w:rPr>
        <w:fldChar w:fldCharType="end"/>
      </w:r>
      <w:r>
        <w:rPr>
          <w:sz w:val="24"/>
          <w:szCs w:val="24"/>
        </w:rPr>
        <w:fldChar w:fldCharType="end"/>
      </w:r>
    </w:p>
    <w:p>
      <w:pPr>
        <w:pStyle w:val="66"/>
        <w:snapToGrid w:val="0"/>
        <w:spacing w:line="293" w:lineRule="auto"/>
        <w:rPr>
          <w:rFonts w:asciiTheme="minorHAnsi" w:hAnsiTheme="minorHAnsi" w:eastAsiaTheme="minorEastAsia" w:cstheme="minorBidi"/>
          <w:smallCaps w:val="0"/>
          <w:sz w:val="24"/>
          <w:szCs w:val="24"/>
        </w:rPr>
      </w:pPr>
      <w:r>
        <w:fldChar w:fldCharType="begin"/>
      </w:r>
      <w:r>
        <w:instrText xml:space="preserve"> HYPERLINK \l "_Toc61026647" </w:instrText>
      </w:r>
      <w:r>
        <w:fldChar w:fldCharType="separate"/>
      </w:r>
      <w:r>
        <w:rPr>
          <w:rStyle w:val="95"/>
          <w:kern w:val="0"/>
          <w:sz w:val="24"/>
          <w:szCs w:val="24"/>
        </w:rPr>
        <w:t>11.5 公众参与</w:t>
      </w:r>
      <w:r>
        <w:rPr>
          <w:sz w:val="24"/>
          <w:szCs w:val="24"/>
        </w:rPr>
        <w:tab/>
      </w:r>
      <w:r>
        <w:rPr>
          <w:sz w:val="24"/>
          <w:szCs w:val="24"/>
        </w:rPr>
        <w:fldChar w:fldCharType="begin"/>
      </w:r>
      <w:r>
        <w:rPr>
          <w:sz w:val="24"/>
          <w:szCs w:val="24"/>
        </w:rPr>
        <w:instrText xml:space="preserve"> PAGEREF _Toc61026647 \h </w:instrText>
      </w:r>
      <w:r>
        <w:rPr>
          <w:sz w:val="24"/>
          <w:szCs w:val="24"/>
        </w:rPr>
        <w:fldChar w:fldCharType="separate"/>
      </w:r>
      <w:r>
        <w:rPr>
          <w:sz w:val="24"/>
          <w:szCs w:val="24"/>
        </w:rPr>
        <w:t>167</w:t>
      </w:r>
      <w:r>
        <w:rPr>
          <w:sz w:val="24"/>
          <w:szCs w:val="24"/>
        </w:rPr>
        <w:fldChar w:fldCharType="end"/>
      </w:r>
      <w:r>
        <w:rPr>
          <w:sz w:val="24"/>
          <w:szCs w:val="24"/>
        </w:rPr>
        <w:fldChar w:fldCharType="end"/>
      </w:r>
    </w:p>
    <w:p>
      <w:pPr>
        <w:pStyle w:val="66"/>
        <w:snapToGrid w:val="0"/>
        <w:spacing w:line="293" w:lineRule="auto"/>
        <w:rPr>
          <w:rFonts w:eastAsiaTheme="minorEastAsia"/>
          <w:b/>
          <w:sz w:val="24"/>
        </w:rPr>
      </w:pPr>
      <w:r>
        <w:fldChar w:fldCharType="begin"/>
      </w:r>
      <w:r>
        <w:instrText xml:space="preserve"> HYPERLINK \l "_Toc61026648" </w:instrText>
      </w:r>
      <w:r>
        <w:fldChar w:fldCharType="separate"/>
      </w:r>
      <w:r>
        <w:rPr>
          <w:rStyle w:val="95"/>
          <w:kern w:val="0"/>
          <w:sz w:val="24"/>
          <w:szCs w:val="24"/>
        </w:rPr>
        <w:t>11.6 评价结论</w:t>
      </w:r>
      <w:r>
        <w:rPr>
          <w:sz w:val="24"/>
          <w:szCs w:val="24"/>
        </w:rPr>
        <w:tab/>
      </w:r>
      <w:r>
        <w:rPr>
          <w:sz w:val="24"/>
          <w:szCs w:val="24"/>
        </w:rPr>
        <w:fldChar w:fldCharType="begin"/>
      </w:r>
      <w:r>
        <w:rPr>
          <w:sz w:val="24"/>
          <w:szCs w:val="24"/>
        </w:rPr>
        <w:instrText xml:space="preserve"> PAGEREF _Toc61026648 \h </w:instrText>
      </w:r>
      <w:r>
        <w:rPr>
          <w:sz w:val="24"/>
          <w:szCs w:val="24"/>
        </w:rPr>
        <w:fldChar w:fldCharType="separate"/>
      </w:r>
      <w:r>
        <w:rPr>
          <w:sz w:val="24"/>
          <w:szCs w:val="24"/>
        </w:rPr>
        <w:t>167</w:t>
      </w:r>
      <w:r>
        <w:rPr>
          <w:sz w:val="24"/>
          <w:szCs w:val="24"/>
        </w:rPr>
        <w:fldChar w:fldCharType="end"/>
      </w:r>
      <w:r>
        <w:rPr>
          <w:sz w:val="24"/>
          <w:szCs w:val="24"/>
        </w:rPr>
        <w:fldChar w:fldCharType="end"/>
      </w:r>
      <w:r>
        <w:rPr>
          <w:rFonts w:eastAsiaTheme="minorEastAsia"/>
          <w:b/>
          <w:sz w:val="24"/>
        </w:rPr>
        <w:fldChar w:fldCharType="end"/>
      </w:r>
    </w:p>
    <w:p>
      <w:pPr>
        <w:snapToGrid w:val="0"/>
        <w:spacing w:line="360" w:lineRule="auto"/>
        <w:jc w:val="center"/>
        <w:rPr>
          <w:rFonts w:eastAsiaTheme="minorEastAsia"/>
          <w:b/>
          <w:sz w:val="28"/>
          <w:szCs w:val="28"/>
        </w:rPr>
        <w:sectPr>
          <w:headerReference r:id="rId7" w:type="default"/>
          <w:footerReference r:id="rId8" w:type="default"/>
          <w:footerReference r:id="rId9" w:type="even"/>
          <w:pgSz w:w="11906" w:h="16838"/>
          <w:pgMar w:top="1418" w:right="1304" w:bottom="1418" w:left="1474" w:header="992" w:footer="992" w:gutter="0"/>
          <w:pgNumType w:fmt="lowerRoman" w:start="1"/>
          <w:cols w:space="720" w:num="1"/>
          <w:docGrid w:linePitch="312" w:charSpace="0"/>
        </w:sectPr>
      </w:pPr>
    </w:p>
    <w:p>
      <w:pPr>
        <w:snapToGrid w:val="0"/>
        <w:spacing w:line="324" w:lineRule="auto"/>
        <w:jc w:val="center"/>
        <w:rPr>
          <w:rFonts w:eastAsiaTheme="minorEastAsia"/>
          <w:b/>
          <w:sz w:val="28"/>
          <w:szCs w:val="28"/>
        </w:rPr>
      </w:pPr>
      <w:r>
        <w:rPr>
          <w:rFonts w:eastAsiaTheme="minorEastAsia"/>
          <w:b/>
          <w:sz w:val="28"/>
          <w:szCs w:val="28"/>
        </w:rPr>
        <w:t>附  件</w:t>
      </w:r>
    </w:p>
    <w:p>
      <w:pPr>
        <w:snapToGrid w:val="0"/>
        <w:spacing w:line="324" w:lineRule="auto"/>
        <w:ind w:firstLine="424" w:firstLineChars="177"/>
        <w:rPr>
          <w:rFonts w:eastAsiaTheme="minorEastAsia"/>
          <w:sz w:val="24"/>
        </w:rPr>
      </w:pPr>
      <w:r>
        <w:rPr>
          <w:rFonts w:eastAsiaTheme="minorEastAsia"/>
          <w:sz w:val="24"/>
        </w:rPr>
        <w:t>附件1：环评委托书</w:t>
      </w:r>
    </w:p>
    <w:p>
      <w:pPr>
        <w:snapToGrid w:val="0"/>
        <w:spacing w:line="324" w:lineRule="auto"/>
        <w:ind w:firstLine="424" w:firstLineChars="177"/>
        <w:rPr>
          <w:rFonts w:eastAsiaTheme="minorEastAsia"/>
          <w:sz w:val="24"/>
        </w:rPr>
      </w:pPr>
      <w:r>
        <w:rPr>
          <w:rFonts w:eastAsiaTheme="minorEastAsia"/>
          <w:sz w:val="24"/>
        </w:rPr>
        <w:t>附件2：现有项目环评审批意见</w:t>
      </w:r>
    </w:p>
    <w:p>
      <w:pPr>
        <w:snapToGrid w:val="0"/>
        <w:spacing w:line="324" w:lineRule="auto"/>
        <w:ind w:firstLine="424" w:firstLineChars="177"/>
        <w:rPr>
          <w:rFonts w:eastAsiaTheme="minorEastAsia"/>
          <w:sz w:val="24"/>
        </w:rPr>
      </w:pPr>
      <w:r>
        <w:rPr>
          <w:rFonts w:eastAsiaTheme="minorEastAsia"/>
          <w:sz w:val="24"/>
        </w:rPr>
        <w:t>附件3：现有项目污水排放监测报告</w:t>
      </w:r>
    </w:p>
    <w:p>
      <w:pPr>
        <w:snapToGrid w:val="0"/>
        <w:spacing w:line="324" w:lineRule="auto"/>
        <w:ind w:firstLine="424" w:firstLineChars="177"/>
        <w:rPr>
          <w:rFonts w:eastAsiaTheme="minorEastAsia"/>
          <w:sz w:val="24"/>
        </w:rPr>
      </w:pPr>
      <w:r>
        <w:rPr>
          <w:rFonts w:eastAsiaTheme="minorEastAsia"/>
          <w:sz w:val="24"/>
        </w:rPr>
        <w:t>附件4：现有项目危废处置合同</w:t>
      </w:r>
    </w:p>
    <w:p>
      <w:pPr>
        <w:snapToGrid w:val="0"/>
        <w:spacing w:line="324" w:lineRule="auto"/>
        <w:ind w:firstLine="424" w:firstLineChars="177"/>
        <w:rPr>
          <w:rFonts w:eastAsiaTheme="minorEastAsia"/>
          <w:sz w:val="24"/>
        </w:rPr>
      </w:pPr>
      <w:r>
        <w:rPr>
          <w:rFonts w:eastAsiaTheme="minorEastAsia"/>
          <w:sz w:val="24"/>
        </w:rPr>
        <w:t>附件5：本项目选址意见书</w:t>
      </w:r>
    </w:p>
    <w:p>
      <w:pPr>
        <w:snapToGrid w:val="0"/>
        <w:spacing w:line="324" w:lineRule="auto"/>
        <w:ind w:firstLine="424" w:firstLineChars="177"/>
        <w:rPr>
          <w:rFonts w:eastAsiaTheme="minorEastAsia"/>
          <w:sz w:val="24"/>
        </w:rPr>
      </w:pPr>
      <w:r>
        <w:rPr>
          <w:rFonts w:eastAsiaTheme="minorEastAsia"/>
          <w:sz w:val="24"/>
        </w:rPr>
        <w:t>附件6：湘阴县住房和城乡建设局批复</w:t>
      </w:r>
    </w:p>
    <w:p>
      <w:pPr>
        <w:snapToGrid w:val="0"/>
        <w:spacing w:line="324" w:lineRule="auto"/>
        <w:ind w:firstLine="424" w:firstLineChars="177"/>
        <w:rPr>
          <w:rFonts w:eastAsiaTheme="minorEastAsia"/>
          <w:sz w:val="24"/>
        </w:rPr>
      </w:pPr>
      <w:r>
        <w:rPr>
          <w:rFonts w:eastAsiaTheme="minorEastAsia"/>
          <w:sz w:val="24"/>
        </w:rPr>
        <w:t>附件7：湘阴县发展和改革局文件</w:t>
      </w:r>
    </w:p>
    <w:p>
      <w:pPr>
        <w:snapToGrid w:val="0"/>
        <w:spacing w:line="324" w:lineRule="auto"/>
        <w:ind w:firstLine="424" w:firstLineChars="177"/>
        <w:rPr>
          <w:rFonts w:eastAsiaTheme="minorEastAsia"/>
          <w:sz w:val="24"/>
        </w:rPr>
      </w:pPr>
      <w:r>
        <w:rPr>
          <w:rFonts w:eastAsiaTheme="minorEastAsia"/>
          <w:sz w:val="24"/>
        </w:rPr>
        <w:t>附件8：湘阴县自然资源局用地审查意见</w:t>
      </w:r>
    </w:p>
    <w:p>
      <w:pPr>
        <w:snapToGrid w:val="0"/>
        <w:spacing w:line="324" w:lineRule="auto"/>
        <w:ind w:firstLine="424" w:firstLineChars="177"/>
        <w:rPr>
          <w:rFonts w:eastAsiaTheme="minorEastAsia"/>
          <w:sz w:val="24"/>
        </w:rPr>
      </w:pPr>
      <w:r>
        <w:rPr>
          <w:rFonts w:eastAsiaTheme="minorEastAsia"/>
          <w:sz w:val="24"/>
        </w:rPr>
        <w:t>附件9：事业单位法人证书</w:t>
      </w:r>
      <w:r>
        <w:rPr>
          <w:rFonts w:hint="eastAsia" w:eastAsiaTheme="minorEastAsia"/>
          <w:sz w:val="24"/>
        </w:rPr>
        <w:t>及医疗机构执业证书</w:t>
      </w:r>
    </w:p>
    <w:p>
      <w:pPr>
        <w:snapToGrid w:val="0"/>
        <w:spacing w:line="324" w:lineRule="auto"/>
        <w:ind w:firstLine="424" w:firstLineChars="177"/>
        <w:rPr>
          <w:rFonts w:eastAsiaTheme="minorEastAsia"/>
          <w:sz w:val="24"/>
          <w:u w:val="single"/>
        </w:rPr>
      </w:pPr>
      <w:r>
        <w:rPr>
          <w:rFonts w:eastAsiaTheme="minorEastAsia"/>
          <w:sz w:val="24"/>
          <w:u w:val="single"/>
        </w:rPr>
        <w:t>附件10：</w:t>
      </w:r>
      <w:r>
        <w:rPr>
          <w:rFonts w:hint="eastAsia" w:eastAsiaTheme="minorEastAsia"/>
          <w:sz w:val="24"/>
          <w:u w:val="single"/>
        </w:rPr>
        <w:t>医疗废物处置合同</w:t>
      </w:r>
    </w:p>
    <w:p>
      <w:pPr>
        <w:snapToGrid w:val="0"/>
        <w:spacing w:line="324" w:lineRule="auto"/>
        <w:ind w:firstLine="424" w:firstLineChars="177"/>
        <w:rPr>
          <w:rFonts w:eastAsiaTheme="minorEastAsia"/>
          <w:sz w:val="24"/>
          <w:u w:val="single"/>
        </w:rPr>
      </w:pPr>
      <w:r>
        <w:rPr>
          <w:rFonts w:hint="eastAsia" w:eastAsiaTheme="minorEastAsia"/>
          <w:sz w:val="24"/>
          <w:u w:val="single"/>
        </w:rPr>
        <w:t>附件11：医用一次性输液瓶（袋）处置合同</w:t>
      </w:r>
    </w:p>
    <w:p>
      <w:pPr>
        <w:snapToGrid w:val="0"/>
        <w:spacing w:line="324" w:lineRule="auto"/>
        <w:ind w:firstLine="424" w:firstLineChars="177"/>
        <w:rPr>
          <w:rFonts w:eastAsiaTheme="minorEastAsia"/>
          <w:sz w:val="24"/>
          <w:u w:val="single"/>
        </w:rPr>
      </w:pPr>
      <w:r>
        <w:rPr>
          <w:rFonts w:hint="eastAsia" w:eastAsiaTheme="minorEastAsia"/>
          <w:sz w:val="24"/>
          <w:u w:val="single"/>
        </w:rPr>
        <w:t>附件12：县人民政府常务会关于本项目的研究决定</w:t>
      </w:r>
    </w:p>
    <w:p>
      <w:pPr>
        <w:snapToGrid w:val="0"/>
        <w:spacing w:line="324" w:lineRule="auto"/>
        <w:ind w:firstLine="424" w:firstLineChars="177"/>
        <w:rPr>
          <w:rFonts w:eastAsiaTheme="minorEastAsia"/>
          <w:sz w:val="24"/>
          <w:u w:val="single"/>
        </w:rPr>
      </w:pPr>
      <w:r>
        <w:rPr>
          <w:rFonts w:hint="eastAsia" w:eastAsiaTheme="minorEastAsia"/>
          <w:sz w:val="24"/>
          <w:u w:val="single"/>
        </w:rPr>
        <w:t>附件13 关于湘阴县中医医院拟设置科室建设的报告</w:t>
      </w:r>
    </w:p>
    <w:p>
      <w:pPr>
        <w:snapToGrid w:val="0"/>
        <w:spacing w:line="324" w:lineRule="auto"/>
        <w:ind w:firstLine="424" w:firstLineChars="177"/>
        <w:rPr>
          <w:rFonts w:eastAsiaTheme="minorEastAsia"/>
          <w:sz w:val="24"/>
          <w:u w:val="single"/>
        </w:rPr>
      </w:pPr>
      <w:r>
        <w:rPr>
          <w:rFonts w:hint="eastAsia" w:eastAsiaTheme="minorEastAsia"/>
          <w:sz w:val="24"/>
          <w:u w:val="single"/>
        </w:rPr>
        <w:t>附件14 本项目环境影响评价工作执行标准</w:t>
      </w:r>
    </w:p>
    <w:p>
      <w:pPr>
        <w:snapToGrid w:val="0"/>
        <w:spacing w:line="324" w:lineRule="auto"/>
        <w:ind w:firstLine="424" w:firstLineChars="177"/>
        <w:rPr>
          <w:rFonts w:eastAsiaTheme="minorEastAsia"/>
          <w:sz w:val="24"/>
        </w:rPr>
      </w:pPr>
      <w:r>
        <w:rPr>
          <w:rFonts w:hint="eastAsia" w:eastAsiaTheme="minorEastAsia"/>
          <w:sz w:val="24"/>
        </w:rPr>
        <w:t>附件15：</w:t>
      </w:r>
      <w:r>
        <w:rPr>
          <w:rFonts w:eastAsiaTheme="minorEastAsia"/>
          <w:sz w:val="24"/>
        </w:rPr>
        <w:t>环境质量现状监测报告</w:t>
      </w:r>
    </w:p>
    <w:p>
      <w:pPr>
        <w:snapToGrid w:val="0"/>
        <w:spacing w:line="324" w:lineRule="auto"/>
        <w:jc w:val="center"/>
        <w:rPr>
          <w:rFonts w:eastAsiaTheme="minorEastAsia"/>
          <w:b/>
          <w:sz w:val="28"/>
          <w:szCs w:val="28"/>
        </w:rPr>
      </w:pPr>
      <w:r>
        <w:rPr>
          <w:rFonts w:eastAsiaTheme="minorEastAsia"/>
          <w:b/>
          <w:sz w:val="28"/>
          <w:szCs w:val="28"/>
        </w:rPr>
        <w:t>附  图</w:t>
      </w:r>
    </w:p>
    <w:p>
      <w:pPr>
        <w:snapToGrid w:val="0"/>
        <w:spacing w:line="324" w:lineRule="auto"/>
        <w:ind w:firstLine="424" w:firstLineChars="177"/>
        <w:jc w:val="left"/>
        <w:rPr>
          <w:rFonts w:eastAsiaTheme="minorEastAsia"/>
          <w:sz w:val="24"/>
        </w:rPr>
      </w:pPr>
      <w:r>
        <w:rPr>
          <w:rFonts w:eastAsiaTheme="minorEastAsia"/>
          <w:sz w:val="24"/>
        </w:rPr>
        <w:t>附图1：本项目地理位置</w:t>
      </w:r>
    </w:p>
    <w:p>
      <w:pPr>
        <w:snapToGrid w:val="0"/>
        <w:spacing w:line="324" w:lineRule="auto"/>
        <w:ind w:firstLine="424" w:firstLineChars="177"/>
        <w:jc w:val="left"/>
        <w:rPr>
          <w:rFonts w:eastAsiaTheme="minorEastAsia"/>
          <w:sz w:val="24"/>
        </w:rPr>
      </w:pPr>
      <w:r>
        <w:rPr>
          <w:rFonts w:eastAsiaTheme="minorEastAsia"/>
          <w:sz w:val="24"/>
        </w:rPr>
        <w:t>附图2：本项目环保目标</w:t>
      </w:r>
    </w:p>
    <w:p>
      <w:pPr>
        <w:snapToGrid w:val="0"/>
        <w:spacing w:line="324" w:lineRule="auto"/>
        <w:ind w:firstLine="424" w:firstLineChars="177"/>
        <w:jc w:val="left"/>
        <w:rPr>
          <w:rFonts w:eastAsiaTheme="minorEastAsia"/>
          <w:sz w:val="24"/>
        </w:rPr>
      </w:pPr>
      <w:r>
        <w:rPr>
          <w:rFonts w:eastAsiaTheme="minorEastAsia"/>
          <w:sz w:val="24"/>
        </w:rPr>
        <w:t>附图3：本项目与湘阴县污水处理厂纳污范围关系图</w:t>
      </w:r>
    </w:p>
    <w:p>
      <w:pPr>
        <w:snapToGrid w:val="0"/>
        <w:spacing w:line="324" w:lineRule="auto"/>
        <w:ind w:firstLine="424" w:firstLineChars="177"/>
        <w:jc w:val="left"/>
        <w:rPr>
          <w:rFonts w:eastAsiaTheme="minorEastAsia"/>
          <w:sz w:val="24"/>
        </w:rPr>
      </w:pPr>
      <w:r>
        <w:rPr>
          <w:rFonts w:eastAsiaTheme="minorEastAsia"/>
          <w:sz w:val="24"/>
        </w:rPr>
        <w:t>附图4：本项目平面布局图</w:t>
      </w:r>
    </w:p>
    <w:p>
      <w:pPr>
        <w:snapToGrid w:val="0"/>
        <w:spacing w:line="324" w:lineRule="auto"/>
        <w:ind w:firstLine="424" w:firstLineChars="177"/>
        <w:jc w:val="left"/>
        <w:rPr>
          <w:rFonts w:eastAsiaTheme="minorEastAsia"/>
          <w:sz w:val="24"/>
        </w:rPr>
      </w:pPr>
      <w:r>
        <w:rPr>
          <w:rFonts w:eastAsiaTheme="minorEastAsia"/>
          <w:sz w:val="24"/>
        </w:rPr>
        <w:t>附图5：本项目</w:t>
      </w:r>
      <w:r>
        <w:rPr>
          <w:rFonts w:hint="eastAsia" w:eastAsiaTheme="minorEastAsia"/>
          <w:sz w:val="24"/>
        </w:rPr>
        <w:t>污水处理设备及</w:t>
      </w:r>
      <w:r>
        <w:rPr>
          <w:rFonts w:eastAsiaTheme="minorEastAsia"/>
          <w:sz w:val="24"/>
        </w:rPr>
        <w:t>给排水总平面图</w:t>
      </w:r>
    </w:p>
    <w:p>
      <w:pPr>
        <w:snapToGrid w:val="0"/>
        <w:spacing w:line="324" w:lineRule="auto"/>
        <w:ind w:firstLine="424" w:firstLineChars="177"/>
        <w:jc w:val="left"/>
        <w:rPr>
          <w:rFonts w:eastAsiaTheme="minorEastAsia"/>
          <w:sz w:val="24"/>
        </w:rPr>
      </w:pPr>
      <w:r>
        <w:rPr>
          <w:rFonts w:eastAsiaTheme="minorEastAsia"/>
          <w:sz w:val="24"/>
        </w:rPr>
        <w:t>附图6：湘阴县城总体规划图</w:t>
      </w:r>
    </w:p>
    <w:p>
      <w:pPr>
        <w:snapToGrid w:val="0"/>
        <w:spacing w:line="324" w:lineRule="auto"/>
        <w:ind w:firstLine="424" w:firstLineChars="177"/>
        <w:jc w:val="left"/>
        <w:rPr>
          <w:rFonts w:eastAsiaTheme="minorEastAsia"/>
          <w:sz w:val="24"/>
        </w:rPr>
      </w:pPr>
      <w:r>
        <w:rPr>
          <w:rFonts w:eastAsiaTheme="minorEastAsia"/>
          <w:sz w:val="24"/>
        </w:rPr>
        <w:t>附图7：本项目水系图</w:t>
      </w:r>
    </w:p>
    <w:p>
      <w:pPr>
        <w:snapToGrid w:val="0"/>
        <w:spacing w:line="324" w:lineRule="auto"/>
        <w:ind w:firstLine="424" w:firstLineChars="177"/>
        <w:jc w:val="left"/>
        <w:rPr>
          <w:rFonts w:eastAsiaTheme="minorEastAsia"/>
          <w:sz w:val="24"/>
        </w:rPr>
      </w:pPr>
      <w:r>
        <w:rPr>
          <w:rFonts w:eastAsiaTheme="minorEastAsia"/>
          <w:sz w:val="24"/>
        </w:rPr>
        <w:t>附图8：本项目监测布点图</w:t>
      </w:r>
    </w:p>
    <w:p>
      <w:pPr>
        <w:snapToGrid w:val="0"/>
        <w:spacing w:line="324" w:lineRule="auto"/>
        <w:ind w:firstLine="424" w:firstLineChars="177"/>
        <w:jc w:val="left"/>
        <w:rPr>
          <w:rFonts w:eastAsiaTheme="minorEastAsia"/>
          <w:sz w:val="24"/>
        </w:rPr>
      </w:pPr>
      <w:r>
        <w:rPr>
          <w:rFonts w:eastAsiaTheme="minorEastAsia"/>
          <w:sz w:val="24"/>
        </w:rPr>
        <w:t>附图9：现有项目监测布点图</w:t>
      </w:r>
    </w:p>
    <w:p>
      <w:pPr>
        <w:snapToGrid w:val="0"/>
        <w:spacing w:line="324" w:lineRule="auto"/>
        <w:ind w:firstLine="424" w:firstLineChars="177"/>
        <w:jc w:val="left"/>
        <w:rPr>
          <w:rFonts w:eastAsiaTheme="minorEastAsia"/>
          <w:sz w:val="24"/>
        </w:rPr>
      </w:pPr>
      <w:r>
        <w:rPr>
          <w:rFonts w:eastAsiaTheme="minorEastAsia"/>
          <w:sz w:val="24"/>
        </w:rPr>
        <w:t>附图10：住院楼平面布局图</w:t>
      </w:r>
    </w:p>
    <w:p>
      <w:pPr>
        <w:snapToGrid w:val="0"/>
        <w:spacing w:line="324" w:lineRule="auto"/>
        <w:ind w:firstLine="424" w:firstLineChars="177"/>
        <w:jc w:val="left"/>
        <w:rPr>
          <w:rFonts w:eastAsiaTheme="minorEastAsia"/>
          <w:sz w:val="24"/>
        </w:rPr>
      </w:pPr>
      <w:r>
        <w:rPr>
          <w:rFonts w:eastAsiaTheme="minorEastAsia"/>
          <w:sz w:val="24"/>
        </w:rPr>
        <w:t>附图11：门诊楼平面布局图</w:t>
      </w:r>
    </w:p>
    <w:p>
      <w:pPr>
        <w:snapToGrid w:val="0"/>
        <w:spacing w:line="324" w:lineRule="auto"/>
        <w:ind w:firstLine="424" w:firstLineChars="177"/>
        <w:jc w:val="left"/>
        <w:rPr>
          <w:rFonts w:eastAsiaTheme="minorEastAsia"/>
          <w:sz w:val="24"/>
          <w:u w:val="single"/>
        </w:rPr>
      </w:pPr>
      <w:bookmarkStart w:id="7" w:name="_Hlk60767405"/>
      <w:r>
        <w:rPr>
          <w:rFonts w:hint="eastAsia" w:eastAsiaTheme="minorEastAsia"/>
          <w:sz w:val="24"/>
          <w:u w:val="single"/>
        </w:rPr>
        <w:t>附图12：本项目拟建地现状图</w:t>
      </w:r>
    </w:p>
    <w:bookmarkEnd w:id="7"/>
    <w:p>
      <w:pPr>
        <w:snapToGrid w:val="0"/>
        <w:spacing w:line="324" w:lineRule="auto"/>
        <w:jc w:val="center"/>
        <w:rPr>
          <w:rFonts w:eastAsiaTheme="minorEastAsia"/>
          <w:b/>
          <w:sz w:val="28"/>
          <w:szCs w:val="28"/>
        </w:rPr>
      </w:pPr>
      <w:r>
        <w:rPr>
          <w:rFonts w:eastAsiaTheme="minorEastAsia"/>
          <w:b/>
          <w:sz w:val="28"/>
          <w:szCs w:val="28"/>
        </w:rPr>
        <w:t>附  表</w:t>
      </w:r>
    </w:p>
    <w:p>
      <w:pPr>
        <w:snapToGrid w:val="0"/>
        <w:spacing w:line="324" w:lineRule="auto"/>
        <w:ind w:firstLine="424" w:firstLineChars="177"/>
        <w:jc w:val="left"/>
        <w:rPr>
          <w:rFonts w:eastAsiaTheme="minorEastAsia"/>
          <w:sz w:val="24"/>
        </w:rPr>
      </w:pPr>
      <w:r>
        <w:rPr>
          <w:rFonts w:eastAsiaTheme="minorEastAsia"/>
          <w:sz w:val="24"/>
        </w:rPr>
        <w:t>附表1 地表水环境影响评价自查表</w:t>
      </w:r>
    </w:p>
    <w:p>
      <w:pPr>
        <w:snapToGrid w:val="0"/>
        <w:spacing w:line="324" w:lineRule="auto"/>
        <w:ind w:firstLine="424" w:firstLineChars="177"/>
        <w:jc w:val="left"/>
        <w:rPr>
          <w:rFonts w:eastAsiaTheme="minorEastAsia"/>
          <w:sz w:val="24"/>
        </w:rPr>
      </w:pPr>
      <w:r>
        <w:rPr>
          <w:rFonts w:eastAsiaTheme="minorEastAsia"/>
          <w:sz w:val="24"/>
        </w:rPr>
        <w:t>附表2 大气环境影响评价自查表</w:t>
      </w:r>
    </w:p>
    <w:p>
      <w:pPr>
        <w:snapToGrid w:val="0"/>
        <w:spacing w:line="324" w:lineRule="auto"/>
        <w:ind w:firstLine="424" w:firstLineChars="177"/>
        <w:jc w:val="left"/>
        <w:rPr>
          <w:rFonts w:eastAsiaTheme="minorEastAsia"/>
          <w:b/>
          <w:sz w:val="30"/>
          <w:szCs w:val="30"/>
        </w:rPr>
      </w:pPr>
      <w:r>
        <w:rPr>
          <w:rFonts w:eastAsiaTheme="minorEastAsia"/>
          <w:sz w:val="24"/>
        </w:rPr>
        <w:t>附表3 建设项目环评审批基础信息表</w:t>
      </w:r>
    </w:p>
    <w:p>
      <w:pPr>
        <w:snapToGrid w:val="0"/>
        <w:rPr>
          <w:rFonts w:eastAsiaTheme="minorEastAsia"/>
          <w:b/>
          <w:sz w:val="30"/>
          <w:szCs w:val="30"/>
        </w:rPr>
        <w:sectPr>
          <w:pgSz w:w="11906" w:h="16838"/>
          <w:pgMar w:top="1418" w:right="1304" w:bottom="1418" w:left="1474" w:header="992" w:footer="992" w:gutter="0"/>
          <w:pgNumType w:fmt="lowerRoman"/>
          <w:cols w:space="720" w:num="1"/>
          <w:docGrid w:linePitch="312" w:charSpace="0"/>
        </w:sectPr>
      </w:pPr>
    </w:p>
    <w:bookmarkEnd w:id="1"/>
    <w:bookmarkEnd w:id="2"/>
    <w:bookmarkEnd w:id="3"/>
    <w:bookmarkEnd w:id="4"/>
    <w:bookmarkEnd w:id="5"/>
    <w:p>
      <w:pPr>
        <w:pStyle w:val="2"/>
        <w:spacing w:after="0" w:line="480" w:lineRule="auto"/>
        <w:jc w:val="center"/>
        <w:rPr>
          <w:rFonts w:ascii="Times New Roman" w:eastAsiaTheme="minorEastAsia"/>
          <w:b/>
          <w:bCs/>
          <w:sz w:val="36"/>
          <w:szCs w:val="36"/>
          <w:lang w:val="zh-CN"/>
        </w:rPr>
      </w:pPr>
      <w:bookmarkStart w:id="8" w:name="_Toc61026577"/>
      <w:r>
        <w:rPr>
          <w:rFonts w:ascii="Times New Roman" w:eastAsiaTheme="minorEastAsia"/>
          <w:b/>
          <w:bCs/>
          <w:sz w:val="36"/>
          <w:szCs w:val="36"/>
          <w:lang w:val="zh-CN"/>
        </w:rPr>
        <w:t>1 概述</w:t>
      </w:r>
      <w:bookmarkEnd w:id="8"/>
    </w:p>
    <w:p>
      <w:pPr>
        <w:pStyle w:val="3"/>
        <w:snapToGrid w:val="0"/>
        <w:spacing w:before="0" w:after="0" w:line="360" w:lineRule="auto"/>
        <w:rPr>
          <w:rFonts w:ascii="Times New Roman" w:hAnsi="Times New Roman" w:eastAsiaTheme="minorEastAsia"/>
          <w:sz w:val="28"/>
          <w:lang w:val="zh-CN"/>
        </w:rPr>
      </w:pPr>
      <w:bookmarkStart w:id="9" w:name="_Toc61026578"/>
      <w:r>
        <w:rPr>
          <w:rFonts w:ascii="Times New Roman" w:hAnsi="Times New Roman" w:eastAsiaTheme="minorEastAsia"/>
          <w:sz w:val="28"/>
          <w:lang w:val="zh-CN"/>
        </w:rPr>
        <w:t>1.1 项目由来</w:t>
      </w:r>
      <w:bookmarkEnd w:id="9"/>
    </w:p>
    <w:p>
      <w:pPr>
        <w:pStyle w:val="818"/>
        <w:snapToGrid w:val="0"/>
        <w:ind w:firstLine="480"/>
        <w:rPr>
          <w:rFonts w:hAnsi="Times New Roman" w:eastAsiaTheme="minorEastAsia"/>
          <w:b w:val="0"/>
          <w:color w:val="auto"/>
          <w:u w:val="single"/>
        </w:rPr>
      </w:pPr>
      <w:bookmarkStart w:id="10" w:name="_Toc299451560"/>
      <w:bookmarkStart w:id="11" w:name="_Toc299450899"/>
      <w:bookmarkStart w:id="12" w:name="_Toc299451765"/>
      <w:bookmarkStart w:id="13" w:name="_Toc299450999"/>
      <w:bookmarkStart w:id="14" w:name="_Toc299450799"/>
      <w:r>
        <w:rPr>
          <w:rFonts w:hint="eastAsia" w:hAnsi="Times New Roman" w:eastAsiaTheme="minorEastAsia"/>
          <w:b w:val="0"/>
          <w:color w:val="auto"/>
          <w:u w:val="single"/>
        </w:rPr>
        <w:t>医疗卫生事业关系到人民群众的身体健康和生老病死，与人民群众切身利益密切相关，是社会高度关注的热点，也是实现经济与社会协调发展，构建社会主义和谐社会的重要内容之一。因此，深入贯彻落实十八大精神，认真落实以人为本和全面、协调、可持续的科学发展观，大力发展我国医疗卫生事业，保障公共卫生安全，适应广大人民群众日益增长的医疗卫生需求，提高全民族健康水平，是摆在各级政府、各有关部门面前的重大历史任务。</w:t>
      </w:r>
    </w:p>
    <w:p>
      <w:pPr>
        <w:pStyle w:val="818"/>
        <w:wordWrap/>
        <w:snapToGrid w:val="0"/>
        <w:ind w:firstLine="480"/>
        <w:rPr>
          <w:rFonts w:hAnsi="Times New Roman" w:eastAsiaTheme="minorEastAsia"/>
          <w:b w:val="0"/>
          <w:color w:val="auto"/>
        </w:rPr>
      </w:pPr>
      <w:r>
        <w:rPr>
          <w:rFonts w:hAnsi="Times New Roman" w:eastAsiaTheme="minorEastAsia"/>
          <w:b w:val="0"/>
          <w:color w:val="auto"/>
        </w:rPr>
        <w:t>湘阴县中医院创建于1953年，是一所集医疗、预防、康复、保健为一体的综合性二级甲等医院，是“湘中医”医疗联盟成员单位之一，国家中医药管理局远程教学医院，湖南省中医研究院附属医院的联盟医院，也是湖南省中医类别全科助理医生培训基地，湖南省中医药大学毕业生实习基地，湖南省中医附一医院定点指导医院，中南大学湘雅医院、湖南省中医附一及湖南省人民医院远程教学和远程会诊单位。</w:t>
      </w:r>
    </w:p>
    <w:p>
      <w:pPr>
        <w:pStyle w:val="818"/>
        <w:wordWrap/>
        <w:snapToGrid w:val="0"/>
        <w:ind w:firstLine="480"/>
        <w:rPr>
          <w:rFonts w:hAnsi="Times New Roman" w:eastAsiaTheme="minorEastAsia"/>
          <w:b w:val="0"/>
          <w:color w:val="auto"/>
        </w:rPr>
      </w:pPr>
      <w:r>
        <w:rPr>
          <w:rFonts w:hAnsi="Times New Roman" w:eastAsiaTheme="minorEastAsia"/>
          <w:b w:val="0"/>
          <w:color w:val="auto"/>
        </w:rPr>
        <w:t>湘阴县中医医院现有项目地处</w:t>
      </w:r>
      <w:bookmarkStart w:id="15" w:name="_Hlk59025158"/>
      <w:r>
        <w:rPr>
          <w:rFonts w:hAnsi="Times New Roman" w:eastAsiaTheme="minorEastAsia"/>
          <w:b w:val="0"/>
          <w:color w:val="auto"/>
        </w:rPr>
        <w:t>湘阴县文星镇弼时街</w:t>
      </w:r>
      <w:bookmarkEnd w:id="15"/>
      <w:r>
        <w:rPr>
          <w:rFonts w:hAnsi="Times New Roman" w:eastAsiaTheme="minorEastAsia"/>
          <w:b w:val="0"/>
          <w:color w:val="auto"/>
        </w:rPr>
        <w:t>，湘阴县中医院创建于1953年，医院现有建筑面积20000㎡，开放编制床位300余张，在职员工288人，其中高级专业技术人员18人，中级专业技术人员80人，医院配备了16排螺旋CT机、DR、飞利浦EPIQ5最新版二维、四维彩色B超机、24小时心电动态、微生物检查、化学化光、日本奥林巴斯电子胃镜、电子肠镜、腔镜、意大利进口TCL全新介入诊疗设备、自动生化血液分析仪、三维立体牵引床、麻醉呼吸机、高压氧舱、有创呼吸机等大型先进医疗设备，开设有急诊科、中西医内科、外科、妇产科、国医堂、治未病科、肿瘤科、肾病科、康复科、口腔科、眼耳鼻喉科、皮肤科、肛肠科、骨伤科、介入科、血液透析室等临床科室和特色专科。</w:t>
      </w:r>
    </w:p>
    <w:p>
      <w:pPr>
        <w:pStyle w:val="818"/>
        <w:snapToGrid w:val="0"/>
        <w:ind w:firstLine="480"/>
        <w:rPr>
          <w:rFonts w:hAnsi="Times New Roman" w:eastAsiaTheme="minorEastAsia"/>
          <w:b w:val="0"/>
          <w:color w:val="auto"/>
        </w:rPr>
      </w:pPr>
      <w:r>
        <w:rPr>
          <w:rFonts w:hAnsi="Times New Roman" w:eastAsiaTheme="minorEastAsia"/>
          <w:b w:val="0"/>
          <w:color w:val="auto"/>
        </w:rPr>
        <w:t>近年来，随着湘阴县经济社会的快速发展和城乡居民富裕程度的快速提高，人民群众对就医条件的要求越来越高，湘阴县中医医院的医疗服务水平和服务能力也得到了全面提高，医院业务量一直呈现快速增长态势。由于区域服务人口激增，现有规模比较有限，布局很不合理，且建筑、结构、水电线路等损毁严重，消防自动喷水系统和中央空调系统等必要功能设施一直没有建设，且内外墙体、地面、吊顶等装修材料和水电管线、设施老化脱落现象非常严重，已经严重影响了人民群众的就医环境，极大增加了医护人员的工作强度，已成为制约医院下一步快速发展的重大“瓶颈”。为解决医院基础设施落后问题，提升医院服务层次，改善就医环境，更好地满足人民群众就医的需要，经研究决定将湘阴县中医院整体搬迁县人民医院旧址，配套购置安装自动喷水、中央空调等消防暖通设备设施，进一步提高医院服务水平，为广大群众提供技术先进、环境良好的就医和住院环境，奠定良好的基础。</w:t>
      </w:r>
    </w:p>
    <w:p>
      <w:pPr>
        <w:pStyle w:val="818"/>
        <w:snapToGrid w:val="0"/>
        <w:ind w:firstLine="480"/>
        <w:rPr>
          <w:rFonts w:hAnsi="Times New Roman" w:eastAsiaTheme="minorEastAsia"/>
          <w:b w:val="0"/>
          <w:color w:val="auto"/>
          <w:u w:val="single"/>
        </w:rPr>
      </w:pPr>
      <w:r>
        <w:rPr>
          <w:rFonts w:hint="eastAsia" w:hAnsi="Times New Roman" w:eastAsiaTheme="minorEastAsia"/>
          <w:b w:val="0"/>
          <w:color w:val="auto"/>
          <w:u w:val="single"/>
        </w:rPr>
        <w:t>总之，湘阴县中医医院整体搬迁工程是适时、合理且必需的，通过湘阴县中医医院整体搬迁工程的建设可以更加完善文星镇乃至湘阴县的医疗卫生服务体系；有效解决当地群众“看病难”、“看病贵”的问题，同时湘阴县中医医院整体搬迁项目也是本镇“十三五”规划和未来发展的需要。</w:t>
      </w:r>
    </w:p>
    <w:p>
      <w:pPr>
        <w:pStyle w:val="818"/>
        <w:wordWrap/>
        <w:snapToGrid w:val="0"/>
        <w:ind w:firstLine="480"/>
        <w:rPr>
          <w:rFonts w:hAnsi="Times New Roman" w:eastAsiaTheme="minorEastAsia"/>
          <w:b w:val="0"/>
          <w:color w:val="auto"/>
        </w:rPr>
      </w:pPr>
      <w:r>
        <w:rPr>
          <w:rFonts w:hAnsi="Times New Roman" w:eastAsiaTheme="minorEastAsia"/>
          <w:b w:val="0"/>
          <w:color w:val="auto"/>
          <w:u w:val="single"/>
        </w:rPr>
        <w:t>根据</w:t>
      </w:r>
      <w:r>
        <w:rPr>
          <w:rFonts w:hint="eastAsia" w:hAnsi="Times New Roman" w:eastAsiaTheme="minorEastAsia"/>
          <w:b w:val="0"/>
          <w:color w:val="auto"/>
          <w:u w:val="single"/>
        </w:rPr>
        <w:t>湘阴县城乡规划局于2019年9月5日出具的“建设项目选址意见书”（建规（选）字第Z2019-9012号）（附件6）与</w:t>
      </w:r>
      <w:r>
        <w:rPr>
          <w:rFonts w:hAnsi="Times New Roman" w:eastAsiaTheme="minorEastAsia"/>
          <w:b w:val="0"/>
          <w:color w:val="auto"/>
          <w:u w:val="single"/>
        </w:rPr>
        <w:t>湘阴</w:t>
      </w:r>
      <w:r>
        <w:rPr>
          <w:rFonts w:hint="eastAsia" w:hAnsi="Times New Roman" w:eastAsiaTheme="minorEastAsia"/>
          <w:b w:val="0"/>
          <w:color w:val="auto"/>
          <w:u w:val="single"/>
        </w:rPr>
        <w:t>县自然资源局于2019年9月5日出具的“关于湘阴县中医院整体搬迁项目用地审查意见”（附件8）本项目用地性质为医疗用地，因此项目的建设符合相关规划要求。在此背景下，经决定将湘阴县中医医院整体搬迁至县人民医院旧址。</w:t>
      </w:r>
    </w:p>
    <w:p>
      <w:pPr>
        <w:pStyle w:val="818"/>
        <w:wordWrap/>
        <w:snapToGrid w:val="0"/>
        <w:ind w:firstLine="480"/>
        <w:rPr>
          <w:rFonts w:hAnsi="Times New Roman" w:eastAsiaTheme="minorEastAsia"/>
          <w:b w:val="0"/>
          <w:color w:val="auto"/>
          <w:u w:val="single"/>
        </w:rPr>
      </w:pPr>
      <w:r>
        <w:rPr>
          <w:rFonts w:hAnsi="Times New Roman" w:eastAsiaTheme="minorEastAsia"/>
          <w:b w:val="0"/>
          <w:color w:val="auto"/>
        </w:rPr>
        <w:t>本次湘阴县中医院整体搬迁项目拟投资25300.00万元，项目位于</w:t>
      </w:r>
      <w:bookmarkStart w:id="16" w:name="_Hlk60255246"/>
      <w:r>
        <w:rPr>
          <w:rFonts w:hAnsi="Times New Roman" w:eastAsiaTheme="minorEastAsia"/>
          <w:b w:val="0"/>
          <w:color w:val="auto"/>
        </w:rPr>
        <w:t>湘阴县文星镇先锋路69号（县人民医院旧址）</w:t>
      </w:r>
      <w:bookmarkEnd w:id="16"/>
      <w:r>
        <w:rPr>
          <w:rFonts w:hAnsi="Times New Roman" w:eastAsiaTheme="minorEastAsia"/>
          <w:b w:val="0"/>
          <w:color w:val="auto"/>
        </w:rPr>
        <w:t>，项目总用地面积20114.50 平方米（约30.17亩），总建筑面积59100.00平方米，主要新建1栋门诊大楼、新建3个立体车库、利用改造一栋住院大楼、改造7栋住宿楼以及改造一栋食堂楼，并配套建设给排水、供配电、环保等基础设施。并配套建设给排水、供配电、环保等基础设施。</w:t>
      </w:r>
      <w:r>
        <w:rPr>
          <w:rFonts w:hint="eastAsia" w:hAnsi="Times New Roman" w:eastAsiaTheme="minorEastAsia"/>
          <w:b w:val="0"/>
          <w:color w:val="auto"/>
          <w:u w:val="single"/>
        </w:rPr>
        <w:t>此外，还需拆除湘阴县人民医院原有门诊大楼，拆除工程由湘阴县城市建设投资有限责任公司为责任主体，由该公司负责办理相关手续。</w:t>
      </w:r>
    </w:p>
    <w:p>
      <w:pPr>
        <w:pStyle w:val="818"/>
        <w:wordWrap/>
        <w:snapToGrid w:val="0"/>
        <w:ind w:firstLine="480"/>
        <w:rPr>
          <w:rFonts w:hAnsi="Times New Roman" w:eastAsiaTheme="minorEastAsia"/>
          <w:b w:val="0"/>
          <w:color w:val="auto"/>
        </w:rPr>
      </w:pPr>
      <w:r>
        <w:rPr>
          <w:rFonts w:hAnsi="Times New Roman" w:eastAsiaTheme="minorEastAsia"/>
          <w:b w:val="0"/>
          <w:color w:val="auto"/>
        </w:rPr>
        <w:t>湘阴县人民医院始建于1937年，是一所集医疗、教学、急救、预防于一体的大型综合公立医院，是县级结核病定点救治医院和健康扶贫定点救治医院。1996年被国家卫生部授予“二级甲等医院”称号。湘阴县委、县政府于2011年决定启动县人民医院整体搬迁这一民生实事工程，项目于2011年6月完成可研并通过立项批复，2013年7月破土动工，2016年10月医院整体搬迁至湖南省湘阴县旭东北路，新院区按三级标准设计，总投资5.79亿元，占地172.85亩，总建筑面积83175平方米。根据现场实地调查，湘阴县人民医院已完全搬迁，除空置楼房、部分附属设施外，未遗留任何设备与污染物。</w:t>
      </w:r>
    </w:p>
    <w:p>
      <w:pPr>
        <w:pStyle w:val="818"/>
        <w:wordWrap/>
        <w:snapToGrid w:val="0"/>
        <w:ind w:firstLine="480"/>
        <w:rPr>
          <w:rFonts w:hAnsi="Times New Roman" w:eastAsiaTheme="minorEastAsia"/>
          <w:b w:val="0"/>
          <w:bCs w:val="0"/>
          <w:color w:val="auto"/>
        </w:rPr>
      </w:pPr>
      <w:r>
        <w:rPr>
          <w:rFonts w:hAnsi="Times New Roman" w:eastAsiaTheme="minorEastAsia"/>
          <w:b w:val="0"/>
          <w:bCs w:val="0"/>
          <w:color w:val="auto"/>
        </w:rPr>
        <w:t>根据《中华人民共和国环境影响评价法》（2016年9月1日2018年修正）和《建设项目环境保护管理名录》（202</w:t>
      </w:r>
      <w:r>
        <w:rPr>
          <w:rFonts w:hint="eastAsia" w:hAnsi="Times New Roman" w:eastAsiaTheme="minorEastAsia"/>
          <w:b w:val="0"/>
          <w:bCs w:val="0"/>
          <w:color w:val="auto"/>
        </w:rPr>
        <w:t>1年</w:t>
      </w:r>
      <w:r>
        <w:rPr>
          <w:rFonts w:hAnsi="Times New Roman" w:eastAsiaTheme="minorEastAsia"/>
          <w:b w:val="0"/>
          <w:bCs w:val="0"/>
          <w:color w:val="auto"/>
        </w:rPr>
        <w:t>1月</w:t>
      </w:r>
      <w:r>
        <w:rPr>
          <w:rFonts w:hint="eastAsia" w:hAnsi="Times New Roman" w:eastAsiaTheme="minorEastAsia"/>
          <w:b w:val="0"/>
          <w:bCs w:val="0"/>
          <w:color w:val="auto"/>
        </w:rPr>
        <w:t>1</w:t>
      </w:r>
      <w:r>
        <w:rPr>
          <w:rFonts w:hAnsi="Times New Roman" w:eastAsiaTheme="minorEastAsia"/>
          <w:b w:val="0"/>
          <w:bCs w:val="0"/>
          <w:color w:val="auto"/>
        </w:rPr>
        <w:t>日实施）（含2018年修改），</w:t>
      </w:r>
      <w:r>
        <w:rPr>
          <w:rFonts w:hAnsi="Times New Roman" w:eastAsiaTheme="minorEastAsia"/>
          <w:b w:val="0"/>
          <w:bCs w:val="0"/>
          <w:color w:val="auto"/>
          <w:u w:val="single"/>
        </w:rPr>
        <w:t>本项目属于“四十九、卫生”——“841医院中</w:t>
      </w:r>
      <w:r>
        <w:rPr>
          <w:rFonts w:hint="eastAsia" w:hAnsi="Times New Roman" w:eastAsiaTheme="minorEastAsia"/>
          <w:b w:val="0"/>
          <w:bCs w:val="0"/>
          <w:color w:val="auto"/>
          <w:u w:val="single"/>
        </w:rPr>
        <w:t>新建、扩建住院床位500张及以上的</w:t>
      </w:r>
      <w:r>
        <w:rPr>
          <w:rFonts w:hAnsi="Times New Roman" w:eastAsiaTheme="minorEastAsia"/>
          <w:b w:val="0"/>
          <w:bCs w:val="0"/>
          <w:color w:val="auto"/>
          <w:u w:val="single"/>
        </w:rPr>
        <w:t>”，</w:t>
      </w:r>
      <w:r>
        <w:rPr>
          <w:rFonts w:hAnsi="Times New Roman" w:eastAsiaTheme="minorEastAsia"/>
          <w:b w:val="0"/>
          <w:bCs w:val="0"/>
          <w:color w:val="auto"/>
        </w:rPr>
        <w:t>应编制环境影响报告书。受湘阴县中医院委托，</w:t>
      </w:r>
      <w:bookmarkStart w:id="17" w:name="_Hlk60258463"/>
      <w:r>
        <w:rPr>
          <w:rFonts w:hAnsi="Times New Roman" w:eastAsiaTheme="minorEastAsia"/>
          <w:b w:val="0"/>
          <w:bCs w:val="0"/>
          <w:color w:val="auto"/>
        </w:rPr>
        <w:t>北京国环益达环保技术有限公司</w:t>
      </w:r>
      <w:bookmarkEnd w:id="17"/>
      <w:r>
        <w:rPr>
          <w:rFonts w:hAnsi="Times New Roman" w:eastAsiaTheme="minorEastAsia"/>
          <w:b w:val="0"/>
          <w:bCs w:val="0"/>
          <w:color w:val="auto"/>
        </w:rPr>
        <w:t>承担了本项目环境影响报告书的编制工作。我公司接受委托后，在开展了现场踏勘、资料收集、现状监测等工作的基础上，按照相关环境影响评价技术导则的要求编制完成本项目环境影响报告书。</w:t>
      </w:r>
    </w:p>
    <w:p>
      <w:pPr>
        <w:pStyle w:val="818"/>
        <w:wordWrap/>
        <w:snapToGrid w:val="0"/>
        <w:ind w:firstLine="480"/>
        <w:rPr>
          <w:rFonts w:hAnsi="Times New Roman" w:eastAsiaTheme="minorEastAsia"/>
          <w:b w:val="0"/>
          <w:bCs w:val="0"/>
          <w:color w:val="auto"/>
        </w:rPr>
      </w:pPr>
      <w:r>
        <w:rPr>
          <w:rFonts w:hAnsi="Times New Roman" w:eastAsiaTheme="minorEastAsia"/>
          <w:b w:val="0"/>
          <w:bCs w:val="0"/>
          <w:color w:val="auto"/>
        </w:rPr>
        <w:t>本项目涉及的放射性医疗设备的环境评价由建设单位另行委托专业单位承担，不属于本报告书的评价内容。</w:t>
      </w:r>
    </w:p>
    <w:p>
      <w:pPr>
        <w:pStyle w:val="3"/>
        <w:snapToGrid w:val="0"/>
        <w:spacing w:before="0" w:after="0" w:line="360" w:lineRule="auto"/>
        <w:rPr>
          <w:rFonts w:ascii="Times New Roman" w:hAnsi="Times New Roman" w:eastAsiaTheme="minorEastAsia"/>
          <w:sz w:val="28"/>
          <w:lang w:val="zh-CN"/>
        </w:rPr>
      </w:pPr>
      <w:bookmarkStart w:id="18" w:name="_Toc61026579"/>
      <w:r>
        <w:rPr>
          <w:rFonts w:ascii="Times New Roman" w:hAnsi="Times New Roman" w:eastAsiaTheme="minorEastAsia"/>
          <w:sz w:val="28"/>
          <w:lang w:val="zh-CN"/>
        </w:rPr>
        <w:t>1.2 建设项目特点</w:t>
      </w:r>
      <w:bookmarkEnd w:id="18"/>
    </w:p>
    <w:p>
      <w:pPr>
        <w:pStyle w:val="818"/>
        <w:wordWrap/>
        <w:snapToGrid w:val="0"/>
        <w:ind w:firstLine="480"/>
        <w:rPr>
          <w:rFonts w:hAnsi="Times New Roman" w:eastAsiaTheme="minorEastAsia"/>
          <w:b w:val="0"/>
          <w:bCs w:val="0"/>
          <w:color w:val="auto"/>
        </w:rPr>
      </w:pPr>
      <w:r>
        <w:rPr>
          <w:rFonts w:hAnsi="Times New Roman" w:eastAsiaTheme="minorEastAsia"/>
          <w:b w:val="0"/>
          <w:bCs w:val="0"/>
          <w:color w:val="auto"/>
        </w:rPr>
        <w:t>（1）湘阴县中医院创建于1953年，系一所集医疗、急救、预防保健、教学、康复于一体的具有中医特色的综合性二级甲等医院，也是湘阴县县城镇职工居民医保、生育、商业保险、工伤保险和新农合定点医疗机构，更是湘阴县首家联网中南大学湘雅医院远程医疗中心开展远程教学和远程会诊单位。</w:t>
      </w:r>
    </w:p>
    <w:p>
      <w:pPr>
        <w:pStyle w:val="818"/>
        <w:wordWrap/>
        <w:snapToGrid w:val="0"/>
        <w:ind w:firstLine="480"/>
        <w:rPr>
          <w:rFonts w:hAnsi="Times New Roman" w:eastAsiaTheme="minorEastAsia"/>
          <w:b w:val="0"/>
          <w:bCs w:val="0"/>
          <w:color w:val="auto"/>
        </w:rPr>
      </w:pPr>
      <w:r>
        <w:rPr>
          <w:rFonts w:hAnsi="Times New Roman" w:eastAsiaTheme="minorEastAsia"/>
          <w:b w:val="0"/>
          <w:bCs w:val="0"/>
          <w:color w:val="auto"/>
        </w:rPr>
        <w:t>（2）本项目为迁建项目，现</w:t>
      </w:r>
      <w:r>
        <w:rPr>
          <w:rFonts w:hAnsi="Times New Roman" w:eastAsiaTheme="minorEastAsia"/>
          <w:b w:val="0"/>
          <w:color w:val="auto"/>
        </w:rPr>
        <w:t>湘阴县中医院位于湘阴县文星镇弼时街，用地面积紧张、交通压力大。本项目的实施能很大程度上缓解湘阴县人民群众对医疗卫生服务需求。待本项目实施后，湘阴县中医院搬迁至湘阴县文星镇先锋路69号（县人民医院旧址）。</w:t>
      </w:r>
    </w:p>
    <w:p>
      <w:pPr>
        <w:pStyle w:val="3"/>
        <w:snapToGrid w:val="0"/>
        <w:spacing w:before="0" w:after="0" w:line="360" w:lineRule="auto"/>
        <w:rPr>
          <w:rFonts w:ascii="Times New Roman" w:hAnsi="Times New Roman" w:eastAsiaTheme="minorEastAsia"/>
          <w:sz w:val="28"/>
          <w:lang w:val="zh-CN"/>
        </w:rPr>
      </w:pPr>
      <w:bookmarkStart w:id="19" w:name="_Toc61026580"/>
      <w:r>
        <w:rPr>
          <w:rFonts w:ascii="Times New Roman" w:hAnsi="Times New Roman" w:eastAsiaTheme="minorEastAsia"/>
          <w:sz w:val="28"/>
          <w:lang w:val="zh-CN"/>
        </w:rPr>
        <w:t>1.3 环境影响评价工作过程</w:t>
      </w:r>
      <w:bookmarkEnd w:id="19"/>
    </w:p>
    <w:p>
      <w:pPr>
        <w:snapToGrid w:val="0"/>
        <w:spacing w:line="360" w:lineRule="auto"/>
        <w:ind w:firstLine="480" w:firstLineChars="200"/>
        <w:rPr>
          <w:rFonts w:eastAsiaTheme="minorEastAsia"/>
          <w:sz w:val="24"/>
        </w:rPr>
      </w:pPr>
      <w:r>
        <w:rPr>
          <w:rFonts w:eastAsiaTheme="minorEastAsia"/>
          <w:sz w:val="24"/>
        </w:rPr>
        <w:t>根据《建设项目环境影响评价技术导则总纲》（HJ2.1－2016）等相关技术规范的要求，本项目环境影响评价的工作过程及程序见图1.3-1。</w:t>
      </w:r>
    </w:p>
    <w:p>
      <w:pPr>
        <w:adjustRightInd w:val="0"/>
        <w:snapToGrid w:val="0"/>
        <w:spacing w:line="360" w:lineRule="auto"/>
        <w:jc w:val="center"/>
        <w:rPr>
          <w:rFonts w:eastAsiaTheme="minorEastAsia"/>
          <w:b/>
          <w:sz w:val="24"/>
        </w:rPr>
      </w:pPr>
      <w:r>
        <w:rPr>
          <w:rFonts w:eastAsiaTheme="minorEastAsia"/>
          <w:szCs w:val="21"/>
        </w:rPr>
        <w:drawing>
          <wp:inline distT="0" distB="0" distL="0" distR="0">
            <wp:extent cx="5278755" cy="5047615"/>
            <wp:effectExtent l="0" t="0" r="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8755" cy="5047615"/>
                    </a:xfrm>
                    <a:prstGeom prst="rect">
                      <a:avLst/>
                    </a:prstGeom>
                    <a:noFill/>
                    <a:ln>
                      <a:noFill/>
                    </a:ln>
                  </pic:spPr>
                </pic:pic>
              </a:graphicData>
            </a:graphic>
          </wp:inline>
        </w:drawing>
      </w:r>
    </w:p>
    <w:p>
      <w:pPr>
        <w:adjustRightInd w:val="0"/>
        <w:snapToGrid w:val="0"/>
        <w:spacing w:line="360" w:lineRule="auto"/>
        <w:jc w:val="center"/>
        <w:rPr>
          <w:rFonts w:eastAsiaTheme="minorEastAsia"/>
          <w:szCs w:val="21"/>
        </w:rPr>
      </w:pPr>
      <w:r>
        <w:rPr>
          <w:rFonts w:eastAsiaTheme="minorEastAsia"/>
          <w:b/>
          <w:sz w:val="24"/>
        </w:rPr>
        <w:t>图1.3-1  环境影响评价的工作程序图</w:t>
      </w:r>
    </w:p>
    <w:p>
      <w:pPr>
        <w:pStyle w:val="3"/>
        <w:snapToGrid w:val="0"/>
        <w:spacing w:before="0" w:after="0" w:line="360" w:lineRule="auto"/>
        <w:rPr>
          <w:rFonts w:ascii="Times New Roman" w:hAnsi="Times New Roman" w:eastAsiaTheme="minorEastAsia"/>
          <w:sz w:val="28"/>
          <w:lang w:val="zh-CN"/>
        </w:rPr>
      </w:pPr>
      <w:bookmarkStart w:id="20" w:name="_Toc61026581"/>
      <w:bookmarkStart w:id="21" w:name="_Toc514100599"/>
      <w:r>
        <w:rPr>
          <w:rFonts w:ascii="Times New Roman" w:hAnsi="Times New Roman" w:eastAsiaTheme="minorEastAsia"/>
          <w:sz w:val="28"/>
          <w:lang w:val="zh-CN"/>
        </w:rPr>
        <w:t>1.4 产业政策、相关规划及环境功能区划</w:t>
      </w:r>
      <w:bookmarkEnd w:id="20"/>
      <w:bookmarkEnd w:id="21"/>
    </w:p>
    <w:p>
      <w:pPr>
        <w:pStyle w:val="4"/>
        <w:snapToGrid w:val="0"/>
        <w:spacing w:before="0" w:after="0" w:line="360" w:lineRule="auto"/>
        <w:rPr>
          <w:rFonts w:eastAsiaTheme="minorEastAsia"/>
          <w:sz w:val="24"/>
        </w:rPr>
      </w:pPr>
      <w:r>
        <w:rPr>
          <w:rFonts w:eastAsiaTheme="minorEastAsia"/>
          <w:kern w:val="0"/>
          <w:sz w:val="24"/>
        </w:rPr>
        <w:t>1.4.1 产业政策符合性分析</w:t>
      </w:r>
    </w:p>
    <w:p>
      <w:pPr>
        <w:snapToGrid w:val="0"/>
        <w:spacing w:line="360" w:lineRule="auto"/>
        <w:ind w:firstLine="480" w:firstLineChars="200"/>
        <w:jc w:val="left"/>
        <w:rPr>
          <w:rFonts w:eastAsiaTheme="minorEastAsia"/>
          <w:sz w:val="24"/>
        </w:rPr>
      </w:pPr>
      <w:r>
        <w:rPr>
          <w:rFonts w:eastAsiaTheme="minorEastAsia"/>
          <w:sz w:val="24"/>
        </w:rPr>
        <w:t>本项目属于医疗卫生机构的建设，根据</w:t>
      </w:r>
      <w:r>
        <w:rPr>
          <w:rFonts w:hint="eastAsia" w:eastAsiaTheme="minorEastAsia"/>
          <w:sz w:val="24"/>
        </w:rPr>
        <w:t>《产业结构调整指导目录（2019年本）》</w:t>
      </w:r>
      <w:r>
        <w:rPr>
          <w:rFonts w:eastAsiaTheme="minorEastAsia"/>
          <w:sz w:val="24"/>
        </w:rPr>
        <w:t>，本项目为鼓励类“第三十六、教育、文化、卫生、体育服务业”中的“29、医疗卫生服务设施建设”，符合国家产业政策。</w:t>
      </w:r>
    </w:p>
    <w:p>
      <w:pPr>
        <w:snapToGrid w:val="0"/>
        <w:spacing w:line="360" w:lineRule="auto"/>
        <w:ind w:firstLine="480" w:firstLineChars="200"/>
        <w:jc w:val="left"/>
        <w:rPr>
          <w:rFonts w:eastAsiaTheme="minorEastAsia"/>
          <w:sz w:val="24"/>
          <w:u w:val="single"/>
        </w:rPr>
      </w:pPr>
      <w:r>
        <w:rPr>
          <w:rFonts w:hint="eastAsia" w:eastAsiaTheme="minorEastAsia"/>
          <w:sz w:val="24"/>
          <w:u w:val="single"/>
        </w:rPr>
        <w:t>我国国民经济和社会发展的十三五规划是全面建设小康社会进程中的重要规划，提出符合我国国情、顺应时代、凝聚人民意志的发展目标，指导方针和总体部署。根据规划的“推进社会主义和谐社会建设篇章”，提出了提高人民健康水平、加大政府投入力度，加快发展医疗卫生事业，认真解决群众看病难、看病贵问题。</w:t>
      </w:r>
    </w:p>
    <w:p>
      <w:pPr>
        <w:snapToGrid w:val="0"/>
        <w:spacing w:line="360" w:lineRule="auto"/>
        <w:ind w:firstLine="480" w:firstLineChars="200"/>
        <w:jc w:val="left"/>
        <w:rPr>
          <w:rFonts w:eastAsiaTheme="minorEastAsia"/>
          <w:sz w:val="24"/>
          <w:u w:val="single"/>
        </w:rPr>
      </w:pPr>
      <w:r>
        <w:rPr>
          <w:rFonts w:hint="eastAsia" w:eastAsiaTheme="minorEastAsia"/>
          <w:sz w:val="24"/>
          <w:u w:val="single"/>
        </w:rPr>
        <w:t>本项目的建设将进一步完善湘阴县的医疗配套设施建设，为湘阴县的卫生健康提供医疗服务，满足人民群众对医疗设施的需求，因此本项目建设与国家发展规划是相符的。</w:t>
      </w:r>
    </w:p>
    <w:p>
      <w:pPr>
        <w:pStyle w:val="4"/>
        <w:snapToGrid w:val="0"/>
        <w:spacing w:before="0" w:after="0" w:line="360" w:lineRule="auto"/>
        <w:rPr>
          <w:rFonts w:eastAsiaTheme="minorEastAsia"/>
          <w:sz w:val="24"/>
        </w:rPr>
      </w:pPr>
      <w:r>
        <w:rPr>
          <w:rFonts w:eastAsiaTheme="minorEastAsia"/>
          <w:kern w:val="0"/>
          <w:sz w:val="24"/>
        </w:rPr>
        <w:t>1.4.2 选址合理性分析</w:t>
      </w:r>
    </w:p>
    <w:p>
      <w:pPr>
        <w:snapToGrid w:val="0"/>
        <w:spacing w:line="360" w:lineRule="auto"/>
        <w:ind w:firstLine="482" w:firstLineChars="200"/>
        <w:jc w:val="left"/>
        <w:rPr>
          <w:rFonts w:eastAsiaTheme="minorEastAsia"/>
          <w:b/>
          <w:sz w:val="24"/>
        </w:rPr>
      </w:pPr>
      <w:r>
        <w:rPr>
          <w:rFonts w:eastAsiaTheme="minorEastAsia"/>
          <w:b/>
          <w:sz w:val="24"/>
        </w:rPr>
        <w:t>（1）与《湘阴县总体布局规划》（2009-2030）相符性</w:t>
      </w:r>
    </w:p>
    <w:p>
      <w:pPr>
        <w:snapToGrid w:val="0"/>
        <w:spacing w:line="360" w:lineRule="auto"/>
        <w:ind w:firstLine="480" w:firstLineChars="200"/>
        <w:jc w:val="left"/>
        <w:rPr>
          <w:rFonts w:eastAsiaTheme="minorEastAsia"/>
          <w:sz w:val="24"/>
        </w:rPr>
      </w:pPr>
      <w:r>
        <w:rPr>
          <w:rFonts w:eastAsiaTheme="minorEastAsia"/>
          <w:bCs/>
          <w:sz w:val="24"/>
        </w:rPr>
        <w:t>搬迁后，</w:t>
      </w:r>
      <w:r>
        <w:rPr>
          <w:rFonts w:eastAsiaTheme="minorEastAsia"/>
          <w:sz w:val="24"/>
        </w:rPr>
        <w:t>本项目选址位于湘阴县文星镇先锋路69 号（县人民医院旧址），项目东侧紧邻先锋路，西侧紧邻建新路，建新路直接连接至滨江路，交通相对便利。此外，项目西侧约260m为湘江，环境相对较好。项目选址周边无工业污染，交通便利，环境较好。根据《湘阴县总体布局规划》（2009-2030），本项目用地为医疗卫生用地，不属于居住用地、基本农田、自然保护区等非建设区，符合土地利用规划。</w:t>
      </w:r>
    </w:p>
    <w:p>
      <w:pPr>
        <w:snapToGrid w:val="0"/>
        <w:spacing w:line="360" w:lineRule="auto"/>
        <w:ind w:firstLine="482" w:firstLineChars="200"/>
        <w:jc w:val="left"/>
        <w:rPr>
          <w:rFonts w:eastAsiaTheme="minorEastAsia"/>
          <w:b/>
          <w:sz w:val="24"/>
        </w:rPr>
      </w:pPr>
      <w:r>
        <w:rPr>
          <w:rFonts w:eastAsiaTheme="minorEastAsia"/>
          <w:b/>
          <w:sz w:val="24"/>
        </w:rPr>
        <w:t>（2）与《综合医院建设标准》（建标 110-2008）相符性</w:t>
      </w:r>
    </w:p>
    <w:p>
      <w:pPr>
        <w:snapToGrid w:val="0"/>
        <w:spacing w:line="360" w:lineRule="auto"/>
        <w:ind w:firstLine="480" w:firstLineChars="200"/>
        <w:jc w:val="left"/>
        <w:rPr>
          <w:rFonts w:eastAsiaTheme="minorEastAsia"/>
          <w:sz w:val="24"/>
        </w:rPr>
      </w:pPr>
      <w:r>
        <w:rPr>
          <w:rFonts w:eastAsiaTheme="minorEastAsia"/>
          <w:sz w:val="24"/>
        </w:rPr>
        <w:t>根据《综合医院建设标准》（建标 110-2008）的要求，项目的选址应满足医院功能与环境的要求，院址应选址在患者就医方便、环境安静、地形比较规整、工程水文地质条件较好的位置，并尽可能充分利用城市基础设施，应避开污染源和易燃易爆物的生产、贮存场所。本项目周边以居住、商业为主、无大型工厂及大的废气污染源、无易燃易爆物的生产贮存场所；项目所在地环境较为安静，适合患者休养和治疗；项目东侧紧邻先锋路，西侧紧邻建新路，交通便利；项目所在区域交通、供水、供电等配套城市公用设施建设完善，地理位置优越，符合《综合医院建设标准》相关选址要求。</w:t>
      </w:r>
    </w:p>
    <w:p>
      <w:pPr>
        <w:snapToGrid w:val="0"/>
        <w:spacing w:line="360" w:lineRule="auto"/>
        <w:ind w:firstLine="480" w:firstLineChars="200"/>
        <w:jc w:val="left"/>
        <w:rPr>
          <w:rFonts w:eastAsiaTheme="minorEastAsia"/>
          <w:color w:val="FF0000"/>
          <w:sz w:val="24"/>
        </w:rPr>
      </w:pPr>
      <w:r>
        <w:rPr>
          <w:rFonts w:eastAsiaTheme="minorEastAsia"/>
          <w:sz w:val="24"/>
        </w:rPr>
        <w:t>综上所述，项目拟建地为医疗卫生用地，符合土地利用规划，选址周边无工业污染，交通便利，环境较好，符合《综合医院建设标准》（建标110-2008）的要求，项目选址合理可行。</w:t>
      </w:r>
    </w:p>
    <w:p>
      <w:pPr>
        <w:pStyle w:val="4"/>
        <w:snapToGrid w:val="0"/>
        <w:spacing w:before="0" w:after="0" w:line="360" w:lineRule="auto"/>
        <w:rPr>
          <w:rFonts w:eastAsiaTheme="minorEastAsia"/>
          <w:kern w:val="0"/>
          <w:sz w:val="24"/>
        </w:rPr>
      </w:pPr>
      <w:r>
        <w:rPr>
          <w:rFonts w:eastAsiaTheme="minorEastAsia"/>
          <w:kern w:val="0"/>
          <w:sz w:val="24"/>
        </w:rPr>
        <w:t>1.4.3 “三线一单”符合性分析</w:t>
      </w:r>
    </w:p>
    <w:p>
      <w:pPr>
        <w:adjustRightInd w:val="0"/>
        <w:snapToGrid w:val="0"/>
        <w:spacing w:line="360" w:lineRule="auto"/>
        <w:ind w:firstLine="480" w:firstLineChars="200"/>
        <w:rPr>
          <w:rFonts w:eastAsiaTheme="minorEastAsia"/>
          <w:sz w:val="24"/>
        </w:rPr>
      </w:pPr>
      <w:r>
        <w:rPr>
          <w:rFonts w:eastAsiaTheme="minorEastAsia"/>
          <w:sz w:val="24"/>
        </w:rPr>
        <w:t>（1）生态保护红线</w:t>
      </w:r>
    </w:p>
    <w:p>
      <w:pPr>
        <w:adjustRightInd w:val="0"/>
        <w:snapToGrid w:val="0"/>
        <w:spacing w:line="360" w:lineRule="auto"/>
        <w:ind w:firstLine="480" w:firstLineChars="200"/>
        <w:rPr>
          <w:rFonts w:eastAsiaTheme="minorEastAsia"/>
          <w:sz w:val="24"/>
        </w:rPr>
      </w:pPr>
      <w:r>
        <w:rPr>
          <w:rFonts w:eastAsiaTheme="minorEastAsia"/>
          <w:sz w:val="24"/>
        </w:rPr>
        <w:t>根据《生态保护红线划定指南（环办生态[2017]48号）》，2018年7月26日，湖南省环保厅印发了《湖南省生态保护红线》。全省生态保护红线空间格局为“一湖三山四水”：“一湖”为洞庭湖(主要包括东洞庭湖、南洞庭湖、横岭湖、西洞庭湖等自然保护区和长江岸线)，“三山”为武陵-雪峰山脉、罗霄-幕阜山脉、南岭山脉，“四湖”为湘资沅澧(湘江、资水、沅江、澧水)的源头区及重要水域。本项目不在湖南省生态保护红线范围内。从选址上符合湖南省生态保护红线的相关要求。</w:t>
      </w:r>
    </w:p>
    <w:p>
      <w:pPr>
        <w:adjustRightInd w:val="0"/>
        <w:snapToGrid w:val="0"/>
        <w:spacing w:line="360" w:lineRule="auto"/>
        <w:ind w:firstLine="480" w:firstLineChars="200"/>
        <w:rPr>
          <w:rFonts w:eastAsiaTheme="minorEastAsia"/>
          <w:sz w:val="24"/>
        </w:rPr>
      </w:pPr>
      <w:r>
        <w:rPr>
          <w:rFonts w:eastAsiaTheme="minorEastAsia"/>
          <w:sz w:val="24"/>
        </w:rPr>
        <w:t>（2）环境质量底线</w:t>
      </w:r>
    </w:p>
    <w:p>
      <w:pPr>
        <w:adjustRightInd w:val="0"/>
        <w:snapToGrid w:val="0"/>
        <w:spacing w:line="360" w:lineRule="auto"/>
        <w:ind w:firstLine="480" w:firstLineChars="200"/>
        <w:rPr>
          <w:rFonts w:eastAsiaTheme="minorEastAsia"/>
          <w:sz w:val="24"/>
        </w:rPr>
      </w:pPr>
      <w:r>
        <w:rPr>
          <w:rFonts w:eastAsiaTheme="minorEastAsia"/>
          <w:sz w:val="24"/>
        </w:rPr>
        <w:t>项目以实测和资料收集相结合的方式，评价了项目所在区域的环境质量现状。</w:t>
      </w:r>
    </w:p>
    <w:p>
      <w:pPr>
        <w:adjustRightInd w:val="0"/>
        <w:snapToGrid w:val="0"/>
        <w:spacing w:line="360" w:lineRule="auto"/>
        <w:ind w:firstLine="480" w:firstLineChars="200"/>
        <w:rPr>
          <w:rFonts w:eastAsiaTheme="minorEastAsia"/>
          <w:sz w:val="24"/>
        </w:rPr>
      </w:pPr>
      <w:r>
        <w:rPr>
          <w:rFonts w:eastAsiaTheme="minorEastAsia"/>
          <w:sz w:val="24"/>
        </w:rPr>
        <w:t>根据2019年湘阴县环境空气质量公告中湘阴县环境空气质量数据可知，湘阴县PM</w:t>
      </w:r>
      <w:r>
        <w:rPr>
          <w:rFonts w:eastAsiaTheme="minorEastAsia"/>
          <w:sz w:val="24"/>
          <w:vertAlign w:val="subscript"/>
        </w:rPr>
        <w:t>10</w:t>
      </w:r>
      <w:r>
        <w:rPr>
          <w:rFonts w:eastAsiaTheme="minorEastAsia"/>
          <w:sz w:val="24"/>
        </w:rPr>
        <w:t>、SO</w:t>
      </w:r>
      <w:r>
        <w:rPr>
          <w:rFonts w:eastAsiaTheme="minorEastAsia"/>
          <w:sz w:val="24"/>
          <w:vertAlign w:val="subscript"/>
        </w:rPr>
        <w:t>2</w:t>
      </w:r>
      <w:r>
        <w:rPr>
          <w:rFonts w:eastAsiaTheme="minorEastAsia"/>
          <w:sz w:val="24"/>
        </w:rPr>
        <w:t>、NO</w:t>
      </w:r>
      <w:r>
        <w:rPr>
          <w:rFonts w:eastAsiaTheme="minorEastAsia"/>
          <w:sz w:val="24"/>
          <w:vertAlign w:val="subscript"/>
        </w:rPr>
        <w:t>2</w:t>
      </w:r>
      <w:r>
        <w:rPr>
          <w:rFonts w:eastAsiaTheme="minorEastAsia"/>
          <w:sz w:val="24"/>
        </w:rPr>
        <w:t>平均质量浓度和CO 95百分数日平均质量浓度、O</w:t>
      </w:r>
      <w:r>
        <w:rPr>
          <w:rFonts w:eastAsiaTheme="minorEastAsia"/>
          <w:sz w:val="24"/>
          <w:vertAlign w:val="subscript"/>
        </w:rPr>
        <w:t>3</w:t>
      </w:r>
      <w:r>
        <w:rPr>
          <w:rFonts w:eastAsiaTheme="minorEastAsia"/>
          <w:sz w:val="24"/>
        </w:rPr>
        <w:t xml:space="preserve"> 90百分位数最大8小时平均质量浓度可达到《环境空气质量标准》（GB3095-2012）中二级标准。PM</w:t>
      </w:r>
      <w:r>
        <w:rPr>
          <w:rFonts w:eastAsiaTheme="minorEastAsia"/>
          <w:sz w:val="24"/>
          <w:vertAlign w:val="subscript"/>
        </w:rPr>
        <w:t>2.5</w:t>
      </w:r>
      <w:r>
        <w:rPr>
          <w:rFonts w:eastAsiaTheme="minorEastAsia"/>
          <w:sz w:val="24"/>
        </w:rPr>
        <w:t>年平均质量浓度尚未达到《环境空气质量标准》（GB3095-2012）中的二级标准，由此可知，项目所在区域为环境空气质量不达标区。由于本项目迁建前后均在湘阴县城内，且直线距离仅为600m左右，因此在迁建前后两地进行布点监测，以评价区域氨、硫化氢等因子空气环境质量。从现场监测数据上看，本项目评价范围内各监测点中氨、硫化氢能满足《环境影响评价技术导则—大气环境》（HJ2.2-2018）附录D：其他污染物空气质量浓度参考限值要求。本项目大气环境评价因子为氨、硫化氢，项目产生的废气经收集处理后均能达标排放，不会导致当地的区域环境空气质量下降，区域环境质量基本能维持现状。</w:t>
      </w:r>
    </w:p>
    <w:p>
      <w:pPr>
        <w:adjustRightInd w:val="0"/>
        <w:snapToGrid w:val="0"/>
        <w:spacing w:line="360" w:lineRule="auto"/>
        <w:ind w:firstLine="480" w:firstLineChars="200"/>
        <w:rPr>
          <w:rFonts w:eastAsiaTheme="minorEastAsia"/>
          <w:sz w:val="24"/>
        </w:rPr>
      </w:pPr>
      <w:r>
        <w:rPr>
          <w:rFonts w:eastAsiaTheme="minorEastAsia"/>
          <w:sz w:val="24"/>
        </w:rPr>
        <w:t>本项目引用了湘阴县环境监测站对湘江设置的乌龙嘴断面的监测数据，根据监测结果表明湘江乌龙嘴断面的水质监测因子监测值均达到《地表水环境质量标准》（GB3838-2002）中的III类标准要求。本项目产生的废水经污水处理站处理后排入湘阴县第一污水处理厂，最终进入湘江，不会导致当地的区域地表水环境质量下降，污染物排放不会对区域环境质量底线造成冲击。</w:t>
      </w:r>
    </w:p>
    <w:p>
      <w:pPr>
        <w:adjustRightInd w:val="0"/>
        <w:snapToGrid w:val="0"/>
        <w:spacing w:line="360" w:lineRule="auto"/>
        <w:ind w:firstLine="480" w:firstLineChars="200"/>
        <w:rPr>
          <w:rFonts w:eastAsiaTheme="minorEastAsia"/>
          <w:sz w:val="24"/>
        </w:rPr>
      </w:pPr>
      <w:r>
        <w:rPr>
          <w:rFonts w:eastAsiaTheme="minorEastAsia"/>
          <w:sz w:val="24"/>
        </w:rPr>
        <w:t>因此，本项目的建设符合环境质量底线要求。</w:t>
      </w:r>
    </w:p>
    <w:p>
      <w:pPr>
        <w:adjustRightInd w:val="0"/>
        <w:snapToGrid w:val="0"/>
        <w:spacing w:line="360" w:lineRule="auto"/>
        <w:ind w:firstLine="480" w:firstLineChars="200"/>
        <w:rPr>
          <w:rFonts w:eastAsiaTheme="minorEastAsia"/>
          <w:sz w:val="24"/>
        </w:rPr>
      </w:pPr>
      <w:r>
        <w:rPr>
          <w:rFonts w:eastAsiaTheme="minorEastAsia"/>
          <w:sz w:val="24"/>
        </w:rPr>
        <w:t>（3）资源利用上线</w:t>
      </w:r>
    </w:p>
    <w:p>
      <w:pPr>
        <w:adjustRightInd w:val="0"/>
        <w:snapToGrid w:val="0"/>
        <w:spacing w:line="360" w:lineRule="auto"/>
        <w:ind w:firstLine="480" w:firstLineChars="200"/>
        <w:rPr>
          <w:rFonts w:eastAsiaTheme="minorEastAsia"/>
          <w:sz w:val="24"/>
        </w:rPr>
      </w:pPr>
      <w:r>
        <w:rPr>
          <w:rFonts w:eastAsiaTheme="minorEastAsia"/>
          <w:sz w:val="24"/>
        </w:rPr>
        <w:t>本项目为医院建设项目，以“治病救人”为主要职能，水、气等资源消耗量不大，同时项目提倡节能、节水，且区域电能和水资源丰富，因此，符合资源利用上线要求。</w:t>
      </w:r>
    </w:p>
    <w:p>
      <w:pPr>
        <w:adjustRightInd w:val="0"/>
        <w:snapToGrid w:val="0"/>
        <w:spacing w:line="360" w:lineRule="auto"/>
        <w:ind w:firstLine="480" w:firstLineChars="200"/>
        <w:rPr>
          <w:rFonts w:eastAsiaTheme="minorEastAsia"/>
          <w:sz w:val="24"/>
        </w:rPr>
      </w:pPr>
      <w:r>
        <w:rPr>
          <w:rFonts w:eastAsiaTheme="minorEastAsia"/>
          <w:sz w:val="24"/>
        </w:rPr>
        <w:t>（4）环境准入负面清单</w:t>
      </w:r>
    </w:p>
    <w:p>
      <w:pPr>
        <w:adjustRightInd w:val="0"/>
        <w:snapToGrid w:val="0"/>
        <w:spacing w:line="360" w:lineRule="auto"/>
        <w:ind w:firstLine="480" w:firstLineChars="200"/>
        <w:rPr>
          <w:rFonts w:eastAsiaTheme="minorEastAsia"/>
          <w:sz w:val="24"/>
        </w:rPr>
      </w:pPr>
      <w:r>
        <w:rPr>
          <w:rFonts w:eastAsiaTheme="minorEastAsia"/>
          <w:sz w:val="24"/>
        </w:rPr>
        <w:t>本项目为医院建设项目，有利于提高当地医疗条件，属于</w:t>
      </w:r>
      <w:r>
        <w:rPr>
          <w:rFonts w:hint="eastAsia" w:eastAsiaTheme="minorEastAsia"/>
          <w:sz w:val="24"/>
        </w:rPr>
        <w:t>《产业结构调整指导目录（2019年本）》中</w:t>
      </w:r>
      <w:r>
        <w:rPr>
          <w:rFonts w:eastAsiaTheme="minorEastAsia"/>
          <w:sz w:val="24"/>
        </w:rPr>
        <w:t>鼓励类：第三十六、教育、文化、卫生、体育服务业，29、医疗卫生服务设施建设，项目建设符合国家产业政策，符合土地利用规划，无明显的环境制约因素。因此项目不在环境准入负面清单范围内。</w:t>
      </w:r>
    </w:p>
    <w:p>
      <w:pPr>
        <w:adjustRightInd w:val="0"/>
        <w:snapToGrid w:val="0"/>
        <w:spacing w:line="360" w:lineRule="auto"/>
        <w:ind w:firstLine="480" w:firstLineChars="200"/>
        <w:rPr>
          <w:rFonts w:eastAsiaTheme="minorEastAsia"/>
          <w:sz w:val="24"/>
        </w:rPr>
      </w:pPr>
      <w:r>
        <w:rPr>
          <w:rFonts w:eastAsiaTheme="minorEastAsia"/>
          <w:sz w:val="24"/>
        </w:rPr>
        <w:t>综上所述，项目建设符合“三线一单”的相关要求。</w:t>
      </w:r>
    </w:p>
    <w:p>
      <w:pPr>
        <w:pStyle w:val="4"/>
        <w:snapToGrid w:val="0"/>
        <w:spacing w:before="0" w:after="0" w:line="360" w:lineRule="auto"/>
        <w:rPr>
          <w:rFonts w:eastAsiaTheme="minorEastAsia"/>
          <w:kern w:val="0"/>
          <w:sz w:val="24"/>
        </w:rPr>
      </w:pPr>
      <w:r>
        <w:rPr>
          <w:rFonts w:eastAsiaTheme="minorEastAsia"/>
          <w:kern w:val="0"/>
          <w:sz w:val="24"/>
        </w:rPr>
        <w:t>1.4.4 平面布局合理性分析</w:t>
      </w:r>
    </w:p>
    <w:p>
      <w:pPr>
        <w:snapToGrid w:val="0"/>
        <w:spacing w:line="360" w:lineRule="auto"/>
        <w:ind w:firstLine="480" w:firstLineChars="200"/>
        <w:jc w:val="left"/>
        <w:rPr>
          <w:rFonts w:eastAsiaTheme="minorEastAsia"/>
          <w:sz w:val="24"/>
        </w:rPr>
      </w:pPr>
      <w:r>
        <w:rPr>
          <w:rFonts w:eastAsiaTheme="minorEastAsia"/>
          <w:sz w:val="24"/>
        </w:rPr>
        <w:t>项目拟建地东侧紧邻先锋路，西侧紧邻建新路，建新路直接连接至滨江路。项目主出口位于地块南侧，项目至南朝北依次设置主出入口（西侧为停车位）、门急诊医技综合楼、住院大楼，</w:t>
      </w:r>
      <w:r>
        <w:rPr>
          <w:rFonts w:hint="eastAsia" w:eastAsiaTheme="minorEastAsia"/>
          <w:sz w:val="24"/>
        </w:rPr>
        <w:t>东</w:t>
      </w:r>
      <w:r>
        <w:rPr>
          <w:rFonts w:eastAsiaTheme="minorEastAsia"/>
          <w:sz w:val="24"/>
        </w:rPr>
        <w:t>侧为2#住宿楼、3#住宿楼、4#住宿楼、5#住宿楼，西南侧为8#住宿楼、9#住宿楼、10#住宿楼，西侧为食堂。</w:t>
      </w:r>
    </w:p>
    <w:p>
      <w:pPr>
        <w:snapToGrid w:val="0"/>
        <w:spacing w:line="360" w:lineRule="auto"/>
        <w:ind w:firstLine="480" w:firstLineChars="200"/>
        <w:jc w:val="left"/>
        <w:rPr>
          <w:rFonts w:eastAsiaTheme="minorEastAsia"/>
          <w:sz w:val="24"/>
        </w:rPr>
      </w:pPr>
      <w:r>
        <w:rPr>
          <w:rFonts w:eastAsiaTheme="minorEastAsia"/>
          <w:sz w:val="24"/>
        </w:rPr>
        <w:t>项目共设置4个车辆出入口，包括一个车辆出入口、两个人行出入口以及一个医院主出入口。其中车辆出入口以及人行出入口临近西侧建新路，医院主入口临近</w:t>
      </w:r>
      <w:r>
        <w:rPr>
          <w:rFonts w:hint="eastAsia" w:eastAsiaTheme="minorEastAsia"/>
          <w:sz w:val="24"/>
        </w:rPr>
        <w:t>东</w:t>
      </w:r>
      <w:r>
        <w:rPr>
          <w:rFonts w:eastAsiaTheme="minorEastAsia"/>
          <w:sz w:val="24"/>
        </w:rPr>
        <w:t xml:space="preserve">侧先锋路。医院主出入口主要用于病友及其他人员出入，该出入口左侧还建有一个立体车库，方便病人停车就医。项目西侧的车辆主要用于急诊车辆以及废物转运车辆的通行，可以避免大量车流人流拥堵影响。 </w:t>
      </w:r>
    </w:p>
    <w:p>
      <w:pPr>
        <w:snapToGrid w:val="0"/>
        <w:spacing w:line="360" w:lineRule="auto"/>
        <w:ind w:firstLine="480" w:firstLineChars="200"/>
        <w:jc w:val="left"/>
        <w:rPr>
          <w:rFonts w:eastAsiaTheme="minorEastAsia"/>
          <w:sz w:val="24"/>
          <w:u w:val="single"/>
        </w:rPr>
      </w:pPr>
      <w:r>
        <w:rPr>
          <w:rFonts w:eastAsiaTheme="minorEastAsia"/>
          <w:sz w:val="24"/>
          <w:u w:val="single"/>
        </w:rPr>
        <w:t>污水处理站设在项目西侧，属于院区主导风向的侧风向，污水处理站下风向距离最近的居民点滨江茗园约65m。污水处理站位于地势低洼处，便于污水收集。其污水处理站设施位置合理。</w:t>
      </w:r>
      <w:r>
        <w:rPr>
          <w:rFonts w:hint="eastAsia" w:eastAsiaTheme="minorEastAsia"/>
          <w:sz w:val="24"/>
          <w:u w:val="single"/>
        </w:rPr>
        <w:t>分别在污水处理站及住宿区建设化粪池1个，食堂废水及医护人员生活污水经化粪池处理后直接排放至湘阴县第一污水处理厂，以减轻污水处理站运行负荷。</w:t>
      </w:r>
    </w:p>
    <w:p>
      <w:pPr>
        <w:snapToGrid w:val="0"/>
        <w:spacing w:line="360" w:lineRule="auto"/>
        <w:ind w:firstLine="480" w:firstLineChars="200"/>
        <w:jc w:val="left"/>
        <w:rPr>
          <w:rFonts w:eastAsiaTheme="minorEastAsia"/>
          <w:sz w:val="24"/>
          <w:u w:val="single"/>
        </w:rPr>
      </w:pPr>
      <w:r>
        <w:rPr>
          <w:rFonts w:eastAsiaTheme="minorEastAsia"/>
          <w:sz w:val="24"/>
          <w:u w:val="single"/>
        </w:rPr>
        <w:t>医疗废物暂存间及生活垃圾暂存间均位于门诊大楼负一楼地下室内，收集后的医疗废物和生活垃圾经车行出口运出；本项目餐厅设置在住院大楼，餐厨垃圾经车行出口运出。医疗废物暂存间及生活垃圾暂存间位置合理。</w:t>
      </w:r>
    </w:p>
    <w:p>
      <w:pPr>
        <w:snapToGrid w:val="0"/>
        <w:spacing w:line="360" w:lineRule="auto"/>
        <w:ind w:firstLine="480" w:firstLineChars="200"/>
        <w:jc w:val="left"/>
        <w:rPr>
          <w:rFonts w:eastAsiaTheme="minorEastAsia"/>
          <w:sz w:val="24"/>
          <w:u w:val="single"/>
        </w:rPr>
      </w:pPr>
      <w:r>
        <w:rPr>
          <w:rFonts w:eastAsiaTheme="minorEastAsia"/>
          <w:sz w:val="24"/>
          <w:u w:val="single"/>
        </w:rPr>
        <w:t>备用柴油发电机共用一跟排烟竖井，此竖井位于门诊综合楼（高36.7m）北部，远离周边居民，备用柴油发电机产生的废气经收集后，引至住院楼顶高空排放。排烟竖井位置合理。</w:t>
      </w:r>
    </w:p>
    <w:p>
      <w:pPr>
        <w:snapToGrid w:val="0"/>
        <w:spacing w:line="360" w:lineRule="auto"/>
        <w:ind w:firstLine="480" w:firstLineChars="200"/>
        <w:jc w:val="left"/>
        <w:rPr>
          <w:rFonts w:eastAsiaTheme="minorEastAsia"/>
          <w:sz w:val="24"/>
        </w:rPr>
      </w:pPr>
      <w:r>
        <w:rPr>
          <w:rFonts w:eastAsiaTheme="minorEastAsia"/>
          <w:sz w:val="24"/>
        </w:rPr>
        <w:t>本项目总平面设计功能分区合理，各种流线组织清晰；洁污、医患、人车等路线清楚，避免了交叉感染；建筑布局紧凑，交通便捷，管理方便；减少能耗；最大可能保持可持续发展的空间；保证了住院部、手术部、功能检查部等处的环境安静。</w:t>
      </w:r>
    </w:p>
    <w:p>
      <w:pPr>
        <w:snapToGrid w:val="0"/>
        <w:spacing w:line="360" w:lineRule="auto"/>
        <w:ind w:firstLine="480" w:firstLineChars="200"/>
        <w:jc w:val="left"/>
        <w:rPr>
          <w:rFonts w:eastAsiaTheme="minorEastAsia"/>
          <w:sz w:val="24"/>
        </w:rPr>
      </w:pPr>
      <w:r>
        <w:rPr>
          <w:rFonts w:eastAsiaTheme="minorEastAsia"/>
          <w:sz w:val="24"/>
        </w:rPr>
        <w:t>综上所述，本项目总平面布局从各个方面体现了以人为本，注重生态环境、人文环境、绿色环保的理念，创造适合患者的医院环境，除能满足就医功能要求，还有利于患者安全及身心健康，医院平面布局合理可行。</w:t>
      </w:r>
    </w:p>
    <w:p>
      <w:pPr>
        <w:pStyle w:val="4"/>
        <w:snapToGrid w:val="0"/>
        <w:spacing w:before="0" w:after="0" w:line="360" w:lineRule="auto"/>
        <w:rPr>
          <w:rFonts w:eastAsiaTheme="minorEastAsia"/>
          <w:kern w:val="0"/>
          <w:sz w:val="24"/>
        </w:rPr>
      </w:pPr>
      <w:r>
        <w:rPr>
          <w:rFonts w:eastAsiaTheme="minorEastAsia"/>
          <w:kern w:val="0"/>
          <w:sz w:val="24"/>
        </w:rPr>
        <w:t>1.4.5 与产业政策的相符性分析</w:t>
      </w:r>
    </w:p>
    <w:p>
      <w:pPr>
        <w:snapToGrid w:val="0"/>
        <w:spacing w:line="360" w:lineRule="auto"/>
        <w:ind w:firstLine="480" w:firstLineChars="200"/>
        <w:jc w:val="left"/>
        <w:rPr>
          <w:rFonts w:eastAsiaTheme="minorEastAsia"/>
          <w:sz w:val="24"/>
        </w:rPr>
      </w:pPr>
      <w:r>
        <w:rPr>
          <w:rFonts w:eastAsiaTheme="minorEastAsia"/>
          <w:sz w:val="24"/>
        </w:rPr>
        <w:t>本项目为医疗项目建设，属于医疗卫生行业。</w:t>
      </w:r>
    </w:p>
    <w:p>
      <w:pPr>
        <w:snapToGrid w:val="0"/>
        <w:spacing w:line="360" w:lineRule="auto"/>
        <w:ind w:firstLine="480" w:firstLineChars="200"/>
        <w:jc w:val="left"/>
        <w:rPr>
          <w:rFonts w:eastAsiaTheme="minorEastAsia"/>
          <w:sz w:val="24"/>
        </w:rPr>
      </w:pPr>
      <w:r>
        <w:rPr>
          <w:rFonts w:eastAsiaTheme="minorEastAsia"/>
          <w:sz w:val="24"/>
        </w:rPr>
        <w:t>对照《产业结构调整指导目录（2019年本）》，本项目属于鼓励类第三十七条卫生健康第5项——医疗卫生服务设施建设，项目内使用设备不属于该《目录》中需要限制类、淘汰类目录产品。</w:t>
      </w:r>
    </w:p>
    <w:p>
      <w:pPr>
        <w:snapToGrid w:val="0"/>
        <w:spacing w:line="360" w:lineRule="auto"/>
        <w:ind w:firstLine="480" w:firstLineChars="200"/>
        <w:jc w:val="left"/>
        <w:rPr>
          <w:rFonts w:eastAsiaTheme="minorEastAsia"/>
          <w:sz w:val="24"/>
          <w:u w:val="single"/>
        </w:rPr>
      </w:pPr>
      <w:r>
        <w:rPr>
          <w:rFonts w:hint="eastAsia" w:eastAsiaTheme="minorEastAsia"/>
          <w:sz w:val="24"/>
          <w:u w:val="single"/>
        </w:rPr>
        <w:t>我国国民经济和社会发展的十三五规划是全面建设小康社会进程中的重要规划，提出符合我国国情、顺应时代、凝聚人民意志的发展目标，指导方针和总体部署。根据规划的“推进社会主义和谐社会建设篇章”，提出了提高人民健康水平、加大政府投入力度，加快发展医疗卫生事业，认真解决群众看病难、看病贵问题。</w:t>
      </w:r>
    </w:p>
    <w:p>
      <w:pPr>
        <w:snapToGrid w:val="0"/>
        <w:spacing w:line="360" w:lineRule="auto"/>
        <w:ind w:firstLine="480" w:firstLineChars="200"/>
        <w:jc w:val="left"/>
        <w:rPr>
          <w:rFonts w:eastAsiaTheme="minorEastAsia"/>
          <w:sz w:val="24"/>
        </w:rPr>
      </w:pPr>
      <w:r>
        <w:rPr>
          <w:rFonts w:hint="eastAsia" w:eastAsiaTheme="minorEastAsia"/>
          <w:sz w:val="24"/>
          <w:u w:val="single"/>
        </w:rPr>
        <w:t>本项目的建设将进一步完善湘阴县的医疗配套设施建设，为湘阴县的卫生健康提供医疗服务，满足人民群众对医疗设施的需求，因此本项目建设与国家发展规划是相符的。</w:t>
      </w:r>
    </w:p>
    <w:p>
      <w:pPr>
        <w:snapToGrid w:val="0"/>
        <w:spacing w:line="360" w:lineRule="auto"/>
        <w:ind w:firstLine="480" w:firstLineChars="200"/>
        <w:jc w:val="left"/>
        <w:rPr>
          <w:rFonts w:eastAsiaTheme="minorEastAsia"/>
          <w:sz w:val="24"/>
        </w:rPr>
      </w:pPr>
      <w:r>
        <w:rPr>
          <w:rFonts w:eastAsiaTheme="minorEastAsia"/>
          <w:sz w:val="24"/>
        </w:rPr>
        <w:t>综上可见，本项目的建设符合国家、湖南省的相关产业政策。</w:t>
      </w:r>
    </w:p>
    <w:p>
      <w:pPr>
        <w:pStyle w:val="4"/>
        <w:snapToGrid w:val="0"/>
        <w:spacing w:before="0" w:after="0" w:line="360" w:lineRule="auto"/>
        <w:rPr>
          <w:rFonts w:eastAsiaTheme="minorEastAsia"/>
          <w:kern w:val="0"/>
          <w:sz w:val="24"/>
        </w:rPr>
      </w:pPr>
      <w:r>
        <w:rPr>
          <w:rFonts w:eastAsiaTheme="minorEastAsia"/>
          <w:kern w:val="0"/>
          <w:sz w:val="24"/>
        </w:rPr>
        <w:t>1.4.6 周边环境可容纳性分析</w:t>
      </w:r>
    </w:p>
    <w:p>
      <w:pPr>
        <w:snapToGrid w:val="0"/>
        <w:spacing w:line="360" w:lineRule="auto"/>
        <w:ind w:firstLine="480" w:firstLineChars="200"/>
        <w:jc w:val="left"/>
        <w:rPr>
          <w:rFonts w:eastAsiaTheme="minorEastAsia"/>
          <w:sz w:val="24"/>
        </w:rPr>
      </w:pPr>
      <w:r>
        <w:rPr>
          <w:rFonts w:eastAsiaTheme="minorEastAsia"/>
          <w:sz w:val="24"/>
        </w:rPr>
        <w:t>本项目位于岳阳市湘阴县先锋路，西侧约300m为湘江，</w:t>
      </w:r>
      <w:r>
        <w:rPr>
          <w:rFonts w:hint="eastAsia" w:eastAsiaTheme="minorEastAsia"/>
          <w:sz w:val="24"/>
        </w:rPr>
        <w:t>东</w:t>
      </w:r>
      <w:r>
        <w:rPr>
          <w:rFonts w:eastAsiaTheme="minorEastAsia"/>
          <w:sz w:val="24"/>
        </w:rPr>
        <w:t>侧为湘阴县主干道先锋路，西侧为建新路。所处位置交通便利，区域供水、供电等市政配套设施完善。</w:t>
      </w:r>
    </w:p>
    <w:p>
      <w:pPr>
        <w:snapToGrid w:val="0"/>
        <w:spacing w:line="360" w:lineRule="auto"/>
        <w:ind w:firstLine="480" w:firstLineChars="200"/>
        <w:jc w:val="left"/>
        <w:rPr>
          <w:rFonts w:eastAsiaTheme="minorEastAsia"/>
          <w:sz w:val="24"/>
        </w:rPr>
      </w:pPr>
      <w:r>
        <w:rPr>
          <w:rFonts w:eastAsiaTheme="minorEastAsia"/>
          <w:sz w:val="24"/>
        </w:rPr>
        <w:t>项目周边主要分布为学校、居民住宅、商业等用地，在控制好交通噪声影响的情况下，外环境对本项目的影响很小，无制约本项目发展的因素。</w:t>
      </w:r>
    </w:p>
    <w:p>
      <w:pPr>
        <w:snapToGrid w:val="0"/>
        <w:spacing w:line="360" w:lineRule="auto"/>
        <w:ind w:firstLine="480" w:firstLineChars="200"/>
        <w:jc w:val="left"/>
        <w:rPr>
          <w:rFonts w:eastAsiaTheme="minorEastAsia"/>
          <w:sz w:val="24"/>
        </w:rPr>
      </w:pPr>
      <w:r>
        <w:rPr>
          <w:rFonts w:eastAsiaTheme="minorEastAsia"/>
          <w:sz w:val="24"/>
        </w:rPr>
        <w:t>通过影响分析章节分析结果，在落实各项污染防治措施的前提下，项目排放污染物对周边环境影响较小。</w:t>
      </w:r>
    </w:p>
    <w:p>
      <w:pPr>
        <w:snapToGrid w:val="0"/>
        <w:spacing w:line="360" w:lineRule="auto"/>
        <w:ind w:firstLine="480" w:firstLineChars="200"/>
        <w:jc w:val="left"/>
        <w:rPr>
          <w:rFonts w:eastAsiaTheme="minorEastAsia"/>
          <w:sz w:val="24"/>
        </w:rPr>
      </w:pPr>
      <w:r>
        <w:rPr>
          <w:rFonts w:eastAsiaTheme="minorEastAsia"/>
          <w:sz w:val="24"/>
        </w:rPr>
        <w:t>综上所述，本项目拟建地区域交通便利，位置优越，满足本项目的发展要求，项目建设符合区域用地规划，对周边环境的影响较小，本项目与周边环境可相容。</w:t>
      </w:r>
    </w:p>
    <w:p>
      <w:pPr>
        <w:pStyle w:val="3"/>
        <w:snapToGrid w:val="0"/>
        <w:spacing w:before="0" w:after="0" w:line="360" w:lineRule="auto"/>
        <w:rPr>
          <w:rFonts w:ascii="Times New Roman" w:hAnsi="Times New Roman" w:eastAsiaTheme="minorEastAsia"/>
          <w:sz w:val="28"/>
          <w:lang w:val="zh-CN"/>
        </w:rPr>
      </w:pPr>
      <w:bookmarkStart w:id="22" w:name="_Toc61026582"/>
      <w:r>
        <w:rPr>
          <w:rFonts w:ascii="Times New Roman" w:hAnsi="Times New Roman" w:eastAsiaTheme="minorEastAsia"/>
          <w:sz w:val="28"/>
          <w:lang w:val="zh-CN"/>
        </w:rPr>
        <w:t>1.5 关注的主要环境问题</w:t>
      </w:r>
      <w:bookmarkEnd w:id="22"/>
    </w:p>
    <w:p>
      <w:pPr>
        <w:snapToGrid w:val="0"/>
        <w:spacing w:line="360" w:lineRule="auto"/>
        <w:ind w:firstLine="480" w:firstLineChars="200"/>
        <w:rPr>
          <w:rFonts w:eastAsiaTheme="minorEastAsia"/>
          <w:sz w:val="24"/>
        </w:rPr>
      </w:pPr>
      <w:r>
        <w:rPr>
          <w:rFonts w:eastAsiaTheme="minorEastAsia"/>
          <w:sz w:val="24"/>
        </w:rPr>
        <w:t>本次评价主要关注的环境问题为以下几个方面：</w:t>
      </w:r>
    </w:p>
    <w:p>
      <w:pPr>
        <w:snapToGrid w:val="0"/>
        <w:spacing w:line="360" w:lineRule="auto"/>
        <w:ind w:firstLine="480" w:firstLineChars="200"/>
        <w:rPr>
          <w:rFonts w:eastAsiaTheme="minorEastAsia"/>
          <w:sz w:val="24"/>
        </w:rPr>
      </w:pPr>
      <w:r>
        <w:rPr>
          <w:rFonts w:eastAsiaTheme="minorEastAsia"/>
          <w:sz w:val="24"/>
        </w:rPr>
        <w:t>（1）项目污水处理站和生活垃圾暂存间产生的恶臭污染对周边环境的影响；</w:t>
      </w:r>
    </w:p>
    <w:p>
      <w:pPr>
        <w:snapToGrid w:val="0"/>
        <w:spacing w:line="360" w:lineRule="auto"/>
        <w:ind w:firstLine="480" w:firstLineChars="200"/>
        <w:rPr>
          <w:rFonts w:eastAsiaTheme="minorEastAsia"/>
          <w:sz w:val="24"/>
        </w:rPr>
      </w:pPr>
      <w:r>
        <w:rPr>
          <w:rFonts w:eastAsiaTheme="minorEastAsia"/>
          <w:sz w:val="24"/>
        </w:rPr>
        <w:t>（2）项目产生的废水处理及对周边环境的影响；</w:t>
      </w:r>
    </w:p>
    <w:p>
      <w:pPr>
        <w:snapToGrid w:val="0"/>
        <w:spacing w:line="360" w:lineRule="auto"/>
        <w:ind w:firstLine="480" w:firstLineChars="200"/>
        <w:rPr>
          <w:rFonts w:eastAsiaTheme="minorEastAsia"/>
          <w:sz w:val="24"/>
        </w:rPr>
      </w:pPr>
      <w:r>
        <w:rPr>
          <w:rFonts w:eastAsiaTheme="minorEastAsia"/>
          <w:sz w:val="24"/>
        </w:rPr>
        <w:t>（3）项目医疗废物的处理处置情况。</w:t>
      </w:r>
    </w:p>
    <w:p>
      <w:pPr>
        <w:snapToGrid w:val="0"/>
        <w:spacing w:line="360" w:lineRule="auto"/>
        <w:ind w:firstLine="480" w:firstLineChars="200"/>
        <w:rPr>
          <w:rFonts w:eastAsiaTheme="minorEastAsia"/>
          <w:sz w:val="24"/>
        </w:rPr>
      </w:pPr>
      <w:r>
        <w:rPr>
          <w:rFonts w:eastAsiaTheme="minorEastAsia"/>
          <w:sz w:val="24"/>
        </w:rPr>
        <w:t>（3）项目医疗废物院内转运及暂存过程中遗撒带来的环境风险。</w:t>
      </w:r>
    </w:p>
    <w:p>
      <w:pPr>
        <w:pStyle w:val="3"/>
        <w:snapToGrid w:val="0"/>
        <w:spacing w:before="0" w:after="0" w:line="360" w:lineRule="auto"/>
        <w:rPr>
          <w:rFonts w:ascii="Times New Roman" w:hAnsi="Times New Roman" w:eastAsiaTheme="minorEastAsia"/>
          <w:sz w:val="28"/>
          <w:lang w:val="zh-CN"/>
        </w:rPr>
      </w:pPr>
      <w:bookmarkStart w:id="23" w:name="_Toc61026583"/>
      <w:r>
        <w:rPr>
          <w:rFonts w:ascii="Times New Roman" w:hAnsi="Times New Roman" w:eastAsiaTheme="minorEastAsia"/>
          <w:sz w:val="28"/>
          <w:lang w:val="zh-CN"/>
        </w:rPr>
        <w:t>1.6 环境影响报告主要结论</w:t>
      </w:r>
      <w:bookmarkEnd w:id="23"/>
    </w:p>
    <w:p>
      <w:pPr>
        <w:snapToGrid w:val="0"/>
        <w:spacing w:line="360" w:lineRule="auto"/>
        <w:ind w:firstLine="480" w:firstLineChars="200"/>
        <w:rPr>
          <w:rFonts w:eastAsiaTheme="minorEastAsia"/>
          <w:sz w:val="24"/>
        </w:rPr>
      </w:pPr>
      <w:r>
        <w:rPr>
          <w:rFonts w:eastAsiaTheme="minorEastAsia"/>
          <w:sz w:val="24"/>
        </w:rPr>
        <w:t>湘阴县中医院现位于湘阴县文星镇弼时街，是一所集医疗、预防、康复、保健为一体的综合性二级甲等医院。由于用地面积紧张、交通压力大，拟搬迁至湖南省岳阳市湘阴县文星镇先锋路69号，并扩建部分运营规模。</w:t>
      </w:r>
    </w:p>
    <w:p>
      <w:pPr>
        <w:snapToGrid w:val="0"/>
        <w:spacing w:line="360" w:lineRule="auto"/>
        <w:ind w:firstLine="480" w:firstLineChars="200"/>
        <w:rPr>
          <w:rFonts w:eastAsiaTheme="minorEastAsia"/>
          <w:sz w:val="24"/>
          <w:szCs w:val="28"/>
        </w:rPr>
      </w:pPr>
      <w:r>
        <w:rPr>
          <w:rFonts w:eastAsiaTheme="minorEastAsia"/>
          <w:sz w:val="24"/>
        </w:rPr>
        <w:t>项目符合相关产业政策、符合湘阴县土地利用规划、选址合理，项目建设无明显环境制约因素，项目建成后，能更好地为湘阴县居民提供医疗救治服务，对提高人民健康水平和生活质量具有重大意义。建设单位需严格按照环境保护相关要求，对项目产生的污染采取相应的污染防治措施，管理到位，环保设施运行正常的情况下，项目建设及运营对环境的不利影响可降至环境可接受程度。在此前提下，从环境影响角度分析，项目建设可行。</w:t>
      </w:r>
    </w:p>
    <w:p>
      <w:pPr>
        <w:pStyle w:val="2"/>
        <w:spacing w:after="0" w:line="360" w:lineRule="auto"/>
        <w:rPr>
          <w:rFonts w:ascii="Times New Roman" w:eastAsiaTheme="minorEastAsia"/>
          <w:b/>
          <w:bCs/>
          <w:color w:val="FF0000"/>
          <w:sz w:val="30"/>
          <w:szCs w:val="44"/>
          <w:lang w:val="zh-CN"/>
        </w:rPr>
        <w:sectPr>
          <w:footerReference r:id="rId10" w:type="default"/>
          <w:pgSz w:w="11907" w:h="16840"/>
          <w:pgMar w:top="1418" w:right="1304" w:bottom="1418" w:left="1474" w:header="992" w:footer="992" w:gutter="0"/>
          <w:pgNumType w:start="1"/>
          <w:cols w:space="720" w:num="1"/>
          <w:docGrid w:linePitch="312" w:charSpace="0"/>
        </w:sectPr>
      </w:pPr>
    </w:p>
    <w:p>
      <w:pPr>
        <w:pStyle w:val="2"/>
        <w:spacing w:after="0" w:line="480" w:lineRule="auto"/>
        <w:jc w:val="center"/>
        <w:rPr>
          <w:rFonts w:ascii="Times New Roman" w:eastAsiaTheme="minorEastAsia"/>
          <w:b/>
          <w:bCs/>
          <w:sz w:val="36"/>
          <w:szCs w:val="36"/>
          <w:lang w:val="zh-CN"/>
        </w:rPr>
      </w:pPr>
      <w:bookmarkStart w:id="24" w:name="_Toc61026584"/>
      <w:r>
        <w:rPr>
          <w:rFonts w:ascii="Times New Roman" w:eastAsiaTheme="minorEastAsia"/>
          <w:b/>
          <w:bCs/>
          <w:sz w:val="36"/>
          <w:szCs w:val="36"/>
          <w:lang w:val="zh-CN"/>
        </w:rPr>
        <w:t>2 总则</w:t>
      </w:r>
      <w:bookmarkEnd w:id="24"/>
    </w:p>
    <w:p>
      <w:pPr>
        <w:pStyle w:val="3"/>
        <w:snapToGrid w:val="0"/>
        <w:spacing w:before="0" w:after="0" w:line="360" w:lineRule="auto"/>
        <w:rPr>
          <w:rFonts w:ascii="Times New Roman" w:hAnsi="Times New Roman" w:eastAsiaTheme="minorEastAsia"/>
          <w:sz w:val="28"/>
          <w:lang w:val="zh-CN"/>
        </w:rPr>
      </w:pPr>
      <w:bookmarkStart w:id="25" w:name="_Toc61026585"/>
      <w:r>
        <w:rPr>
          <w:rFonts w:ascii="Times New Roman" w:hAnsi="Times New Roman" w:eastAsiaTheme="minorEastAsia"/>
          <w:sz w:val="28"/>
          <w:lang w:val="zh-CN"/>
        </w:rPr>
        <w:t>2.1 编制依据</w:t>
      </w:r>
      <w:bookmarkEnd w:id="10"/>
      <w:bookmarkEnd w:id="11"/>
      <w:bookmarkEnd w:id="12"/>
      <w:bookmarkEnd w:id="13"/>
      <w:bookmarkEnd w:id="14"/>
      <w:bookmarkEnd w:id="25"/>
    </w:p>
    <w:p>
      <w:pPr>
        <w:pStyle w:val="4"/>
        <w:snapToGrid w:val="0"/>
        <w:spacing w:before="0" w:after="0" w:line="360" w:lineRule="auto"/>
        <w:rPr>
          <w:rFonts w:eastAsiaTheme="minorEastAsia"/>
          <w:kern w:val="0"/>
          <w:sz w:val="24"/>
        </w:rPr>
      </w:pPr>
      <w:r>
        <w:rPr>
          <w:rFonts w:eastAsiaTheme="minorEastAsia"/>
          <w:kern w:val="0"/>
          <w:sz w:val="24"/>
        </w:rPr>
        <w:t>2.1.1 国家法律、法规、部门规章</w:t>
      </w:r>
    </w:p>
    <w:p>
      <w:pPr>
        <w:adjustRightInd w:val="0"/>
        <w:snapToGrid w:val="0"/>
        <w:spacing w:line="360" w:lineRule="auto"/>
        <w:ind w:firstLine="480" w:firstLineChars="200"/>
        <w:rPr>
          <w:rFonts w:eastAsiaTheme="minorEastAsia"/>
          <w:sz w:val="24"/>
        </w:rPr>
      </w:pPr>
      <w:r>
        <w:rPr>
          <w:rFonts w:eastAsiaTheme="minorEastAsia"/>
          <w:sz w:val="24"/>
        </w:rPr>
        <w:t>（1）《中华人民共和国环境保护法》，中华人民共和国主席令第9号，2015年1月1日；</w:t>
      </w:r>
    </w:p>
    <w:p>
      <w:pPr>
        <w:adjustRightInd w:val="0"/>
        <w:snapToGrid w:val="0"/>
        <w:spacing w:line="360" w:lineRule="auto"/>
        <w:ind w:firstLine="480" w:firstLineChars="200"/>
        <w:rPr>
          <w:rFonts w:eastAsiaTheme="minorEastAsia"/>
          <w:sz w:val="24"/>
        </w:rPr>
      </w:pPr>
      <w:r>
        <w:rPr>
          <w:rFonts w:eastAsiaTheme="minorEastAsia"/>
          <w:sz w:val="24"/>
        </w:rPr>
        <w:t>（2）《中华人民共和国环境影响评价法》，第十三届全国人民代表大会常务委员会第七次会议第二次修正，2018年12月29日；</w:t>
      </w:r>
    </w:p>
    <w:p>
      <w:pPr>
        <w:adjustRightInd w:val="0"/>
        <w:snapToGrid w:val="0"/>
        <w:spacing w:line="360" w:lineRule="auto"/>
        <w:ind w:firstLine="480" w:firstLineChars="200"/>
        <w:rPr>
          <w:rFonts w:eastAsiaTheme="minorEastAsia"/>
          <w:sz w:val="24"/>
        </w:rPr>
      </w:pPr>
      <w:r>
        <w:rPr>
          <w:rFonts w:eastAsiaTheme="minorEastAsia"/>
          <w:sz w:val="24"/>
        </w:rPr>
        <w:t>（3）《中华人民共和国大气污染防治法》，第十三届全国人民代表大会常务委员会第六次会议修正，2018年10月26日；</w:t>
      </w:r>
    </w:p>
    <w:p>
      <w:pPr>
        <w:adjustRightInd w:val="0"/>
        <w:snapToGrid w:val="0"/>
        <w:spacing w:line="360" w:lineRule="auto"/>
        <w:ind w:firstLine="480" w:firstLineChars="200"/>
        <w:rPr>
          <w:rFonts w:eastAsiaTheme="minorEastAsia"/>
          <w:sz w:val="24"/>
        </w:rPr>
      </w:pPr>
      <w:r>
        <w:rPr>
          <w:rFonts w:eastAsiaTheme="minorEastAsia"/>
          <w:sz w:val="24"/>
        </w:rPr>
        <w:t>（4）《中华人民共和国水污染防治法》，第十二届全国人民代表大会常务委员会第二十八次会议修订，2018年1月1日；</w:t>
      </w:r>
    </w:p>
    <w:p>
      <w:pPr>
        <w:adjustRightInd w:val="0"/>
        <w:snapToGrid w:val="0"/>
        <w:spacing w:line="360" w:lineRule="auto"/>
        <w:ind w:firstLine="480" w:firstLineChars="200"/>
        <w:rPr>
          <w:rFonts w:eastAsiaTheme="minorEastAsia"/>
          <w:sz w:val="24"/>
        </w:rPr>
      </w:pPr>
      <w:r>
        <w:rPr>
          <w:rFonts w:eastAsiaTheme="minorEastAsia"/>
          <w:sz w:val="24"/>
        </w:rPr>
        <w:t>（5）《中华人民共和国环境噪声污染防治法》，第十三届全国人民代表大会常务委员会第七次会议，2018年12月29日；</w:t>
      </w:r>
    </w:p>
    <w:p>
      <w:pPr>
        <w:adjustRightInd w:val="0"/>
        <w:snapToGrid w:val="0"/>
        <w:spacing w:line="360" w:lineRule="auto"/>
        <w:ind w:firstLine="480" w:firstLineChars="200"/>
        <w:rPr>
          <w:rFonts w:eastAsiaTheme="minorEastAsia"/>
          <w:sz w:val="24"/>
        </w:rPr>
      </w:pPr>
      <w:r>
        <w:rPr>
          <w:rFonts w:eastAsiaTheme="minorEastAsia"/>
          <w:sz w:val="24"/>
        </w:rPr>
        <w:t>（6）《中华人民共和国固体废物污染环境防治法》，中华人民共和国固体废物污染环境防治法修订，2016年11月；</w:t>
      </w:r>
    </w:p>
    <w:p>
      <w:pPr>
        <w:adjustRightInd w:val="0"/>
        <w:snapToGrid w:val="0"/>
        <w:spacing w:line="360" w:lineRule="auto"/>
        <w:ind w:firstLine="480" w:firstLineChars="200"/>
        <w:rPr>
          <w:rFonts w:eastAsiaTheme="minorEastAsia"/>
          <w:sz w:val="24"/>
        </w:rPr>
      </w:pPr>
      <w:r>
        <w:rPr>
          <w:rFonts w:eastAsiaTheme="minorEastAsia"/>
          <w:sz w:val="24"/>
        </w:rPr>
        <w:t>（7）《中华人民共和国土壤污染防治法》，第十三届全国人民代表大会常务委员会第五次会议通过，2018年8月31日</w:t>
      </w:r>
    </w:p>
    <w:p>
      <w:pPr>
        <w:adjustRightInd w:val="0"/>
        <w:snapToGrid w:val="0"/>
        <w:spacing w:line="360" w:lineRule="auto"/>
        <w:ind w:firstLine="480" w:firstLineChars="200"/>
        <w:rPr>
          <w:rFonts w:eastAsiaTheme="minorEastAsia"/>
          <w:sz w:val="24"/>
        </w:rPr>
      </w:pPr>
      <w:r>
        <w:rPr>
          <w:rFonts w:eastAsiaTheme="minorEastAsia"/>
          <w:sz w:val="24"/>
        </w:rPr>
        <w:t>（8）《中华人民共和国清洁生产促进法》，中华人民共和国国家发展和改革委员会、中华人民共和国环境保护部令第38号，2016年7月1日；</w:t>
      </w:r>
    </w:p>
    <w:p>
      <w:pPr>
        <w:adjustRightInd w:val="0"/>
        <w:snapToGrid w:val="0"/>
        <w:spacing w:line="360" w:lineRule="auto"/>
        <w:ind w:firstLine="480" w:firstLineChars="200"/>
        <w:rPr>
          <w:rFonts w:eastAsiaTheme="minorEastAsia"/>
          <w:sz w:val="24"/>
        </w:rPr>
      </w:pPr>
      <w:r>
        <w:rPr>
          <w:rFonts w:eastAsiaTheme="minorEastAsia"/>
          <w:sz w:val="24"/>
        </w:rPr>
        <w:t>（9）《中华人民共和国环境保护税法》，2016年12月25日第十二届全国人民代表大会常务委员会第二十五次会议通过，2018年1月1日；</w:t>
      </w:r>
    </w:p>
    <w:p>
      <w:pPr>
        <w:adjustRightInd w:val="0"/>
        <w:snapToGrid w:val="0"/>
        <w:spacing w:line="360" w:lineRule="auto"/>
        <w:ind w:firstLine="480" w:firstLineChars="200"/>
        <w:jc w:val="left"/>
        <w:rPr>
          <w:rFonts w:eastAsiaTheme="minorEastAsia"/>
          <w:sz w:val="24"/>
        </w:rPr>
      </w:pPr>
      <w:r>
        <w:rPr>
          <w:rFonts w:eastAsiaTheme="minorEastAsia"/>
          <w:sz w:val="24"/>
        </w:rPr>
        <w:t>（11）《国务院关于印发水污染防治行动计划的通知》，国发[2015]17号，2015年4月2日；</w:t>
      </w:r>
    </w:p>
    <w:p>
      <w:pPr>
        <w:adjustRightInd w:val="0"/>
        <w:snapToGrid w:val="0"/>
        <w:spacing w:line="360" w:lineRule="auto"/>
        <w:ind w:firstLine="480" w:firstLineChars="200"/>
        <w:jc w:val="left"/>
        <w:rPr>
          <w:rFonts w:eastAsiaTheme="minorEastAsia"/>
          <w:sz w:val="24"/>
        </w:rPr>
      </w:pPr>
      <w:r>
        <w:rPr>
          <w:rFonts w:eastAsiaTheme="minorEastAsia"/>
          <w:sz w:val="24"/>
        </w:rPr>
        <w:t>（12）《国务院关于印发土壤污染防治行动计划的通知》，国发〔2016〕31号，2016年5月28日；</w:t>
      </w:r>
    </w:p>
    <w:p>
      <w:pPr>
        <w:adjustRightInd w:val="0"/>
        <w:snapToGrid w:val="0"/>
        <w:spacing w:line="360" w:lineRule="auto"/>
        <w:ind w:firstLine="480" w:firstLineChars="200"/>
        <w:jc w:val="left"/>
        <w:rPr>
          <w:rFonts w:eastAsiaTheme="minorEastAsia"/>
          <w:sz w:val="24"/>
        </w:rPr>
      </w:pPr>
      <w:r>
        <w:rPr>
          <w:rFonts w:eastAsiaTheme="minorEastAsia"/>
          <w:sz w:val="24"/>
        </w:rPr>
        <w:t>（13）《国务院关于印发打赢蓝天保卫战三年行动计划的通知》，国发[2018]22号，2018年6月27日；</w:t>
      </w:r>
    </w:p>
    <w:p>
      <w:pPr>
        <w:adjustRightInd w:val="0"/>
        <w:snapToGrid w:val="0"/>
        <w:spacing w:line="360" w:lineRule="auto"/>
        <w:ind w:firstLine="480" w:firstLineChars="200"/>
        <w:jc w:val="left"/>
        <w:rPr>
          <w:rFonts w:eastAsiaTheme="minorEastAsia"/>
          <w:sz w:val="24"/>
        </w:rPr>
      </w:pPr>
      <w:r>
        <w:rPr>
          <w:rFonts w:eastAsiaTheme="minorEastAsia"/>
          <w:sz w:val="24"/>
        </w:rPr>
        <w:t>（14）《国务院关于印发“十三五”生态环境保护规划的通知》，国发〔2016〕65号，2016年11月24日；</w:t>
      </w:r>
    </w:p>
    <w:p>
      <w:pPr>
        <w:adjustRightInd w:val="0"/>
        <w:snapToGrid w:val="0"/>
        <w:spacing w:line="360" w:lineRule="auto"/>
        <w:ind w:firstLine="480" w:firstLineChars="200"/>
        <w:jc w:val="left"/>
        <w:rPr>
          <w:rFonts w:eastAsiaTheme="minorEastAsia"/>
          <w:sz w:val="24"/>
        </w:rPr>
      </w:pPr>
      <w:r>
        <w:rPr>
          <w:rFonts w:eastAsiaTheme="minorEastAsia"/>
          <w:sz w:val="24"/>
        </w:rPr>
        <w:t>（15）《国务院关于修改〈建设项目环境保护管理条例〉的决定》，中华人民共和国国务院令第682号，2017年7月16日；</w:t>
      </w:r>
    </w:p>
    <w:p>
      <w:pPr>
        <w:adjustRightInd w:val="0"/>
        <w:snapToGrid w:val="0"/>
        <w:spacing w:line="360" w:lineRule="auto"/>
        <w:ind w:firstLine="480" w:firstLineChars="200"/>
        <w:rPr>
          <w:rFonts w:eastAsiaTheme="minorEastAsia"/>
          <w:sz w:val="24"/>
          <w:u w:val="single"/>
        </w:rPr>
      </w:pPr>
      <w:r>
        <w:rPr>
          <w:rFonts w:eastAsiaTheme="minorEastAsia"/>
          <w:sz w:val="24"/>
          <w:u w:val="single"/>
        </w:rPr>
        <w:t>（16）《建设项目环境影响评价分类管理名录》</w:t>
      </w:r>
      <w:r>
        <w:rPr>
          <w:rFonts w:hint="eastAsia" w:eastAsiaTheme="minorEastAsia"/>
          <w:sz w:val="24"/>
          <w:u w:val="single"/>
        </w:rPr>
        <w:t>（2021版）</w:t>
      </w:r>
      <w:r>
        <w:rPr>
          <w:rFonts w:eastAsiaTheme="minorEastAsia"/>
          <w:sz w:val="24"/>
          <w:u w:val="single"/>
        </w:rPr>
        <w:t>，20</w:t>
      </w:r>
      <w:r>
        <w:rPr>
          <w:rFonts w:hint="eastAsia" w:eastAsiaTheme="minorEastAsia"/>
          <w:sz w:val="24"/>
          <w:u w:val="single"/>
        </w:rPr>
        <w:t>21</w:t>
      </w:r>
      <w:r>
        <w:rPr>
          <w:rFonts w:eastAsiaTheme="minorEastAsia"/>
          <w:sz w:val="24"/>
          <w:u w:val="single"/>
        </w:rPr>
        <w:t>年</w:t>
      </w:r>
      <w:r>
        <w:rPr>
          <w:rFonts w:hint="eastAsia" w:eastAsiaTheme="minorEastAsia"/>
          <w:sz w:val="24"/>
          <w:u w:val="single"/>
        </w:rPr>
        <w:t>1</w:t>
      </w:r>
      <w:r>
        <w:rPr>
          <w:rFonts w:eastAsiaTheme="minorEastAsia"/>
          <w:sz w:val="24"/>
          <w:u w:val="single"/>
        </w:rPr>
        <w:t>月</w:t>
      </w:r>
      <w:r>
        <w:rPr>
          <w:rFonts w:hint="eastAsia" w:eastAsiaTheme="minorEastAsia"/>
          <w:sz w:val="24"/>
          <w:u w:val="single"/>
        </w:rPr>
        <w:t>1</w:t>
      </w:r>
      <w:r>
        <w:rPr>
          <w:rFonts w:eastAsiaTheme="minorEastAsia"/>
          <w:sz w:val="24"/>
          <w:u w:val="single"/>
        </w:rPr>
        <w:t>日；</w:t>
      </w:r>
    </w:p>
    <w:p>
      <w:pPr>
        <w:adjustRightInd w:val="0"/>
        <w:snapToGrid w:val="0"/>
        <w:spacing w:line="360" w:lineRule="auto"/>
        <w:ind w:firstLine="480" w:firstLineChars="200"/>
        <w:rPr>
          <w:rFonts w:eastAsiaTheme="minorEastAsia"/>
          <w:sz w:val="24"/>
          <w:u w:val="single"/>
        </w:rPr>
      </w:pPr>
      <w:r>
        <w:rPr>
          <w:rFonts w:eastAsiaTheme="minorEastAsia"/>
          <w:sz w:val="24"/>
          <w:u w:val="single"/>
        </w:rPr>
        <w:t>（17）《国家危险废物名录》，环境保护部令第39号，</w:t>
      </w:r>
      <w:r>
        <w:rPr>
          <w:rFonts w:hint="eastAsia" w:eastAsiaTheme="minorEastAsia"/>
          <w:sz w:val="24"/>
          <w:u w:val="single"/>
        </w:rPr>
        <w:t>2021年1月1日起施行</w:t>
      </w:r>
      <w:r>
        <w:rPr>
          <w:rFonts w:eastAsiaTheme="minorEastAsia"/>
          <w:sz w:val="24"/>
          <w:u w:val="single"/>
        </w:rPr>
        <w:t>；</w:t>
      </w:r>
    </w:p>
    <w:p>
      <w:pPr>
        <w:adjustRightInd w:val="0"/>
        <w:snapToGrid w:val="0"/>
        <w:spacing w:line="360" w:lineRule="auto"/>
        <w:ind w:firstLine="480" w:firstLineChars="200"/>
        <w:rPr>
          <w:rFonts w:eastAsiaTheme="minorEastAsia"/>
          <w:sz w:val="24"/>
          <w:u w:val="single"/>
        </w:rPr>
      </w:pPr>
      <w:r>
        <w:rPr>
          <w:rFonts w:eastAsiaTheme="minorEastAsia"/>
          <w:sz w:val="24"/>
          <w:u w:val="single"/>
        </w:rPr>
        <w:t>（18）</w:t>
      </w:r>
      <w:r>
        <w:rPr>
          <w:rFonts w:hint="eastAsia" w:eastAsiaTheme="minorEastAsia"/>
          <w:sz w:val="24"/>
          <w:u w:val="single"/>
        </w:rPr>
        <w:t>《产业结构调整指导目录（2019年本）》</w:t>
      </w:r>
      <w:r>
        <w:rPr>
          <w:rFonts w:eastAsiaTheme="minorEastAsia"/>
          <w:sz w:val="24"/>
          <w:u w:val="single"/>
        </w:rPr>
        <w:t>，</w:t>
      </w:r>
      <w:r>
        <w:rPr>
          <w:rFonts w:hint="eastAsia" w:eastAsiaTheme="minorEastAsia"/>
          <w:sz w:val="24"/>
          <w:u w:val="single"/>
        </w:rPr>
        <w:t>2020年1月1日起实施</w:t>
      </w:r>
      <w:r>
        <w:rPr>
          <w:rFonts w:eastAsiaTheme="minorEastAsia"/>
          <w:sz w:val="24"/>
          <w:u w:val="single"/>
        </w:rPr>
        <w:t>。</w:t>
      </w:r>
    </w:p>
    <w:p>
      <w:pPr>
        <w:adjustRightInd w:val="0"/>
        <w:snapToGrid w:val="0"/>
        <w:spacing w:line="360" w:lineRule="auto"/>
        <w:ind w:firstLine="480" w:firstLineChars="200"/>
        <w:rPr>
          <w:rFonts w:eastAsiaTheme="minorEastAsia"/>
          <w:sz w:val="24"/>
        </w:rPr>
      </w:pPr>
      <w:r>
        <w:rPr>
          <w:rFonts w:eastAsiaTheme="minorEastAsia"/>
          <w:sz w:val="24"/>
        </w:rPr>
        <w:t>（19）《关于进一步加强环境影响评价管理防范环境风险的通知》，环发[2012]77号，2012年7月3日；</w:t>
      </w:r>
    </w:p>
    <w:p>
      <w:pPr>
        <w:adjustRightInd w:val="0"/>
        <w:snapToGrid w:val="0"/>
        <w:spacing w:line="360" w:lineRule="auto"/>
        <w:ind w:firstLine="480" w:firstLineChars="200"/>
        <w:rPr>
          <w:rFonts w:eastAsiaTheme="minorEastAsia"/>
          <w:sz w:val="24"/>
        </w:rPr>
      </w:pPr>
      <w:r>
        <w:rPr>
          <w:rFonts w:eastAsiaTheme="minorEastAsia"/>
          <w:sz w:val="24"/>
        </w:rPr>
        <w:t>（20）《关于切实加强风险防范严格环境影响评价管理的通知》，环发[2012]98号，2012年8月7日；</w:t>
      </w:r>
    </w:p>
    <w:p>
      <w:pPr>
        <w:adjustRightInd w:val="0"/>
        <w:snapToGrid w:val="0"/>
        <w:spacing w:line="360" w:lineRule="auto"/>
        <w:ind w:firstLine="480" w:firstLineChars="200"/>
        <w:rPr>
          <w:rFonts w:eastAsiaTheme="minorEastAsia"/>
          <w:sz w:val="24"/>
        </w:rPr>
      </w:pPr>
      <w:r>
        <w:rPr>
          <w:rFonts w:eastAsiaTheme="minorEastAsia"/>
          <w:sz w:val="24"/>
        </w:rPr>
        <w:t>（21）《医疗废物分类目录》，卫医发[2003]287号；</w:t>
      </w:r>
    </w:p>
    <w:p>
      <w:pPr>
        <w:adjustRightInd w:val="0"/>
        <w:snapToGrid w:val="0"/>
        <w:spacing w:line="360" w:lineRule="auto"/>
        <w:ind w:firstLine="480" w:firstLineChars="200"/>
        <w:rPr>
          <w:rFonts w:eastAsiaTheme="minorEastAsia"/>
          <w:sz w:val="24"/>
        </w:rPr>
      </w:pPr>
      <w:r>
        <w:rPr>
          <w:rFonts w:eastAsiaTheme="minorEastAsia"/>
          <w:sz w:val="24"/>
        </w:rPr>
        <w:t>（22）《医疗废物管理条例》，国务院[2003]第 380 号令），2003 年 6 月 16 日；</w:t>
      </w:r>
    </w:p>
    <w:p>
      <w:pPr>
        <w:adjustRightInd w:val="0"/>
        <w:snapToGrid w:val="0"/>
        <w:spacing w:line="360" w:lineRule="auto"/>
        <w:ind w:firstLine="480" w:firstLineChars="200"/>
        <w:rPr>
          <w:rFonts w:eastAsiaTheme="minorEastAsia"/>
          <w:sz w:val="24"/>
        </w:rPr>
      </w:pPr>
      <w:r>
        <w:rPr>
          <w:rFonts w:eastAsiaTheme="minorEastAsia"/>
          <w:sz w:val="24"/>
        </w:rPr>
        <w:t>（23）《危险废物转移联单管理办法》，国家环保总局令第5号，1999年10月1日施行；</w:t>
      </w:r>
    </w:p>
    <w:p>
      <w:pPr>
        <w:adjustRightInd w:val="0"/>
        <w:snapToGrid w:val="0"/>
        <w:spacing w:line="360" w:lineRule="auto"/>
        <w:ind w:firstLine="480" w:firstLineChars="200"/>
        <w:rPr>
          <w:rFonts w:eastAsiaTheme="minorEastAsia"/>
          <w:sz w:val="24"/>
        </w:rPr>
      </w:pPr>
      <w:r>
        <w:rPr>
          <w:rFonts w:eastAsiaTheme="minorEastAsia"/>
          <w:sz w:val="24"/>
        </w:rPr>
        <w:t>（24）《关于发布&lt;建设项目危险废物环境影响评价指南&gt;的公告》，环境保护部公告2017年第43号，2017年8月29日；</w:t>
      </w:r>
    </w:p>
    <w:p>
      <w:pPr>
        <w:adjustRightInd w:val="0"/>
        <w:snapToGrid w:val="0"/>
        <w:spacing w:line="360" w:lineRule="auto"/>
        <w:ind w:firstLine="480" w:firstLineChars="200"/>
        <w:rPr>
          <w:rFonts w:eastAsiaTheme="minorEastAsia"/>
          <w:sz w:val="24"/>
        </w:rPr>
      </w:pPr>
      <w:r>
        <w:rPr>
          <w:rFonts w:eastAsiaTheme="minorEastAsia"/>
          <w:sz w:val="24"/>
        </w:rPr>
        <w:t>（25）《危险废物污染防治技术政策》，环发[2001]199号，2001年12月17日；</w:t>
      </w:r>
    </w:p>
    <w:p>
      <w:pPr>
        <w:adjustRightInd w:val="0"/>
        <w:snapToGrid w:val="0"/>
        <w:spacing w:line="360" w:lineRule="auto"/>
        <w:ind w:firstLine="480" w:firstLineChars="200"/>
        <w:rPr>
          <w:rFonts w:eastAsiaTheme="minorEastAsia"/>
          <w:sz w:val="24"/>
        </w:rPr>
      </w:pPr>
      <w:r>
        <w:rPr>
          <w:rFonts w:eastAsiaTheme="minorEastAsia"/>
          <w:sz w:val="24"/>
        </w:rPr>
        <w:t>（26）《企业事业单位突发环境事件应急预案备案管理办法（试行）》，环发[2015]4号，2015年1月8日；</w:t>
      </w:r>
    </w:p>
    <w:p>
      <w:pPr>
        <w:adjustRightInd w:val="0"/>
        <w:snapToGrid w:val="0"/>
        <w:spacing w:line="360" w:lineRule="auto"/>
        <w:ind w:firstLine="480" w:firstLineChars="200"/>
        <w:rPr>
          <w:rFonts w:eastAsiaTheme="minorEastAsia"/>
          <w:sz w:val="24"/>
        </w:rPr>
      </w:pPr>
      <w:r>
        <w:rPr>
          <w:rFonts w:eastAsiaTheme="minorEastAsia"/>
          <w:sz w:val="24"/>
        </w:rPr>
        <w:t>（27）《关于印发&lt;企业突发环境事件风险评估指南（试行）&gt;的通知》，环办[2014]34号，2014年4月3日；</w:t>
      </w:r>
    </w:p>
    <w:p>
      <w:pPr>
        <w:adjustRightInd w:val="0"/>
        <w:snapToGrid w:val="0"/>
        <w:spacing w:line="360" w:lineRule="auto"/>
        <w:ind w:firstLine="480" w:firstLineChars="200"/>
        <w:rPr>
          <w:rFonts w:eastAsiaTheme="minorEastAsia"/>
          <w:sz w:val="24"/>
        </w:rPr>
      </w:pPr>
      <w:r>
        <w:rPr>
          <w:rFonts w:eastAsiaTheme="minorEastAsia"/>
          <w:sz w:val="24"/>
        </w:rPr>
        <w:t>（28）关于印发《企业事业单位突发环境事件应急预案评审工作指南（试行）》的通知，环办应急[2018]8号，2018年1月30日；</w:t>
      </w:r>
    </w:p>
    <w:p>
      <w:pPr>
        <w:adjustRightInd w:val="0"/>
        <w:snapToGrid w:val="0"/>
        <w:spacing w:line="360" w:lineRule="auto"/>
        <w:ind w:firstLine="480" w:firstLineChars="200"/>
        <w:rPr>
          <w:rFonts w:eastAsiaTheme="minorEastAsia"/>
          <w:sz w:val="24"/>
        </w:rPr>
      </w:pPr>
      <w:r>
        <w:rPr>
          <w:rFonts w:eastAsiaTheme="minorEastAsia"/>
          <w:sz w:val="24"/>
        </w:rPr>
        <w:t>（29）《环境影响评价公众参与办法》（生态环境部令第4号）2019年1月1日起施行</w:t>
      </w:r>
    </w:p>
    <w:p>
      <w:pPr>
        <w:adjustRightInd w:val="0"/>
        <w:snapToGrid w:val="0"/>
        <w:spacing w:line="360" w:lineRule="auto"/>
        <w:ind w:firstLine="480" w:firstLineChars="200"/>
        <w:rPr>
          <w:rFonts w:eastAsiaTheme="minorEastAsia"/>
          <w:sz w:val="24"/>
        </w:rPr>
      </w:pPr>
      <w:r>
        <w:rPr>
          <w:rFonts w:eastAsiaTheme="minorEastAsia"/>
          <w:sz w:val="24"/>
        </w:rPr>
        <w:t>（30）《关于发布&lt;环境影响评价公众参与办法&gt;配套文件的公告》，生态环境部公告 2018年第48号，2018年10月12日</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（31）《关于发布&lt;建设项目竣工环境保护验收技术指南污染影响类&gt;的公告》，生态环境部公告2018年第9号，2018年5月15日；</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（32）《关于发布&lt;建设项目竣工环境保护验收暂行办法&gt;的公告》，国环规环评[2017]4号，2017年11月20日；</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（33）《关于强化建设项目环境影响评价事中事后监管的实施意见》，环评[2018]11号，2018年1月25日。</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（34）《关于做好新型冠状病毒感染的肺炎疫情医疗污水和城镇污水监管工作的通知》（环办水体函〔2020〕52号，2020 年2月1日）；</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（35）《关于印发医疗机构废弃物综合治理工作方案的通知》（国卫医发〔2020〕</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 号，2020 年 2 月 26 日）；</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（36）《关于统筹做好疫情防控和经济社会发展生态环保工作的指导意见》（环综合〔2020〕13 号，2020 年 3 月 3 日）；</w:t>
      </w:r>
    </w:p>
    <w:p>
      <w:pPr>
        <w:pStyle w:val="136"/>
        <w:adjustRightInd w:val="0"/>
        <w:snapToGrid w:val="0"/>
        <w:spacing w:line="360" w:lineRule="auto"/>
        <w:ind w:firstLine="480"/>
        <w:rPr>
          <w:rFonts w:ascii="Times New Roman" w:hAnsi="Times New Roman" w:eastAsiaTheme="minorEastAsia"/>
        </w:rPr>
      </w:pPr>
      <w:r>
        <w:rPr>
          <w:rFonts w:ascii="Times New Roman" w:hAnsi="Times New Roman" w:eastAsiaTheme="minorEastAsia"/>
        </w:rPr>
        <w:t>（37）《关于在疫情防控常态化前提下积极服务落实“六保”任务坚决打赢打好污染防治攻坚战的意见》环厅〔2020〕27号，2020年 6 月 3 日）；</w:t>
      </w:r>
    </w:p>
    <w:p>
      <w:pPr>
        <w:pStyle w:val="4"/>
        <w:snapToGrid w:val="0"/>
        <w:spacing w:before="0" w:after="0" w:line="360" w:lineRule="auto"/>
        <w:rPr>
          <w:rFonts w:eastAsiaTheme="minorEastAsia"/>
          <w:kern w:val="0"/>
          <w:sz w:val="24"/>
        </w:rPr>
      </w:pPr>
      <w:r>
        <w:rPr>
          <w:rFonts w:eastAsiaTheme="minorEastAsia"/>
          <w:kern w:val="0"/>
          <w:sz w:val="24"/>
        </w:rPr>
        <w:t>2.1.2 地方规章</w:t>
      </w:r>
    </w:p>
    <w:p>
      <w:pPr>
        <w:adjustRightInd w:val="0"/>
        <w:snapToGrid w:val="0"/>
        <w:spacing w:line="360" w:lineRule="auto"/>
        <w:ind w:firstLine="480" w:firstLineChars="200"/>
        <w:rPr>
          <w:rFonts w:eastAsiaTheme="minorEastAsia"/>
          <w:sz w:val="24"/>
        </w:rPr>
      </w:pPr>
      <w:r>
        <w:rPr>
          <w:rFonts w:eastAsiaTheme="minorEastAsia"/>
          <w:sz w:val="24"/>
        </w:rPr>
        <w:t>（1）《湖南省建设项目环境保护管理办法》，湖南省人民政府令（第215号）；</w:t>
      </w:r>
    </w:p>
    <w:p>
      <w:pPr>
        <w:adjustRightInd w:val="0"/>
        <w:snapToGrid w:val="0"/>
        <w:spacing w:line="360" w:lineRule="auto"/>
        <w:ind w:firstLine="480" w:firstLineChars="200"/>
        <w:rPr>
          <w:rFonts w:eastAsiaTheme="minorEastAsia"/>
          <w:sz w:val="24"/>
        </w:rPr>
      </w:pPr>
      <w:r>
        <w:rPr>
          <w:rFonts w:eastAsiaTheme="minorEastAsia"/>
          <w:sz w:val="24"/>
        </w:rPr>
        <w:t>（2）《湖南省“十三五”环境保护规划》，湘政办发〔2016〕25号；</w:t>
      </w:r>
    </w:p>
    <w:p>
      <w:pPr>
        <w:adjustRightInd w:val="0"/>
        <w:snapToGrid w:val="0"/>
        <w:spacing w:line="360" w:lineRule="auto"/>
        <w:ind w:firstLine="480" w:firstLineChars="200"/>
        <w:rPr>
          <w:rFonts w:eastAsiaTheme="minorEastAsia"/>
          <w:sz w:val="24"/>
        </w:rPr>
      </w:pPr>
      <w:r>
        <w:rPr>
          <w:rFonts w:eastAsiaTheme="minorEastAsia"/>
          <w:sz w:val="24"/>
        </w:rPr>
        <w:t>（3）《湖南省环境保护条例》，湖南省第十二届人民代表大会常务委员会第二次会议修订，2013年5月27日；</w:t>
      </w:r>
    </w:p>
    <w:p>
      <w:pPr>
        <w:adjustRightInd w:val="0"/>
        <w:snapToGrid w:val="0"/>
        <w:spacing w:line="360" w:lineRule="auto"/>
        <w:ind w:firstLine="480" w:firstLineChars="200"/>
        <w:rPr>
          <w:rFonts w:eastAsiaTheme="minorEastAsia"/>
          <w:sz w:val="24"/>
        </w:rPr>
      </w:pPr>
      <w:r>
        <w:rPr>
          <w:rFonts w:eastAsiaTheme="minorEastAsia"/>
          <w:sz w:val="24"/>
        </w:rPr>
        <w:t>（4）湖南省贯彻落实《水污染防治行动计划》实施方案（2016-2020年），湘政发[2015]53号；</w:t>
      </w:r>
    </w:p>
    <w:p>
      <w:pPr>
        <w:adjustRightInd w:val="0"/>
        <w:snapToGrid w:val="0"/>
        <w:spacing w:line="360" w:lineRule="auto"/>
        <w:ind w:firstLine="480" w:firstLineChars="200"/>
        <w:rPr>
          <w:rFonts w:eastAsiaTheme="minorEastAsia"/>
          <w:sz w:val="24"/>
        </w:rPr>
      </w:pPr>
      <w:r>
        <w:rPr>
          <w:rFonts w:eastAsiaTheme="minorEastAsia"/>
          <w:sz w:val="24"/>
        </w:rPr>
        <w:t>（5）湖南省人民政府关于印发《湖南省土壤污染防治工作方案》的通知，湘政发〔2017〕4号；</w:t>
      </w:r>
    </w:p>
    <w:p>
      <w:pPr>
        <w:adjustRightInd w:val="0"/>
        <w:snapToGrid w:val="0"/>
        <w:spacing w:line="360" w:lineRule="auto"/>
        <w:ind w:firstLine="480" w:firstLineChars="200"/>
        <w:rPr>
          <w:rFonts w:eastAsiaTheme="minorEastAsia"/>
          <w:sz w:val="24"/>
        </w:rPr>
      </w:pPr>
      <w:r>
        <w:rPr>
          <w:rFonts w:eastAsiaTheme="minorEastAsia"/>
          <w:sz w:val="24"/>
        </w:rPr>
        <w:t>（6）湖南省实施《中华人民共和国固体废物污染环境防治法》办法，2018年1月17日湖南省第十二届人民代表大会常务委员会第三十五次会议通过；</w:t>
      </w:r>
    </w:p>
    <w:p>
      <w:pPr>
        <w:adjustRightInd w:val="0"/>
        <w:snapToGrid w:val="0"/>
        <w:spacing w:line="360" w:lineRule="auto"/>
        <w:ind w:firstLine="480" w:firstLineChars="200"/>
        <w:rPr>
          <w:rFonts w:eastAsiaTheme="minorEastAsia"/>
          <w:sz w:val="24"/>
        </w:rPr>
      </w:pPr>
      <w:r>
        <w:rPr>
          <w:rFonts w:eastAsiaTheme="minorEastAsia"/>
          <w:sz w:val="24"/>
        </w:rPr>
        <w:t>（7）《湖南省大气污染防治条例》，2017年6月1日；</w:t>
      </w:r>
    </w:p>
    <w:p>
      <w:pPr>
        <w:adjustRightInd w:val="0"/>
        <w:snapToGrid w:val="0"/>
        <w:spacing w:line="360" w:lineRule="auto"/>
        <w:ind w:firstLine="480" w:firstLineChars="200"/>
        <w:rPr>
          <w:rFonts w:eastAsiaTheme="minorEastAsia"/>
          <w:sz w:val="24"/>
        </w:rPr>
      </w:pPr>
      <w:r>
        <w:rPr>
          <w:rFonts w:eastAsiaTheme="minorEastAsia"/>
          <w:sz w:val="24"/>
        </w:rPr>
        <w:t>（8）关于印发《湖南省污染防治攻坚战三年行动计划（2018—2020年）》的通知，湘政发[2018]17号；</w:t>
      </w:r>
    </w:p>
    <w:p>
      <w:pPr>
        <w:adjustRightInd w:val="0"/>
        <w:snapToGrid w:val="0"/>
        <w:spacing w:line="360" w:lineRule="auto"/>
        <w:ind w:firstLine="480" w:firstLineChars="200"/>
        <w:rPr>
          <w:rFonts w:eastAsiaTheme="minorEastAsia"/>
          <w:sz w:val="24"/>
        </w:rPr>
      </w:pPr>
      <w:r>
        <w:rPr>
          <w:rFonts w:eastAsiaTheme="minorEastAsia"/>
          <w:sz w:val="24"/>
        </w:rPr>
        <w:t>（9）湖南省人民政府关于印发《湖南省生态保护红线》的通知，湘政发〔2018〕20号；</w:t>
      </w:r>
    </w:p>
    <w:p>
      <w:pPr>
        <w:adjustRightInd w:val="0"/>
        <w:snapToGrid w:val="0"/>
        <w:spacing w:line="360" w:lineRule="auto"/>
        <w:ind w:firstLine="480" w:firstLineChars="200"/>
        <w:rPr>
          <w:rFonts w:eastAsiaTheme="minorEastAsia"/>
          <w:sz w:val="24"/>
        </w:rPr>
      </w:pPr>
      <w:r>
        <w:rPr>
          <w:rFonts w:eastAsiaTheme="minorEastAsia"/>
          <w:sz w:val="24"/>
        </w:rPr>
        <w:t>（10）《湖南省饮用水水源保护条例》，湖南省第十二届人民代表大会常务委员会第三十三次会议通过，2017年11月30日；</w:t>
      </w:r>
    </w:p>
    <w:p>
      <w:pPr>
        <w:adjustRightInd w:val="0"/>
        <w:snapToGrid w:val="0"/>
        <w:spacing w:line="360" w:lineRule="auto"/>
        <w:ind w:firstLine="480" w:firstLineChars="200"/>
        <w:rPr>
          <w:rFonts w:eastAsiaTheme="minorEastAsia"/>
          <w:sz w:val="24"/>
        </w:rPr>
      </w:pPr>
      <w:r>
        <w:rPr>
          <w:rFonts w:eastAsiaTheme="minorEastAsia"/>
          <w:sz w:val="24"/>
        </w:rPr>
        <w:t>（11）《湖南省生态环境厅关于执行污染物特别排放限值（第一批）的公告》湖南省生态环境厅，2018年10月29日；</w:t>
      </w:r>
    </w:p>
    <w:p>
      <w:pPr>
        <w:adjustRightInd w:val="0"/>
        <w:snapToGrid w:val="0"/>
        <w:spacing w:line="360" w:lineRule="auto"/>
        <w:ind w:firstLine="480" w:firstLineChars="200"/>
        <w:rPr>
          <w:rFonts w:eastAsiaTheme="minorEastAsia"/>
          <w:sz w:val="24"/>
          <w:u w:val="single"/>
        </w:rPr>
      </w:pPr>
      <w:r>
        <w:rPr>
          <w:rFonts w:eastAsiaTheme="minorEastAsia"/>
          <w:sz w:val="24"/>
          <w:u w:val="single"/>
        </w:rPr>
        <w:t>（12）《湖南省用水定额》（DB43/T388-20</w:t>
      </w:r>
      <w:r>
        <w:rPr>
          <w:rFonts w:hint="eastAsia" w:eastAsiaTheme="minorEastAsia"/>
          <w:sz w:val="24"/>
          <w:u w:val="single"/>
        </w:rPr>
        <w:t>20</w:t>
      </w:r>
      <w:r>
        <w:rPr>
          <w:rFonts w:eastAsiaTheme="minorEastAsia"/>
          <w:sz w:val="24"/>
          <w:u w:val="single"/>
        </w:rPr>
        <w:t>）；</w:t>
      </w:r>
    </w:p>
    <w:p>
      <w:pPr>
        <w:adjustRightInd w:val="0"/>
        <w:snapToGrid w:val="0"/>
        <w:spacing w:line="360" w:lineRule="auto"/>
        <w:ind w:firstLine="480" w:firstLineChars="200"/>
        <w:rPr>
          <w:rFonts w:eastAsiaTheme="minorEastAsia"/>
          <w:sz w:val="24"/>
        </w:rPr>
      </w:pPr>
      <w:r>
        <w:rPr>
          <w:rFonts w:eastAsiaTheme="minorEastAsia"/>
          <w:sz w:val="24"/>
        </w:rPr>
        <w:t>（13）《岳阳市贯彻落实〈大气污染防治行动计划〉实施方案》（岳政办发〔2014〕17号）（2014年11月28日）；</w:t>
      </w:r>
    </w:p>
    <w:p>
      <w:pPr>
        <w:adjustRightInd w:val="0"/>
        <w:snapToGrid w:val="0"/>
        <w:spacing w:line="360" w:lineRule="auto"/>
        <w:ind w:firstLine="480" w:firstLineChars="200"/>
        <w:rPr>
          <w:rFonts w:eastAsiaTheme="minorEastAsia"/>
          <w:sz w:val="24"/>
        </w:rPr>
      </w:pPr>
      <w:r>
        <w:rPr>
          <w:rFonts w:eastAsiaTheme="minorEastAsia"/>
          <w:sz w:val="24"/>
        </w:rPr>
        <w:t>（14）《岳阳市人民政府办公室关于印发&lt;岳阳市水环境功能区管理规定&gt;和&lt;岳阳市水环境功能区划分&gt;的通知》（岳政办发[2010]30号）；</w:t>
      </w:r>
    </w:p>
    <w:p>
      <w:pPr>
        <w:adjustRightInd w:val="0"/>
        <w:snapToGrid w:val="0"/>
        <w:spacing w:line="360" w:lineRule="auto"/>
        <w:ind w:firstLine="480" w:firstLineChars="200"/>
        <w:rPr>
          <w:rFonts w:eastAsiaTheme="minorEastAsia"/>
          <w:sz w:val="24"/>
        </w:rPr>
      </w:pPr>
      <w:r>
        <w:rPr>
          <w:rFonts w:eastAsiaTheme="minorEastAsia"/>
          <w:sz w:val="24"/>
        </w:rPr>
        <w:t>（15）《岳阳市人民政府关于控制市城区扬尘污染的通告》（岳政告[2009]8号）；</w:t>
      </w:r>
    </w:p>
    <w:p>
      <w:pPr>
        <w:pStyle w:val="4"/>
        <w:snapToGrid w:val="0"/>
        <w:spacing w:before="0" w:after="0" w:line="360" w:lineRule="auto"/>
        <w:rPr>
          <w:rFonts w:eastAsiaTheme="minorEastAsia"/>
          <w:kern w:val="0"/>
          <w:sz w:val="24"/>
        </w:rPr>
      </w:pPr>
      <w:r>
        <w:rPr>
          <w:rFonts w:eastAsiaTheme="minorEastAsia"/>
          <w:kern w:val="0"/>
          <w:sz w:val="24"/>
        </w:rPr>
        <w:t>2.1.3 技术导则、规范</w:t>
      </w:r>
    </w:p>
    <w:p>
      <w:pPr>
        <w:adjustRightInd w:val="0"/>
        <w:snapToGrid w:val="0"/>
        <w:spacing w:line="360" w:lineRule="auto"/>
        <w:ind w:firstLine="480" w:firstLineChars="200"/>
        <w:rPr>
          <w:rFonts w:eastAsiaTheme="minorEastAsia"/>
          <w:sz w:val="24"/>
        </w:rPr>
      </w:pPr>
      <w:r>
        <w:rPr>
          <w:rFonts w:eastAsiaTheme="minorEastAsia"/>
          <w:sz w:val="24"/>
        </w:rPr>
        <w:t>（1）《建设项目环境影响评价技术导则 总纲》（HJ2.1-2016）；</w:t>
      </w:r>
    </w:p>
    <w:p>
      <w:pPr>
        <w:adjustRightInd w:val="0"/>
        <w:snapToGrid w:val="0"/>
        <w:spacing w:line="360" w:lineRule="auto"/>
        <w:ind w:firstLine="480" w:firstLineChars="200"/>
        <w:rPr>
          <w:rFonts w:eastAsiaTheme="minorEastAsia"/>
          <w:sz w:val="24"/>
        </w:rPr>
      </w:pPr>
      <w:r>
        <w:rPr>
          <w:rFonts w:eastAsiaTheme="minorEastAsia"/>
          <w:sz w:val="24"/>
        </w:rPr>
        <w:t>（2）《环境影响评价技术导则—大气环境》（HJ2.2-2018）；</w:t>
      </w:r>
    </w:p>
    <w:p>
      <w:pPr>
        <w:adjustRightInd w:val="0"/>
        <w:snapToGrid w:val="0"/>
        <w:spacing w:line="360" w:lineRule="auto"/>
        <w:ind w:firstLine="480" w:firstLineChars="200"/>
        <w:rPr>
          <w:rFonts w:eastAsiaTheme="minorEastAsia"/>
          <w:sz w:val="24"/>
        </w:rPr>
      </w:pPr>
      <w:r>
        <w:rPr>
          <w:rFonts w:eastAsiaTheme="minorEastAsia"/>
          <w:sz w:val="24"/>
        </w:rPr>
        <w:t>（3）《环境影响评价技术导则—地表水环境》（HJ2.3-2018）；</w:t>
      </w:r>
    </w:p>
    <w:p>
      <w:pPr>
        <w:adjustRightInd w:val="0"/>
        <w:snapToGrid w:val="0"/>
        <w:spacing w:line="360" w:lineRule="auto"/>
        <w:ind w:firstLine="480" w:firstLineChars="200"/>
        <w:rPr>
          <w:rFonts w:eastAsiaTheme="minorEastAsia"/>
          <w:sz w:val="24"/>
        </w:rPr>
      </w:pPr>
      <w:r>
        <w:rPr>
          <w:rFonts w:eastAsiaTheme="minorEastAsia"/>
          <w:sz w:val="24"/>
        </w:rPr>
        <w:t>（4）《环境影响评价技术导则—地下水环境》（HJ610-2016）；</w:t>
      </w:r>
    </w:p>
    <w:p>
      <w:pPr>
        <w:adjustRightInd w:val="0"/>
        <w:snapToGrid w:val="0"/>
        <w:spacing w:line="360" w:lineRule="auto"/>
        <w:ind w:firstLine="480" w:firstLineChars="200"/>
        <w:rPr>
          <w:rFonts w:eastAsiaTheme="minorEastAsia"/>
          <w:sz w:val="24"/>
        </w:rPr>
      </w:pPr>
      <w:r>
        <w:rPr>
          <w:rFonts w:eastAsiaTheme="minorEastAsia"/>
          <w:sz w:val="24"/>
        </w:rPr>
        <w:t>（5）《环境影响评价技术导则—声环境》（HJ2.4-2009）；</w:t>
      </w:r>
    </w:p>
    <w:p>
      <w:pPr>
        <w:adjustRightInd w:val="0"/>
        <w:snapToGrid w:val="0"/>
        <w:spacing w:line="360" w:lineRule="auto"/>
        <w:ind w:firstLine="480" w:firstLineChars="200"/>
        <w:rPr>
          <w:rFonts w:eastAsiaTheme="minorEastAsia"/>
          <w:sz w:val="24"/>
        </w:rPr>
      </w:pPr>
      <w:r>
        <w:rPr>
          <w:rFonts w:eastAsiaTheme="minorEastAsia"/>
          <w:sz w:val="24"/>
        </w:rPr>
        <w:t>（6）《环境影响评价技术导则—生态影响》（HJ19-2011）；</w:t>
      </w:r>
    </w:p>
    <w:p>
      <w:pPr>
        <w:adjustRightInd w:val="0"/>
        <w:snapToGrid w:val="0"/>
        <w:spacing w:line="360" w:lineRule="auto"/>
        <w:ind w:firstLine="480" w:firstLineChars="200"/>
        <w:rPr>
          <w:rFonts w:eastAsiaTheme="minorEastAsia"/>
          <w:sz w:val="24"/>
        </w:rPr>
      </w:pPr>
      <w:r>
        <w:rPr>
          <w:rFonts w:eastAsiaTheme="minorEastAsia"/>
          <w:sz w:val="24"/>
        </w:rPr>
        <w:t>（7）《环境影响评价技术导则—土壤环境（试行）》（HJ964-2018）；</w:t>
      </w:r>
    </w:p>
    <w:p>
      <w:pPr>
        <w:adjustRightInd w:val="0"/>
        <w:snapToGrid w:val="0"/>
        <w:spacing w:line="360" w:lineRule="auto"/>
        <w:ind w:firstLine="480" w:firstLineChars="200"/>
        <w:rPr>
          <w:rFonts w:eastAsiaTheme="minorEastAsia"/>
          <w:sz w:val="24"/>
        </w:rPr>
      </w:pPr>
      <w:r>
        <w:rPr>
          <w:rFonts w:eastAsiaTheme="minorEastAsia"/>
          <w:sz w:val="24"/>
        </w:rPr>
        <w:t>（8）《建设项目环境风险评价技术导则》(HJ169-2018)；</w:t>
      </w:r>
    </w:p>
    <w:p>
      <w:pPr>
        <w:adjustRightInd w:val="0"/>
        <w:snapToGrid w:val="0"/>
        <w:spacing w:line="360" w:lineRule="auto"/>
        <w:ind w:firstLine="480" w:firstLineChars="200"/>
        <w:rPr>
          <w:rFonts w:eastAsiaTheme="minorEastAsia"/>
          <w:sz w:val="24"/>
        </w:rPr>
      </w:pPr>
      <w:r>
        <w:rPr>
          <w:rFonts w:eastAsiaTheme="minorEastAsia"/>
          <w:sz w:val="24"/>
        </w:rPr>
        <w:t>（9）《企业突发环境事件风险分级办法》（HJ 941-2018）；</w:t>
      </w:r>
    </w:p>
    <w:p>
      <w:pPr>
        <w:adjustRightInd w:val="0"/>
        <w:snapToGrid w:val="0"/>
        <w:spacing w:line="360" w:lineRule="auto"/>
        <w:ind w:firstLine="480" w:firstLineChars="200"/>
        <w:rPr>
          <w:rFonts w:eastAsiaTheme="minorEastAsia"/>
          <w:sz w:val="24"/>
        </w:rPr>
      </w:pPr>
      <w:r>
        <w:rPr>
          <w:rFonts w:eastAsiaTheme="minorEastAsia"/>
          <w:sz w:val="24"/>
        </w:rPr>
        <w:t>（10）《大气污染治理工程技术导则》（HJ2000-2010）；</w:t>
      </w:r>
    </w:p>
    <w:p>
      <w:pPr>
        <w:adjustRightInd w:val="0"/>
        <w:snapToGrid w:val="0"/>
        <w:spacing w:line="360" w:lineRule="auto"/>
        <w:ind w:firstLine="480" w:firstLineChars="200"/>
        <w:rPr>
          <w:rFonts w:eastAsiaTheme="minorEastAsia"/>
          <w:sz w:val="24"/>
        </w:rPr>
      </w:pPr>
      <w:r>
        <w:rPr>
          <w:rFonts w:eastAsiaTheme="minorEastAsia"/>
          <w:sz w:val="24"/>
        </w:rPr>
        <w:t>（11）《危险废物收集、贮存及运输技术规范》（HJ2025-2012）；</w:t>
      </w:r>
    </w:p>
    <w:p>
      <w:pPr>
        <w:adjustRightInd w:val="0"/>
        <w:snapToGrid w:val="0"/>
        <w:spacing w:line="360" w:lineRule="auto"/>
        <w:ind w:firstLine="480" w:firstLineChars="200"/>
        <w:rPr>
          <w:rFonts w:eastAsiaTheme="minorEastAsia"/>
          <w:sz w:val="24"/>
        </w:rPr>
      </w:pPr>
      <w:r>
        <w:rPr>
          <w:rFonts w:eastAsiaTheme="minorEastAsia"/>
          <w:sz w:val="24"/>
        </w:rPr>
        <w:t>（12）《危险化学品重大危险源辨识》（GB18218-2018）；</w:t>
      </w:r>
    </w:p>
    <w:p>
      <w:pPr>
        <w:adjustRightInd w:val="0"/>
        <w:snapToGrid w:val="0"/>
        <w:spacing w:line="360" w:lineRule="auto"/>
        <w:ind w:firstLine="480" w:firstLineChars="200"/>
        <w:rPr>
          <w:rFonts w:eastAsiaTheme="minorEastAsia"/>
          <w:sz w:val="24"/>
        </w:rPr>
      </w:pPr>
      <w:r>
        <w:rPr>
          <w:rFonts w:eastAsiaTheme="minorEastAsia"/>
          <w:sz w:val="24"/>
        </w:rPr>
        <w:t>（13）</w:t>
      </w:r>
      <w:r>
        <w:rPr>
          <w:rFonts w:hint="eastAsia" w:eastAsiaTheme="minorEastAsia"/>
          <w:sz w:val="24"/>
          <w:u w:val="single"/>
        </w:rPr>
        <w:t>《危险废物鉴别标准 通则》(GB 5085.7—2019)</w:t>
      </w:r>
      <w:r>
        <w:rPr>
          <w:rFonts w:eastAsiaTheme="minorEastAsia"/>
          <w:sz w:val="24"/>
        </w:rPr>
        <w:t>；</w:t>
      </w:r>
    </w:p>
    <w:p>
      <w:pPr>
        <w:adjustRightInd w:val="0"/>
        <w:snapToGrid w:val="0"/>
        <w:spacing w:line="360" w:lineRule="auto"/>
        <w:ind w:firstLine="480" w:firstLineChars="200"/>
        <w:rPr>
          <w:rFonts w:eastAsiaTheme="minorEastAsia"/>
          <w:sz w:val="24"/>
        </w:rPr>
      </w:pPr>
      <w:r>
        <w:rPr>
          <w:rFonts w:eastAsiaTheme="minorEastAsia"/>
          <w:sz w:val="24"/>
        </w:rPr>
        <w:t>（14）《防治城市扬尘污染技术规范》（HJ/T393-2007）；</w:t>
      </w:r>
    </w:p>
    <w:p>
      <w:pPr>
        <w:adjustRightInd w:val="0"/>
        <w:snapToGrid w:val="0"/>
        <w:spacing w:line="360" w:lineRule="auto"/>
        <w:ind w:firstLine="480" w:firstLineChars="200"/>
        <w:rPr>
          <w:rFonts w:eastAsiaTheme="minorEastAsia"/>
          <w:sz w:val="24"/>
        </w:rPr>
      </w:pPr>
      <w:r>
        <w:rPr>
          <w:rFonts w:eastAsiaTheme="minorEastAsia"/>
          <w:sz w:val="24"/>
        </w:rPr>
        <w:t>（15）《医院污水处理工程技术规范》（HJ 2029-2013）；</w:t>
      </w:r>
    </w:p>
    <w:p>
      <w:pPr>
        <w:adjustRightInd w:val="0"/>
        <w:snapToGrid w:val="0"/>
        <w:spacing w:line="360" w:lineRule="auto"/>
        <w:ind w:firstLine="480" w:firstLineChars="200"/>
        <w:rPr>
          <w:rFonts w:eastAsiaTheme="minorEastAsia"/>
          <w:sz w:val="24"/>
        </w:rPr>
      </w:pPr>
      <w:r>
        <w:rPr>
          <w:rFonts w:eastAsiaTheme="minorEastAsia"/>
          <w:sz w:val="24"/>
        </w:rPr>
        <w:t>（16）《医院污水处理技术指南》（环发[2013]197号）。</w:t>
      </w:r>
    </w:p>
    <w:p>
      <w:pPr>
        <w:adjustRightInd w:val="0"/>
        <w:snapToGrid w:val="0"/>
        <w:spacing w:line="360" w:lineRule="auto"/>
        <w:ind w:firstLine="480" w:firstLineChars="200"/>
        <w:rPr>
          <w:rFonts w:eastAsiaTheme="minorEastAsia"/>
          <w:sz w:val="24"/>
        </w:rPr>
      </w:pPr>
      <w:r>
        <w:rPr>
          <w:rFonts w:eastAsiaTheme="minorEastAsia"/>
          <w:sz w:val="24"/>
        </w:rPr>
        <w:t>（17）《排污单位自行监测技术指南 总则》（HJ819-2017）</w:t>
      </w:r>
    </w:p>
    <w:p>
      <w:pPr>
        <w:adjustRightInd w:val="0"/>
        <w:snapToGrid w:val="0"/>
        <w:spacing w:line="360" w:lineRule="auto"/>
        <w:ind w:firstLine="480" w:firstLineChars="200"/>
        <w:rPr>
          <w:rFonts w:eastAsiaTheme="minorEastAsia"/>
          <w:sz w:val="24"/>
        </w:rPr>
      </w:pPr>
      <w:r>
        <w:rPr>
          <w:rFonts w:eastAsiaTheme="minorEastAsia"/>
          <w:sz w:val="24"/>
        </w:rPr>
        <w:t>（18）《排污许可证申请与核发技术规范 医疗机构》（HJ1105—2020）。</w:t>
      </w:r>
    </w:p>
    <w:p>
      <w:pPr>
        <w:adjustRightInd w:val="0"/>
        <w:snapToGrid w:val="0"/>
        <w:spacing w:line="360" w:lineRule="auto"/>
        <w:ind w:firstLine="480" w:firstLineChars="200"/>
        <w:rPr>
          <w:rFonts w:eastAsiaTheme="minorEastAsia"/>
          <w:sz w:val="24"/>
          <w:u w:val="single"/>
        </w:rPr>
      </w:pPr>
      <w:r>
        <w:rPr>
          <w:rFonts w:hint="eastAsia" w:eastAsiaTheme="minorEastAsia"/>
          <w:sz w:val="24"/>
          <w:u w:val="single"/>
        </w:rPr>
        <w:t>（19）</w:t>
      </w:r>
      <w:bookmarkStart w:id="26" w:name="_Hlk60906656"/>
      <w:r>
        <w:rPr>
          <w:rFonts w:hint="eastAsia" w:eastAsiaTheme="minorEastAsia"/>
          <w:sz w:val="24"/>
          <w:u w:val="single"/>
        </w:rPr>
        <w:t>《污水排入城镇下水道水质标准》（</w:t>
      </w:r>
      <w:r>
        <w:rPr>
          <w:rFonts w:eastAsiaTheme="minorEastAsia"/>
          <w:sz w:val="24"/>
          <w:u w:val="single"/>
        </w:rPr>
        <w:t>GB/T 31962—2015</w:t>
      </w:r>
      <w:r>
        <w:rPr>
          <w:rFonts w:hint="eastAsia" w:eastAsiaTheme="minorEastAsia"/>
          <w:sz w:val="24"/>
          <w:u w:val="single"/>
        </w:rPr>
        <w:t>）</w:t>
      </w:r>
      <w:bookmarkEnd w:id="26"/>
    </w:p>
    <w:p>
      <w:pPr>
        <w:adjustRightInd w:val="0"/>
        <w:snapToGrid w:val="0"/>
        <w:spacing w:line="360" w:lineRule="auto"/>
        <w:ind w:firstLine="480" w:firstLineChars="200"/>
        <w:rPr>
          <w:rFonts w:eastAsiaTheme="minorEastAsia"/>
          <w:sz w:val="24"/>
          <w:u w:val="single"/>
        </w:rPr>
      </w:pPr>
      <w:r>
        <w:rPr>
          <w:rFonts w:hint="eastAsia" w:eastAsiaTheme="minorEastAsia"/>
          <w:sz w:val="24"/>
          <w:u w:val="single"/>
        </w:rPr>
        <w:t>（20）《医疗废物集中处置技术规范》（环发〔2003〕206号）</w:t>
      </w:r>
    </w:p>
    <w:p>
      <w:pPr>
        <w:pStyle w:val="4"/>
        <w:snapToGrid w:val="0"/>
        <w:spacing w:before="0" w:after="0" w:line="360" w:lineRule="auto"/>
        <w:rPr>
          <w:rFonts w:eastAsiaTheme="minorEastAsia"/>
          <w:kern w:val="0"/>
          <w:sz w:val="24"/>
        </w:rPr>
      </w:pPr>
      <w:r>
        <w:rPr>
          <w:rFonts w:eastAsiaTheme="minorEastAsia"/>
          <w:kern w:val="0"/>
          <w:sz w:val="24"/>
        </w:rPr>
        <w:t>2.1.4 相关技术文件、资料</w:t>
      </w:r>
    </w:p>
    <w:p>
      <w:pPr>
        <w:snapToGrid w:val="0"/>
        <w:spacing w:line="360" w:lineRule="auto"/>
        <w:ind w:firstLine="480" w:firstLineChars="200"/>
        <w:jc w:val="left"/>
        <w:rPr>
          <w:rFonts w:eastAsiaTheme="minorEastAsia"/>
          <w:sz w:val="24"/>
        </w:rPr>
      </w:pPr>
      <w:r>
        <w:rPr>
          <w:rFonts w:eastAsiaTheme="minorEastAsia"/>
          <w:sz w:val="24"/>
          <w:lang w:val="zh-CN"/>
        </w:rPr>
        <w:t>（</w:t>
      </w:r>
      <w:r>
        <w:rPr>
          <w:rFonts w:eastAsiaTheme="minorEastAsia"/>
          <w:sz w:val="24"/>
        </w:rPr>
        <w:t>1）环评委托书；</w:t>
      </w:r>
    </w:p>
    <w:p>
      <w:pPr>
        <w:snapToGrid w:val="0"/>
        <w:spacing w:line="360" w:lineRule="auto"/>
        <w:ind w:firstLine="480" w:firstLineChars="200"/>
        <w:jc w:val="left"/>
        <w:rPr>
          <w:rFonts w:eastAsiaTheme="minorEastAsia"/>
          <w:sz w:val="24"/>
        </w:rPr>
      </w:pPr>
      <w:r>
        <w:rPr>
          <w:rFonts w:eastAsiaTheme="minorEastAsia"/>
          <w:sz w:val="24"/>
        </w:rPr>
        <w:t>（2）湘阴县中医院整体搬迁项目可行性研究报告；</w:t>
      </w:r>
    </w:p>
    <w:p>
      <w:pPr>
        <w:snapToGrid w:val="0"/>
        <w:spacing w:line="360" w:lineRule="auto"/>
        <w:ind w:firstLine="480" w:firstLineChars="200"/>
        <w:jc w:val="left"/>
        <w:rPr>
          <w:rFonts w:eastAsiaTheme="minorEastAsia"/>
          <w:sz w:val="24"/>
        </w:rPr>
      </w:pPr>
      <w:r>
        <w:rPr>
          <w:rFonts w:eastAsiaTheme="minorEastAsia"/>
          <w:sz w:val="24"/>
        </w:rPr>
        <w:t>（3）湘阴县中医院整体搬迁项目设计图纸；</w:t>
      </w:r>
    </w:p>
    <w:p>
      <w:pPr>
        <w:snapToGrid w:val="0"/>
        <w:spacing w:line="360" w:lineRule="auto"/>
        <w:ind w:firstLine="480" w:firstLineChars="200"/>
        <w:jc w:val="left"/>
        <w:rPr>
          <w:rFonts w:eastAsiaTheme="minorEastAsia"/>
          <w:sz w:val="24"/>
        </w:rPr>
      </w:pPr>
      <w:r>
        <w:rPr>
          <w:rFonts w:eastAsiaTheme="minorEastAsia"/>
          <w:sz w:val="24"/>
        </w:rPr>
        <w:t>（4）现有工程扩建环评报告及批复</w:t>
      </w:r>
    </w:p>
    <w:p>
      <w:pPr>
        <w:snapToGrid w:val="0"/>
        <w:spacing w:line="360" w:lineRule="auto"/>
        <w:ind w:firstLine="480" w:firstLineChars="200"/>
        <w:jc w:val="left"/>
        <w:rPr>
          <w:rFonts w:eastAsiaTheme="minorEastAsia"/>
          <w:sz w:val="24"/>
        </w:rPr>
      </w:pPr>
      <w:r>
        <w:rPr>
          <w:rFonts w:eastAsiaTheme="minorEastAsia"/>
          <w:sz w:val="24"/>
        </w:rPr>
        <w:t>（5）建设方提供的其他相关资料。</w:t>
      </w:r>
    </w:p>
    <w:p>
      <w:pPr>
        <w:pStyle w:val="3"/>
        <w:snapToGrid w:val="0"/>
        <w:spacing w:before="0" w:after="0" w:line="360" w:lineRule="auto"/>
        <w:rPr>
          <w:rFonts w:ascii="Times New Roman" w:hAnsi="Times New Roman" w:eastAsiaTheme="minorEastAsia"/>
          <w:sz w:val="28"/>
          <w:lang w:val="zh-CN"/>
        </w:rPr>
      </w:pPr>
      <w:bookmarkStart w:id="27" w:name="_Toc61026586"/>
      <w:r>
        <w:rPr>
          <w:rFonts w:ascii="Times New Roman" w:hAnsi="Times New Roman" w:eastAsiaTheme="minorEastAsia"/>
          <w:sz w:val="28"/>
          <w:lang w:val="zh-CN"/>
        </w:rPr>
        <w:t>2.2 环境影响识别与评价因子筛选</w:t>
      </w:r>
      <w:bookmarkEnd w:id="27"/>
    </w:p>
    <w:p>
      <w:pPr>
        <w:pStyle w:val="4"/>
        <w:snapToGrid w:val="0"/>
        <w:spacing w:before="0" w:after="0" w:line="360" w:lineRule="auto"/>
        <w:rPr>
          <w:rFonts w:eastAsiaTheme="minorEastAsia"/>
          <w:kern w:val="0"/>
          <w:sz w:val="24"/>
        </w:rPr>
      </w:pPr>
      <w:r>
        <w:rPr>
          <w:rFonts w:eastAsiaTheme="minorEastAsia"/>
          <w:kern w:val="0"/>
          <w:sz w:val="24"/>
        </w:rPr>
        <w:t>2.2.1 评价重点</w:t>
      </w:r>
    </w:p>
    <w:p>
      <w:pPr>
        <w:snapToGrid w:val="0"/>
        <w:spacing w:line="360" w:lineRule="auto"/>
        <w:ind w:firstLine="480"/>
        <w:rPr>
          <w:rFonts w:eastAsiaTheme="minorEastAsia"/>
          <w:sz w:val="24"/>
        </w:rPr>
      </w:pPr>
      <w:r>
        <w:rPr>
          <w:rFonts w:eastAsiaTheme="minorEastAsia"/>
          <w:sz w:val="24"/>
        </w:rPr>
        <w:t>根据项目周围环境特征、医院的工作性质及污染物排放情况，确定以工程分析、环境影响分析为重点，着重论述废水、固废等的污染防治对策，并兼顾噪声及废气污染分析。</w:t>
      </w:r>
    </w:p>
    <w:p>
      <w:pPr>
        <w:pStyle w:val="4"/>
        <w:snapToGrid w:val="0"/>
        <w:spacing w:before="0" w:after="0" w:line="360" w:lineRule="auto"/>
        <w:rPr>
          <w:rFonts w:eastAsiaTheme="minorEastAsia"/>
          <w:kern w:val="0"/>
          <w:sz w:val="24"/>
        </w:rPr>
      </w:pPr>
      <w:r>
        <w:rPr>
          <w:rFonts w:eastAsiaTheme="minorEastAsia"/>
          <w:kern w:val="0"/>
          <w:sz w:val="24"/>
        </w:rPr>
        <w:t>2.2.2 环境影响因素识别</w:t>
      </w:r>
    </w:p>
    <w:p>
      <w:pPr>
        <w:snapToGrid w:val="0"/>
        <w:spacing w:line="360" w:lineRule="auto"/>
        <w:ind w:firstLine="480"/>
        <w:rPr>
          <w:rFonts w:eastAsiaTheme="minorEastAsia"/>
          <w:sz w:val="24"/>
        </w:rPr>
      </w:pPr>
      <w:r>
        <w:rPr>
          <w:rFonts w:eastAsiaTheme="minorEastAsia"/>
          <w:sz w:val="24"/>
        </w:rPr>
        <w:t>根据建设项目的工程特征和建设地区的环境特征，对本项目建设可能产生的环境问题进行了筛选识别，结果列于表2.2-1。</w:t>
      </w:r>
    </w:p>
    <w:p>
      <w:pPr>
        <w:snapToGrid w:val="0"/>
        <w:spacing w:line="360" w:lineRule="auto"/>
        <w:jc w:val="center"/>
        <w:rPr>
          <w:rFonts w:eastAsiaTheme="minorEastAsia"/>
          <w:b/>
          <w:sz w:val="24"/>
        </w:rPr>
      </w:pPr>
      <w:r>
        <w:rPr>
          <w:rFonts w:eastAsiaTheme="minorEastAsia"/>
          <w:b/>
          <w:sz w:val="24"/>
        </w:rPr>
        <w:t>表2.2-1  环境影响要素识别</w:t>
      </w:r>
    </w:p>
    <w:tbl>
      <w:tblPr>
        <w:tblStyle w:val="80"/>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1843"/>
        <w:gridCol w:w="57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Align w:val="center"/>
          </w:tcPr>
          <w:p>
            <w:pPr>
              <w:snapToGrid w:val="0"/>
              <w:jc w:val="center"/>
              <w:rPr>
                <w:rFonts w:eastAsiaTheme="minorEastAsia"/>
                <w:b/>
                <w:szCs w:val="21"/>
              </w:rPr>
            </w:pPr>
            <w:r>
              <w:rPr>
                <w:rFonts w:eastAsiaTheme="minorEastAsia"/>
                <w:b/>
                <w:szCs w:val="21"/>
              </w:rPr>
              <w:t>评价要素</w:t>
            </w:r>
          </w:p>
        </w:tc>
        <w:tc>
          <w:tcPr>
            <w:tcW w:w="7558" w:type="dxa"/>
            <w:gridSpan w:val="2"/>
            <w:vAlign w:val="center"/>
          </w:tcPr>
          <w:p>
            <w:pPr>
              <w:snapToGrid w:val="0"/>
              <w:jc w:val="center"/>
              <w:rPr>
                <w:rFonts w:eastAsiaTheme="minorEastAsia"/>
                <w:b/>
                <w:szCs w:val="21"/>
              </w:rPr>
            </w:pPr>
            <w:r>
              <w:rPr>
                <w:rFonts w:eastAsiaTheme="minorEastAsia"/>
                <w:b/>
                <w:szCs w:val="21"/>
              </w:rPr>
              <w:t>评价因子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restart"/>
            <w:vAlign w:val="center"/>
          </w:tcPr>
          <w:p>
            <w:pPr>
              <w:snapToGrid w:val="0"/>
              <w:jc w:val="center"/>
              <w:rPr>
                <w:rFonts w:eastAsiaTheme="minorEastAsia"/>
                <w:szCs w:val="21"/>
              </w:rPr>
            </w:pPr>
            <w:r>
              <w:rPr>
                <w:rFonts w:eastAsiaTheme="minorEastAsia"/>
                <w:szCs w:val="21"/>
              </w:rPr>
              <w:t>大气环境</w:t>
            </w:r>
          </w:p>
        </w:tc>
        <w:tc>
          <w:tcPr>
            <w:tcW w:w="1843" w:type="dxa"/>
            <w:vMerge w:val="restart"/>
            <w:vAlign w:val="center"/>
          </w:tcPr>
          <w:p>
            <w:pPr>
              <w:snapToGrid w:val="0"/>
              <w:jc w:val="center"/>
              <w:rPr>
                <w:rFonts w:eastAsiaTheme="minorEastAsia"/>
                <w:szCs w:val="21"/>
              </w:rPr>
            </w:pPr>
            <w:r>
              <w:rPr>
                <w:rFonts w:eastAsiaTheme="minorEastAsia"/>
                <w:szCs w:val="21"/>
              </w:rPr>
              <w:t>预测评价因子</w:t>
            </w:r>
          </w:p>
        </w:tc>
        <w:tc>
          <w:tcPr>
            <w:tcW w:w="5715" w:type="dxa"/>
            <w:vAlign w:val="center"/>
          </w:tcPr>
          <w:p>
            <w:pPr>
              <w:snapToGrid w:val="0"/>
              <w:jc w:val="left"/>
              <w:rPr>
                <w:rFonts w:eastAsiaTheme="minorEastAsia"/>
                <w:szCs w:val="21"/>
              </w:rPr>
            </w:pPr>
            <w:r>
              <w:rPr>
                <w:rFonts w:eastAsiaTheme="minorEastAsia"/>
                <w:szCs w:val="21"/>
              </w:rPr>
              <w:t>施工期：TSP、SO</w:t>
            </w:r>
            <w:r>
              <w:rPr>
                <w:rFonts w:eastAsiaTheme="minorEastAsia"/>
                <w:szCs w:val="21"/>
                <w:vertAlign w:val="subscript"/>
              </w:rPr>
              <w:t>2</w:t>
            </w:r>
            <w:r>
              <w:rPr>
                <w:rFonts w:eastAsiaTheme="minorEastAsia"/>
                <w:szCs w:val="21"/>
              </w:rPr>
              <w:t>、NO</w:t>
            </w:r>
            <w:r>
              <w:rPr>
                <w:rFonts w:eastAsiaTheme="minorEastAsia"/>
                <w:szCs w:val="21"/>
                <w:vertAlign w:val="subscript"/>
              </w:rPr>
              <w:t>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continue"/>
            <w:vAlign w:val="center"/>
          </w:tcPr>
          <w:p>
            <w:pPr>
              <w:snapToGrid w:val="0"/>
              <w:jc w:val="center"/>
              <w:rPr>
                <w:rFonts w:eastAsiaTheme="minorEastAsia"/>
                <w:szCs w:val="21"/>
              </w:rPr>
            </w:pPr>
          </w:p>
        </w:tc>
        <w:tc>
          <w:tcPr>
            <w:tcW w:w="1843" w:type="dxa"/>
            <w:vMerge w:val="continue"/>
            <w:vAlign w:val="center"/>
          </w:tcPr>
          <w:p>
            <w:pPr>
              <w:snapToGrid w:val="0"/>
              <w:jc w:val="center"/>
              <w:rPr>
                <w:rFonts w:eastAsiaTheme="minorEastAsia"/>
                <w:szCs w:val="21"/>
              </w:rPr>
            </w:pPr>
          </w:p>
        </w:tc>
        <w:tc>
          <w:tcPr>
            <w:tcW w:w="5715" w:type="dxa"/>
            <w:vAlign w:val="center"/>
          </w:tcPr>
          <w:p>
            <w:pPr>
              <w:snapToGrid w:val="0"/>
              <w:jc w:val="left"/>
              <w:rPr>
                <w:rFonts w:eastAsiaTheme="minorEastAsia"/>
                <w:szCs w:val="21"/>
              </w:rPr>
            </w:pPr>
            <w:r>
              <w:rPr>
                <w:rFonts w:eastAsiaTheme="minorEastAsia"/>
                <w:szCs w:val="21"/>
              </w:rPr>
              <w:t>营运期：SO</w:t>
            </w:r>
            <w:r>
              <w:rPr>
                <w:rFonts w:eastAsiaTheme="minorEastAsia"/>
                <w:szCs w:val="21"/>
                <w:vertAlign w:val="subscript"/>
              </w:rPr>
              <w:t>2</w:t>
            </w:r>
            <w:r>
              <w:rPr>
                <w:rFonts w:eastAsiaTheme="minorEastAsia"/>
                <w:szCs w:val="21"/>
              </w:rPr>
              <w:t>、NOx、TSP、NH</w:t>
            </w:r>
            <w:r>
              <w:rPr>
                <w:rFonts w:eastAsiaTheme="minorEastAsia"/>
                <w:szCs w:val="21"/>
                <w:vertAlign w:val="subscript"/>
              </w:rPr>
              <w:t>3</w:t>
            </w:r>
            <w:r>
              <w:rPr>
                <w:rFonts w:eastAsiaTheme="minorEastAsia"/>
                <w:szCs w:val="21"/>
              </w:rPr>
              <w:t>、H</w:t>
            </w:r>
            <w:r>
              <w:rPr>
                <w:rFonts w:eastAsiaTheme="minorEastAsia"/>
                <w:szCs w:val="21"/>
                <w:vertAlign w:val="subscript"/>
              </w:rPr>
              <w:t>2</w:t>
            </w:r>
            <w:r>
              <w:rPr>
                <w:rFonts w:eastAsiaTheme="minorEastAsia"/>
                <w:szCs w:val="21"/>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continue"/>
            <w:vAlign w:val="center"/>
          </w:tcPr>
          <w:p>
            <w:pPr>
              <w:snapToGrid w:val="0"/>
              <w:jc w:val="center"/>
              <w:rPr>
                <w:rFonts w:eastAsiaTheme="minorEastAsia"/>
                <w:szCs w:val="21"/>
              </w:rPr>
            </w:pPr>
          </w:p>
        </w:tc>
        <w:tc>
          <w:tcPr>
            <w:tcW w:w="1843" w:type="dxa"/>
            <w:vAlign w:val="center"/>
          </w:tcPr>
          <w:p>
            <w:pPr>
              <w:snapToGrid w:val="0"/>
              <w:jc w:val="center"/>
              <w:rPr>
                <w:rFonts w:eastAsiaTheme="minorEastAsia"/>
                <w:szCs w:val="21"/>
              </w:rPr>
            </w:pPr>
            <w:r>
              <w:rPr>
                <w:rFonts w:eastAsiaTheme="minorEastAsia"/>
                <w:szCs w:val="21"/>
              </w:rPr>
              <w:t>现状评价因子</w:t>
            </w:r>
          </w:p>
        </w:tc>
        <w:tc>
          <w:tcPr>
            <w:tcW w:w="5715" w:type="dxa"/>
            <w:vAlign w:val="center"/>
          </w:tcPr>
          <w:p>
            <w:pPr>
              <w:snapToGrid w:val="0"/>
              <w:jc w:val="left"/>
              <w:rPr>
                <w:rFonts w:eastAsiaTheme="minorEastAsia"/>
                <w:szCs w:val="21"/>
              </w:rPr>
            </w:pPr>
            <w:r>
              <w:rPr>
                <w:rFonts w:eastAsiaTheme="minorEastAsia"/>
                <w:szCs w:val="21"/>
              </w:rPr>
              <w:t>：SO</w:t>
            </w:r>
            <w:r>
              <w:rPr>
                <w:rFonts w:eastAsiaTheme="minorEastAsia"/>
                <w:szCs w:val="21"/>
                <w:vertAlign w:val="subscript"/>
              </w:rPr>
              <w:t>2</w:t>
            </w:r>
            <w:r>
              <w:rPr>
                <w:rFonts w:eastAsiaTheme="minorEastAsia"/>
                <w:szCs w:val="21"/>
              </w:rPr>
              <w:t>、NO</w:t>
            </w:r>
            <w:r>
              <w:rPr>
                <w:rFonts w:eastAsiaTheme="minorEastAsia"/>
                <w:szCs w:val="21"/>
                <w:vertAlign w:val="subscript"/>
              </w:rPr>
              <w:t>2</w:t>
            </w:r>
            <w:r>
              <w:rPr>
                <w:rFonts w:eastAsiaTheme="minorEastAsia"/>
                <w:szCs w:val="21"/>
              </w:rPr>
              <w:t>、CO、O</w:t>
            </w:r>
            <w:r>
              <w:rPr>
                <w:rFonts w:eastAsiaTheme="minorEastAsia"/>
                <w:szCs w:val="21"/>
                <w:vertAlign w:val="subscript"/>
              </w:rPr>
              <w:t>3</w:t>
            </w:r>
            <w:r>
              <w:rPr>
                <w:rFonts w:eastAsiaTheme="minorEastAsia"/>
                <w:szCs w:val="21"/>
              </w:rPr>
              <w:t>、PM</w:t>
            </w:r>
            <w:r>
              <w:rPr>
                <w:rFonts w:eastAsiaTheme="minorEastAsia"/>
                <w:szCs w:val="21"/>
                <w:vertAlign w:val="subscript"/>
              </w:rPr>
              <w:t>10</w:t>
            </w:r>
            <w:r>
              <w:rPr>
                <w:rFonts w:eastAsiaTheme="minorEastAsia"/>
                <w:szCs w:val="21"/>
              </w:rPr>
              <w:t>、PM</w:t>
            </w:r>
            <w:r>
              <w:rPr>
                <w:rFonts w:eastAsiaTheme="minorEastAsia"/>
                <w:szCs w:val="21"/>
                <w:vertAlign w:val="subscript"/>
              </w:rPr>
              <w:t>2.5</w:t>
            </w:r>
            <w:r>
              <w:rPr>
                <w:rFonts w:eastAsiaTheme="minorEastAsia"/>
                <w:szCs w:val="21"/>
              </w:rPr>
              <w:t>、氨、硫化氢、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restart"/>
            <w:vAlign w:val="center"/>
          </w:tcPr>
          <w:p>
            <w:pPr>
              <w:snapToGrid w:val="0"/>
              <w:jc w:val="center"/>
              <w:rPr>
                <w:rFonts w:eastAsiaTheme="minorEastAsia"/>
                <w:szCs w:val="21"/>
              </w:rPr>
            </w:pPr>
            <w:r>
              <w:rPr>
                <w:rFonts w:eastAsiaTheme="minorEastAsia"/>
                <w:szCs w:val="21"/>
              </w:rPr>
              <w:t>地表水环境</w:t>
            </w:r>
          </w:p>
        </w:tc>
        <w:tc>
          <w:tcPr>
            <w:tcW w:w="1843" w:type="dxa"/>
            <w:vMerge w:val="restart"/>
            <w:vAlign w:val="center"/>
          </w:tcPr>
          <w:p>
            <w:pPr>
              <w:snapToGrid w:val="0"/>
              <w:jc w:val="center"/>
              <w:rPr>
                <w:rFonts w:eastAsiaTheme="minorEastAsia"/>
                <w:szCs w:val="21"/>
              </w:rPr>
            </w:pPr>
            <w:r>
              <w:rPr>
                <w:rFonts w:eastAsiaTheme="minorEastAsia"/>
                <w:szCs w:val="21"/>
              </w:rPr>
              <w:t>预测评价因子</w:t>
            </w:r>
          </w:p>
        </w:tc>
        <w:tc>
          <w:tcPr>
            <w:tcW w:w="5715" w:type="dxa"/>
            <w:vAlign w:val="center"/>
          </w:tcPr>
          <w:p>
            <w:pPr>
              <w:snapToGrid w:val="0"/>
              <w:jc w:val="left"/>
              <w:rPr>
                <w:rFonts w:eastAsiaTheme="minorEastAsia"/>
                <w:szCs w:val="21"/>
              </w:rPr>
            </w:pPr>
            <w:r>
              <w:rPr>
                <w:rFonts w:eastAsiaTheme="minorEastAsia"/>
                <w:szCs w:val="21"/>
              </w:rPr>
              <w:t>施工期：COD、SS、氨氮、BOD</w:t>
            </w:r>
            <w:r>
              <w:rPr>
                <w:rFonts w:eastAsiaTheme="minorEastAsia"/>
                <w:szCs w:val="21"/>
                <w:vertAlign w:val="subscript"/>
              </w:rPr>
              <w:t>5、</w:t>
            </w:r>
            <w:r>
              <w:rPr>
                <w:rFonts w:eastAsiaTheme="minorEastAsia"/>
                <w:szCs w:val="21"/>
              </w:rPr>
              <w:t>石油类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continue"/>
            <w:vAlign w:val="center"/>
          </w:tcPr>
          <w:p>
            <w:pPr>
              <w:snapToGrid w:val="0"/>
              <w:jc w:val="center"/>
              <w:rPr>
                <w:rFonts w:eastAsiaTheme="minorEastAsia"/>
                <w:szCs w:val="21"/>
              </w:rPr>
            </w:pPr>
          </w:p>
        </w:tc>
        <w:tc>
          <w:tcPr>
            <w:tcW w:w="1843" w:type="dxa"/>
            <w:vMerge w:val="continue"/>
            <w:vAlign w:val="center"/>
          </w:tcPr>
          <w:p>
            <w:pPr>
              <w:snapToGrid w:val="0"/>
              <w:jc w:val="center"/>
              <w:rPr>
                <w:rFonts w:eastAsiaTheme="minorEastAsia"/>
                <w:szCs w:val="21"/>
              </w:rPr>
            </w:pPr>
          </w:p>
        </w:tc>
        <w:tc>
          <w:tcPr>
            <w:tcW w:w="5715" w:type="dxa"/>
            <w:vAlign w:val="center"/>
          </w:tcPr>
          <w:p>
            <w:pPr>
              <w:snapToGrid w:val="0"/>
              <w:jc w:val="left"/>
              <w:rPr>
                <w:rFonts w:eastAsiaTheme="minorEastAsia"/>
                <w:szCs w:val="21"/>
                <w:u w:val="single"/>
              </w:rPr>
            </w:pPr>
            <w:r>
              <w:rPr>
                <w:rFonts w:eastAsiaTheme="minorEastAsia"/>
                <w:szCs w:val="21"/>
                <w:u w:val="single"/>
              </w:rPr>
              <w:t>营运期：pH、COD</w:t>
            </w:r>
            <w:r>
              <w:rPr>
                <w:rFonts w:eastAsiaTheme="minorEastAsia"/>
                <w:szCs w:val="21"/>
                <w:u w:val="single"/>
                <w:vertAlign w:val="subscript"/>
              </w:rPr>
              <w:t>Cr</w:t>
            </w:r>
            <w:r>
              <w:rPr>
                <w:rFonts w:eastAsiaTheme="minorEastAsia"/>
                <w:szCs w:val="21"/>
                <w:u w:val="single"/>
              </w:rPr>
              <w:t>、SS、BOD</w:t>
            </w:r>
            <w:r>
              <w:rPr>
                <w:rFonts w:eastAsiaTheme="minorEastAsia"/>
                <w:szCs w:val="21"/>
                <w:u w:val="single"/>
                <w:vertAlign w:val="subscript"/>
              </w:rPr>
              <w:t>5</w:t>
            </w:r>
            <w:r>
              <w:rPr>
                <w:rFonts w:eastAsiaTheme="minorEastAsia"/>
                <w:szCs w:val="21"/>
                <w:u w:val="single"/>
              </w:rPr>
              <w:t>、氨氮、动植物油、总氰化物、粪大肠菌群、总余氯</w:t>
            </w:r>
            <w:r>
              <w:rPr>
                <w:rFonts w:hint="eastAsia" w:eastAsiaTheme="minorEastAsia"/>
                <w:szCs w:val="21"/>
                <w:u w:val="single"/>
              </w:rPr>
              <w:t>、总磷、总氮、D</w:t>
            </w:r>
            <w:r>
              <w:rPr>
                <w:rFonts w:eastAsiaTheme="minorEastAsia"/>
                <w:szCs w:val="21"/>
                <w:u w:val="single"/>
              </w:rPr>
              <w:t>O</w:t>
            </w:r>
            <w:r>
              <w:rPr>
                <w:rFonts w:hint="eastAsia" w:eastAsiaTheme="minorEastAsia"/>
                <w:szCs w:val="21"/>
                <w:u w:val="single"/>
              </w:rPr>
              <w:t>、阴离子表面活性剂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continue"/>
            <w:vAlign w:val="center"/>
          </w:tcPr>
          <w:p>
            <w:pPr>
              <w:snapToGrid w:val="0"/>
              <w:jc w:val="center"/>
              <w:rPr>
                <w:rFonts w:eastAsiaTheme="minorEastAsia"/>
                <w:szCs w:val="21"/>
              </w:rPr>
            </w:pPr>
          </w:p>
        </w:tc>
        <w:tc>
          <w:tcPr>
            <w:tcW w:w="1843" w:type="dxa"/>
            <w:vAlign w:val="center"/>
          </w:tcPr>
          <w:p>
            <w:pPr>
              <w:snapToGrid w:val="0"/>
              <w:jc w:val="center"/>
              <w:rPr>
                <w:rFonts w:eastAsiaTheme="minorEastAsia"/>
                <w:szCs w:val="21"/>
              </w:rPr>
            </w:pPr>
            <w:r>
              <w:rPr>
                <w:rFonts w:eastAsiaTheme="minorEastAsia"/>
                <w:szCs w:val="21"/>
              </w:rPr>
              <w:t>现状评价因子</w:t>
            </w:r>
          </w:p>
        </w:tc>
        <w:tc>
          <w:tcPr>
            <w:tcW w:w="5715" w:type="dxa"/>
            <w:vAlign w:val="center"/>
          </w:tcPr>
          <w:p>
            <w:pPr>
              <w:snapToGrid w:val="0"/>
              <w:jc w:val="left"/>
              <w:rPr>
                <w:rFonts w:eastAsiaTheme="minorEastAsia"/>
                <w:szCs w:val="21"/>
              </w:rPr>
            </w:pPr>
            <w:r>
              <w:rPr>
                <w:rFonts w:eastAsiaTheme="minorEastAsia"/>
              </w:rPr>
              <w:t>pH、COD</w:t>
            </w:r>
            <w:r>
              <w:rPr>
                <w:rFonts w:eastAsiaTheme="minorEastAsia"/>
                <w:vertAlign w:val="subscript"/>
              </w:rPr>
              <w:t>Cr</w:t>
            </w:r>
            <w:r>
              <w:rPr>
                <w:rFonts w:eastAsiaTheme="minorEastAsia"/>
              </w:rPr>
              <w:t>、BOD</w:t>
            </w:r>
            <w:r>
              <w:rPr>
                <w:rFonts w:eastAsiaTheme="minorEastAsia"/>
                <w:vertAlign w:val="subscript"/>
              </w:rPr>
              <w:t>5</w:t>
            </w:r>
            <w:r>
              <w:rPr>
                <w:rFonts w:eastAsiaTheme="minorEastAsia"/>
              </w:rPr>
              <w:t>、氨氮、总磷、石油类、</w:t>
            </w:r>
            <w:r>
              <w:rPr>
                <w:rFonts w:eastAsiaTheme="minorEastAsia"/>
                <w:szCs w:val="21"/>
              </w:rPr>
              <w:t>DO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restart"/>
            <w:vAlign w:val="center"/>
          </w:tcPr>
          <w:p>
            <w:pPr>
              <w:snapToGrid w:val="0"/>
              <w:jc w:val="center"/>
              <w:rPr>
                <w:rFonts w:eastAsiaTheme="minorEastAsia"/>
                <w:szCs w:val="21"/>
              </w:rPr>
            </w:pPr>
            <w:r>
              <w:rPr>
                <w:rFonts w:eastAsiaTheme="minorEastAsia"/>
                <w:szCs w:val="21"/>
              </w:rPr>
              <w:t>固体废物</w:t>
            </w:r>
          </w:p>
        </w:tc>
        <w:tc>
          <w:tcPr>
            <w:tcW w:w="1843" w:type="dxa"/>
            <w:vMerge w:val="restart"/>
            <w:vAlign w:val="center"/>
          </w:tcPr>
          <w:p>
            <w:pPr>
              <w:snapToGrid w:val="0"/>
              <w:jc w:val="center"/>
              <w:rPr>
                <w:rFonts w:eastAsiaTheme="minorEastAsia"/>
                <w:szCs w:val="21"/>
              </w:rPr>
            </w:pPr>
            <w:r>
              <w:rPr>
                <w:rFonts w:eastAsiaTheme="minorEastAsia"/>
                <w:szCs w:val="21"/>
              </w:rPr>
              <w:t>预测因子</w:t>
            </w:r>
          </w:p>
        </w:tc>
        <w:tc>
          <w:tcPr>
            <w:tcW w:w="5715" w:type="dxa"/>
            <w:vAlign w:val="center"/>
          </w:tcPr>
          <w:p>
            <w:pPr>
              <w:snapToGrid w:val="0"/>
              <w:jc w:val="left"/>
              <w:rPr>
                <w:rFonts w:eastAsiaTheme="minorEastAsia"/>
                <w:szCs w:val="21"/>
              </w:rPr>
            </w:pPr>
            <w:r>
              <w:rPr>
                <w:rFonts w:eastAsiaTheme="minorEastAsia"/>
                <w:szCs w:val="21"/>
              </w:rPr>
              <w:t>施工期：建筑垃圾、生活垃圾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continue"/>
            <w:vAlign w:val="center"/>
          </w:tcPr>
          <w:p>
            <w:pPr>
              <w:snapToGrid w:val="0"/>
              <w:jc w:val="center"/>
              <w:rPr>
                <w:rFonts w:eastAsiaTheme="minorEastAsia"/>
                <w:szCs w:val="21"/>
              </w:rPr>
            </w:pPr>
          </w:p>
        </w:tc>
        <w:tc>
          <w:tcPr>
            <w:tcW w:w="1843" w:type="dxa"/>
            <w:vMerge w:val="continue"/>
            <w:vAlign w:val="center"/>
          </w:tcPr>
          <w:p>
            <w:pPr>
              <w:snapToGrid w:val="0"/>
              <w:jc w:val="left"/>
              <w:rPr>
                <w:rFonts w:eastAsiaTheme="minorEastAsia"/>
                <w:szCs w:val="21"/>
              </w:rPr>
            </w:pPr>
          </w:p>
        </w:tc>
        <w:tc>
          <w:tcPr>
            <w:tcW w:w="5715" w:type="dxa"/>
            <w:vAlign w:val="center"/>
          </w:tcPr>
          <w:p>
            <w:pPr>
              <w:snapToGrid w:val="0"/>
              <w:jc w:val="left"/>
              <w:rPr>
                <w:rFonts w:eastAsiaTheme="minorEastAsia"/>
                <w:szCs w:val="21"/>
              </w:rPr>
            </w:pPr>
            <w:r>
              <w:rPr>
                <w:rFonts w:eastAsiaTheme="minorEastAsia"/>
                <w:szCs w:val="21"/>
              </w:rPr>
              <w:t>营运期：医疗废物、污水处理站污泥、生活垃圾、餐厨垃圾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restart"/>
            <w:vAlign w:val="center"/>
          </w:tcPr>
          <w:p>
            <w:pPr>
              <w:snapToGrid w:val="0"/>
              <w:jc w:val="center"/>
              <w:rPr>
                <w:rFonts w:eastAsiaTheme="minorEastAsia"/>
                <w:szCs w:val="21"/>
              </w:rPr>
            </w:pPr>
            <w:r>
              <w:rPr>
                <w:rFonts w:eastAsiaTheme="minorEastAsia"/>
                <w:szCs w:val="21"/>
              </w:rPr>
              <w:t>声环境</w:t>
            </w:r>
          </w:p>
        </w:tc>
        <w:tc>
          <w:tcPr>
            <w:tcW w:w="1843" w:type="dxa"/>
            <w:vAlign w:val="center"/>
          </w:tcPr>
          <w:p>
            <w:pPr>
              <w:snapToGrid w:val="0"/>
              <w:jc w:val="center"/>
              <w:rPr>
                <w:rFonts w:eastAsiaTheme="minorEastAsia"/>
                <w:szCs w:val="21"/>
              </w:rPr>
            </w:pPr>
            <w:r>
              <w:rPr>
                <w:rFonts w:eastAsiaTheme="minorEastAsia"/>
                <w:szCs w:val="21"/>
              </w:rPr>
              <w:t>预测评价因子</w:t>
            </w:r>
          </w:p>
        </w:tc>
        <w:tc>
          <w:tcPr>
            <w:tcW w:w="5715" w:type="dxa"/>
            <w:vAlign w:val="center"/>
          </w:tcPr>
          <w:p>
            <w:pPr>
              <w:snapToGrid w:val="0"/>
              <w:jc w:val="left"/>
              <w:rPr>
                <w:rFonts w:eastAsiaTheme="minorEastAsia"/>
                <w:szCs w:val="21"/>
              </w:rPr>
            </w:pPr>
            <w:r>
              <w:rPr>
                <w:rFonts w:eastAsiaTheme="minorEastAsia"/>
                <w:szCs w:val="21"/>
              </w:rPr>
              <w:t>等效连续 A 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14" w:type="dxa"/>
            <w:vMerge w:val="continue"/>
            <w:vAlign w:val="center"/>
          </w:tcPr>
          <w:p>
            <w:pPr>
              <w:snapToGrid w:val="0"/>
              <w:jc w:val="left"/>
              <w:rPr>
                <w:rFonts w:eastAsiaTheme="minorEastAsia"/>
                <w:szCs w:val="21"/>
              </w:rPr>
            </w:pPr>
          </w:p>
        </w:tc>
        <w:tc>
          <w:tcPr>
            <w:tcW w:w="1843" w:type="dxa"/>
            <w:vAlign w:val="center"/>
          </w:tcPr>
          <w:p>
            <w:pPr>
              <w:snapToGrid w:val="0"/>
              <w:jc w:val="center"/>
              <w:rPr>
                <w:rFonts w:eastAsiaTheme="minorEastAsia"/>
                <w:szCs w:val="21"/>
              </w:rPr>
            </w:pPr>
            <w:r>
              <w:rPr>
                <w:rFonts w:eastAsiaTheme="minorEastAsia"/>
                <w:szCs w:val="21"/>
              </w:rPr>
              <w:t>现状评价因子</w:t>
            </w:r>
          </w:p>
        </w:tc>
        <w:tc>
          <w:tcPr>
            <w:tcW w:w="5715" w:type="dxa"/>
            <w:vAlign w:val="center"/>
          </w:tcPr>
          <w:p>
            <w:pPr>
              <w:snapToGrid w:val="0"/>
              <w:jc w:val="left"/>
              <w:rPr>
                <w:rFonts w:eastAsiaTheme="minorEastAsia"/>
                <w:szCs w:val="21"/>
              </w:rPr>
            </w:pPr>
            <w:r>
              <w:rPr>
                <w:rFonts w:eastAsiaTheme="minorEastAsia"/>
                <w:szCs w:val="21"/>
              </w:rPr>
              <w:t>等效连续 A 声级</w:t>
            </w:r>
          </w:p>
        </w:tc>
      </w:tr>
    </w:tbl>
    <w:p>
      <w:pPr>
        <w:pStyle w:val="4"/>
        <w:snapToGrid w:val="0"/>
        <w:spacing w:before="0" w:after="0" w:line="360" w:lineRule="auto"/>
        <w:rPr>
          <w:rFonts w:eastAsiaTheme="minorEastAsia"/>
          <w:kern w:val="0"/>
          <w:sz w:val="24"/>
        </w:rPr>
      </w:pPr>
      <w:bookmarkStart w:id="28" w:name="_Toc8149"/>
      <w:bookmarkStart w:id="29" w:name="_Toc10765"/>
      <w:bookmarkStart w:id="30" w:name="_Toc18864"/>
      <w:bookmarkStart w:id="31" w:name="_Toc19848_WPSOffice_Level3"/>
      <w:bookmarkStart w:id="32" w:name="_Toc17858"/>
      <w:bookmarkStart w:id="33" w:name="_Toc5304"/>
      <w:bookmarkStart w:id="34" w:name="_Toc97"/>
      <w:bookmarkStart w:id="35" w:name="_Toc18424_WPSOffice_Level3"/>
      <w:bookmarkStart w:id="36" w:name="_Toc29944"/>
      <w:bookmarkStart w:id="37" w:name="_Toc11421"/>
      <w:r>
        <w:rPr>
          <w:rFonts w:eastAsiaTheme="minorEastAsia"/>
          <w:kern w:val="0"/>
          <w:sz w:val="24"/>
        </w:rPr>
        <w:t>2.2.3 环境功能区划</w:t>
      </w:r>
      <w:bookmarkEnd w:id="28"/>
      <w:bookmarkEnd w:id="29"/>
      <w:bookmarkEnd w:id="30"/>
      <w:bookmarkEnd w:id="31"/>
      <w:bookmarkEnd w:id="32"/>
      <w:bookmarkEnd w:id="33"/>
      <w:bookmarkEnd w:id="34"/>
      <w:bookmarkEnd w:id="35"/>
      <w:bookmarkEnd w:id="36"/>
      <w:bookmarkEnd w:id="37"/>
    </w:p>
    <w:p>
      <w:pPr>
        <w:snapToGrid w:val="0"/>
        <w:spacing w:line="360" w:lineRule="auto"/>
        <w:ind w:firstLine="480"/>
        <w:rPr>
          <w:rFonts w:eastAsiaTheme="minorEastAsia"/>
          <w:sz w:val="24"/>
        </w:rPr>
      </w:pPr>
      <w:r>
        <w:rPr>
          <w:rFonts w:eastAsiaTheme="minorEastAsia"/>
          <w:sz w:val="24"/>
        </w:rPr>
        <w:t>本项目环境功能区划如下。</w:t>
      </w:r>
    </w:p>
    <w:p>
      <w:pPr>
        <w:snapToGrid w:val="0"/>
        <w:spacing w:line="360" w:lineRule="auto"/>
        <w:ind w:firstLine="480"/>
        <w:rPr>
          <w:rFonts w:eastAsiaTheme="minorEastAsia"/>
          <w:sz w:val="24"/>
        </w:rPr>
      </w:pPr>
      <w:r>
        <w:rPr>
          <w:rFonts w:eastAsiaTheme="minorEastAsia"/>
          <w:sz w:val="24"/>
        </w:rPr>
        <w:t>（1）环境空气功能区划</w:t>
      </w:r>
    </w:p>
    <w:p>
      <w:pPr>
        <w:snapToGrid w:val="0"/>
        <w:spacing w:line="360" w:lineRule="auto"/>
        <w:ind w:firstLine="480"/>
        <w:rPr>
          <w:rFonts w:eastAsiaTheme="minorEastAsia"/>
          <w:sz w:val="24"/>
        </w:rPr>
      </w:pPr>
      <w:r>
        <w:rPr>
          <w:rFonts w:eastAsiaTheme="minorEastAsia"/>
          <w:sz w:val="24"/>
        </w:rPr>
        <w:t>项目所在区域环境空气质量执行《环境空气质量标准》（GB3095-2012）中二类区标准。</w:t>
      </w:r>
    </w:p>
    <w:p>
      <w:pPr>
        <w:snapToGrid w:val="0"/>
        <w:spacing w:line="360" w:lineRule="auto"/>
        <w:ind w:firstLine="480"/>
        <w:rPr>
          <w:rFonts w:eastAsiaTheme="minorEastAsia"/>
          <w:sz w:val="24"/>
        </w:rPr>
      </w:pPr>
      <w:r>
        <w:rPr>
          <w:rFonts w:eastAsiaTheme="minorEastAsia"/>
          <w:sz w:val="24"/>
        </w:rPr>
        <w:t>（2）地表水功能区划</w:t>
      </w:r>
    </w:p>
    <w:p>
      <w:pPr>
        <w:snapToGrid w:val="0"/>
        <w:spacing w:line="360" w:lineRule="auto"/>
        <w:ind w:firstLine="480"/>
        <w:rPr>
          <w:rFonts w:eastAsiaTheme="minorEastAsia"/>
          <w:sz w:val="24"/>
        </w:rPr>
      </w:pPr>
      <w:r>
        <w:rPr>
          <w:rFonts w:eastAsiaTheme="minorEastAsia"/>
          <w:sz w:val="24"/>
        </w:rPr>
        <w:t>本项目产生的废水经预处理达标后，进入湘阴县第一污水处理厂，经湘阴县第一污水处理厂处理达标后经白水江排入湘江。雨水经城市雨水管道排入东湖。</w:t>
      </w:r>
    </w:p>
    <w:p>
      <w:pPr>
        <w:snapToGrid w:val="0"/>
        <w:spacing w:line="360" w:lineRule="auto"/>
        <w:ind w:firstLine="480"/>
        <w:rPr>
          <w:rFonts w:eastAsiaTheme="minorEastAsia"/>
          <w:sz w:val="24"/>
          <w:u w:val="single"/>
        </w:rPr>
      </w:pPr>
      <w:r>
        <w:rPr>
          <w:rFonts w:eastAsiaTheme="minorEastAsia"/>
          <w:sz w:val="24"/>
        </w:rPr>
        <w:t>根据《湖南省主要地表水系水环境功能区划》（DB43/023-2005）：湘江洋沙湖下游200米至磊石（东支)段为渔业用水区，执行</w:t>
      </w:r>
      <w:r>
        <w:rPr>
          <w:rFonts w:hint="eastAsia" w:eastAsiaTheme="minorEastAsia"/>
          <w:sz w:val="24"/>
        </w:rPr>
        <w:t>《地表水环境质量标准》（GB3838-2002）中</w:t>
      </w:r>
      <w:r>
        <w:rPr>
          <w:rFonts w:eastAsiaTheme="minorEastAsia"/>
          <w:sz w:val="24"/>
        </w:rPr>
        <w:t>Ⅲ类标准；白水江为渔业用水执行Ⅲ类标准。</w:t>
      </w:r>
      <w:r>
        <w:rPr>
          <w:rFonts w:hint="eastAsia" w:eastAsiaTheme="minorEastAsia"/>
          <w:sz w:val="24"/>
          <w:u w:val="single"/>
        </w:rPr>
        <w:t>湘阴县东湖执行III类标准要求。</w:t>
      </w:r>
    </w:p>
    <w:p>
      <w:pPr>
        <w:snapToGrid w:val="0"/>
        <w:spacing w:line="360" w:lineRule="auto"/>
        <w:ind w:firstLine="480"/>
        <w:rPr>
          <w:rFonts w:eastAsiaTheme="minorEastAsia"/>
          <w:sz w:val="24"/>
        </w:rPr>
      </w:pPr>
      <w:r>
        <w:rPr>
          <w:rFonts w:eastAsiaTheme="minorEastAsia"/>
          <w:sz w:val="24"/>
        </w:rPr>
        <w:t>（3）地下水环境功能区划</w:t>
      </w:r>
    </w:p>
    <w:p>
      <w:pPr>
        <w:snapToGrid w:val="0"/>
        <w:spacing w:line="360" w:lineRule="auto"/>
        <w:ind w:firstLine="480"/>
        <w:rPr>
          <w:rFonts w:eastAsiaTheme="minorEastAsia"/>
          <w:sz w:val="24"/>
        </w:rPr>
      </w:pPr>
      <w:r>
        <w:rPr>
          <w:rFonts w:eastAsiaTheme="minorEastAsia"/>
          <w:sz w:val="24"/>
        </w:rPr>
        <w:t>项目所在区域地下水环境执行《地下水质量标准》（GB/T14848-2017）Ⅲ类标准。</w:t>
      </w:r>
    </w:p>
    <w:p>
      <w:pPr>
        <w:snapToGrid w:val="0"/>
        <w:spacing w:line="360" w:lineRule="auto"/>
        <w:ind w:firstLine="480"/>
        <w:rPr>
          <w:rFonts w:eastAsiaTheme="minorEastAsia"/>
          <w:sz w:val="24"/>
        </w:rPr>
      </w:pPr>
      <w:r>
        <w:rPr>
          <w:rFonts w:eastAsiaTheme="minorEastAsia"/>
          <w:sz w:val="24"/>
        </w:rPr>
        <w:t>（4）声环境功能区划</w:t>
      </w:r>
    </w:p>
    <w:p>
      <w:pPr>
        <w:snapToGrid w:val="0"/>
        <w:spacing w:line="360" w:lineRule="auto"/>
        <w:ind w:firstLine="480"/>
        <w:rPr>
          <w:rFonts w:eastAsiaTheme="minorEastAsia"/>
          <w:sz w:val="24"/>
        </w:rPr>
      </w:pPr>
      <w:r>
        <w:rPr>
          <w:rFonts w:eastAsiaTheme="minorEastAsia"/>
          <w:sz w:val="24"/>
        </w:rPr>
        <w:t>本项目位于湘阴县文星镇，</w:t>
      </w:r>
      <w:r>
        <w:rPr>
          <w:rFonts w:hint="eastAsia" w:eastAsiaTheme="minorEastAsia"/>
          <w:sz w:val="24"/>
        </w:rPr>
        <w:t>东</w:t>
      </w:r>
      <w:r>
        <w:rPr>
          <w:rFonts w:eastAsiaTheme="minorEastAsia"/>
          <w:sz w:val="24"/>
        </w:rPr>
        <w:t>侧为湘阴县主干道先锋路，但因与其距离在100m以上，不符合《声环境功能区划分技术规范》（GBT 15190-2014）中定义的“相邻区域为2类声环境功能区，距离为35m±5m区域”内执行4a类标准的规定。因此本项目厂界四周均执行区域声环境执行《声环境质量标准》（GB 096-2008）的2类区标准。</w:t>
      </w:r>
    </w:p>
    <w:p>
      <w:pPr>
        <w:snapToGrid w:val="0"/>
        <w:spacing w:line="360" w:lineRule="auto"/>
        <w:ind w:firstLine="480"/>
        <w:rPr>
          <w:rFonts w:eastAsiaTheme="minorEastAsia"/>
          <w:sz w:val="24"/>
        </w:rPr>
      </w:pPr>
      <w:r>
        <w:rPr>
          <w:rFonts w:eastAsiaTheme="minorEastAsia"/>
          <w:sz w:val="24"/>
        </w:rPr>
        <w:t>（5）土壤环境功能区划</w:t>
      </w:r>
    </w:p>
    <w:p>
      <w:pPr>
        <w:snapToGrid w:val="0"/>
        <w:spacing w:line="360" w:lineRule="auto"/>
        <w:ind w:firstLine="480"/>
        <w:rPr>
          <w:rFonts w:eastAsiaTheme="minorEastAsia"/>
          <w:sz w:val="24"/>
        </w:rPr>
      </w:pPr>
      <w:r>
        <w:rPr>
          <w:rFonts w:eastAsiaTheme="minorEastAsia"/>
          <w:sz w:val="24"/>
        </w:rPr>
        <w:t>项目所在地土壤环境执行《土壤环境质量 建设用地土壤污染风险管控标准（试行）》（GB36600-2018）表1中第一类用地土壤筛选值。</w:t>
      </w:r>
    </w:p>
    <w:p>
      <w:pPr>
        <w:snapToGrid w:val="0"/>
        <w:spacing w:line="360" w:lineRule="auto"/>
        <w:ind w:firstLine="480"/>
        <w:rPr>
          <w:rFonts w:eastAsiaTheme="minorEastAsia"/>
          <w:sz w:val="24"/>
        </w:rPr>
      </w:pPr>
      <w:r>
        <w:rPr>
          <w:rFonts w:eastAsiaTheme="minorEastAsia"/>
          <w:sz w:val="24"/>
        </w:rPr>
        <w:t>（6）建设项目</w:t>
      </w:r>
    </w:p>
    <w:p>
      <w:pPr>
        <w:snapToGrid w:val="0"/>
        <w:spacing w:line="360" w:lineRule="auto"/>
        <w:jc w:val="center"/>
        <w:rPr>
          <w:rFonts w:eastAsiaTheme="minorEastAsia"/>
          <w:b/>
          <w:sz w:val="24"/>
        </w:rPr>
      </w:pPr>
      <w:r>
        <w:rPr>
          <w:rFonts w:eastAsiaTheme="minorEastAsia"/>
          <w:b/>
          <w:sz w:val="24"/>
        </w:rPr>
        <w:t>表2.2-2  项目拟选址环境功能属性</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4"/>
        <w:gridCol w:w="3135"/>
        <w:gridCol w:w="49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b/>
              </w:rPr>
            </w:pPr>
            <w:r>
              <w:rPr>
                <w:rFonts w:eastAsiaTheme="minorEastAsia"/>
                <w:b/>
              </w:rPr>
              <w:t>序号</w:t>
            </w:r>
          </w:p>
        </w:tc>
        <w:tc>
          <w:tcPr>
            <w:tcW w:w="3135" w:type="dxa"/>
            <w:vAlign w:val="center"/>
          </w:tcPr>
          <w:p>
            <w:pPr>
              <w:pStyle w:val="856"/>
              <w:snapToGrid w:val="0"/>
              <w:rPr>
                <w:rFonts w:eastAsiaTheme="minorEastAsia"/>
                <w:b/>
              </w:rPr>
            </w:pPr>
            <w:r>
              <w:rPr>
                <w:rFonts w:eastAsiaTheme="minorEastAsia"/>
                <w:b/>
              </w:rPr>
              <w:t>项目</w:t>
            </w:r>
          </w:p>
        </w:tc>
        <w:tc>
          <w:tcPr>
            <w:tcW w:w="4990" w:type="dxa"/>
            <w:vAlign w:val="center"/>
          </w:tcPr>
          <w:p>
            <w:pPr>
              <w:pStyle w:val="856"/>
              <w:snapToGrid w:val="0"/>
              <w:rPr>
                <w:rFonts w:eastAsiaTheme="minorEastAsia"/>
                <w:b/>
              </w:rPr>
            </w:pPr>
            <w:r>
              <w:rPr>
                <w:rFonts w:eastAsiaTheme="minorEastAsia"/>
                <w:b/>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1</w:t>
            </w:r>
          </w:p>
        </w:tc>
        <w:tc>
          <w:tcPr>
            <w:tcW w:w="3135" w:type="dxa"/>
            <w:vAlign w:val="center"/>
          </w:tcPr>
          <w:p>
            <w:pPr>
              <w:pStyle w:val="856"/>
              <w:snapToGrid w:val="0"/>
              <w:rPr>
                <w:rFonts w:eastAsiaTheme="minorEastAsia"/>
              </w:rPr>
            </w:pPr>
            <w:r>
              <w:rPr>
                <w:rFonts w:eastAsiaTheme="minorEastAsia"/>
              </w:rPr>
              <w:t>水环境功能区划</w:t>
            </w:r>
          </w:p>
        </w:tc>
        <w:tc>
          <w:tcPr>
            <w:tcW w:w="4990" w:type="dxa"/>
            <w:vAlign w:val="center"/>
          </w:tcPr>
          <w:p>
            <w:pPr>
              <w:pStyle w:val="856"/>
              <w:snapToGrid w:val="0"/>
              <w:rPr>
                <w:rFonts w:eastAsiaTheme="minorEastAsia"/>
              </w:rPr>
            </w:pPr>
            <w:r>
              <w:rPr>
                <w:rFonts w:eastAsiaTheme="minorEastAsia"/>
              </w:rPr>
              <w:t>湘江洋沙湖下游200米至磊石（东支)段为渔业用水区，执行Ⅲ类标准；</w:t>
            </w:r>
            <w:r>
              <w:rPr>
                <w:rFonts w:hint="eastAsia"/>
                <w:u w:val="single"/>
              </w:rPr>
              <w:t>湘阴县东湖执行III类标准要求；</w:t>
            </w:r>
            <w:r>
              <w:rPr>
                <w:rFonts w:eastAsiaTheme="minorEastAsia"/>
              </w:rPr>
              <w:t>白水江为渔业用水执行Ⅲ类标准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2</w:t>
            </w:r>
          </w:p>
        </w:tc>
        <w:tc>
          <w:tcPr>
            <w:tcW w:w="3135" w:type="dxa"/>
            <w:vAlign w:val="center"/>
          </w:tcPr>
          <w:p>
            <w:pPr>
              <w:pStyle w:val="856"/>
              <w:snapToGrid w:val="0"/>
              <w:rPr>
                <w:rFonts w:eastAsiaTheme="minorEastAsia"/>
              </w:rPr>
            </w:pPr>
            <w:r>
              <w:rPr>
                <w:rFonts w:eastAsiaTheme="minorEastAsia"/>
              </w:rPr>
              <w:t>环境空气功能区划</w:t>
            </w:r>
          </w:p>
        </w:tc>
        <w:tc>
          <w:tcPr>
            <w:tcW w:w="4990" w:type="dxa"/>
            <w:vAlign w:val="center"/>
          </w:tcPr>
          <w:p>
            <w:pPr>
              <w:pStyle w:val="856"/>
              <w:snapToGrid w:val="0"/>
              <w:rPr>
                <w:rFonts w:eastAsiaTheme="minorEastAsia"/>
              </w:rPr>
            </w:pPr>
            <w:r>
              <w:rPr>
                <w:rFonts w:eastAsiaTheme="minorEastAsia"/>
              </w:rPr>
              <w:t>二类区，执行《环境空气质量标准》（GB3095-2012）中的二级标准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3</w:t>
            </w:r>
          </w:p>
        </w:tc>
        <w:tc>
          <w:tcPr>
            <w:tcW w:w="3135" w:type="dxa"/>
            <w:vAlign w:val="center"/>
          </w:tcPr>
          <w:p>
            <w:pPr>
              <w:pStyle w:val="856"/>
              <w:snapToGrid w:val="0"/>
              <w:rPr>
                <w:rFonts w:eastAsiaTheme="minorEastAsia"/>
              </w:rPr>
            </w:pPr>
            <w:r>
              <w:rPr>
                <w:rFonts w:eastAsiaTheme="minorEastAsia"/>
              </w:rPr>
              <w:t>声环境功能区划</w:t>
            </w:r>
          </w:p>
        </w:tc>
        <w:tc>
          <w:tcPr>
            <w:tcW w:w="4990" w:type="dxa"/>
            <w:vAlign w:val="center"/>
          </w:tcPr>
          <w:p>
            <w:pPr>
              <w:pStyle w:val="856"/>
              <w:snapToGrid w:val="0"/>
              <w:rPr>
                <w:rFonts w:eastAsiaTheme="minorEastAsia"/>
              </w:rPr>
            </w:pPr>
            <w:r>
              <w:rPr>
                <w:rFonts w:eastAsiaTheme="minorEastAsia"/>
              </w:rPr>
              <w:t>声环境执行《声环境质量标准》（GB3096-2008）中的2类标准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4</w:t>
            </w:r>
          </w:p>
        </w:tc>
        <w:tc>
          <w:tcPr>
            <w:tcW w:w="3135" w:type="dxa"/>
            <w:vAlign w:val="center"/>
          </w:tcPr>
          <w:p>
            <w:pPr>
              <w:pStyle w:val="856"/>
              <w:snapToGrid w:val="0"/>
              <w:rPr>
                <w:rFonts w:eastAsiaTheme="minorEastAsia"/>
              </w:rPr>
            </w:pPr>
            <w:r>
              <w:rPr>
                <w:rFonts w:eastAsiaTheme="minorEastAsia"/>
              </w:rPr>
              <w:t>是否是基本农田</w:t>
            </w:r>
          </w:p>
        </w:tc>
        <w:tc>
          <w:tcPr>
            <w:tcW w:w="4990" w:type="dxa"/>
            <w:vAlign w:val="center"/>
          </w:tcPr>
          <w:p>
            <w:pPr>
              <w:pStyle w:val="856"/>
              <w:snapToGrid w:val="0"/>
              <w:rPr>
                <w:rFonts w:eastAsiaTheme="minorEastAsia"/>
              </w:rPr>
            </w:pPr>
            <w:r>
              <w:rPr>
                <w:rFonts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5</w:t>
            </w:r>
          </w:p>
        </w:tc>
        <w:tc>
          <w:tcPr>
            <w:tcW w:w="3135" w:type="dxa"/>
            <w:vAlign w:val="center"/>
          </w:tcPr>
          <w:p>
            <w:pPr>
              <w:pStyle w:val="856"/>
              <w:snapToGrid w:val="0"/>
              <w:rPr>
                <w:rFonts w:eastAsiaTheme="minorEastAsia"/>
              </w:rPr>
            </w:pPr>
            <w:r>
              <w:rPr>
                <w:rFonts w:eastAsiaTheme="minorEastAsia"/>
              </w:rPr>
              <w:t>是否是森林公园</w:t>
            </w:r>
          </w:p>
        </w:tc>
        <w:tc>
          <w:tcPr>
            <w:tcW w:w="4990" w:type="dxa"/>
            <w:vAlign w:val="center"/>
          </w:tcPr>
          <w:p>
            <w:pPr>
              <w:pStyle w:val="856"/>
              <w:snapToGrid w:val="0"/>
              <w:rPr>
                <w:rFonts w:eastAsiaTheme="minorEastAsia"/>
              </w:rPr>
            </w:pPr>
            <w:r>
              <w:rPr>
                <w:rFonts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6</w:t>
            </w:r>
          </w:p>
        </w:tc>
        <w:tc>
          <w:tcPr>
            <w:tcW w:w="3135" w:type="dxa"/>
            <w:vAlign w:val="center"/>
          </w:tcPr>
          <w:p>
            <w:pPr>
              <w:pStyle w:val="856"/>
              <w:snapToGrid w:val="0"/>
              <w:rPr>
                <w:rFonts w:eastAsiaTheme="minorEastAsia"/>
              </w:rPr>
            </w:pPr>
            <w:r>
              <w:rPr>
                <w:rFonts w:eastAsiaTheme="minorEastAsia"/>
              </w:rPr>
              <w:t>是否是生态功能保护区</w:t>
            </w:r>
          </w:p>
        </w:tc>
        <w:tc>
          <w:tcPr>
            <w:tcW w:w="4990" w:type="dxa"/>
            <w:vAlign w:val="center"/>
          </w:tcPr>
          <w:p>
            <w:pPr>
              <w:pStyle w:val="856"/>
              <w:snapToGrid w:val="0"/>
              <w:rPr>
                <w:rFonts w:eastAsiaTheme="minorEastAsia"/>
              </w:rPr>
            </w:pPr>
            <w:r>
              <w:rPr>
                <w:rFonts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7</w:t>
            </w:r>
          </w:p>
        </w:tc>
        <w:tc>
          <w:tcPr>
            <w:tcW w:w="3135" w:type="dxa"/>
            <w:vAlign w:val="center"/>
          </w:tcPr>
          <w:p>
            <w:pPr>
              <w:pStyle w:val="856"/>
              <w:snapToGrid w:val="0"/>
              <w:rPr>
                <w:rFonts w:eastAsiaTheme="minorEastAsia"/>
              </w:rPr>
            </w:pPr>
            <w:r>
              <w:rPr>
                <w:rFonts w:eastAsiaTheme="minorEastAsia"/>
              </w:rPr>
              <w:t>是否水土流失重点防治区</w:t>
            </w:r>
          </w:p>
        </w:tc>
        <w:tc>
          <w:tcPr>
            <w:tcW w:w="4990" w:type="dxa"/>
            <w:vAlign w:val="center"/>
          </w:tcPr>
          <w:p>
            <w:pPr>
              <w:pStyle w:val="856"/>
              <w:snapToGrid w:val="0"/>
              <w:rPr>
                <w:rFonts w:eastAsiaTheme="minorEastAsia"/>
              </w:rPr>
            </w:pPr>
            <w:r>
              <w:rPr>
                <w:rFonts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8</w:t>
            </w:r>
          </w:p>
        </w:tc>
        <w:tc>
          <w:tcPr>
            <w:tcW w:w="3135" w:type="dxa"/>
            <w:vAlign w:val="center"/>
          </w:tcPr>
          <w:p>
            <w:pPr>
              <w:pStyle w:val="856"/>
              <w:snapToGrid w:val="0"/>
              <w:rPr>
                <w:rFonts w:eastAsiaTheme="minorEastAsia"/>
              </w:rPr>
            </w:pPr>
            <w:r>
              <w:rPr>
                <w:rFonts w:eastAsiaTheme="minorEastAsia"/>
              </w:rPr>
              <w:t>是否人口密集区</w:t>
            </w:r>
          </w:p>
        </w:tc>
        <w:tc>
          <w:tcPr>
            <w:tcW w:w="4990" w:type="dxa"/>
            <w:vAlign w:val="center"/>
          </w:tcPr>
          <w:p>
            <w:pPr>
              <w:pStyle w:val="856"/>
              <w:snapToGrid w:val="0"/>
              <w:rPr>
                <w:rFonts w:eastAsiaTheme="minorEastAsia"/>
              </w:rPr>
            </w:pPr>
            <w:r>
              <w:rPr>
                <w:rFonts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9</w:t>
            </w:r>
          </w:p>
        </w:tc>
        <w:tc>
          <w:tcPr>
            <w:tcW w:w="3135" w:type="dxa"/>
            <w:vAlign w:val="center"/>
          </w:tcPr>
          <w:p>
            <w:pPr>
              <w:pStyle w:val="856"/>
              <w:snapToGrid w:val="0"/>
              <w:rPr>
                <w:rFonts w:eastAsiaTheme="minorEastAsia"/>
              </w:rPr>
            </w:pPr>
            <w:r>
              <w:rPr>
                <w:rFonts w:eastAsiaTheme="minorEastAsia"/>
              </w:rPr>
              <w:t>是否重点文物保护单位</w:t>
            </w:r>
          </w:p>
        </w:tc>
        <w:tc>
          <w:tcPr>
            <w:tcW w:w="4990" w:type="dxa"/>
            <w:vAlign w:val="center"/>
          </w:tcPr>
          <w:p>
            <w:pPr>
              <w:pStyle w:val="856"/>
              <w:snapToGrid w:val="0"/>
              <w:rPr>
                <w:rFonts w:eastAsiaTheme="minorEastAsia"/>
              </w:rPr>
            </w:pPr>
            <w:r>
              <w:rPr>
                <w:rFonts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10</w:t>
            </w:r>
          </w:p>
        </w:tc>
        <w:tc>
          <w:tcPr>
            <w:tcW w:w="3135" w:type="dxa"/>
            <w:vAlign w:val="center"/>
          </w:tcPr>
          <w:p>
            <w:pPr>
              <w:pStyle w:val="856"/>
              <w:snapToGrid w:val="0"/>
              <w:rPr>
                <w:rFonts w:eastAsiaTheme="minorEastAsia"/>
              </w:rPr>
            </w:pPr>
            <w:r>
              <w:rPr>
                <w:rFonts w:eastAsiaTheme="minorEastAsia"/>
              </w:rPr>
              <w:t>是否三河、三湖、两控区</w:t>
            </w:r>
          </w:p>
        </w:tc>
        <w:tc>
          <w:tcPr>
            <w:tcW w:w="4990" w:type="dxa"/>
            <w:vAlign w:val="center"/>
          </w:tcPr>
          <w:p>
            <w:pPr>
              <w:pStyle w:val="856"/>
              <w:snapToGrid w:val="0"/>
              <w:rPr>
                <w:rFonts w:eastAsiaTheme="minorEastAsia"/>
              </w:rPr>
            </w:pPr>
            <w:r>
              <w:rPr>
                <w:rFonts w:eastAsiaTheme="minorEastAsia"/>
              </w:rPr>
              <w:t>是（两控区）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11</w:t>
            </w:r>
          </w:p>
        </w:tc>
        <w:tc>
          <w:tcPr>
            <w:tcW w:w="3135" w:type="dxa"/>
            <w:vAlign w:val="center"/>
          </w:tcPr>
          <w:p>
            <w:pPr>
              <w:pStyle w:val="856"/>
              <w:snapToGrid w:val="0"/>
              <w:rPr>
                <w:rFonts w:eastAsiaTheme="minorEastAsia"/>
              </w:rPr>
            </w:pPr>
            <w:r>
              <w:rPr>
                <w:rFonts w:eastAsiaTheme="minorEastAsia"/>
              </w:rPr>
              <w:t>是否水库库区</w:t>
            </w:r>
          </w:p>
        </w:tc>
        <w:tc>
          <w:tcPr>
            <w:tcW w:w="4990" w:type="dxa"/>
            <w:vAlign w:val="center"/>
          </w:tcPr>
          <w:p>
            <w:pPr>
              <w:pStyle w:val="856"/>
              <w:snapToGrid w:val="0"/>
              <w:rPr>
                <w:rFonts w:eastAsiaTheme="minorEastAsia"/>
              </w:rPr>
            </w:pPr>
            <w:r>
              <w:rPr>
                <w:rFonts w:eastAsiaTheme="minorEastAsia"/>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12</w:t>
            </w:r>
          </w:p>
        </w:tc>
        <w:tc>
          <w:tcPr>
            <w:tcW w:w="3135" w:type="dxa"/>
            <w:vAlign w:val="center"/>
          </w:tcPr>
          <w:p>
            <w:pPr>
              <w:pStyle w:val="856"/>
              <w:snapToGrid w:val="0"/>
              <w:rPr>
                <w:rFonts w:eastAsiaTheme="minorEastAsia"/>
              </w:rPr>
            </w:pPr>
            <w:r>
              <w:rPr>
                <w:rFonts w:eastAsiaTheme="minorEastAsia"/>
              </w:rPr>
              <w:t>是否污水处理厂纳污集水范围</w:t>
            </w:r>
          </w:p>
        </w:tc>
        <w:tc>
          <w:tcPr>
            <w:tcW w:w="4990" w:type="dxa"/>
            <w:vAlign w:val="center"/>
          </w:tcPr>
          <w:p>
            <w:pPr>
              <w:pStyle w:val="856"/>
              <w:snapToGrid w:val="0"/>
              <w:rPr>
                <w:rFonts w:eastAsiaTheme="minorEastAsia"/>
              </w:rPr>
            </w:pPr>
            <w:r>
              <w:rPr>
                <w:rFonts w:eastAsiaTheme="minorEastAsia"/>
              </w:rPr>
              <w:t>是（湘阴县第一污水处理厂）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4" w:type="dxa"/>
            <w:vAlign w:val="center"/>
          </w:tcPr>
          <w:p>
            <w:pPr>
              <w:pStyle w:val="856"/>
              <w:snapToGrid w:val="0"/>
              <w:rPr>
                <w:rFonts w:eastAsiaTheme="minorEastAsia"/>
              </w:rPr>
            </w:pPr>
            <w:r>
              <w:rPr>
                <w:rFonts w:eastAsiaTheme="minorEastAsia"/>
              </w:rPr>
              <w:t>13</w:t>
            </w:r>
          </w:p>
        </w:tc>
        <w:tc>
          <w:tcPr>
            <w:tcW w:w="3135" w:type="dxa"/>
            <w:vAlign w:val="center"/>
          </w:tcPr>
          <w:p>
            <w:pPr>
              <w:pStyle w:val="856"/>
              <w:snapToGrid w:val="0"/>
              <w:rPr>
                <w:rFonts w:eastAsiaTheme="minorEastAsia"/>
              </w:rPr>
            </w:pPr>
            <w:r>
              <w:rPr>
                <w:rFonts w:eastAsiaTheme="minorEastAsia"/>
              </w:rPr>
              <w:t>是否属于生态敏感脆弱区</w:t>
            </w:r>
          </w:p>
        </w:tc>
        <w:tc>
          <w:tcPr>
            <w:tcW w:w="4990" w:type="dxa"/>
            <w:vAlign w:val="center"/>
          </w:tcPr>
          <w:p>
            <w:pPr>
              <w:pStyle w:val="856"/>
              <w:snapToGrid w:val="0"/>
              <w:rPr>
                <w:rFonts w:eastAsiaTheme="minorEastAsia"/>
              </w:rPr>
            </w:pPr>
            <w:r>
              <w:rPr>
                <w:rFonts w:eastAsiaTheme="minorEastAsia"/>
              </w:rPr>
              <w:t>否</w:t>
            </w:r>
          </w:p>
        </w:tc>
      </w:tr>
    </w:tbl>
    <w:p>
      <w:pPr>
        <w:pStyle w:val="3"/>
        <w:snapToGrid w:val="0"/>
        <w:spacing w:before="0" w:after="0" w:line="360" w:lineRule="auto"/>
        <w:rPr>
          <w:rFonts w:ascii="Times New Roman" w:hAnsi="Times New Roman" w:eastAsiaTheme="minorEastAsia"/>
          <w:sz w:val="28"/>
          <w:lang w:val="zh-CN"/>
        </w:rPr>
      </w:pPr>
      <w:bookmarkStart w:id="38" w:name="_Toc61026587"/>
      <w:r>
        <w:rPr>
          <w:rFonts w:ascii="Times New Roman" w:hAnsi="Times New Roman" w:eastAsiaTheme="minorEastAsia"/>
          <w:sz w:val="28"/>
          <w:lang w:val="zh-CN"/>
        </w:rPr>
        <w:t>2.3 环境影响评价标准</w:t>
      </w:r>
      <w:bookmarkEnd w:id="38"/>
    </w:p>
    <w:p>
      <w:pPr>
        <w:adjustRightInd w:val="0"/>
        <w:snapToGrid w:val="0"/>
        <w:spacing w:line="360" w:lineRule="auto"/>
        <w:ind w:firstLine="480" w:firstLineChars="200"/>
        <w:rPr>
          <w:rFonts w:eastAsiaTheme="minorEastAsia"/>
          <w:sz w:val="24"/>
          <w:u w:val="single"/>
        </w:rPr>
      </w:pPr>
      <w:r>
        <w:rPr>
          <w:rFonts w:hint="eastAsia" w:eastAsiaTheme="minorEastAsia"/>
          <w:sz w:val="24"/>
          <w:u w:val="single"/>
        </w:rPr>
        <w:t>根据岳阳市生态环境局湘阴分局《关于《湘阴县中医院整体搬迁项目》环境影响评价工作执行标准的复函》要求，</w:t>
      </w:r>
      <w:r>
        <w:rPr>
          <w:rFonts w:eastAsiaTheme="minorEastAsia"/>
          <w:sz w:val="24"/>
          <w:u w:val="single"/>
        </w:rPr>
        <w:t>本次评价采用如下标准：</w:t>
      </w:r>
    </w:p>
    <w:p>
      <w:pPr>
        <w:adjustRightInd w:val="0"/>
        <w:snapToGrid w:val="0"/>
        <w:spacing w:line="360" w:lineRule="auto"/>
        <w:ind w:firstLine="590" w:firstLineChars="245"/>
        <w:rPr>
          <w:rFonts w:eastAsiaTheme="minorEastAsia"/>
          <w:b/>
          <w:sz w:val="24"/>
        </w:rPr>
      </w:pPr>
      <w:r>
        <w:rPr>
          <w:rFonts w:eastAsiaTheme="minorEastAsia"/>
          <w:b/>
          <w:sz w:val="24"/>
        </w:rPr>
        <w:t>1、环境质量标准</w:t>
      </w:r>
    </w:p>
    <w:p>
      <w:pPr>
        <w:adjustRightInd w:val="0"/>
        <w:snapToGrid w:val="0"/>
        <w:spacing w:line="360" w:lineRule="auto"/>
        <w:ind w:firstLine="480" w:firstLineChars="200"/>
        <w:rPr>
          <w:rFonts w:eastAsiaTheme="minorEastAsia"/>
          <w:sz w:val="24"/>
        </w:rPr>
      </w:pPr>
      <w:r>
        <w:rPr>
          <w:rFonts w:eastAsiaTheme="minorEastAsia"/>
          <w:sz w:val="24"/>
        </w:rPr>
        <w:t>（1）地表水</w:t>
      </w:r>
    </w:p>
    <w:p>
      <w:pPr>
        <w:adjustRightInd w:val="0"/>
        <w:snapToGrid w:val="0"/>
        <w:spacing w:line="360" w:lineRule="auto"/>
        <w:ind w:firstLine="480" w:firstLineChars="200"/>
        <w:rPr>
          <w:rFonts w:eastAsiaTheme="minorEastAsia"/>
          <w:sz w:val="24"/>
        </w:rPr>
      </w:pPr>
      <w:r>
        <w:rPr>
          <w:rFonts w:eastAsiaTheme="minorEastAsia"/>
          <w:sz w:val="24"/>
        </w:rPr>
        <w:t>本项目产生的废水经预处理达标后，进入湘阴县第一污水处理厂，经湘阴县第一污水处理厂处理达标后再经白水江排入湘江。</w:t>
      </w:r>
    </w:p>
    <w:p>
      <w:pPr>
        <w:adjustRightInd w:val="0"/>
        <w:snapToGrid w:val="0"/>
        <w:spacing w:line="360" w:lineRule="auto"/>
        <w:ind w:firstLine="480" w:firstLineChars="200"/>
        <w:rPr>
          <w:rFonts w:eastAsiaTheme="minorEastAsia"/>
          <w:sz w:val="24"/>
          <w:u w:val="single"/>
        </w:rPr>
      </w:pPr>
      <w:bookmarkStart w:id="39" w:name="_Hlk60256228"/>
      <w:r>
        <w:rPr>
          <w:rFonts w:eastAsiaTheme="minorEastAsia"/>
          <w:sz w:val="24"/>
          <w:u w:val="single"/>
        </w:rPr>
        <w:t>湘江洋沙湖断面至鸡啼湖取水口上游1000m，鸡啼湖取水口下游100m至磊石断面段水质执行《地表水环境质量标准》(GB3838-2002)中Ⅲ类标准，鸡啼湖取水口上游 1000m至取水口下游100m执行《地表水环境质量标准》(GB3838-2002)中Ⅱ类标准。白水江为渔业用水执行《地表水环 境质量标准》(GB3838-2002)中的III类标准；东湖执行《地表水 环境质量标准》(GB3838-2002)中的III类标准。</w:t>
      </w:r>
      <w:bookmarkEnd w:id="39"/>
      <w:r>
        <w:rPr>
          <w:rFonts w:eastAsiaTheme="minorEastAsia"/>
          <w:sz w:val="24"/>
          <w:u w:val="single"/>
        </w:rPr>
        <w:t>具体标准值详见下表。</w:t>
      </w:r>
    </w:p>
    <w:p>
      <w:pPr>
        <w:snapToGrid w:val="0"/>
        <w:spacing w:line="360" w:lineRule="auto"/>
        <w:jc w:val="center"/>
        <w:rPr>
          <w:rFonts w:eastAsiaTheme="minorEastAsia"/>
          <w:b/>
          <w:sz w:val="24"/>
        </w:rPr>
      </w:pPr>
      <w:r>
        <w:rPr>
          <w:rFonts w:eastAsiaTheme="minorEastAsia"/>
          <w:b/>
          <w:sz w:val="24"/>
        </w:rPr>
        <w:t>表2.3-1  地表水环境质量标准  单位：mg/L，除pH外</w:t>
      </w:r>
      <w:bookmarkStart w:id="40" w:name="_Toc293492841"/>
    </w:p>
    <w:bookmarkEnd w:id="40"/>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18"/>
        <w:gridCol w:w="3136"/>
        <w:gridCol w:w="2366"/>
        <w:gridCol w:w="23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b/>
                <w:kern w:val="2"/>
                <w:szCs w:val="24"/>
                <w:u w:val="single"/>
              </w:rPr>
            </w:pPr>
            <w:r>
              <w:rPr>
                <w:rFonts w:eastAsiaTheme="minorEastAsia"/>
                <w:b/>
                <w:kern w:val="2"/>
                <w:szCs w:val="24"/>
                <w:u w:val="single"/>
              </w:rPr>
              <w:t>序号</w:t>
            </w:r>
          </w:p>
        </w:tc>
        <w:tc>
          <w:tcPr>
            <w:tcW w:w="4301" w:type="dxa"/>
            <w:vAlign w:val="center"/>
          </w:tcPr>
          <w:p>
            <w:pPr>
              <w:pStyle w:val="856"/>
              <w:snapToGrid w:val="0"/>
              <w:rPr>
                <w:rFonts w:eastAsiaTheme="minorEastAsia"/>
                <w:b/>
                <w:kern w:val="2"/>
                <w:szCs w:val="24"/>
                <w:u w:val="single"/>
              </w:rPr>
            </w:pPr>
            <w:r>
              <w:rPr>
                <w:rFonts w:eastAsiaTheme="minorEastAsia"/>
                <w:b/>
                <w:kern w:val="2"/>
                <w:szCs w:val="24"/>
                <w:u w:val="single"/>
              </w:rPr>
              <w:t>项目</w:t>
            </w:r>
          </w:p>
        </w:tc>
        <w:tc>
          <w:tcPr>
            <w:tcW w:w="3242" w:type="dxa"/>
            <w:vAlign w:val="center"/>
          </w:tcPr>
          <w:p>
            <w:pPr>
              <w:pStyle w:val="856"/>
              <w:snapToGrid w:val="0"/>
              <w:rPr>
                <w:rFonts w:eastAsiaTheme="minorEastAsia"/>
                <w:b/>
                <w:kern w:val="2"/>
                <w:szCs w:val="24"/>
                <w:u w:val="single"/>
              </w:rPr>
            </w:pPr>
            <w:r>
              <w:rPr>
                <w:rFonts w:hint="eastAsia" w:eastAsiaTheme="minorEastAsia"/>
                <w:b/>
                <w:kern w:val="2"/>
                <w:szCs w:val="24"/>
                <w:u w:val="single"/>
              </w:rPr>
              <w:t>Ⅱ类</w:t>
            </w:r>
          </w:p>
        </w:tc>
        <w:tc>
          <w:tcPr>
            <w:tcW w:w="3242" w:type="dxa"/>
            <w:vAlign w:val="center"/>
          </w:tcPr>
          <w:p>
            <w:pPr>
              <w:pStyle w:val="856"/>
              <w:snapToGrid w:val="0"/>
              <w:rPr>
                <w:rFonts w:eastAsiaTheme="minorEastAsia"/>
                <w:b/>
                <w:kern w:val="2"/>
                <w:szCs w:val="24"/>
                <w:u w:val="single"/>
              </w:rPr>
            </w:pPr>
            <w:r>
              <w:rPr>
                <w:rFonts w:eastAsiaTheme="minorEastAsia"/>
                <w:b/>
                <w:kern w:val="2"/>
                <w:szCs w:val="24"/>
                <w:u w:val="single"/>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1</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pH</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6～9</w:t>
            </w:r>
          </w:p>
        </w:tc>
        <w:tc>
          <w:tcPr>
            <w:tcW w:w="3242" w:type="dxa"/>
            <w:vAlign w:val="center"/>
          </w:tcPr>
          <w:p>
            <w:pPr>
              <w:pStyle w:val="856"/>
              <w:snapToGrid w:val="0"/>
              <w:rPr>
                <w:rFonts w:eastAsiaTheme="minorEastAsia"/>
                <w:kern w:val="2"/>
                <w:szCs w:val="24"/>
                <w:u w:val="single"/>
              </w:rPr>
            </w:pPr>
            <w:bookmarkStart w:id="41" w:name="OLE_LINK50"/>
            <w:bookmarkStart w:id="42" w:name="OLE_LINK53"/>
            <w:bookmarkStart w:id="43" w:name="OLE_LINK49"/>
            <w:r>
              <w:rPr>
                <w:rFonts w:eastAsiaTheme="minorEastAsia"/>
                <w:kern w:val="2"/>
                <w:szCs w:val="24"/>
                <w:u w:val="single"/>
              </w:rPr>
              <w:t>6～9</w:t>
            </w:r>
            <w:bookmarkEnd w:id="41"/>
            <w:bookmarkEnd w:id="42"/>
            <w:bookmarkEnd w:id="4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2</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化学需氧量</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w:t>
            </w:r>
            <w:r>
              <w:rPr>
                <w:rFonts w:hint="eastAsia" w:eastAsiaTheme="minorEastAsia"/>
                <w:kern w:val="2"/>
                <w:szCs w:val="24"/>
                <w:u w:val="single"/>
              </w:rPr>
              <w:t>15</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3</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五日生化需氧量</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w:t>
            </w:r>
            <w:r>
              <w:rPr>
                <w:rFonts w:hint="eastAsia" w:eastAsiaTheme="minorEastAsia"/>
                <w:kern w:val="2"/>
                <w:szCs w:val="24"/>
                <w:u w:val="single"/>
              </w:rPr>
              <w:t>3</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4</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氨氮</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w:t>
            </w:r>
            <w:r>
              <w:rPr>
                <w:rFonts w:hint="eastAsia" w:eastAsiaTheme="minorEastAsia"/>
                <w:kern w:val="2"/>
                <w:szCs w:val="24"/>
                <w:u w:val="single"/>
              </w:rPr>
              <w:t>0.5</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5</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总磷</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w:t>
            </w:r>
            <w:r>
              <w:rPr>
                <w:rFonts w:hint="eastAsia" w:eastAsiaTheme="minorEastAsia"/>
                <w:kern w:val="2"/>
                <w:szCs w:val="24"/>
                <w:u w:val="single"/>
              </w:rPr>
              <w:t>0.1</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6</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石油类</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w:t>
            </w:r>
            <w:r>
              <w:rPr>
                <w:rFonts w:hint="eastAsia" w:eastAsiaTheme="minorEastAsia"/>
                <w:kern w:val="2"/>
                <w:szCs w:val="24"/>
                <w:u w:val="single"/>
              </w:rPr>
              <w:t>0.05</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7</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粪大肠菌群（个/L）</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w:t>
            </w:r>
            <w:r>
              <w:rPr>
                <w:rFonts w:hint="eastAsia" w:eastAsiaTheme="minorEastAsia"/>
                <w:kern w:val="2"/>
                <w:szCs w:val="24"/>
                <w:u w:val="single"/>
              </w:rPr>
              <w:t>2000</w:t>
            </w:r>
          </w:p>
        </w:tc>
        <w:tc>
          <w:tcPr>
            <w:tcW w:w="3242" w:type="dxa"/>
            <w:vAlign w:val="center"/>
          </w:tcPr>
          <w:p>
            <w:pPr>
              <w:pStyle w:val="856"/>
              <w:snapToGrid w:val="0"/>
              <w:rPr>
                <w:rFonts w:eastAsiaTheme="minorEastAsia"/>
                <w:kern w:val="2"/>
                <w:szCs w:val="24"/>
                <w:u w:val="single"/>
              </w:rPr>
            </w:pPr>
            <w:bookmarkStart w:id="44" w:name="OLE_LINK58"/>
            <w:bookmarkStart w:id="45" w:name="OLE_LINK56"/>
            <w:bookmarkStart w:id="46" w:name="OLE_LINK57"/>
            <w:r>
              <w:rPr>
                <w:rFonts w:eastAsiaTheme="minorEastAsia"/>
                <w:kern w:val="2"/>
                <w:szCs w:val="24"/>
                <w:u w:val="single"/>
              </w:rPr>
              <w:t>≤</w:t>
            </w:r>
            <w:bookmarkEnd w:id="44"/>
            <w:bookmarkEnd w:id="45"/>
            <w:bookmarkEnd w:id="46"/>
            <w:r>
              <w:rPr>
                <w:rFonts w:eastAsiaTheme="minorEastAsia"/>
                <w:kern w:val="2"/>
                <w:szCs w:val="24"/>
                <w:u w:val="single"/>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246" w:type="dxa"/>
            <w:vAlign w:val="center"/>
          </w:tcPr>
          <w:p>
            <w:pPr>
              <w:pStyle w:val="856"/>
              <w:snapToGrid w:val="0"/>
              <w:rPr>
                <w:rFonts w:eastAsiaTheme="minorEastAsia"/>
                <w:kern w:val="2"/>
                <w:szCs w:val="24"/>
                <w:u w:val="single"/>
              </w:rPr>
            </w:pPr>
            <w:r>
              <w:rPr>
                <w:rFonts w:eastAsiaTheme="minorEastAsia"/>
                <w:kern w:val="2"/>
                <w:szCs w:val="24"/>
                <w:u w:val="single"/>
              </w:rPr>
              <w:t>8</w:t>
            </w:r>
          </w:p>
        </w:tc>
        <w:tc>
          <w:tcPr>
            <w:tcW w:w="4301" w:type="dxa"/>
            <w:vAlign w:val="center"/>
          </w:tcPr>
          <w:p>
            <w:pPr>
              <w:pStyle w:val="856"/>
              <w:snapToGrid w:val="0"/>
              <w:rPr>
                <w:rFonts w:eastAsiaTheme="minorEastAsia"/>
                <w:kern w:val="2"/>
                <w:szCs w:val="24"/>
                <w:u w:val="single"/>
              </w:rPr>
            </w:pPr>
            <w:r>
              <w:rPr>
                <w:rFonts w:eastAsiaTheme="minorEastAsia"/>
                <w:kern w:val="2"/>
                <w:szCs w:val="24"/>
                <w:u w:val="single"/>
              </w:rPr>
              <w:t>DO</w:t>
            </w:r>
          </w:p>
        </w:tc>
        <w:tc>
          <w:tcPr>
            <w:tcW w:w="3242" w:type="dxa"/>
            <w:vAlign w:val="center"/>
          </w:tcPr>
          <w:p>
            <w:pPr>
              <w:pStyle w:val="856"/>
              <w:snapToGrid w:val="0"/>
              <w:rPr>
                <w:rFonts w:eastAsiaTheme="minorEastAsia"/>
                <w:kern w:val="2"/>
                <w:szCs w:val="24"/>
                <w:u w:val="single"/>
              </w:rPr>
            </w:pPr>
            <w:r>
              <w:rPr>
                <w:rFonts w:eastAsiaTheme="minorEastAsia"/>
                <w:kern w:val="2"/>
                <w:szCs w:val="24"/>
                <w:u w:val="single"/>
              </w:rPr>
              <w:t>≥</w:t>
            </w:r>
            <w:r>
              <w:rPr>
                <w:rFonts w:hint="eastAsia" w:eastAsiaTheme="minorEastAsia"/>
                <w:kern w:val="2"/>
                <w:szCs w:val="24"/>
                <w:u w:val="single"/>
              </w:rPr>
              <w:t>6</w:t>
            </w:r>
          </w:p>
        </w:tc>
        <w:tc>
          <w:tcPr>
            <w:tcW w:w="3242" w:type="dxa"/>
            <w:vAlign w:val="center"/>
          </w:tcPr>
          <w:p>
            <w:pPr>
              <w:pStyle w:val="856"/>
              <w:snapToGrid w:val="0"/>
              <w:rPr>
                <w:rFonts w:eastAsiaTheme="minorEastAsia"/>
                <w:kern w:val="2"/>
                <w:szCs w:val="24"/>
                <w:u w:val="single"/>
              </w:rPr>
            </w:pPr>
            <w:bookmarkStart w:id="47" w:name="OLE_LINK55"/>
            <w:bookmarkStart w:id="48" w:name="OLE_LINK54"/>
            <w:r>
              <w:rPr>
                <w:rFonts w:eastAsiaTheme="minorEastAsia"/>
                <w:kern w:val="2"/>
                <w:szCs w:val="24"/>
                <w:u w:val="single"/>
              </w:rPr>
              <w:t>≥</w:t>
            </w:r>
            <w:bookmarkEnd w:id="47"/>
            <w:bookmarkEnd w:id="48"/>
            <w:r>
              <w:rPr>
                <w:rFonts w:eastAsiaTheme="minorEastAsia"/>
                <w:kern w:val="2"/>
                <w:szCs w:val="24"/>
                <w:u w:val="single"/>
              </w:rPr>
              <w:t>5</w:t>
            </w:r>
          </w:p>
        </w:tc>
      </w:tr>
    </w:tbl>
    <w:p>
      <w:pPr>
        <w:adjustRightInd w:val="0"/>
        <w:snapToGrid w:val="0"/>
        <w:spacing w:line="360" w:lineRule="auto"/>
        <w:ind w:firstLine="480" w:firstLineChars="200"/>
        <w:rPr>
          <w:rFonts w:eastAsiaTheme="minorEastAsia"/>
          <w:sz w:val="24"/>
        </w:rPr>
      </w:pPr>
      <w:r>
        <w:rPr>
          <w:rFonts w:eastAsiaTheme="minorEastAsia"/>
          <w:sz w:val="24"/>
        </w:rPr>
        <w:t>（2）环境空气</w:t>
      </w:r>
    </w:p>
    <w:p>
      <w:pPr>
        <w:adjustRightInd w:val="0"/>
        <w:snapToGrid w:val="0"/>
        <w:spacing w:line="360" w:lineRule="auto"/>
        <w:ind w:firstLine="480" w:firstLineChars="200"/>
        <w:rPr>
          <w:rFonts w:eastAsiaTheme="minorEastAsia"/>
          <w:sz w:val="24"/>
        </w:rPr>
      </w:pPr>
      <w:r>
        <w:rPr>
          <w:rFonts w:eastAsiaTheme="minorEastAsia"/>
          <w:sz w:val="24"/>
        </w:rPr>
        <w:t>环境空气质量执行《环境空气质量标准》（GB3095-2012）中二级标准及其修改单；氨、硫化氢执行《环境影响评价技术导则 大气环境》（HJ2.2-2018）中的附录 D 其他污染物空气质量浓度参考限值。具体标准值见下表。</w:t>
      </w:r>
    </w:p>
    <w:p>
      <w:pPr>
        <w:snapToGrid w:val="0"/>
        <w:spacing w:line="360" w:lineRule="auto"/>
        <w:jc w:val="center"/>
        <w:rPr>
          <w:rFonts w:eastAsiaTheme="minorEastAsia"/>
          <w:b/>
          <w:sz w:val="24"/>
        </w:rPr>
      </w:pPr>
      <w:r>
        <w:rPr>
          <w:rFonts w:eastAsiaTheme="minorEastAsia"/>
          <w:b/>
          <w:sz w:val="24"/>
        </w:rPr>
        <w:t>表2.3-2  环境空气质量标准</w:t>
      </w:r>
    </w:p>
    <w:tbl>
      <w:tblPr>
        <w:tblStyle w:val="79"/>
        <w:tblpPr w:leftFromText="180" w:rightFromText="180" w:vertAnchor="text" w:tblpXSpec="center" w:tblpY="1"/>
        <w:tblOverlap w:val="never"/>
        <w:tblW w:w="878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7"/>
        <w:gridCol w:w="2168"/>
        <w:gridCol w:w="1144"/>
        <w:gridCol w:w="890"/>
        <w:gridCol w:w="30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1497" w:type="dxa"/>
            <w:vMerge w:val="restart"/>
            <w:vAlign w:val="center"/>
          </w:tcPr>
          <w:p>
            <w:pPr>
              <w:pStyle w:val="856"/>
              <w:snapToGrid w:val="0"/>
              <w:rPr>
                <w:rFonts w:eastAsiaTheme="minorEastAsia"/>
                <w:kern w:val="2"/>
                <w:szCs w:val="24"/>
              </w:rPr>
            </w:pPr>
            <w:r>
              <w:rPr>
                <w:rFonts w:eastAsiaTheme="minorEastAsia"/>
                <w:kern w:val="2"/>
                <w:szCs w:val="24"/>
              </w:rPr>
              <w:t>项目</w:t>
            </w:r>
          </w:p>
        </w:tc>
        <w:tc>
          <w:tcPr>
            <w:tcW w:w="2168" w:type="dxa"/>
            <w:vMerge w:val="restart"/>
            <w:vAlign w:val="center"/>
          </w:tcPr>
          <w:p>
            <w:pPr>
              <w:pStyle w:val="856"/>
              <w:snapToGrid w:val="0"/>
              <w:rPr>
                <w:rFonts w:eastAsiaTheme="minorEastAsia"/>
                <w:kern w:val="2"/>
                <w:szCs w:val="24"/>
              </w:rPr>
            </w:pPr>
            <w:r>
              <w:rPr>
                <w:rFonts w:eastAsiaTheme="minorEastAsia"/>
                <w:kern w:val="2"/>
                <w:szCs w:val="24"/>
              </w:rPr>
              <w:t>取值时间</w:t>
            </w:r>
          </w:p>
        </w:tc>
        <w:tc>
          <w:tcPr>
            <w:tcW w:w="1144" w:type="dxa"/>
            <w:vAlign w:val="center"/>
          </w:tcPr>
          <w:p>
            <w:pPr>
              <w:pStyle w:val="856"/>
              <w:snapToGrid w:val="0"/>
              <w:rPr>
                <w:rFonts w:eastAsiaTheme="minorEastAsia"/>
                <w:kern w:val="2"/>
                <w:szCs w:val="24"/>
              </w:rPr>
            </w:pPr>
            <w:r>
              <w:rPr>
                <w:rFonts w:eastAsiaTheme="minorEastAsia"/>
                <w:kern w:val="2"/>
                <w:szCs w:val="24"/>
              </w:rPr>
              <w:t>浓度限值</w:t>
            </w:r>
          </w:p>
        </w:tc>
        <w:tc>
          <w:tcPr>
            <w:tcW w:w="890" w:type="dxa"/>
            <w:vMerge w:val="restart"/>
            <w:vAlign w:val="center"/>
          </w:tcPr>
          <w:p>
            <w:pPr>
              <w:pStyle w:val="856"/>
              <w:snapToGrid w:val="0"/>
              <w:rPr>
                <w:rFonts w:eastAsiaTheme="minorEastAsia"/>
                <w:kern w:val="2"/>
                <w:szCs w:val="24"/>
              </w:rPr>
            </w:pPr>
            <w:r>
              <w:rPr>
                <w:rFonts w:eastAsiaTheme="minorEastAsia"/>
                <w:kern w:val="2"/>
                <w:szCs w:val="24"/>
              </w:rPr>
              <w:t>单位</w:t>
            </w:r>
          </w:p>
        </w:tc>
        <w:tc>
          <w:tcPr>
            <w:tcW w:w="3090" w:type="dxa"/>
            <w:vMerge w:val="restart"/>
            <w:vAlign w:val="center"/>
          </w:tcPr>
          <w:p>
            <w:pPr>
              <w:pStyle w:val="856"/>
              <w:snapToGrid w:val="0"/>
              <w:rPr>
                <w:rFonts w:eastAsiaTheme="minorEastAsia"/>
                <w:kern w:val="2"/>
                <w:szCs w:val="24"/>
              </w:rPr>
            </w:pPr>
            <w:r>
              <w:rPr>
                <w:rFonts w:eastAsiaTheme="minorEastAsia"/>
                <w:kern w:val="2"/>
                <w:szCs w:val="24"/>
              </w:rPr>
              <w:t>选用标准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1497" w:type="dxa"/>
            <w:vMerge w:val="continue"/>
            <w:vAlign w:val="center"/>
          </w:tcPr>
          <w:p>
            <w:pPr>
              <w:pStyle w:val="856"/>
              <w:snapToGrid w:val="0"/>
              <w:rPr>
                <w:rFonts w:eastAsiaTheme="minorEastAsia"/>
                <w:kern w:val="2"/>
                <w:szCs w:val="24"/>
              </w:rPr>
            </w:pPr>
          </w:p>
        </w:tc>
        <w:tc>
          <w:tcPr>
            <w:tcW w:w="2168" w:type="dxa"/>
            <w:vMerge w:val="continue"/>
            <w:vAlign w:val="center"/>
          </w:tcPr>
          <w:p>
            <w:pPr>
              <w:pStyle w:val="856"/>
              <w:snapToGrid w:val="0"/>
              <w:rPr>
                <w:rFonts w:eastAsiaTheme="minorEastAsia"/>
                <w:kern w:val="2"/>
                <w:szCs w:val="24"/>
              </w:rPr>
            </w:pPr>
          </w:p>
        </w:tc>
        <w:tc>
          <w:tcPr>
            <w:tcW w:w="1144" w:type="dxa"/>
            <w:vAlign w:val="center"/>
          </w:tcPr>
          <w:p>
            <w:pPr>
              <w:pStyle w:val="856"/>
              <w:snapToGrid w:val="0"/>
              <w:rPr>
                <w:rFonts w:eastAsiaTheme="minorEastAsia"/>
                <w:kern w:val="2"/>
                <w:szCs w:val="24"/>
              </w:rPr>
            </w:pPr>
            <w:r>
              <w:rPr>
                <w:rFonts w:eastAsiaTheme="minorEastAsia"/>
                <w:kern w:val="2"/>
                <w:szCs w:val="24"/>
              </w:rPr>
              <w:t>二级</w:t>
            </w:r>
          </w:p>
        </w:tc>
        <w:tc>
          <w:tcPr>
            <w:tcW w:w="890" w:type="dxa"/>
            <w:vMerge w:val="continue"/>
            <w:vAlign w:val="center"/>
          </w:tcPr>
          <w:p>
            <w:pPr>
              <w:pStyle w:val="856"/>
              <w:snapToGrid w:val="0"/>
              <w:rPr>
                <w:rFonts w:eastAsiaTheme="minorEastAsia"/>
                <w:kern w:val="2"/>
                <w:szCs w:val="24"/>
              </w:rPr>
            </w:pPr>
          </w:p>
        </w:tc>
        <w:tc>
          <w:tcPr>
            <w:tcW w:w="3090" w:type="dxa"/>
            <w:vMerge w:val="continue"/>
            <w:vAlign w:val="center"/>
          </w:tcPr>
          <w:p>
            <w:pPr>
              <w:pStyle w:val="856"/>
              <w:snapToGrid w:val="0"/>
              <w:rPr>
                <w:rFonts w:eastAsiaTheme="minorEastAsia"/>
                <w:kern w:val="2"/>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restart"/>
            <w:vAlign w:val="center"/>
          </w:tcPr>
          <w:p>
            <w:pPr>
              <w:pStyle w:val="856"/>
              <w:snapToGrid w:val="0"/>
              <w:rPr>
                <w:rFonts w:eastAsiaTheme="minorEastAsia"/>
                <w:kern w:val="2"/>
                <w:szCs w:val="24"/>
              </w:rPr>
            </w:pPr>
            <w:r>
              <w:rPr>
                <w:rFonts w:eastAsiaTheme="minorEastAsia"/>
                <w:kern w:val="2"/>
                <w:szCs w:val="24"/>
              </w:rPr>
              <w:t>SO</w:t>
            </w:r>
            <w:r>
              <w:rPr>
                <w:rFonts w:eastAsiaTheme="minorEastAsia"/>
                <w:kern w:val="2"/>
                <w:szCs w:val="24"/>
                <w:vertAlign w:val="subscript"/>
              </w:rPr>
              <w:t>2</w:t>
            </w:r>
          </w:p>
        </w:tc>
        <w:tc>
          <w:tcPr>
            <w:tcW w:w="2168" w:type="dxa"/>
            <w:vAlign w:val="center"/>
          </w:tcPr>
          <w:p>
            <w:pPr>
              <w:pStyle w:val="856"/>
              <w:snapToGrid w:val="0"/>
              <w:rPr>
                <w:rFonts w:eastAsiaTheme="minorEastAsia"/>
                <w:kern w:val="2"/>
                <w:szCs w:val="24"/>
              </w:rPr>
            </w:pPr>
            <w:r>
              <w:rPr>
                <w:rFonts w:eastAsiaTheme="minorEastAsia"/>
                <w:kern w:val="2"/>
                <w:szCs w:val="24"/>
              </w:rPr>
              <w:t>1小时平均</w:t>
            </w:r>
          </w:p>
        </w:tc>
        <w:tc>
          <w:tcPr>
            <w:tcW w:w="1144" w:type="dxa"/>
            <w:vAlign w:val="center"/>
          </w:tcPr>
          <w:p>
            <w:pPr>
              <w:pStyle w:val="856"/>
              <w:snapToGrid w:val="0"/>
              <w:rPr>
                <w:rFonts w:eastAsiaTheme="minorEastAsia"/>
                <w:kern w:val="2"/>
                <w:szCs w:val="24"/>
              </w:rPr>
            </w:pPr>
            <w:r>
              <w:rPr>
                <w:rFonts w:eastAsiaTheme="minorEastAsia"/>
                <w:kern w:val="2"/>
                <w:szCs w:val="24"/>
              </w:rPr>
              <w:t>500</w:t>
            </w:r>
          </w:p>
        </w:tc>
        <w:tc>
          <w:tcPr>
            <w:tcW w:w="890" w:type="dxa"/>
            <w:vMerge w:val="restart"/>
            <w:vAlign w:val="center"/>
          </w:tcPr>
          <w:p>
            <w:pPr>
              <w:pStyle w:val="856"/>
              <w:snapToGrid w:val="0"/>
              <w:rPr>
                <w:rFonts w:eastAsiaTheme="minorEastAsia"/>
                <w:kern w:val="2"/>
                <w:szCs w:val="24"/>
              </w:rPr>
            </w:pPr>
            <w:r>
              <w:rPr>
                <w:rFonts w:eastAsiaTheme="minorEastAsia"/>
                <w:kern w:val="2"/>
                <w:szCs w:val="24"/>
              </w:rPr>
              <w:t>μg/m</w:t>
            </w:r>
            <w:r>
              <w:rPr>
                <w:rFonts w:eastAsiaTheme="minorEastAsia"/>
                <w:kern w:val="2"/>
                <w:szCs w:val="24"/>
                <w:vertAlign w:val="superscript"/>
              </w:rPr>
              <w:t>3</w:t>
            </w:r>
          </w:p>
        </w:tc>
        <w:tc>
          <w:tcPr>
            <w:tcW w:w="3090" w:type="dxa"/>
            <w:vMerge w:val="restart"/>
            <w:vAlign w:val="center"/>
          </w:tcPr>
          <w:p>
            <w:pPr>
              <w:pStyle w:val="856"/>
              <w:snapToGrid w:val="0"/>
              <w:rPr>
                <w:rFonts w:eastAsiaTheme="minorEastAsia"/>
                <w:kern w:val="2"/>
                <w:szCs w:val="24"/>
              </w:rPr>
            </w:pPr>
            <w:r>
              <w:rPr>
                <w:rFonts w:eastAsiaTheme="minorEastAsia"/>
                <w:kern w:val="2"/>
                <w:szCs w:val="24"/>
              </w:rPr>
              <w:t>《环境空气质量标准》（GB3095-2012）及其2018年修改单中的二级标准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continue"/>
            <w:vAlign w:val="center"/>
          </w:tcPr>
          <w:p>
            <w:pPr>
              <w:pStyle w:val="856"/>
              <w:snapToGrid w:val="0"/>
              <w:rPr>
                <w:rFonts w:eastAsiaTheme="minorEastAsia"/>
                <w:kern w:val="2"/>
                <w:szCs w:val="24"/>
              </w:rPr>
            </w:pPr>
          </w:p>
        </w:tc>
        <w:tc>
          <w:tcPr>
            <w:tcW w:w="2168" w:type="dxa"/>
            <w:vAlign w:val="center"/>
          </w:tcPr>
          <w:p>
            <w:pPr>
              <w:pStyle w:val="856"/>
              <w:snapToGrid w:val="0"/>
              <w:rPr>
                <w:rFonts w:eastAsiaTheme="minorEastAsia"/>
                <w:kern w:val="2"/>
                <w:szCs w:val="24"/>
              </w:rPr>
            </w:pPr>
            <w:r>
              <w:rPr>
                <w:rFonts w:eastAsiaTheme="minorEastAsia"/>
                <w:kern w:val="2"/>
                <w:szCs w:val="24"/>
              </w:rPr>
              <w:t>24小时平均</w:t>
            </w:r>
          </w:p>
        </w:tc>
        <w:tc>
          <w:tcPr>
            <w:tcW w:w="1144" w:type="dxa"/>
            <w:vAlign w:val="center"/>
          </w:tcPr>
          <w:p>
            <w:pPr>
              <w:pStyle w:val="856"/>
              <w:snapToGrid w:val="0"/>
              <w:rPr>
                <w:rFonts w:eastAsiaTheme="minorEastAsia"/>
                <w:kern w:val="2"/>
                <w:szCs w:val="24"/>
              </w:rPr>
            </w:pPr>
            <w:r>
              <w:rPr>
                <w:rFonts w:eastAsiaTheme="minorEastAsia"/>
                <w:kern w:val="2"/>
                <w:szCs w:val="24"/>
              </w:rPr>
              <w:t>150</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497" w:type="dxa"/>
            <w:vMerge w:val="continue"/>
            <w:vAlign w:val="center"/>
          </w:tcPr>
          <w:p>
            <w:pPr>
              <w:pStyle w:val="856"/>
              <w:snapToGrid w:val="0"/>
              <w:rPr>
                <w:rFonts w:eastAsiaTheme="minorEastAsia"/>
                <w:kern w:val="2"/>
                <w:szCs w:val="24"/>
              </w:rPr>
            </w:pPr>
          </w:p>
        </w:tc>
        <w:tc>
          <w:tcPr>
            <w:tcW w:w="2168" w:type="dxa"/>
            <w:vAlign w:val="center"/>
          </w:tcPr>
          <w:p>
            <w:pPr>
              <w:pStyle w:val="856"/>
              <w:snapToGrid w:val="0"/>
              <w:rPr>
                <w:rFonts w:eastAsiaTheme="minorEastAsia"/>
                <w:kern w:val="2"/>
                <w:szCs w:val="24"/>
              </w:rPr>
            </w:pPr>
            <w:r>
              <w:rPr>
                <w:rFonts w:eastAsiaTheme="minorEastAsia"/>
                <w:kern w:val="2"/>
                <w:szCs w:val="24"/>
              </w:rPr>
              <w:t>年平均</w:t>
            </w:r>
          </w:p>
        </w:tc>
        <w:tc>
          <w:tcPr>
            <w:tcW w:w="1144" w:type="dxa"/>
            <w:vAlign w:val="center"/>
          </w:tcPr>
          <w:p>
            <w:pPr>
              <w:pStyle w:val="856"/>
              <w:snapToGrid w:val="0"/>
              <w:rPr>
                <w:rFonts w:eastAsiaTheme="minorEastAsia"/>
                <w:kern w:val="2"/>
                <w:szCs w:val="24"/>
              </w:rPr>
            </w:pPr>
            <w:r>
              <w:rPr>
                <w:rFonts w:eastAsiaTheme="minorEastAsia"/>
                <w:kern w:val="2"/>
                <w:szCs w:val="24"/>
              </w:rPr>
              <w:t>60</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restart"/>
            <w:vAlign w:val="center"/>
          </w:tcPr>
          <w:p>
            <w:pPr>
              <w:pStyle w:val="856"/>
              <w:snapToGrid w:val="0"/>
              <w:rPr>
                <w:rFonts w:eastAsiaTheme="minorEastAsia"/>
                <w:kern w:val="2"/>
                <w:szCs w:val="24"/>
              </w:rPr>
            </w:pPr>
            <w:r>
              <w:rPr>
                <w:rFonts w:eastAsiaTheme="minorEastAsia"/>
                <w:kern w:val="2"/>
                <w:szCs w:val="24"/>
              </w:rPr>
              <w:t>NO</w:t>
            </w:r>
            <w:r>
              <w:rPr>
                <w:rFonts w:eastAsiaTheme="minorEastAsia"/>
                <w:kern w:val="2"/>
                <w:szCs w:val="24"/>
                <w:vertAlign w:val="subscript"/>
              </w:rPr>
              <w:t>2</w:t>
            </w:r>
          </w:p>
        </w:tc>
        <w:tc>
          <w:tcPr>
            <w:tcW w:w="2168" w:type="dxa"/>
            <w:vAlign w:val="center"/>
          </w:tcPr>
          <w:p>
            <w:pPr>
              <w:pStyle w:val="856"/>
              <w:snapToGrid w:val="0"/>
              <w:rPr>
                <w:rFonts w:eastAsiaTheme="minorEastAsia"/>
                <w:kern w:val="2"/>
                <w:szCs w:val="24"/>
              </w:rPr>
            </w:pPr>
            <w:r>
              <w:rPr>
                <w:rFonts w:eastAsiaTheme="minorEastAsia"/>
                <w:kern w:val="2"/>
                <w:szCs w:val="24"/>
              </w:rPr>
              <w:t>1小时平均</w:t>
            </w:r>
          </w:p>
        </w:tc>
        <w:tc>
          <w:tcPr>
            <w:tcW w:w="1144" w:type="dxa"/>
            <w:vAlign w:val="center"/>
          </w:tcPr>
          <w:p>
            <w:pPr>
              <w:pStyle w:val="856"/>
              <w:snapToGrid w:val="0"/>
              <w:rPr>
                <w:rFonts w:eastAsiaTheme="minorEastAsia"/>
                <w:kern w:val="2"/>
                <w:szCs w:val="24"/>
              </w:rPr>
            </w:pPr>
            <w:r>
              <w:rPr>
                <w:rFonts w:eastAsiaTheme="minorEastAsia"/>
                <w:kern w:val="2"/>
                <w:szCs w:val="24"/>
              </w:rPr>
              <w:t>200</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continue"/>
            <w:vAlign w:val="center"/>
          </w:tcPr>
          <w:p>
            <w:pPr>
              <w:pStyle w:val="856"/>
              <w:snapToGrid w:val="0"/>
              <w:rPr>
                <w:rFonts w:eastAsiaTheme="minorEastAsia"/>
                <w:kern w:val="2"/>
                <w:szCs w:val="24"/>
              </w:rPr>
            </w:pPr>
          </w:p>
        </w:tc>
        <w:tc>
          <w:tcPr>
            <w:tcW w:w="2168" w:type="dxa"/>
            <w:vAlign w:val="center"/>
          </w:tcPr>
          <w:p>
            <w:pPr>
              <w:pStyle w:val="856"/>
              <w:snapToGrid w:val="0"/>
              <w:rPr>
                <w:rFonts w:eastAsiaTheme="minorEastAsia"/>
                <w:kern w:val="2"/>
                <w:szCs w:val="24"/>
              </w:rPr>
            </w:pPr>
            <w:r>
              <w:rPr>
                <w:rFonts w:eastAsiaTheme="minorEastAsia"/>
                <w:kern w:val="2"/>
                <w:szCs w:val="24"/>
              </w:rPr>
              <w:t>24小时平均</w:t>
            </w:r>
          </w:p>
        </w:tc>
        <w:tc>
          <w:tcPr>
            <w:tcW w:w="1144" w:type="dxa"/>
            <w:vAlign w:val="center"/>
          </w:tcPr>
          <w:p>
            <w:pPr>
              <w:pStyle w:val="856"/>
              <w:snapToGrid w:val="0"/>
              <w:rPr>
                <w:rFonts w:eastAsiaTheme="minorEastAsia"/>
                <w:kern w:val="2"/>
                <w:szCs w:val="24"/>
              </w:rPr>
            </w:pPr>
            <w:r>
              <w:rPr>
                <w:rFonts w:eastAsiaTheme="minorEastAsia"/>
                <w:kern w:val="2"/>
                <w:szCs w:val="24"/>
              </w:rPr>
              <w:t>80</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continue"/>
            <w:vAlign w:val="center"/>
          </w:tcPr>
          <w:p>
            <w:pPr>
              <w:pStyle w:val="856"/>
              <w:snapToGrid w:val="0"/>
              <w:rPr>
                <w:rFonts w:eastAsiaTheme="minorEastAsia"/>
                <w:kern w:val="2"/>
                <w:szCs w:val="24"/>
              </w:rPr>
            </w:pPr>
          </w:p>
        </w:tc>
        <w:tc>
          <w:tcPr>
            <w:tcW w:w="2168" w:type="dxa"/>
            <w:vAlign w:val="center"/>
          </w:tcPr>
          <w:p>
            <w:pPr>
              <w:pStyle w:val="856"/>
              <w:snapToGrid w:val="0"/>
              <w:rPr>
                <w:rFonts w:eastAsiaTheme="minorEastAsia"/>
                <w:kern w:val="2"/>
                <w:szCs w:val="24"/>
              </w:rPr>
            </w:pPr>
            <w:r>
              <w:rPr>
                <w:rFonts w:eastAsiaTheme="minorEastAsia"/>
                <w:kern w:val="2"/>
                <w:szCs w:val="24"/>
              </w:rPr>
              <w:t>年平均</w:t>
            </w:r>
          </w:p>
        </w:tc>
        <w:tc>
          <w:tcPr>
            <w:tcW w:w="1144" w:type="dxa"/>
            <w:vAlign w:val="center"/>
          </w:tcPr>
          <w:p>
            <w:pPr>
              <w:pStyle w:val="856"/>
              <w:snapToGrid w:val="0"/>
              <w:rPr>
                <w:rFonts w:eastAsiaTheme="minorEastAsia"/>
                <w:kern w:val="2"/>
                <w:szCs w:val="24"/>
              </w:rPr>
            </w:pPr>
            <w:r>
              <w:rPr>
                <w:rFonts w:eastAsiaTheme="minorEastAsia"/>
                <w:kern w:val="2"/>
                <w:szCs w:val="24"/>
              </w:rPr>
              <w:t>40</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restart"/>
            <w:vAlign w:val="center"/>
          </w:tcPr>
          <w:p>
            <w:pPr>
              <w:pStyle w:val="856"/>
              <w:snapToGrid w:val="0"/>
              <w:rPr>
                <w:rFonts w:eastAsiaTheme="minorEastAsia"/>
                <w:kern w:val="2"/>
                <w:szCs w:val="24"/>
              </w:rPr>
            </w:pPr>
            <w:r>
              <w:rPr>
                <w:rFonts w:eastAsiaTheme="minorEastAsia"/>
                <w:kern w:val="2"/>
                <w:szCs w:val="24"/>
              </w:rPr>
              <w:t>PM</w:t>
            </w:r>
            <w:r>
              <w:rPr>
                <w:rFonts w:eastAsiaTheme="minorEastAsia"/>
                <w:kern w:val="2"/>
                <w:szCs w:val="24"/>
                <w:vertAlign w:val="subscript"/>
              </w:rPr>
              <w:t>10</w:t>
            </w:r>
          </w:p>
        </w:tc>
        <w:tc>
          <w:tcPr>
            <w:tcW w:w="2168" w:type="dxa"/>
            <w:vAlign w:val="center"/>
          </w:tcPr>
          <w:p>
            <w:pPr>
              <w:pStyle w:val="856"/>
              <w:snapToGrid w:val="0"/>
              <w:rPr>
                <w:rFonts w:eastAsiaTheme="minorEastAsia"/>
                <w:kern w:val="2"/>
                <w:szCs w:val="24"/>
              </w:rPr>
            </w:pPr>
            <w:r>
              <w:rPr>
                <w:rFonts w:eastAsiaTheme="minorEastAsia"/>
                <w:kern w:val="2"/>
                <w:szCs w:val="24"/>
              </w:rPr>
              <w:t>24小时平均</w:t>
            </w:r>
          </w:p>
        </w:tc>
        <w:tc>
          <w:tcPr>
            <w:tcW w:w="1144" w:type="dxa"/>
            <w:vAlign w:val="center"/>
          </w:tcPr>
          <w:p>
            <w:pPr>
              <w:pStyle w:val="856"/>
              <w:snapToGrid w:val="0"/>
              <w:rPr>
                <w:rFonts w:eastAsiaTheme="minorEastAsia"/>
                <w:kern w:val="2"/>
                <w:szCs w:val="24"/>
              </w:rPr>
            </w:pPr>
            <w:r>
              <w:rPr>
                <w:rFonts w:eastAsiaTheme="minorEastAsia"/>
                <w:kern w:val="2"/>
                <w:szCs w:val="24"/>
              </w:rPr>
              <w:t>150</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continue"/>
            <w:vAlign w:val="center"/>
          </w:tcPr>
          <w:p>
            <w:pPr>
              <w:pStyle w:val="856"/>
              <w:snapToGrid w:val="0"/>
              <w:rPr>
                <w:rFonts w:eastAsiaTheme="minorEastAsia"/>
                <w:kern w:val="2"/>
                <w:szCs w:val="24"/>
              </w:rPr>
            </w:pPr>
          </w:p>
        </w:tc>
        <w:tc>
          <w:tcPr>
            <w:tcW w:w="2168" w:type="dxa"/>
            <w:vAlign w:val="center"/>
          </w:tcPr>
          <w:p>
            <w:pPr>
              <w:pStyle w:val="856"/>
              <w:snapToGrid w:val="0"/>
              <w:rPr>
                <w:rFonts w:eastAsiaTheme="minorEastAsia"/>
                <w:kern w:val="2"/>
                <w:szCs w:val="24"/>
              </w:rPr>
            </w:pPr>
            <w:r>
              <w:rPr>
                <w:rFonts w:eastAsiaTheme="minorEastAsia"/>
                <w:kern w:val="2"/>
                <w:szCs w:val="24"/>
              </w:rPr>
              <w:t>年平均</w:t>
            </w:r>
          </w:p>
        </w:tc>
        <w:tc>
          <w:tcPr>
            <w:tcW w:w="1144" w:type="dxa"/>
            <w:vAlign w:val="center"/>
          </w:tcPr>
          <w:p>
            <w:pPr>
              <w:pStyle w:val="856"/>
              <w:snapToGrid w:val="0"/>
              <w:rPr>
                <w:rFonts w:eastAsiaTheme="minorEastAsia"/>
                <w:kern w:val="2"/>
                <w:szCs w:val="24"/>
              </w:rPr>
            </w:pPr>
            <w:r>
              <w:rPr>
                <w:rFonts w:eastAsiaTheme="minorEastAsia"/>
                <w:kern w:val="2"/>
                <w:szCs w:val="24"/>
              </w:rPr>
              <w:t>70</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restart"/>
            <w:vAlign w:val="center"/>
          </w:tcPr>
          <w:p>
            <w:pPr>
              <w:pStyle w:val="856"/>
              <w:snapToGrid w:val="0"/>
              <w:rPr>
                <w:rFonts w:eastAsiaTheme="minorEastAsia"/>
                <w:kern w:val="2"/>
                <w:szCs w:val="24"/>
              </w:rPr>
            </w:pPr>
            <w:r>
              <w:rPr>
                <w:rFonts w:eastAsiaTheme="minorEastAsia"/>
                <w:kern w:val="2"/>
                <w:szCs w:val="24"/>
              </w:rPr>
              <w:t>PM</w:t>
            </w:r>
            <w:r>
              <w:rPr>
                <w:rFonts w:eastAsiaTheme="minorEastAsia"/>
                <w:kern w:val="2"/>
                <w:szCs w:val="24"/>
                <w:vertAlign w:val="subscript"/>
              </w:rPr>
              <w:t>2.5</w:t>
            </w:r>
          </w:p>
        </w:tc>
        <w:tc>
          <w:tcPr>
            <w:tcW w:w="2168" w:type="dxa"/>
            <w:vAlign w:val="center"/>
          </w:tcPr>
          <w:p>
            <w:pPr>
              <w:pStyle w:val="856"/>
              <w:snapToGrid w:val="0"/>
              <w:rPr>
                <w:rFonts w:eastAsiaTheme="minorEastAsia"/>
                <w:kern w:val="2"/>
                <w:szCs w:val="24"/>
              </w:rPr>
            </w:pPr>
            <w:r>
              <w:rPr>
                <w:rFonts w:eastAsiaTheme="minorEastAsia"/>
                <w:kern w:val="2"/>
                <w:szCs w:val="24"/>
              </w:rPr>
              <w:t>24小时平均</w:t>
            </w:r>
          </w:p>
        </w:tc>
        <w:tc>
          <w:tcPr>
            <w:tcW w:w="1144" w:type="dxa"/>
            <w:vAlign w:val="center"/>
          </w:tcPr>
          <w:p>
            <w:pPr>
              <w:pStyle w:val="856"/>
              <w:snapToGrid w:val="0"/>
              <w:rPr>
                <w:rFonts w:eastAsiaTheme="minorEastAsia"/>
                <w:kern w:val="2"/>
                <w:szCs w:val="24"/>
              </w:rPr>
            </w:pPr>
            <w:r>
              <w:rPr>
                <w:rFonts w:eastAsiaTheme="minorEastAsia"/>
                <w:kern w:val="2"/>
                <w:szCs w:val="24"/>
              </w:rPr>
              <w:t>75</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continue"/>
            <w:vAlign w:val="center"/>
          </w:tcPr>
          <w:p>
            <w:pPr>
              <w:pStyle w:val="259"/>
              <w:snapToGrid w:val="0"/>
              <w:spacing w:line="240" w:lineRule="auto"/>
              <w:rPr>
                <w:color w:val="000000"/>
              </w:rPr>
            </w:pPr>
          </w:p>
        </w:tc>
        <w:tc>
          <w:tcPr>
            <w:tcW w:w="2168" w:type="dxa"/>
            <w:vAlign w:val="center"/>
          </w:tcPr>
          <w:p>
            <w:pPr>
              <w:pStyle w:val="856"/>
              <w:snapToGrid w:val="0"/>
              <w:rPr>
                <w:rFonts w:eastAsiaTheme="minorEastAsia"/>
                <w:kern w:val="2"/>
                <w:szCs w:val="24"/>
              </w:rPr>
            </w:pPr>
            <w:r>
              <w:rPr>
                <w:rFonts w:eastAsiaTheme="minorEastAsia"/>
                <w:kern w:val="2"/>
                <w:szCs w:val="24"/>
              </w:rPr>
              <w:t>年平均</w:t>
            </w:r>
          </w:p>
        </w:tc>
        <w:tc>
          <w:tcPr>
            <w:tcW w:w="1144" w:type="dxa"/>
            <w:vAlign w:val="center"/>
          </w:tcPr>
          <w:p>
            <w:pPr>
              <w:pStyle w:val="856"/>
              <w:snapToGrid w:val="0"/>
              <w:rPr>
                <w:rFonts w:eastAsiaTheme="minorEastAsia"/>
                <w:kern w:val="2"/>
                <w:szCs w:val="24"/>
              </w:rPr>
            </w:pPr>
            <w:r>
              <w:rPr>
                <w:rFonts w:eastAsiaTheme="minorEastAsia"/>
                <w:kern w:val="2"/>
                <w:szCs w:val="24"/>
              </w:rPr>
              <w:t>35</w:t>
            </w:r>
          </w:p>
        </w:tc>
        <w:tc>
          <w:tcPr>
            <w:tcW w:w="890" w:type="dxa"/>
            <w:vMerge w:val="continue"/>
            <w:vAlign w:val="center"/>
          </w:tcPr>
          <w:p>
            <w:pPr>
              <w:pStyle w:val="259"/>
              <w:snapToGrid w:val="0"/>
              <w:spacing w:line="240" w:lineRule="auto"/>
              <w:rPr>
                <w:color w:val="000000"/>
              </w:rPr>
            </w:pPr>
          </w:p>
        </w:tc>
        <w:tc>
          <w:tcPr>
            <w:tcW w:w="3090" w:type="dxa"/>
            <w:vMerge w:val="continue"/>
            <w:vAlign w:val="center"/>
          </w:tcPr>
          <w:p>
            <w:pPr>
              <w:pStyle w:val="259"/>
              <w:snapToGrid w:val="0"/>
              <w:spacing w:line="240" w:lineRule="auto"/>
              <w:rPr>
                <w:color w:val="00000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restart"/>
            <w:vAlign w:val="center"/>
          </w:tcPr>
          <w:p>
            <w:pPr>
              <w:pStyle w:val="856"/>
              <w:snapToGrid w:val="0"/>
              <w:rPr>
                <w:rFonts w:eastAsiaTheme="minorEastAsia"/>
                <w:kern w:val="2"/>
                <w:szCs w:val="24"/>
              </w:rPr>
            </w:pPr>
            <w:r>
              <w:rPr>
                <w:rFonts w:eastAsiaTheme="minorEastAsia"/>
                <w:kern w:val="2"/>
                <w:szCs w:val="24"/>
              </w:rPr>
              <w:t>CO</w:t>
            </w:r>
          </w:p>
        </w:tc>
        <w:tc>
          <w:tcPr>
            <w:tcW w:w="2168" w:type="dxa"/>
            <w:vAlign w:val="center"/>
          </w:tcPr>
          <w:p>
            <w:pPr>
              <w:pStyle w:val="856"/>
              <w:snapToGrid w:val="0"/>
              <w:rPr>
                <w:rFonts w:eastAsiaTheme="minorEastAsia"/>
                <w:kern w:val="2"/>
                <w:szCs w:val="24"/>
              </w:rPr>
            </w:pPr>
            <w:r>
              <w:rPr>
                <w:rFonts w:eastAsiaTheme="minorEastAsia"/>
                <w:kern w:val="2"/>
                <w:szCs w:val="24"/>
              </w:rPr>
              <w:t>1小时平均</w:t>
            </w:r>
          </w:p>
        </w:tc>
        <w:tc>
          <w:tcPr>
            <w:tcW w:w="1144" w:type="dxa"/>
            <w:vAlign w:val="center"/>
          </w:tcPr>
          <w:p>
            <w:pPr>
              <w:pStyle w:val="856"/>
              <w:snapToGrid w:val="0"/>
              <w:rPr>
                <w:rFonts w:eastAsiaTheme="minorEastAsia"/>
                <w:kern w:val="2"/>
                <w:szCs w:val="24"/>
              </w:rPr>
            </w:pPr>
            <w:r>
              <w:rPr>
                <w:rFonts w:eastAsiaTheme="minorEastAsia"/>
                <w:kern w:val="2"/>
                <w:szCs w:val="24"/>
              </w:rPr>
              <w:t>10</w:t>
            </w:r>
          </w:p>
        </w:tc>
        <w:tc>
          <w:tcPr>
            <w:tcW w:w="890" w:type="dxa"/>
            <w:vMerge w:val="restart"/>
            <w:vAlign w:val="center"/>
          </w:tcPr>
          <w:p>
            <w:pPr>
              <w:pStyle w:val="856"/>
              <w:snapToGrid w:val="0"/>
              <w:rPr>
                <w:rFonts w:eastAsiaTheme="minorEastAsia"/>
                <w:kern w:val="2"/>
                <w:szCs w:val="24"/>
              </w:rPr>
            </w:pPr>
            <w:r>
              <w:rPr>
                <w:rFonts w:eastAsiaTheme="minorEastAsia"/>
                <w:kern w:val="2"/>
                <w:szCs w:val="24"/>
              </w:rPr>
              <w:t>mg/m</w:t>
            </w:r>
            <w:r>
              <w:rPr>
                <w:rFonts w:eastAsiaTheme="minorEastAsia"/>
                <w:kern w:val="2"/>
                <w:szCs w:val="24"/>
                <w:vertAlign w:val="superscript"/>
              </w:rPr>
              <w:t>3</w:t>
            </w:r>
          </w:p>
        </w:tc>
        <w:tc>
          <w:tcPr>
            <w:tcW w:w="3090" w:type="dxa"/>
            <w:vMerge w:val="continue"/>
            <w:vAlign w:val="center"/>
          </w:tcPr>
          <w:p>
            <w:pPr>
              <w:pStyle w:val="856"/>
              <w:snapToGrid w:val="0"/>
              <w:rPr>
                <w:rFonts w:eastAsiaTheme="minorEastAsia"/>
                <w:kern w:val="2"/>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continue"/>
            <w:vAlign w:val="center"/>
          </w:tcPr>
          <w:p>
            <w:pPr>
              <w:pStyle w:val="856"/>
              <w:snapToGrid w:val="0"/>
              <w:rPr>
                <w:rFonts w:eastAsiaTheme="minorEastAsia"/>
                <w:kern w:val="2"/>
                <w:szCs w:val="24"/>
              </w:rPr>
            </w:pPr>
          </w:p>
        </w:tc>
        <w:tc>
          <w:tcPr>
            <w:tcW w:w="2168" w:type="dxa"/>
            <w:vAlign w:val="center"/>
          </w:tcPr>
          <w:p>
            <w:pPr>
              <w:pStyle w:val="856"/>
              <w:snapToGrid w:val="0"/>
              <w:rPr>
                <w:rFonts w:eastAsiaTheme="minorEastAsia"/>
                <w:kern w:val="2"/>
                <w:szCs w:val="24"/>
              </w:rPr>
            </w:pPr>
            <w:r>
              <w:rPr>
                <w:rFonts w:eastAsiaTheme="minorEastAsia"/>
                <w:kern w:val="2"/>
                <w:szCs w:val="24"/>
              </w:rPr>
              <w:t>24小时平均</w:t>
            </w:r>
          </w:p>
        </w:tc>
        <w:tc>
          <w:tcPr>
            <w:tcW w:w="1144" w:type="dxa"/>
            <w:vAlign w:val="center"/>
          </w:tcPr>
          <w:p>
            <w:pPr>
              <w:pStyle w:val="856"/>
              <w:snapToGrid w:val="0"/>
              <w:rPr>
                <w:rFonts w:eastAsiaTheme="minorEastAsia"/>
                <w:kern w:val="2"/>
                <w:szCs w:val="24"/>
              </w:rPr>
            </w:pPr>
            <w:r>
              <w:rPr>
                <w:rFonts w:eastAsiaTheme="minorEastAsia"/>
                <w:kern w:val="2"/>
                <w:szCs w:val="24"/>
              </w:rPr>
              <w:t>4</w:t>
            </w:r>
          </w:p>
        </w:tc>
        <w:tc>
          <w:tcPr>
            <w:tcW w:w="890" w:type="dxa"/>
            <w:vMerge w:val="continue"/>
            <w:vAlign w:val="center"/>
          </w:tcPr>
          <w:p>
            <w:pPr>
              <w:pStyle w:val="856"/>
              <w:snapToGrid w:val="0"/>
              <w:rPr>
                <w:rFonts w:eastAsiaTheme="minorEastAsia"/>
                <w:kern w:val="2"/>
                <w:szCs w:val="24"/>
              </w:rPr>
            </w:pPr>
          </w:p>
        </w:tc>
        <w:tc>
          <w:tcPr>
            <w:tcW w:w="3090" w:type="dxa"/>
            <w:vMerge w:val="continue"/>
            <w:vAlign w:val="center"/>
          </w:tcPr>
          <w:p>
            <w:pPr>
              <w:pStyle w:val="856"/>
              <w:snapToGrid w:val="0"/>
              <w:rPr>
                <w:rFonts w:eastAsiaTheme="minorEastAsia"/>
                <w:kern w:val="2"/>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restart"/>
            <w:vAlign w:val="center"/>
          </w:tcPr>
          <w:p>
            <w:pPr>
              <w:pStyle w:val="856"/>
              <w:snapToGrid w:val="0"/>
              <w:rPr>
                <w:rFonts w:eastAsiaTheme="minorEastAsia"/>
                <w:kern w:val="2"/>
                <w:szCs w:val="24"/>
              </w:rPr>
            </w:pPr>
            <w:r>
              <w:rPr>
                <w:rFonts w:eastAsiaTheme="minorEastAsia"/>
                <w:kern w:val="2"/>
                <w:szCs w:val="24"/>
              </w:rPr>
              <w:t>臭氧</w:t>
            </w:r>
          </w:p>
        </w:tc>
        <w:tc>
          <w:tcPr>
            <w:tcW w:w="2168" w:type="dxa"/>
            <w:vAlign w:val="center"/>
          </w:tcPr>
          <w:p>
            <w:pPr>
              <w:pStyle w:val="856"/>
              <w:snapToGrid w:val="0"/>
              <w:rPr>
                <w:rFonts w:eastAsiaTheme="minorEastAsia"/>
                <w:kern w:val="2"/>
                <w:szCs w:val="24"/>
              </w:rPr>
            </w:pPr>
            <w:r>
              <w:rPr>
                <w:rFonts w:eastAsiaTheme="minorEastAsia"/>
                <w:kern w:val="2"/>
                <w:szCs w:val="24"/>
              </w:rPr>
              <w:t>1小时平均</w:t>
            </w:r>
          </w:p>
        </w:tc>
        <w:tc>
          <w:tcPr>
            <w:tcW w:w="1144" w:type="dxa"/>
            <w:vAlign w:val="center"/>
          </w:tcPr>
          <w:p>
            <w:pPr>
              <w:pStyle w:val="856"/>
              <w:snapToGrid w:val="0"/>
              <w:rPr>
                <w:rFonts w:eastAsiaTheme="minorEastAsia"/>
                <w:kern w:val="2"/>
                <w:szCs w:val="24"/>
              </w:rPr>
            </w:pPr>
            <w:r>
              <w:rPr>
                <w:rFonts w:eastAsiaTheme="minorEastAsia"/>
                <w:kern w:val="2"/>
                <w:szCs w:val="24"/>
              </w:rPr>
              <w:t>200</w:t>
            </w:r>
          </w:p>
        </w:tc>
        <w:tc>
          <w:tcPr>
            <w:tcW w:w="890" w:type="dxa"/>
            <w:vMerge w:val="restart"/>
            <w:vAlign w:val="center"/>
          </w:tcPr>
          <w:p>
            <w:pPr>
              <w:pStyle w:val="856"/>
              <w:snapToGrid w:val="0"/>
              <w:rPr>
                <w:rFonts w:eastAsiaTheme="minorEastAsia"/>
                <w:kern w:val="2"/>
                <w:szCs w:val="24"/>
              </w:rPr>
            </w:pPr>
            <w:r>
              <w:rPr>
                <w:rFonts w:eastAsiaTheme="minorEastAsia"/>
                <w:kern w:val="2"/>
                <w:szCs w:val="24"/>
              </w:rPr>
              <w:t>μg/m</w:t>
            </w:r>
            <w:r>
              <w:rPr>
                <w:rFonts w:eastAsiaTheme="minorEastAsia"/>
                <w:kern w:val="2"/>
                <w:szCs w:val="24"/>
                <w:vertAlign w:val="superscript"/>
              </w:rPr>
              <w:t>3</w:t>
            </w:r>
          </w:p>
        </w:tc>
        <w:tc>
          <w:tcPr>
            <w:tcW w:w="3090" w:type="dxa"/>
            <w:vMerge w:val="continue"/>
            <w:vAlign w:val="center"/>
          </w:tcPr>
          <w:p>
            <w:pPr>
              <w:pStyle w:val="856"/>
              <w:snapToGrid w:val="0"/>
              <w:rPr>
                <w:rFonts w:eastAsiaTheme="minorEastAsia"/>
                <w:kern w:val="2"/>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Merge w:val="continue"/>
            <w:vAlign w:val="center"/>
          </w:tcPr>
          <w:p>
            <w:pPr>
              <w:pStyle w:val="856"/>
              <w:snapToGrid w:val="0"/>
              <w:rPr>
                <w:rFonts w:eastAsiaTheme="minorEastAsia"/>
                <w:kern w:val="2"/>
                <w:szCs w:val="24"/>
              </w:rPr>
            </w:pPr>
          </w:p>
        </w:tc>
        <w:tc>
          <w:tcPr>
            <w:tcW w:w="2168" w:type="dxa"/>
            <w:vAlign w:val="center"/>
          </w:tcPr>
          <w:p>
            <w:pPr>
              <w:pStyle w:val="856"/>
              <w:snapToGrid w:val="0"/>
              <w:rPr>
                <w:rFonts w:eastAsiaTheme="minorEastAsia"/>
                <w:kern w:val="2"/>
                <w:szCs w:val="24"/>
              </w:rPr>
            </w:pPr>
            <w:r>
              <w:rPr>
                <w:rFonts w:eastAsiaTheme="minorEastAsia"/>
                <w:kern w:val="2"/>
                <w:szCs w:val="24"/>
              </w:rPr>
              <w:t>日最大8小时平均</w:t>
            </w:r>
          </w:p>
        </w:tc>
        <w:tc>
          <w:tcPr>
            <w:tcW w:w="1144" w:type="dxa"/>
            <w:vAlign w:val="center"/>
          </w:tcPr>
          <w:p>
            <w:pPr>
              <w:pStyle w:val="856"/>
              <w:snapToGrid w:val="0"/>
              <w:rPr>
                <w:rFonts w:eastAsiaTheme="minorEastAsia"/>
                <w:kern w:val="2"/>
                <w:szCs w:val="24"/>
              </w:rPr>
            </w:pPr>
            <w:r>
              <w:rPr>
                <w:rFonts w:eastAsiaTheme="minorEastAsia"/>
                <w:kern w:val="2"/>
                <w:szCs w:val="24"/>
              </w:rPr>
              <w:t>160</w:t>
            </w:r>
          </w:p>
        </w:tc>
        <w:tc>
          <w:tcPr>
            <w:tcW w:w="890" w:type="dxa"/>
            <w:vMerge w:val="continue"/>
            <w:vAlign w:val="center"/>
          </w:tcPr>
          <w:p>
            <w:pPr>
              <w:pStyle w:val="856"/>
              <w:snapToGrid w:val="0"/>
              <w:rPr>
                <w:rFonts w:eastAsiaTheme="minorEastAsia"/>
                <w:kern w:val="2"/>
                <w:szCs w:val="24"/>
              </w:rPr>
            </w:pPr>
          </w:p>
        </w:tc>
        <w:tc>
          <w:tcPr>
            <w:tcW w:w="3090" w:type="dxa"/>
            <w:vMerge w:val="continue"/>
            <w:vAlign w:val="center"/>
          </w:tcPr>
          <w:p>
            <w:pPr>
              <w:pStyle w:val="856"/>
              <w:snapToGrid w:val="0"/>
              <w:rPr>
                <w:rFonts w:eastAsiaTheme="minorEastAsia"/>
                <w:kern w:val="2"/>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Align w:val="center"/>
          </w:tcPr>
          <w:p>
            <w:pPr>
              <w:pStyle w:val="856"/>
              <w:snapToGrid w:val="0"/>
              <w:rPr>
                <w:rFonts w:eastAsiaTheme="minorEastAsia"/>
                <w:kern w:val="2"/>
                <w:szCs w:val="24"/>
              </w:rPr>
            </w:pPr>
            <w:r>
              <w:rPr>
                <w:rFonts w:eastAsiaTheme="minorEastAsia"/>
                <w:kern w:val="2"/>
                <w:szCs w:val="24"/>
              </w:rPr>
              <w:t>H</w:t>
            </w:r>
            <w:r>
              <w:rPr>
                <w:rFonts w:eastAsiaTheme="minorEastAsia"/>
                <w:kern w:val="2"/>
                <w:szCs w:val="24"/>
                <w:vertAlign w:val="subscript"/>
              </w:rPr>
              <w:t>2</w:t>
            </w:r>
            <w:r>
              <w:rPr>
                <w:rFonts w:eastAsiaTheme="minorEastAsia"/>
                <w:kern w:val="2"/>
                <w:szCs w:val="24"/>
              </w:rPr>
              <w:t>S</w:t>
            </w:r>
          </w:p>
        </w:tc>
        <w:tc>
          <w:tcPr>
            <w:tcW w:w="2168" w:type="dxa"/>
            <w:vAlign w:val="center"/>
          </w:tcPr>
          <w:p>
            <w:pPr>
              <w:pStyle w:val="856"/>
              <w:snapToGrid w:val="0"/>
              <w:rPr>
                <w:rFonts w:eastAsiaTheme="minorEastAsia"/>
                <w:kern w:val="2"/>
                <w:szCs w:val="24"/>
              </w:rPr>
            </w:pPr>
            <w:r>
              <w:rPr>
                <w:rFonts w:eastAsiaTheme="minorEastAsia"/>
                <w:kern w:val="2"/>
                <w:szCs w:val="24"/>
              </w:rPr>
              <w:t>1h平均</w:t>
            </w:r>
          </w:p>
        </w:tc>
        <w:tc>
          <w:tcPr>
            <w:tcW w:w="1144" w:type="dxa"/>
            <w:vAlign w:val="center"/>
          </w:tcPr>
          <w:p>
            <w:pPr>
              <w:pStyle w:val="856"/>
              <w:snapToGrid w:val="0"/>
              <w:rPr>
                <w:rFonts w:eastAsiaTheme="minorEastAsia"/>
                <w:kern w:val="2"/>
                <w:szCs w:val="24"/>
              </w:rPr>
            </w:pPr>
            <w:r>
              <w:rPr>
                <w:rFonts w:eastAsiaTheme="minorEastAsia"/>
                <w:kern w:val="2"/>
                <w:szCs w:val="24"/>
              </w:rPr>
              <w:t>10</w:t>
            </w:r>
          </w:p>
        </w:tc>
        <w:tc>
          <w:tcPr>
            <w:tcW w:w="890" w:type="dxa"/>
            <w:vAlign w:val="center"/>
          </w:tcPr>
          <w:p>
            <w:pPr>
              <w:pStyle w:val="856"/>
              <w:snapToGrid w:val="0"/>
              <w:rPr>
                <w:rFonts w:eastAsiaTheme="minorEastAsia"/>
                <w:kern w:val="2"/>
                <w:szCs w:val="24"/>
              </w:rPr>
            </w:pPr>
            <w:r>
              <w:rPr>
                <w:rFonts w:eastAsiaTheme="minorEastAsia"/>
                <w:kern w:val="2"/>
                <w:szCs w:val="24"/>
              </w:rPr>
              <w:t>μg/m</w:t>
            </w:r>
            <w:r>
              <w:rPr>
                <w:rFonts w:eastAsiaTheme="minorEastAsia"/>
                <w:kern w:val="2"/>
                <w:szCs w:val="24"/>
                <w:vertAlign w:val="superscript"/>
              </w:rPr>
              <w:t>3</w:t>
            </w:r>
          </w:p>
        </w:tc>
        <w:tc>
          <w:tcPr>
            <w:tcW w:w="3090" w:type="dxa"/>
            <w:vMerge w:val="restart"/>
            <w:vAlign w:val="center"/>
          </w:tcPr>
          <w:p>
            <w:pPr>
              <w:pStyle w:val="856"/>
              <w:snapToGrid w:val="0"/>
              <w:rPr>
                <w:rFonts w:eastAsiaTheme="minorEastAsia"/>
                <w:kern w:val="2"/>
                <w:szCs w:val="24"/>
              </w:rPr>
            </w:pPr>
            <w:r>
              <w:rPr>
                <w:rFonts w:eastAsiaTheme="minorEastAsia"/>
                <w:kern w:val="2"/>
                <w:szCs w:val="24"/>
              </w:rPr>
              <w:t>《环境影响评价技术导则 大气环境》（HJ2.2-2018） 附录 D 其他污染物空气质量浓度参考限值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97" w:type="dxa"/>
            <w:vAlign w:val="center"/>
          </w:tcPr>
          <w:p>
            <w:pPr>
              <w:pStyle w:val="856"/>
              <w:snapToGrid w:val="0"/>
              <w:rPr>
                <w:rFonts w:eastAsiaTheme="minorEastAsia"/>
                <w:kern w:val="2"/>
                <w:szCs w:val="24"/>
              </w:rPr>
            </w:pPr>
            <w:r>
              <w:rPr>
                <w:rFonts w:eastAsiaTheme="minorEastAsia"/>
                <w:kern w:val="2"/>
                <w:szCs w:val="24"/>
              </w:rPr>
              <w:t>NH</w:t>
            </w:r>
            <w:r>
              <w:rPr>
                <w:rFonts w:eastAsiaTheme="minorEastAsia"/>
                <w:kern w:val="2"/>
                <w:szCs w:val="24"/>
                <w:vertAlign w:val="subscript"/>
              </w:rPr>
              <w:t>3</w:t>
            </w:r>
          </w:p>
        </w:tc>
        <w:tc>
          <w:tcPr>
            <w:tcW w:w="2168" w:type="dxa"/>
            <w:vAlign w:val="center"/>
          </w:tcPr>
          <w:p>
            <w:pPr>
              <w:pStyle w:val="856"/>
              <w:snapToGrid w:val="0"/>
              <w:rPr>
                <w:rFonts w:eastAsiaTheme="minorEastAsia"/>
                <w:kern w:val="2"/>
                <w:szCs w:val="24"/>
              </w:rPr>
            </w:pPr>
            <w:r>
              <w:rPr>
                <w:rFonts w:eastAsiaTheme="minorEastAsia"/>
                <w:kern w:val="2"/>
                <w:szCs w:val="24"/>
              </w:rPr>
              <w:t>1h平均</w:t>
            </w:r>
          </w:p>
        </w:tc>
        <w:tc>
          <w:tcPr>
            <w:tcW w:w="1144" w:type="dxa"/>
            <w:vAlign w:val="center"/>
          </w:tcPr>
          <w:p>
            <w:pPr>
              <w:pStyle w:val="856"/>
              <w:snapToGrid w:val="0"/>
              <w:rPr>
                <w:rFonts w:eastAsiaTheme="minorEastAsia"/>
                <w:kern w:val="2"/>
                <w:szCs w:val="24"/>
              </w:rPr>
            </w:pPr>
            <w:r>
              <w:rPr>
                <w:rFonts w:eastAsiaTheme="minorEastAsia"/>
                <w:kern w:val="2"/>
                <w:szCs w:val="24"/>
              </w:rPr>
              <w:t>200</w:t>
            </w:r>
          </w:p>
        </w:tc>
        <w:tc>
          <w:tcPr>
            <w:tcW w:w="890" w:type="dxa"/>
            <w:vAlign w:val="center"/>
          </w:tcPr>
          <w:p>
            <w:pPr>
              <w:pStyle w:val="856"/>
              <w:snapToGrid w:val="0"/>
              <w:rPr>
                <w:rFonts w:eastAsiaTheme="minorEastAsia"/>
                <w:kern w:val="2"/>
                <w:szCs w:val="24"/>
              </w:rPr>
            </w:pPr>
            <w:r>
              <w:rPr>
                <w:rFonts w:eastAsiaTheme="minorEastAsia"/>
                <w:kern w:val="2"/>
                <w:szCs w:val="24"/>
              </w:rPr>
              <w:t>μg/m</w:t>
            </w:r>
            <w:r>
              <w:rPr>
                <w:rFonts w:eastAsiaTheme="minorEastAsia"/>
                <w:kern w:val="2"/>
                <w:szCs w:val="24"/>
                <w:vertAlign w:val="superscript"/>
              </w:rPr>
              <w:t>3</w:t>
            </w:r>
          </w:p>
        </w:tc>
        <w:tc>
          <w:tcPr>
            <w:tcW w:w="3090" w:type="dxa"/>
            <w:vMerge w:val="continue"/>
            <w:vAlign w:val="center"/>
          </w:tcPr>
          <w:p>
            <w:pPr>
              <w:pStyle w:val="856"/>
              <w:snapToGrid w:val="0"/>
              <w:rPr>
                <w:rFonts w:eastAsiaTheme="minorEastAsia"/>
                <w:kern w:val="2"/>
                <w:szCs w:val="24"/>
              </w:rPr>
            </w:pPr>
          </w:p>
        </w:tc>
      </w:tr>
    </w:tbl>
    <w:p>
      <w:pPr>
        <w:adjustRightInd w:val="0"/>
        <w:snapToGrid w:val="0"/>
        <w:spacing w:before="120" w:beforeLines="50" w:line="360" w:lineRule="auto"/>
        <w:ind w:firstLine="480" w:firstLineChars="200"/>
        <w:rPr>
          <w:rFonts w:eastAsiaTheme="minorEastAsia"/>
          <w:sz w:val="24"/>
        </w:rPr>
      </w:pPr>
      <w:r>
        <w:rPr>
          <w:rFonts w:eastAsiaTheme="minorEastAsia"/>
          <w:sz w:val="24"/>
        </w:rPr>
        <w:t>（3）声环境</w:t>
      </w:r>
    </w:p>
    <w:p>
      <w:pPr>
        <w:adjustRightInd w:val="0"/>
        <w:snapToGrid w:val="0"/>
        <w:spacing w:line="360" w:lineRule="auto"/>
        <w:ind w:firstLine="480" w:firstLineChars="200"/>
        <w:rPr>
          <w:rFonts w:eastAsiaTheme="minorEastAsia"/>
          <w:sz w:val="24"/>
        </w:rPr>
      </w:pPr>
      <w:r>
        <w:rPr>
          <w:rFonts w:eastAsiaTheme="minorEastAsia"/>
          <w:sz w:val="24"/>
        </w:rPr>
        <w:t>根据《声环境质量标准》（GB3096-2008），本项目所在区域为商业、居住混杂，区域声环境执行2类标准。具体标准限值详见下表。</w:t>
      </w:r>
    </w:p>
    <w:p>
      <w:pPr>
        <w:snapToGrid w:val="0"/>
        <w:spacing w:line="276" w:lineRule="auto"/>
        <w:jc w:val="center"/>
        <w:rPr>
          <w:rFonts w:eastAsiaTheme="minorEastAsia"/>
          <w:b/>
          <w:sz w:val="24"/>
        </w:rPr>
      </w:pPr>
      <w:r>
        <w:rPr>
          <w:rFonts w:eastAsiaTheme="minorEastAsia"/>
          <w:b/>
          <w:sz w:val="24"/>
        </w:rPr>
        <w:t>表2.3-3  声环境质量标准</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1"/>
        <w:gridCol w:w="1701"/>
        <w:gridCol w:w="1842"/>
        <w:gridCol w:w="4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1231" w:type="dxa"/>
            <w:vMerge w:val="restart"/>
            <w:vAlign w:val="center"/>
          </w:tcPr>
          <w:p>
            <w:pPr>
              <w:adjustRightInd w:val="0"/>
              <w:snapToGrid w:val="0"/>
              <w:spacing w:line="320" w:lineRule="exact"/>
              <w:jc w:val="center"/>
              <w:rPr>
                <w:rFonts w:eastAsiaTheme="minorEastAsia"/>
                <w:b/>
                <w:snapToGrid w:val="0"/>
                <w:kern w:val="0"/>
                <w:szCs w:val="21"/>
              </w:rPr>
            </w:pPr>
            <w:r>
              <w:rPr>
                <w:rFonts w:eastAsiaTheme="minorEastAsia"/>
                <w:b/>
                <w:snapToGrid w:val="0"/>
                <w:kern w:val="0"/>
                <w:szCs w:val="21"/>
              </w:rPr>
              <w:t>类别</w:t>
            </w:r>
          </w:p>
        </w:tc>
        <w:tc>
          <w:tcPr>
            <w:tcW w:w="3543" w:type="dxa"/>
            <w:gridSpan w:val="2"/>
            <w:vAlign w:val="center"/>
          </w:tcPr>
          <w:p>
            <w:pPr>
              <w:adjustRightInd w:val="0"/>
              <w:snapToGrid w:val="0"/>
              <w:spacing w:line="320" w:lineRule="exact"/>
              <w:jc w:val="center"/>
              <w:rPr>
                <w:rFonts w:eastAsiaTheme="minorEastAsia"/>
                <w:b/>
                <w:snapToGrid w:val="0"/>
                <w:kern w:val="0"/>
                <w:szCs w:val="21"/>
              </w:rPr>
            </w:pPr>
            <w:r>
              <w:rPr>
                <w:rFonts w:eastAsiaTheme="minorEastAsia"/>
                <w:b/>
                <w:snapToGrid w:val="0"/>
                <w:kern w:val="0"/>
                <w:szCs w:val="21"/>
              </w:rPr>
              <w:t>标准值dB（A）</w:t>
            </w:r>
          </w:p>
        </w:tc>
        <w:tc>
          <w:tcPr>
            <w:tcW w:w="4015" w:type="dxa"/>
            <w:vMerge w:val="restart"/>
            <w:vAlign w:val="center"/>
          </w:tcPr>
          <w:p>
            <w:pPr>
              <w:adjustRightInd w:val="0"/>
              <w:snapToGrid w:val="0"/>
              <w:spacing w:line="320" w:lineRule="exact"/>
              <w:jc w:val="center"/>
              <w:rPr>
                <w:rFonts w:eastAsiaTheme="minorEastAsia"/>
                <w:b/>
                <w:snapToGrid w:val="0"/>
                <w:kern w:val="0"/>
                <w:szCs w:val="21"/>
              </w:rPr>
            </w:pPr>
            <w:r>
              <w:rPr>
                <w:rFonts w:eastAsiaTheme="minorEastAsia"/>
                <w:b/>
                <w:snapToGrid w:val="0"/>
                <w:kern w:val="0"/>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1231" w:type="dxa"/>
            <w:vMerge w:val="continue"/>
            <w:vAlign w:val="center"/>
          </w:tcPr>
          <w:p>
            <w:pPr>
              <w:adjustRightInd w:val="0"/>
              <w:snapToGrid w:val="0"/>
              <w:spacing w:line="320" w:lineRule="exact"/>
              <w:jc w:val="center"/>
              <w:rPr>
                <w:rFonts w:eastAsiaTheme="minorEastAsia"/>
                <w:b/>
                <w:snapToGrid w:val="0"/>
                <w:kern w:val="0"/>
                <w:szCs w:val="21"/>
              </w:rPr>
            </w:pPr>
          </w:p>
        </w:tc>
        <w:tc>
          <w:tcPr>
            <w:tcW w:w="1701" w:type="dxa"/>
            <w:vAlign w:val="center"/>
          </w:tcPr>
          <w:p>
            <w:pPr>
              <w:adjustRightInd w:val="0"/>
              <w:snapToGrid w:val="0"/>
              <w:spacing w:line="320" w:lineRule="exact"/>
              <w:jc w:val="center"/>
              <w:rPr>
                <w:rFonts w:eastAsiaTheme="minorEastAsia"/>
                <w:b/>
                <w:snapToGrid w:val="0"/>
                <w:kern w:val="0"/>
                <w:szCs w:val="21"/>
              </w:rPr>
            </w:pPr>
            <w:r>
              <w:rPr>
                <w:rFonts w:eastAsiaTheme="minorEastAsia"/>
                <w:b/>
                <w:snapToGrid w:val="0"/>
                <w:kern w:val="0"/>
                <w:szCs w:val="21"/>
              </w:rPr>
              <w:t>昼间</w:t>
            </w:r>
          </w:p>
        </w:tc>
        <w:tc>
          <w:tcPr>
            <w:tcW w:w="1842" w:type="dxa"/>
            <w:vAlign w:val="center"/>
          </w:tcPr>
          <w:p>
            <w:pPr>
              <w:adjustRightInd w:val="0"/>
              <w:snapToGrid w:val="0"/>
              <w:spacing w:line="320" w:lineRule="exact"/>
              <w:jc w:val="center"/>
              <w:rPr>
                <w:rFonts w:eastAsiaTheme="minorEastAsia"/>
                <w:b/>
                <w:snapToGrid w:val="0"/>
                <w:kern w:val="0"/>
                <w:szCs w:val="21"/>
              </w:rPr>
            </w:pPr>
            <w:r>
              <w:rPr>
                <w:rFonts w:eastAsiaTheme="minorEastAsia"/>
                <w:b/>
                <w:snapToGrid w:val="0"/>
                <w:kern w:val="0"/>
                <w:szCs w:val="21"/>
              </w:rPr>
              <w:t>夜间</w:t>
            </w:r>
          </w:p>
        </w:tc>
        <w:tc>
          <w:tcPr>
            <w:tcW w:w="4015" w:type="dxa"/>
            <w:vMerge w:val="continue"/>
            <w:vAlign w:val="center"/>
          </w:tcPr>
          <w:p>
            <w:pPr>
              <w:adjustRightInd w:val="0"/>
              <w:snapToGrid w:val="0"/>
              <w:spacing w:line="320" w:lineRule="exact"/>
              <w:jc w:val="center"/>
              <w:rPr>
                <w:rFonts w:eastAsiaTheme="minorEastAsia"/>
                <w:snapToGrid w:val="0"/>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31" w:type="dxa"/>
            <w:vAlign w:val="center"/>
          </w:tcPr>
          <w:p>
            <w:pPr>
              <w:adjustRightInd w:val="0"/>
              <w:snapToGrid w:val="0"/>
              <w:spacing w:line="320" w:lineRule="exact"/>
              <w:jc w:val="center"/>
              <w:rPr>
                <w:rFonts w:eastAsiaTheme="minorEastAsia"/>
                <w:snapToGrid w:val="0"/>
                <w:kern w:val="0"/>
                <w:szCs w:val="21"/>
              </w:rPr>
            </w:pPr>
            <w:r>
              <w:rPr>
                <w:rFonts w:eastAsiaTheme="minorEastAsia"/>
                <w:snapToGrid w:val="0"/>
                <w:kern w:val="0"/>
                <w:szCs w:val="21"/>
              </w:rPr>
              <w:t>2类</w:t>
            </w:r>
          </w:p>
        </w:tc>
        <w:tc>
          <w:tcPr>
            <w:tcW w:w="1701" w:type="dxa"/>
            <w:vAlign w:val="center"/>
          </w:tcPr>
          <w:p>
            <w:pPr>
              <w:adjustRightInd w:val="0"/>
              <w:snapToGrid w:val="0"/>
              <w:spacing w:line="320" w:lineRule="exact"/>
              <w:jc w:val="center"/>
              <w:rPr>
                <w:rFonts w:eastAsiaTheme="minorEastAsia"/>
                <w:snapToGrid w:val="0"/>
                <w:kern w:val="0"/>
                <w:szCs w:val="21"/>
              </w:rPr>
            </w:pPr>
            <w:r>
              <w:rPr>
                <w:rFonts w:eastAsiaTheme="minorEastAsia"/>
                <w:snapToGrid w:val="0"/>
                <w:kern w:val="0"/>
                <w:szCs w:val="21"/>
              </w:rPr>
              <w:t>60</w:t>
            </w:r>
          </w:p>
        </w:tc>
        <w:tc>
          <w:tcPr>
            <w:tcW w:w="1842" w:type="dxa"/>
            <w:vAlign w:val="center"/>
          </w:tcPr>
          <w:p>
            <w:pPr>
              <w:adjustRightInd w:val="0"/>
              <w:snapToGrid w:val="0"/>
              <w:spacing w:line="320" w:lineRule="exact"/>
              <w:jc w:val="center"/>
              <w:rPr>
                <w:rFonts w:eastAsiaTheme="minorEastAsia"/>
                <w:snapToGrid w:val="0"/>
                <w:kern w:val="0"/>
                <w:szCs w:val="21"/>
              </w:rPr>
            </w:pPr>
            <w:r>
              <w:rPr>
                <w:rFonts w:eastAsiaTheme="minorEastAsia"/>
                <w:snapToGrid w:val="0"/>
                <w:kern w:val="0"/>
                <w:szCs w:val="21"/>
              </w:rPr>
              <w:t>50</w:t>
            </w:r>
          </w:p>
        </w:tc>
        <w:tc>
          <w:tcPr>
            <w:tcW w:w="4015" w:type="dxa"/>
            <w:vAlign w:val="center"/>
          </w:tcPr>
          <w:p>
            <w:pPr>
              <w:adjustRightInd w:val="0"/>
              <w:snapToGrid w:val="0"/>
              <w:spacing w:line="320" w:lineRule="exact"/>
              <w:jc w:val="center"/>
              <w:rPr>
                <w:rFonts w:eastAsiaTheme="minorEastAsia"/>
                <w:snapToGrid w:val="0"/>
                <w:kern w:val="0"/>
                <w:szCs w:val="21"/>
              </w:rPr>
            </w:pPr>
            <w:r>
              <w:rPr>
                <w:rFonts w:eastAsiaTheme="minorEastAsia"/>
                <w:snapToGrid w:val="0"/>
                <w:kern w:val="0"/>
                <w:szCs w:val="21"/>
              </w:rPr>
              <w:t>《声环境质量标准》（GB3096-2008）</w:t>
            </w:r>
          </w:p>
        </w:tc>
      </w:tr>
    </w:tbl>
    <w:p>
      <w:pPr>
        <w:adjustRightInd w:val="0"/>
        <w:snapToGrid w:val="0"/>
        <w:spacing w:line="360" w:lineRule="auto"/>
        <w:ind w:firstLine="472" w:firstLineChars="196"/>
        <w:rPr>
          <w:rFonts w:eastAsiaTheme="minorEastAsia"/>
          <w:b/>
          <w:sz w:val="24"/>
        </w:rPr>
      </w:pPr>
      <w:r>
        <w:rPr>
          <w:rFonts w:eastAsiaTheme="minorEastAsia"/>
          <w:b/>
          <w:sz w:val="24"/>
        </w:rPr>
        <w:t>2、污染物排放标准</w:t>
      </w:r>
    </w:p>
    <w:p>
      <w:pPr>
        <w:adjustRightInd w:val="0"/>
        <w:snapToGrid w:val="0"/>
        <w:spacing w:line="360" w:lineRule="auto"/>
        <w:ind w:firstLine="480" w:firstLineChars="200"/>
        <w:rPr>
          <w:rFonts w:eastAsiaTheme="minorEastAsia"/>
          <w:sz w:val="24"/>
        </w:rPr>
      </w:pPr>
      <w:r>
        <w:rPr>
          <w:rFonts w:eastAsiaTheme="minorEastAsia"/>
          <w:sz w:val="24"/>
        </w:rPr>
        <w:t>（1）大气污染物排放标准</w:t>
      </w:r>
    </w:p>
    <w:p>
      <w:pPr>
        <w:adjustRightInd w:val="0"/>
        <w:snapToGrid w:val="0"/>
        <w:spacing w:line="360" w:lineRule="auto"/>
        <w:ind w:firstLine="480" w:firstLineChars="200"/>
        <w:rPr>
          <w:rFonts w:eastAsiaTheme="minorEastAsia"/>
          <w:sz w:val="24"/>
        </w:rPr>
      </w:pPr>
      <w:r>
        <w:rPr>
          <w:rFonts w:eastAsiaTheme="minorEastAsia"/>
          <w:sz w:val="24"/>
        </w:rPr>
        <w:t>项目施工期废气主要为施工扬尘、施工机械及车辆燃油废气等，执行《大气污染物综合排放标准》（GB16297-1996）中无组织排放标准限值。</w:t>
      </w:r>
    </w:p>
    <w:p>
      <w:pPr>
        <w:snapToGrid w:val="0"/>
        <w:spacing w:line="360" w:lineRule="auto"/>
        <w:jc w:val="center"/>
        <w:rPr>
          <w:rFonts w:eastAsiaTheme="minorEastAsia"/>
          <w:b/>
          <w:sz w:val="24"/>
        </w:rPr>
      </w:pPr>
      <w:r>
        <w:rPr>
          <w:rFonts w:eastAsiaTheme="minorEastAsia"/>
          <w:b/>
          <w:sz w:val="24"/>
        </w:rPr>
        <w:t>表2.3-4  施工期废气排放标准限值</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88"/>
        <w:gridCol w:w="2483"/>
        <w:gridCol w:w="3119"/>
        <w:gridCol w:w="21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9" w:type="dxa"/>
            <w:vAlign w:val="center"/>
          </w:tcPr>
          <w:p>
            <w:pPr>
              <w:adjustRightInd w:val="0"/>
              <w:snapToGrid w:val="0"/>
              <w:jc w:val="center"/>
              <w:rPr>
                <w:rFonts w:eastAsiaTheme="minorEastAsia"/>
                <w:b/>
                <w:szCs w:val="21"/>
              </w:rPr>
            </w:pPr>
            <w:r>
              <w:rPr>
                <w:rFonts w:eastAsiaTheme="minorEastAsia"/>
                <w:b/>
                <w:szCs w:val="21"/>
              </w:rPr>
              <w:t>序号</w:t>
            </w:r>
          </w:p>
        </w:tc>
        <w:tc>
          <w:tcPr>
            <w:tcW w:w="2410" w:type="dxa"/>
            <w:vAlign w:val="center"/>
          </w:tcPr>
          <w:p>
            <w:pPr>
              <w:adjustRightInd w:val="0"/>
              <w:snapToGrid w:val="0"/>
              <w:jc w:val="center"/>
              <w:rPr>
                <w:rFonts w:eastAsiaTheme="minorEastAsia"/>
                <w:b/>
                <w:szCs w:val="21"/>
              </w:rPr>
            </w:pPr>
            <w:r>
              <w:rPr>
                <w:rFonts w:eastAsiaTheme="minorEastAsia"/>
                <w:b/>
                <w:szCs w:val="21"/>
              </w:rPr>
              <w:t>控制项目</w:t>
            </w:r>
          </w:p>
        </w:tc>
        <w:tc>
          <w:tcPr>
            <w:tcW w:w="3027" w:type="dxa"/>
            <w:vAlign w:val="center"/>
          </w:tcPr>
          <w:p>
            <w:pPr>
              <w:adjustRightInd w:val="0"/>
              <w:snapToGrid w:val="0"/>
              <w:jc w:val="center"/>
              <w:rPr>
                <w:rFonts w:eastAsiaTheme="minorEastAsia"/>
                <w:b/>
                <w:szCs w:val="21"/>
              </w:rPr>
            </w:pPr>
            <w:r>
              <w:rPr>
                <w:rFonts w:eastAsiaTheme="minorEastAsia"/>
                <w:b/>
                <w:szCs w:val="21"/>
              </w:rPr>
              <w:t>无组织监测点浓度值（mg/m</w:t>
            </w:r>
            <w:r>
              <w:rPr>
                <w:rFonts w:eastAsiaTheme="minorEastAsia"/>
                <w:b/>
                <w:szCs w:val="21"/>
                <w:vertAlign w:val="superscript"/>
              </w:rPr>
              <w:t>3</w:t>
            </w:r>
            <w:r>
              <w:rPr>
                <w:rFonts w:eastAsiaTheme="minorEastAsia"/>
                <w:b/>
                <w:szCs w:val="21"/>
              </w:rPr>
              <w:t>）</w:t>
            </w:r>
          </w:p>
        </w:tc>
        <w:tc>
          <w:tcPr>
            <w:tcW w:w="2133" w:type="dxa"/>
            <w:vAlign w:val="center"/>
          </w:tcPr>
          <w:p>
            <w:pPr>
              <w:adjustRightInd w:val="0"/>
              <w:snapToGrid w:val="0"/>
              <w:jc w:val="center"/>
              <w:rPr>
                <w:rFonts w:eastAsiaTheme="minorEastAsia"/>
                <w:b/>
                <w:szCs w:val="21"/>
              </w:rPr>
            </w:pPr>
            <w:r>
              <w:rPr>
                <w:rFonts w:eastAsiaTheme="minorEastAsia"/>
                <w:b/>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9" w:type="dxa"/>
            <w:vAlign w:val="center"/>
          </w:tcPr>
          <w:p>
            <w:pPr>
              <w:adjustRightInd w:val="0"/>
              <w:snapToGrid w:val="0"/>
              <w:jc w:val="center"/>
              <w:rPr>
                <w:rFonts w:eastAsiaTheme="minorEastAsia"/>
                <w:szCs w:val="21"/>
              </w:rPr>
            </w:pPr>
            <w:r>
              <w:rPr>
                <w:rFonts w:eastAsiaTheme="minorEastAsia"/>
                <w:szCs w:val="21"/>
              </w:rPr>
              <w:t>1</w:t>
            </w:r>
          </w:p>
        </w:tc>
        <w:tc>
          <w:tcPr>
            <w:tcW w:w="2410" w:type="dxa"/>
            <w:vAlign w:val="center"/>
          </w:tcPr>
          <w:p>
            <w:pPr>
              <w:adjustRightInd w:val="0"/>
              <w:snapToGrid w:val="0"/>
              <w:jc w:val="center"/>
              <w:rPr>
                <w:rFonts w:eastAsiaTheme="minorEastAsia"/>
                <w:szCs w:val="21"/>
              </w:rPr>
            </w:pPr>
            <w:r>
              <w:rPr>
                <w:rFonts w:eastAsiaTheme="minorEastAsia"/>
                <w:szCs w:val="21"/>
              </w:rPr>
              <w:t>颗粒物</w:t>
            </w:r>
          </w:p>
        </w:tc>
        <w:tc>
          <w:tcPr>
            <w:tcW w:w="3027" w:type="dxa"/>
            <w:vAlign w:val="center"/>
          </w:tcPr>
          <w:p>
            <w:pPr>
              <w:adjustRightInd w:val="0"/>
              <w:snapToGrid w:val="0"/>
              <w:jc w:val="center"/>
              <w:rPr>
                <w:rFonts w:eastAsiaTheme="minorEastAsia"/>
                <w:szCs w:val="21"/>
              </w:rPr>
            </w:pPr>
            <w:r>
              <w:rPr>
                <w:rFonts w:eastAsiaTheme="minorEastAsia"/>
                <w:szCs w:val="21"/>
              </w:rPr>
              <w:t>1.0</w:t>
            </w:r>
          </w:p>
        </w:tc>
        <w:tc>
          <w:tcPr>
            <w:tcW w:w="2133" w:type="dxa"/>
            <w:vMerge w:val="restart"/>
            <w:vAlign w:val="center"/>
          </w:tcPr>
          <w:p>
            <w:pPr>
              <w:adjustRightInd w:val="0"/>
              <w:snapToGrid w:val="0"/>
              <w:jc w:val="center"/>
              <w:rPr>
                <w:rFonts w:eastAsiaTheme="minorEastAsia"/>
                <w:szCs w:val="21"/>
              </w:rPr>
            </w:pPr>
            <w:r>
              <w:rPr>
                <w:rFonts w:eastAsiaTheme="minorEastAsia"/>
                <w:szCs w:val="21"/>
              </w:rPr>
              <w:t>《大气污染物综合排放标准》（GB16297-1996）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9" w:type="dxa"/>
            <w:vAlign w:val="center"/>
          </w:tcPr>
          <w:p>
            <w:pPr>
              <w:adjustRightInd w:val="0"/>
              <w:snapToGrid w:val="0"/>
              <w:jc w:val="center"/>
              <w:rPr>
                <w:rFonts w:eastAsiaTheme="minorEastAsia"/>
                <w:szCs w:val="21"/>
              </w:rPr>
            </w:pPr>
            <w:r>
              <w:rPr>
                <w:rFonts w:eastAsiaTheme="minorEastAsia"/>
                <w:szCs w:val="21"/>
              </w:rPr>
              <w:t>2</w:t>
            </w:r>
          </w:p>
        </w:tc>
        <w:tc>
          <w:tcPr>
            <w:tcW w:w="2410" w:type="dxa"/>
            <w:vAlign w:val="center"/>
          </w:tcPr>
          <w:p>
            <w:pPr>
              <w:adjustRightInd w:val="0"/>
              <w:snapToGrid w:val="0"/>
              <w:jc w:val="center"/>
              <w:rPr>
                <w:rFonts w:eastAsiaTheme="minorEastAsia"/>
                <w:szCs w:val="21"/>
              </w:rPr>
            </w:pPr>
            <w:r>
              <w:rPr>
                <w:rFonts w:eastAsiaTheme="minorEastAsia"/>
                <w:szCs w:val="21"/>
              </w:rPr>
              <w:t>SO</w:t>
            </w:r>
            <w:r>
              <w:rPr>
                <w:rFonts w:eastAsiaTheme="minorEastAsia"/>
                <w:szCs w:val="21"/>
                <w:vertAlign w:val="subscript"/>
              </w:rPr>
              <w:t>2</w:t>
            </w:r>
          </w:p>
        </w:tc>
        <w:tc>
          <w:tcPr>
            <w:tcW w:w="3027" w:type="dxa"/>
            <w:vAlign w:val="center"/>
          </w:tcPr>
          <w:p>
            <w:pPr>
              <w:adjustRightInd w:val="0"/>
              <w:snapToGrid w:val="0"/>
              <w:jc w:val="center"/>
              <w:rPr>
                <w:rFonts w:eastAsiaTheme="minorEastAsia"/>
                <w:szCs w:val="21"/>
              </w:rPr>
            </w:pPr>
            <w:r>
              <w:rPr>
                <w:rFonts w:eastAsiaTheme="minorEastAsia"/>
                <w:szCs w:val="21"/>
              </w:rPr>
              <w:t>0.4</w:t>
            </w:r>
          </w:p>
        </w:tc>
        <w:tc>
          <w:tcPr>
            <w:tcW w:w="2133" w:type="dxa"/>
            <w:vMerge w:val="continue"/>
            <w:vAlign w:val="center"/>
          </w:tcPr>
          <w:p>
            <w:pPr>
              <w:adjustRightInd w:val="0"/>
              <w:snapToGrid w:val="0"/>
              <w:jc w:val="left"/>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59" w:type="dxa"/>
            <w:vAlign w:val="center"/>
          </w:tcPr>
          <w:p>
            <w:pPr>
              <w:adjustRightInd w:val="0"/>
              <w:snapToGrid w:val="0"/>
              <w:jc w:val="center"/>
              <w:rPr>
                <w:rFonts w:eastAsiaTheme="minorEastAsia"/>
                <w:szCs w:val="21"/>
              </w:rPr>
            </w:pPr>
            <w:r>
              <w:rPr>
                <w:rFonts w:eastAsiaTheme="minorEastAsia"/>
                <w:szCs w:val="21"/>
              </w:rPr>
              <w:t>3</w:t>
            </w:r>
          </w:p>
        </w:tc>
        <w:tc>
          <w:tcPr>
            <w:tcW w:w="2410" w:type="dxa"/>
            <w:vAlign w:val="center"/>
          </w:tcPr>
          <w:p>
            <w:pPr>
              <w:adjustRightInd w:val="0"/>
              <w:snapToGrid w:val="0"/>
              <w:jc w:val="center"/>
              <w:rPr>
                <w:rFonts w:eastAsiaTheme="minorEastAsia"/>
                <w:szCs w:val="21"/>
              </w:rPr>
            </w:pPr>
            <w:r>
              <w:rPr>
                <w:rFonts w:eastAsiaTheme="minorEastAsia"/>
                <w:szCs w:val="21"/>
              </w:rPr>
              <w:t>NO</w:t>
            </w:r>
            <w:r>
              <w:rPr>
                <w:rFonts w:eastAsiaTheme="minorEastAsia"/>
                <w:szCs w:val="21"/>
                <w:vertAlign w:val="subscript"/>
              </w:rPr>
              <w:t>X</w:t>
            </w:r>
          </w:p>
        </w:tc>
        <w:tc>
          <w:tcPr>
            <w:tcW w:w="3027" w:type="dxa"/>
            <w:vAlign w:val="center"/>
          </w:tcPr>
          <w:p>
            <w:pPr>
              <w:adjustRightInd w:val="0"/>
              <w:snapToGrid w:val="0"/>
              <w:jc w:val="center"/>
              <w:rPr>
                <w:rFonts w:eastAsiaTheme="minorEastAsia"/>
                <w:szCs w:val="21"/>
              </w:rPr>
            </w:pPr>
            <w:r>
              <w:rPr>
                <w:rFonts w:eastAsiaTheme="minorEastAsia"/>
                <w:szCs w:val="21"/>
              </w:rPr>
              <w:t>0.12</w:t>
            </w:r>
          </w:p>
        </w:tc>
        <w:tc>
          <w:tcPr>
            <w:tcW w:w="2133" w:type="dxa"/>
            <w:vMerge w:val="continue"/>
            <w:vAlign w:val="center"/>
          </w:tcPr>
          <w:p>
            <w:pPr>
              <w:adjustRightInd w:val="0"/>
              <w:snapToGrid w:val="0"/>
              <w:jc w:val="left"/>
              <w:rPr>
                <w:rFonts w:eastAsiaTheme="minorEastAsia"/>
                <w:szCs w:val="21"/>
              </w:rPr>
            </w:pPr>
          </w:p>
        </w:tc>
      </w:tr>
    </w:tbl>
    <w:p>
      <w:pPr>
        <w:adjustRightInd w:val="0"/>
        <w:snapToGrid w:val="0"/>
        <w:spacing w:line="360" w:lineRule="auto"/>
        <w:ind w:firstLine="480" w:firstLineChars="200"/>
        <w:rPr>
          <w:rFonts w:eastAsiaTheme="minorEastAsia"/>
          <w:sz w:val="24"/>
        </w:rPr>
      </w:pPr>
      <w:r>
        <w:rPr>
          <w:rFonts w:eastAsiaTheme="minorEastAsia"/>
          <w:sz w:val="24"/>
        </w:rPr>
        <w:t>本项目运营期废气主要为污水处理站废气以及备用发电机组燃油废气、食堂排放的油烟废气。</w:t>
      </w:r>
    </w:p>
    <w:p>
      <w:pPr>
        <w:adjustRightInd w:val="0"/>
        <w:snapToGrid w:val="0"/>
        <w:spacing w:line="360" w:lineRule="auto"/>
        <w:ind w:firstLine="480" w:firstLineChars="200"/>
        <w:rPr>
          <w:rFonts w:eastAsiaTheme="minorEastAsia"/>
          <w:color w:val="FF0000"/>
          <w:sz w:val="24"/>
        </w:rPr>
      </w:pPr>
      <w:r>
        <w:rPr>
          <w:rFonts w:eastAsiaTheme="minorEastAsia"/>
          <w:sz w:val="24"/>
          <w:u w:val="single"/>
        </w:rPr>
        <w:t>污水处理站周边废气排放执行《医疗机构水污染物排放标准》（GB18466-2005）表3中污水处理站周边大气污染物控制标准</w:t>
      </w:r>
      <w:r>
        <w:rPr>
          <w:rFonts w:hint="eastAsia" w:eastAsiaTheme="minorEastAsia"/>
          <w:sz w:val="24"/>
          <w:u w:val="single"/>
        </w:rPr>
        <w:t>以及《恶臭污染物排放标准》（GB14554-93)</w:t>
      </w:r>
      <w:r>
        <w:rPr>
          <w:rFonts w:eastAsiaTheme="minorEastAsia"/>
          <w:sz w:val="24"/>
        </w:rPr>
        <w:t>；</w:t>
      </w:r>
      <w:bookmarkStart w:id="49" w:name="_Hlk60258126"/>
      <w:r>
        <w:rPr>
          <w:rFonts w:eastAsiaTheme="minorEastAsia"/>
          <w:sz w:val="24"/>
        </w:rPr>
        <w:t>食堂油烟排放执行《饮食业油烟排放标准》（GB18483-2001）</w:t>
      </w:r>
      <w:bookmarkEnd w:id="49"/>
      <w:r>
        <w:rPr>
          <w:rFonts w:eastAsiaTheme="minorEastAsia"/>
          <w:sz w:val="24"/>
        </w:rPr>
        <w:t>，见表2.3-8；参考生态环境部2017年1月11日发布的“188、关于GB16297-1996 的适用范围的回复”，备用柴油发电机废气执行《大气污染物综合排放标准》（GB16297-1996）二级标准，见表2.3-9。</w:t>
      </w:r>
    </w:p>
    <w:p>
      <w:pPr>
        <w:snapToGrid w:val="0"/>
        <w:spacing w:line="360" w:lineRule="auto"/>
        <w:jc w:val="center"/>
        <w:rPr>
          <w:rFonts w:eastAsiaTheme="minorEastAsia"/>
          <w:b/>
          <w:sz w:val="24"/>
        </w:rPr>
      </w:pPr>
      <w:r>
        <w:rPr>
          <w:rFonts w:eastAsiaTheme="minorEastAsia"/>
          <w:b/>
          <w:sz w:val="24"/>
        </w:rPr>
        <w:t>表2.3-6  污水处理站废气污染物最高允许浓度</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48"/>
        <w:gridCol w:w="3799"/>
        <w:gridCol w:w="23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8" w:type="dxa"/>
            <w:vAlign w:val="center"/>
          </w:tcPr>
          <w:p>
            <w:pPr>
              <w:widowControl/>
              <w:adjustRightInd w:val="0"/>
              <w:snapToGrid w:val="0"/>
              <w:jc w:val="center"/>
              <w:rPr>
                <w:b/>
                <w:bCs/>
                <w:color w:val="000000"/>
                <w:szCs w:val="21"/>
              </w:rPr>
            </w:pPr>
            <w:r>
              <w:rPr>
                <w:b/>
                <w:bCs/>
                <w:color w:val="000000"/>
                <w:szCs w:val="21"/>
              </w:rPr>
              <w:t>标准类别</w:t>
            </w:r>
          </w:p>
        </w:tc>
        <w:tc>
          <w:tcPr>
            <w:tcW w:w="3799" w:type="dxa"/>
            <w:vAlign w:val="center"/>
          </w:tcPr>
          <w:p>
            <w:pPr>
              <w:widowControl/>
              <w:adjustRightInd w:val="0"/>
              <w:snapToGrid w:val="0"/>
              <w:jc w:val="center"/>
              <w:rPr>
                <w:b/>
                <w:bCs/>
                <w:color w:val="000000"/>
                <w:szCs w:val="21"/>
              </w:rPr>
            </w:pPr>
            <w:r>
              <w:rPr>
                <w:b/>
                <w:bCs/>
                <w:color w:val="000000"/>
                <w:szCs w:val="21"/>
              </w:rPr>
              <w:t>污染物</w:t>
            </w:r>
          </w:p>
        </w:tc>
        <w:tc>
          <w:tcPr>
            <w:tcW w:w="2342" w:type="dxa"/>
            <w:vAlign w:val="center"/>
          </w:tcPr>
          <w:p>
            <w:pPr>
              <w:widowControl/>
              <w:adjustRightInd w:val="0"/>
              <w:snapToGrid w:val="0"/>
              <w:jc w:val="center"/>
              <w:rPr>
                <w:b/>
                <w:bCs/>
                <w:color w:val="000000"/>
                <w:szCs w:val="21"/>
              </w:rPr>
            </w:pPr>
            <w:r>
              <w:rPr>
                <w:b/>
                <w:bCs/>
                <w:color w:val="000000"/>
                <w:szCs w:val="21"/>
              </w:rPr>
              <w:t>最高允许排放浓度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8" w:type="dxa"/>
            <w:vMerge w:val="restart"/>
            <w:vAlign w:val="center"/>
          </w:tcPr>
          <w:p>
            <w:pPr>
              <w:widowControl/>
              <w:adjustRightInd w:val="0"/>
              <w:snapToGrid w:val="0"/>
              <w:jc w:val="center"/>
              <w:rPr>
                <w:color w:val="000000"/>
                <w:szCs w:val="21"/>
              </w:rPr>
            </w:pPr>
            <w:r>
              <w:rPr>
                <w:color w:val="000000"/>
                <w:szCs w:val="21"/>
              </w:rPr>
              <w:t>《医疗机构水污染物排放标准》（GB 18466-2005）中表3</w:t>
            </w:r>
            <w:r>
              <w:rPr>
                <w:color w:val="000000"/>
                <w:szCs w:val="20"/>
              </w:rPr>
              <w:t>污水站周边大气污染物最高允许排放浓度</w:t>
            </w:r>
          </w:p>
        </w:tc>
        <w:tc>
          <w:tcPr>
            <w:tcW w:w="3799" w:type="dxa"/>
            <w:vAlign w:val="center"/>
          </w:tcPr>
          <w:p>
            <w:pPr>
              <w:widowControl/>
              <w:adjustRightInd w:val="0"/>
              <w:snapToGrid w:val="0"/>
              <w:jc w:val="center"/>
              <w:rPr>
                <w:color w:val="000000"/>
                <w:szCs w:val="21"/>
              </w:rPr>
            </w:pPr>
            <w:r>
              <w:rPr>
                <w:color w:val="000000"/>
                <w:szCs w:val="21"/>
              </w:rPr>
              <w:t>臭气浓度</w:t>
            </w:r>
          </w:p>
        </w:tc>
        <w:tc>
          <w:tcPr>
            <w:tcW w:w="2342" w:type="dxa"/>
            <w:vAlign w:val="center"/>
          </w:tcPr>
          <w:p>
            <w:pPr>
              <w:widowControl/>
              <w:adjustRightInd w:val="0"/>
              <w:snapToGrid w:val="0"/>
              <w:jc w:val="center"/>
              <w:rPr>
                <w:color w:val="000000"/>
                <w:szCs w:val="21"/>
              </w:rPr>
            </w:pPr>
            <w:r>
              <w:rPr>
                <w:color w:val="000000"/>
                <w:szCs w:val="21"/>
              </w:rPr>
              <w:t>10（无量纲）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8" w:type="dxa"/>
            <w:vMerge w:val="continue"/>
            <w:vAlign w:val="center"/>
          </w:tcPr>
          <w:p>
            <w:pPr>
              <w:widowControl/>
              <w:adjustRightInd w:val="0"/>
              <w:snapToGrid w:val="0"/>
              <w:jc w:val="center"/>
              <w:rPr>
                <w:color w:val="000000"/>
                <w:szCs w:val="21"/>
              </w:rPr>
            </w:pPr>
          </w:p>
        </w:tc>
        <w:tc>
          <w:tcPr>
            <w:tcW w:w="3799" w:type="dxa"/>
            <w:vAlign w:val="center"/>
          </w:tcPr>
          <w:p>
            <w:pPr>
              <w:widowControl/>
              <w:adjustRightInd w:val="0"/>
              <w:snapToGrid w:val="0"/>
              <w:jc w:val="center"/>
              <w:rPr>
                <w:color w:val="000000"/>
                <w:szCs w:val="21"/>
              </w:rPr>
            </w:pPr>
            <w:r>
              <w:rPr>
                <w:color w:val="000000"/>
                <w:szCs w:val="21"/>
              </w:rPr>
              <w:t>氨</w:t>
            </w:r>
          </w:p>
        </w:tc>
        <w:tc>
          <w:tcPr>
            <w:tcW w:w="2342" w:type="dxa"/>
            <w:vAlign w:val="center"/>
          </w:tcPr>
          <w:p>
            <w:pPr>
              <w:widowControl/>
              <w:adjustRightInd w:val="0"/>
              <w:snapToGrid w:val="0"/>
              <w:jc w:val="center"/>
              <w:rPr>
                <w:color w:val="000000"/>
                <w:szCs w:val="21"/>
              </w:rPr>
            </w:pPr>
            <w:r>
              <w:rPr>
                <w:color w:val="000000"/>
                <w:szCs w:val="21"/>
              </w:rPr>
              <w:t>1.0mg/m</w:t>
            </w:r>
            <w:r>
              <w:rPr>
                <w:color w:val="00000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8" w:type="dxa"/>
            <w:vMerge w:val="continue"/>
            <w:vAlign w:val="center"/>
          </w:tcPr>
          <w:p>
            <w:pPr>
              <w:widowControl/>
              <w:adjustRightInd w:val="0"/>
              <w:snapToGrid w:val="0"/>
              <w:jc w:val="center"/>
              <w:rPr>
                <w:color w:val="000000"/>
                <w:szCs w:val="21"/>
              </w:rPr>
            </w:pPr>
          </w:p>
        </w:tc>
        <w:tc>
          <w:tcPr>
            <w:tcW w:w="3799" w:type="dxa"/>
            <w:vAlign w:val="center"/>
          </w:tcPr>
          <w:p>
            <w:pPr>
              <w:widowControl/>
              <w:adjustRightInd w:val="0"/>
              <w:snapToGrid w:val="0"/>
              <w:jc w:val="center"/>
              <w:rPr>
                <w:color w:val="000000"/>
                <w:szCs w:val="21"/>
              </w:rPr>
            </w:pPr>
            <w:r>
              <w:rPr>
                <w:color w:val="000000"/>
                <w:szCs w:val="21"/>
              </w:rPr>
              <w:t>硫化氢</w:t>
            </w:r>
          </w:p>
        </w:tc>
        <w:tc>
          <w:tcPr>
            <w:tcW w:w="2342" w:type="dxa"/>
            <w:vAlign w:val="center"/>
          </w:tcPr>
          <w:p>
            <w:pPr>
              <w:widowControl/>
              <w:adjustRightInd w:val="0"/>
              <w:snapToGrid w:val="0"/>
              <w:jc w:val="center"/>
              <w:rPr>
                <w:color w:val="000000"/>
                <w:szCs w:val="21"/>
              </w:rPr>
            </w:pPr>
            <w:r>
              <w:rPr>
                <w:color w:val="000000"/>
                <w:szCs w:val="21"/>
              </w:rPr>
              <w:t>0.03mg/m</w:t>
            </w:r>
            <w:r>
              <w:rPr>
                <w:color w:val="00000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8" w:type="dxa"/>
            <w:vMerge w:val="continue"/>
            <w:vAlign w:val="center"/>
          </w:tcPr>
          <w:p>
            <w:pPr>
              <w:widowControl/>
              <w:adjustRightInd w:val="0"/>
              <w:snapToGrid w:val="0"/>
              <w:jc w:val="center"/>
              <w:rPr>
                <w:color w:val="000000"/>
                <w:szCs w:val="21"/>
              </w:rPr>
            </w:pPr>
          </w:p>
        </w:tc>
        <w:tc>
          <w:tcPr>
            <w:tcW w:w="3799" w:type="dxa"/>
            <w:vAlign w:val="center"/>
          </w:tcPr>
          <w:p>
            <w:pPr>
              <w:widowControl/>
              <w:adjustRightInd w:val="0"/>
              <w:snapToGrid w:val="0"/>
              <w:jc w:val="center"/>
              <w:rPr>
                <w:color w:val="000000"/>
                <w:szCs w:val="21"/>
              </w:rPr>
            </w:pPr>
            <w:r>
              <w:rPr>
                <w:color w:val="000000"/>
                <w:szCs w:val="21"/>
              </w:rPr>
              <w:t>氯气(mg/m</w:t>
            </w:r>
            <w:r>
              <w:rPr>
                <w:color w:val="000000"/>
                <w:szCs w:val="21"/>
                <w:vertAlign w:val="superscript"/>
              </w:rPr>
              <w:t>3</w:t>
            </w:r>
            <w:r>
              <w:rPr>
                <w:color w:val="000000"/>
                <w:szCs w:val="21"/>
              </w:rPr>
              <w:t>)</w:t>
            </w:r>
          </w:p>
        </w:tc>
        <w:tc>
          <w:tcPr>
            <w:tcW w:w="2342" w:type="dxa"/>
            <w:vAlign w:val="center"/>
          </w:tcPr>
          <w:p>
            <w:pPr>
              <w:widowControl/>
              <w:adjustRightInd w:val="0"/>
              <w:snapToGrid w:val="0"/>
              <w:jc w:val="center"/>
              <w:rPr>
                <w:color w:val="000000"/>
                <w:szCs w:val="21"/>
              </w:rPr>
            </w:pPr>
            <w:r>
              <w:rPr>
                <w:color w:val="000000"/>
                <w:szCs w:val="21"/>
              </w:rPr>
              <w:t>0.1 mg/m</w:t>
            </w:r>
            <w:r>
              <w:rPr>
                <w:color w:val="000000"/>
                <w:szCs w:val="21"/>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8" w:type="dxa"/>
            <w:vMerge w:val="continue"/>
            <w:vAlign w:val="center"/>
          </w:tcPr>
          <w:p>
            <w:pPr>
              <w:widowControl/>
              <w:adjustRightInd w:val="0"/>
              <w:snapToGrid w:val="0"/>
              <w:jc w:val="center"/>
              <w:rPr>
                <w:color w:val="000000"/>
                <w:szCs w:val="21"/>
              </w:rPr>
            </w:pPr>
          </w:p>
        </w:tc>
        <w:tc>
          <w:tcPr>
            <w:tcW w:w="3799" w:type="dxa"/>
            <w:vAlign w:val="center"/>
          </w:tcPr>
          <w:p>
            <w:pPr>
              <w:widowControl/>
              <w:adjustRightInd w:val="0"/>
              <w:snapToGrid w:val="0"/>
              <w:jc w:val="center"/>
              <w:rPr>
                <w:color w:val="000000"/>
                <w:szCs w:val="21"/>
              </w:rPr>
            </w:pPr>
            <w:r>
              <w:rPr>
                <w:color w:val="000000"/>
                <w:szCs w:val="21"/>
              </w:rPr>
              <w:t>甲烷(指处理站内最高体积百分数/%)</w:t>
            </w:r>
          </w:p>
        </w:tc>
        <w:tc>
          <w:tcPr>
            <w:tcW w:w="2342" w:type="dxa"/>
            <w:vAlign w:val="center"/>
          </w:tcPr>
          <w:p>
            <w:pPr>
              <w:widowControl/>
              <w:adjustRightInd w:val="0"/>
              <w:snapToGrid w:val="0"/>
              <w:jc w:val="center"/>
              <w:rPr>
                <w:color w:val="000000"/>
                <w:szCs w:val="21"/>
              </w:rPr>
            </w:pPr>
            <w:r>
              <w:rPr>
                <w:color w:val="000000"/>
                <w:szCs w:val="21"/>
              </w:rPr>
              <w:t>1 mg/m</w:t>
            </w:r>
            <w:r>
              <w:rPr>
                <w:color w:val="000000"/>
                <w:szCs w:val="21"/>
                <w:vertAlign w:val="superscript"/>
              </w:rPr>
              <w:t>3</w:t>
            </w:r>
          </w:p>
        </w:tc>
      </w:tr>
    </w:tbl>
    <w:p>
      <w:pPr>
        <w:snapToGrid w:val="0"/>
        <w:spacing w:line="360" w:lineRule="auto"/>
        <w:jc w:val="center"/>
        <w:rPr>
          <w:rFonts w:eastAsiaTheme="minorEastAsia"/>
          <w:b/>
          <w:sz w:val="24"/>
          <w:u w:val="single"/>
        </w:rPr>
      </w:pPr>
      <w:r>
        <w:rPr>
          <w:rFonts w:eastAsiaTheme="minorEastAsia"/>
          <w:b/>
          <w:sz w:val="24"/>
          <w:u w:val="single"/>
        </w:rPr>
        <w:t>表2.3-</w:t>
      </w:r>
      <w:r>
        <w:rPr>
          <w:rFonts w:hint="eastAsia" w:eastAsiaTheme="minorEastAsia"/>
          <w:b/>
          <w:sz w:val="24"/>
          <w:u w:val="single"/>
        </w:rPr>
        <w:t>8</w:t>
      </w:r>
      <w:r>
        <w:rPr>
          <w:rFonts w:eastAsiaTheme="minorEastAsia"/>
          <w:b/>
          <w:sz w:val="24"/>
          <w:u w:val="single"/>
        </w:rPr>
        <w:t xml:space="preserve"> </w:t>
      </w:r>
      <w:r>
        <w:rPr>
          <w:rFonts w:hint="eastAsia" w:eastAsiaTheme="minorEastAsia"/>
          <w:b/>
          <w:sz w:val="24"/>
          <w:u w:val="single"/>
        </w:rPr>
        <w:t>《恶臭污染物排放标准》（GB145454-93）</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03"/>
        <w:gridCol w:w="2496"/>
        <w:gridCol w:w="1134"/>
        <w:gridCol w:w="1134"/>
        <w:gridCol w:w="1276"/>
        <w:gridCol w:w="14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067" w:hRule="exact"/>
          <w:jc w:val="center"/>
        </w:trPr>
        <w:tc>
          <w:tcPr>
            <w:tcW w:w="1303" w:type="dxa"/>
            <w:vAlign w:val="center"/>
          </w:tcPr>
          <w:p>
            <w:pPr>
              <w:pStyle w:val="259"/>
              <w:jc w:val="center"/>
              <w:rPr>
                <w:rFonts w:eastAsiaTheme="minorEastAsia"/>
                <w:b/>
                <w:bCs/>
                <w:color w:val="000000"/>
                <w:sz w:val="21"/>
                <w:szCs w:val="21"/>
                <w:u w:val="single"/>
              </w:rPr>
            </w:pPr>
            <w:r>
              <w:rPr>
                <w:rFonts w:eastAsiaTheme="minorEastAsia"/>
                <w:b/>
                <w:bCs/>
                <w:color w:val="000000"/>
                <w:sz w:val="21"/>
                <w:szCs w:val="21"/>
                <w:u w:val="single"/>
              </w:rPr>
              <w:t>排放源</w:t>
            </w:r>
          </w:p>
        </w:tc>
        <w:tc>
          <w:tcPr>
            <w:tcW w:w="2496" w:type="dxa"/>
            <w:vAlign w:val="center"/>
          </w:tcPr>
          <w:p>
            <w:pPr>
              <w:pStyle w:val="259"/>
              <w:jc w:val="center"/>
              <w:rPr>
                <w:rFonts w:eastAsiaTheme="minorEastAsia"/>
                <w:b/>
                <w:bCs/>
                <w:color w:val="000000"/>
                <w:sz w:val="21"/>
                <w:szCs w:val="21"/>
                <w:u w:val="single"/>
              </w:rPr>
            </w:pPr>
            <w:r>
              <w:rPr>
                <w:rFonts w:eastAsiaTheme="minorEastAsia"/>
                <w:b/>
                <w:bCs/>
                <w:color w:val="000000"/>
                <w:sz w:val="21"/>
                <w:szCs w:val="21"/>
                <w:u w:val="single"/>
              </w:rPr>
              <w:t>执行标准</w:t>
            </w:r>
          </w:p>
        </w:tc>
        <w:tc>
          <w:tcPr>
            <w:tcW w:w="1134" w:type="dxa"/>
            <w:vAlign w:val="center"/>
          </w:tcPr>
          <w:p>
            <w:pPr>
              <w:pStyle w:val="259"/>
              <w:jc w:val="center"/>
              <w:rPr>
                <w:rFonts w:eastAsiaTheme="minorEastAsia"/>
                <w:b/>
                <w:bCs/>
                <w:color w:val="000000"/>
                <w:sz w:val="21"/>
                <w:szCs w:val="21"/>
                <w:u w:val="single"/>
              </w:rPr>
            </w:pPr>
            <w:r>
              <w:rPr>
                <w:rFonts w:eastAsiaTheme="minorEastAsia"/>
                <w:b/>
                <w:bCs/>
                <w:color w:val="000000"/>
                <w:sz w:val="21"/>
                <w:szCs w:val="21"/>
                <w:u w:val="single"/>
              </w:rPr>
              <w:t>污染物</w:t>
            </w:r>
          </w:p>
        </w:tc>
        <w:tc>
          <w:tcPr>
            <w:tcW w:w="1134" w:type="dxa"/>
            <w:vAlign w:val="center"/>
          </w:tcPr>
          <w:p>
            <w:pPr>
              <w:pStyle w:val="259"/>
              <w:jc w:val="center"/>
              <w:rPr>
                <w:rFonts w:eastAsiaTheme="minorEastAsia"/>
                <w:b/>
                <w:bCs/>
                <w:color w:val="000000"/>
                <w:sz w:val="21"/>
                <w:szCs w:val="21"/>
                <w:u w:val="single"/>
              </w:rPr>
            </w:pPr>
            <w:r>
              <w:rPr>
                <w:rFonts w:eastAsiaTheme="minorEastAsia"/>
                <w:b/>
                <w:bCs/>
                <w:color w:val="000000"/>
                <w:sz w:val="21"/>
                <w:szCs w:val="21"/>
                <w:u w:val="single"/>
              </w:rPr>
              <w:t>排放筒高度（m）</w:t>
            </w:r>
          </w:p>
        </w:tc>
        <w:tc>
          <w:tcPr>
            <w:tcW w:w="1276" w:type="dxa"/>
            <w:vAlign w:val="center"/>
          </w:tcPr>
          <w:p>
            <w:pPr>
              <w:pStyle w:val="259"/>
              <w:jc w:val="center"/>
              <w:rPr>
                <w:rFonts w:eastAsiaTheme="minorEastAsia"/>
                <w:b/>
                <w:bCs/>
                <w:color w:val="000000"/>
                <w:sz w:val="21"/>
                <w:szCs w:val="21"/>
                <w:u w:val="single"/>
              </w:rPr>
            </w:pPr>
            <w:r>
              <w:rPr>
                <w:rFonts w:eastAsiaTheme="minorEastAsia"/>
                <w:b/>
                <w:bCs/>
                <w:color w:val="000000"/>
                <w:sz w:val="21"/>
                <w:szCs w:val="21"/>
                <w:u w:val="single"/>
              </w:rPr>
              <w:t>最高允许排放速率</w:t>
            </w:r>
          </w:p>
          <w:p>
            <w:pPr>
              <w:pStyle w:val="259"/>
              <w:jc w:val="center"/>
              <w:rPr>
                <w:rFonts w:eastAsiaTheme="minorEastAsia"/>
                <w:b/>
                <w:bCs/>
                <w:color w:val="000000"/>
                <w:sz w:val="21"/>
                <w:szCs w:val="21"/>
                <w:u w:val="single"/>
              </w:rPr>
            </w:pPr>
            <w:r>
              <w:rPr>
                <w:rFonts w:eastAsiaTheme="minorEastAsia"/>
                <w:b/>
                <w:bCs/>
                <w:color w:val="000000"/>
                <w:sz w:val="21"/>
                <w:szCs w:val="21"/>
                <w:u w:val="single"/>
              </w:rPr>
              <w:t>（kg/h）</w:t>
            </w:r>
          </w:p>
        </w:tc>
        <w:tc>
          <w:tcPr>
            <w:tcW w:w="1446" w:type="dxa"/>
            <w:vAlign w:val="center"/>
          </w:tcPr>
          <w:p>
            <w:pPr>
              <w:pStyle w:val="259"/>
              <w:jc w:val="center"/>
              <w:rPr>
                <w:rFonts w:eastAsiaTheme="minorEastAsia"/>
                <w:b/>
                <w:bCs/>
                <w:color w:val="000000"/>
                <w:sz w:val="21"/>
                <w:szCs w:val="21"/>
                <w:u w:val="single"/>
              </w:rPr>
            </w:pPr>
            <w:r>
              <w:rPr>
                <w:rFonts w:eastAsiaTheme="minorEastAsia"/>
                <w:b/>
                <w:bCs/>
                <w:color w:val="000000"/>
                <w:sz w:val="21"/>
                <w:szCs w:val="21"/>
                <w:u w:val="single"/>
              </w:rPr>
              <w:t>无组织排放监控浓度</w:t>
            </w:r>
          </w:p>
          <w:p>
            <w:pPr>
              <w:pStyle w:val="259"/>
              <w:jc w:val="center"/>
              <w:rPr>
                <w:rFonts w:eastAsiaTheme="minorEastAsia"/>
                <w:b/>
                <w:bCs/>
                <w:color w:val="000000"/>
                <w:sz w:val="21"/>
                <w:szCs w:val="21"/>
                <w:u w:val="single"/>
              </w:rPr>
            </w:pPr>
            <w:r>
              <w:rPr>
                <w:rFonts w:eastAsiaTheme="minorEastAsia"/>
                <w:b/>
                <w:bCs/>
                <w:color w:val="000000"/>
                <w:sz w:val="21"/>
                <w:szCs w:val="21"/>
                <w:u w:val="single"/>
              </w:rPr>
              <w:t>（mg/m</w:t>
            </w:r>
            <w:r>
              <w:rPr>
                <w:rFonts w:eastAsiaTheme="minorEastAsia"/>
                <w:b/>
                <w:bCs/>
                <w:color w:val="000000"/>
                <w:sz w:val="21"/>
                <w:szCs w:val="21"/>
                <w:u w:val="single"/>
                <w:vertAlign w:val="superscript"/>
              </w:rPr>
              <w:t>3</w:t>
            </w:r>
            <w:r>
              <w:rPr>
                <w:rFonts w:eastAsiaTheme="minorEastAsia"/>
                <w:b/>
                <w:bCs/>
                <w:color w:val="00000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exact"/>
          <w:jc w:val="center"/>
        </w:trPr>
        <w:tc>
          <w:tcPr>
            <w:tcW w:w="1303" w:type="dxa"/>
            <w:vMerge w:val="restart"/>
            <w:vAlign w:val="center"/>
          </w:tcPr>
          <w:p>
            <w:pPr>
              <w:pStyle w:val="259"/>
              <w:jc w:val="center"/>
              <w:rPr>
                <w:rFonts w:eastAsiaTheme="minorEastAsia"/>
                <w:color w:val="000000"/>
                <w:sz w:val="21"/>
                <w:szCs w:val="21"/>
                <w:u w:val="single"/>
              </w:rPr>
            </w:pPr>
            <w:r>
              <w:rPr>
                <w:rFonts w:eastAsiaTheme="minorEastAsia"/>
                <w:color w:val="000000"/>
                <w:sz w:val="21"/>
                <w:szCs w:val="21"/>
                <w:u w:val="single"/>
              </w:rPr>
              <w:t>污水处理站 及压滤间废 气</w:t>
            </w:r>
          </w:p>
        </w:tc>
        <w:tc>
          <w:tcPr>
            <w:tcW w:w="2496" w:type="dxa"/>
            <w:vMerge w:val="restart"/>
            <w:vAlign w:val="center"/>
          </w:tcPr>
          <w:p>
            <w:pPr>
              <w:pStyle w:val="259"/>
              <w:jc w:val="center"/>
              <w:rPr>
                <w:rFonts w:eastAsiaTheme="minorEastAsia"/>
                <w:color w:val="000000"/>
                <w:sz w:val="21"/>
                <w:szCs w:val="21"/>
                <w:u w:val="single"/>
              </w:rPr>
            </w:pPr>
            <w:r>
              <w:rPr>
                <w:rFonts w:eastAsiaTheme="minorEastAsia"/>
                <w:color w:val="000000"/>
                <w:sz w:val="21"/>
                <w:szCs w:val="21"/>
                <w:u w:val="single"/>
              </w:rPr>
              <w:t>有组织废气：《恶臭污染物排放标准》（GB145454-93）表2的排放标准；</w:t>
            </w:r>
          </w:p>
        </w:tc>
        <w:tc>
          <w:tcPr>
            <w:tcW w:w="1134"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氨</w:t>
            </w:r>
          </w:p>
        </w:tc>
        <w:tc>
          <w:tcPr>
            <w:tcW w:w="1134" w:type="dxa"/>
            <w:vMerge w:val="restart"/>
            <w:vAlign w:val="center"/>
          </w:tcPr>
          <w:p>
            <w:pPr>
              <w:pStyle w:val="259"/>
              <w:jc w:val="center"/>
              <w:rPr>
                <w:rFonts w:eastAsiaTheme="minorEastAsia"/>
                <w:color w:val="000000"/>
                <w:sz w:val="21"/>
                <w:szCs w:val="21"/>
                <w:u w:val="single"/>
              </w:rPr>
            </w:pPr>
            <w:r>
              <w:rPr>
                <w:rFonts w:eastAsiaTheme="minorEastAsia"/>
                <w:color w:val="000000"/>
                <w:sz w:val="21"/>
                <w:szCs w:val="21"/>
                <w:u w:val="single"/>
              </w:rPr>
              <w:t>15</w:t>
            </w:r>
          </w:p>
        </w:tc>
        <w:tc>
          <w:tcPr>
            <w:tcW w:w="1276"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4.9</w:t>
            </w:r>
          </w:p>
        </w:tc>
        <w:tc>
          <w:tcPr>
            <w:tcW w:w="1446"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exact"/>
          <w:jc w:val="center"/>
        </w:trPr>
        <w:tc>
          <w:tcPr>
            <w:tcW w:w="1303" w:type="dxa"/>
            <w:vMerge w:val="continue"/>
            <w:vAlign w:val="center"/>
          </w:tcPr>
          <w:p>
            <w:pPr>
              <w:pStyle w:val="259"/>
              <w:jc w:val="center"/>
              <w:rPr>
                <w:rFonts w:eastAsiaTheme="minorEastAsia"/>
                <w:color w:val="000000"/>
                <w:sz w:val="21"/>
                <w:szCs w:val="21"/>
                <w:u w:val="single"/>
              </w:rPr>
            </w:pPr>
          </w:p>
        </w:tc>
        <w:tc>
          <w:tcPr>
            <w:tcW w:w="2496" w:type="dxa"/>
            <w:vMerge w:val="continue"/>
            <w:vAlign w:val="center"/>
          </w:tcPr>
          <w:p>
            <w:pPr>
              <w:pStyle w:val="259"/>
              <w:jc w:val="center"/>
              <w:rPr>
                <w:rFonts w:eastAsiaTheme="minorEastAsia"/>
                <w:color w:val="000000"/>
                <w:sz w:val="21"/>
                <w:szCs w:val="21"/>
                <w:u w:val="single"/>
              </w:rPr>
            </w:pPr>
          </w:p>
        </w:tc>
        <w:tc>
          <w:tcPr>
            <w:tcW w:w="1134"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硫化氢</w:t>
            </w:r>
          </w:p>
        </w:tc>
        <w:tc>
          <w:tcPr>
            <w:tcW w:w="1134" w:type="dxa"/>
            <w:vMerge w:val="continue"/>
            <w:vAlign w:val="center"/>
          </w:tcPr>
          <w:p>
            <w:pPr>
              <w:pStyle w:val="259"/>
              <w:jc w:val="center"/>
              <w:rPr>
                <w:rFonts w:eastAsiaTheme="minorEastAsia"/>
                <w:color w:val="000000"/>
                <w:sz w:val="21"/>
                <w:szCs w:val="21"/>
                <w:u w:val="single"/>
              </w:rPr>
            </w:pPr>
          </w:p>
        </w:tc>
        <w:tc>
          <w:tcPr>
            <w:tcW w:w="1276"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0.33</w:t>
            </w:r>
          </w:p>
        </w:tc>
        <w:tc>
          <w:tcPr>
            <w:tcW w:w="1446"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exact"/>
          <w:jc w:val="center"/>
        </w:trPr>
        <w:tc>
          <w:tcPr>
            <w:tcW w:w="1303" w:type="dxa"/>
            <w:vMerge w:val="continue"/>
            <w:vAlign w:val="center"/>
          </w:tcPr>
          <w:p>
            <w:pPr>
              <w:pStyle w:val="259"/>
              <w:jc w:val="center"/>
              <w:rPr>
                <w:rFonts w:eastAsiaTheme="minorEastAsia"/>
                <w:color w:val="000000"/>
                <w:sz w:val="21"/>
                <w:szCs w:val="21"/>
                <w:u w:val="single"/>
              </w:rPr>
            </w:pPr>
          </w:p>
        </w:tc>
        <w:tc>
          <w:tcPr>
            <w:tcW w:w="2496" w:type="dxa"/>
            <w:vMerge w:val="continue"/>
            <w:vAlign w:val="center"/>
          </w:tcPr>
          <w:p>
            <w:pPr>
              <w:pStyle w:val="259"/>
              <w:jc w:val="center"/>
              <w:rPr>
                <w:rFonts w:eastAsiaTheme="minorEastAsia"/>
                <w:color w:val="000000"/>
                <w:sz w:val="21"/>
                <w:szCs w:val="21"/>
                <w:u w:val="single"/>
              </w:rPr>
            </w:pPr>
          </w:p>
        </w:tc>
        <w:tc>
          <w:tcPr>
            <w:tcW w:w="1134"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臭气浓度</w:t>
            </w:r>
          </w:p>
        </w:tc>
        <w:tc>
          <w:tcPr>
            <w:tcW w:w="1134" w:type="dxa"/>
            <w:vMerge w:val="continue"/>
            <w:vAlign w:val="center"/>
          </w:tcPr>
          <w:p>
            <w:pPr>
              <w:pStyle w:val="259"/>
              <w:jc w:val="center"/>
              <w:rPr>
                <w:rFonts w:eastAsiaTheme="minorEastAsia"/>
                <w:color w:val="000000"/>
                <w:sz w:val="21"/>
                <w:szCs w:val="21"/>
                <w:u w:val="single"/>
              </w:rPr>
            </w:pPr>
          </w:p>
        </w:tc>
        <w:tc>
          <w:tcPr>
            <w:tcW w:w="1276"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2000</w:t>
            </w:r>
          </w:p>
          <w:p>
            <w:pPr>
              <w:pStyle w:val="259"/>
              <w:jc w:val="center"/>
              <w:rPr>
                <w:rFonts w:eastAsiaTheme="minorEastAsia"/>
                <w:color w:val="000000"/>
                <w:sz w:val="21"/>
                <w:szCs w:val="21"/>
                <w:u w:val="single"/>
              </w:rPr>
            </w:pPr>
            <w:r>
              <w:rPr>
                <w:rFonts w:eastAsiaTheme="minorEastAsia"/>
                <w:color w:val="000000"/>
                <w:sz w:val="21"/>
                <w:szCs w:val="21"/>
                <w:u w:val="single"/>
              </w:rPr>
              <w:t>（无量纲）</w:t>
            </w:r>
          </w:p>
        </w:tc>
        <w:tc>
          <w:tcPr>
            <w:tcW w:w="1446" w:type="dxa"/>
            <w:vAlign w:val="center"/>
          </w:tcPr>
          <w:p>
            <w:pPr>
              <w:pStyle w:val="259"/>
              <w:jc w:val="center"/>
              <w:rPr>
                <w:rFonts w:eastAsiaTheme="minorEastAsia"/>
                <w:color w:val="000000"/>
                <w:sz w:val="21"/>
                <w:szCs w:val="21"/>
                <w:u w:val="single"/>
              </w:rPr>
            </w:pPr>
            <w:r>
              <w:rPr>
                <w:rFonts w:eastAsiaTheme="minorEastAsia"/>
                <w:color w:val="000000"/>
                <w:sz w:val="21"/>
                <w:szCs w:val="21"/>
                <w:u w:val="single"/>
              </w:rPr>
              <w:t>10（无量纲）</w:t>
            </w:r>
          </w:p>
        </w:tc>
      </w:tr>
    </w:tbl>
    <w:p>
      <w:pPr>
        <w:snapToGrid w:val="0"/>
        <w:spacing w:line="360" w:lineRule="auto"/>
        <w:jc w:val="center"/>
        <w:rPr>
          <w:rFonts w:eastAsiaTheme="minorEastAsia"/>
          <w:b/>
          <w:sz w:val="24"/>
        </w:rPr>
      </w:pPr>
      <w:r>
        <w:rPr>
          <w:rFonts w:eastAsiaTheme="minorEastAsia"/>
          <w:b/>
          <w:sz w:val="24"/>
        </w:rPr>
        <w:t>表2.3-</w:t>
      </w:r>
      <w:r>
        <w:rPr>
          <w:rFonts w:hint="eastAsia" w:eastAsiaTheme="minorEastAsia"/>
          <w:b/>
          <w:sz w:val="24"/>
        </w:rPr>
        <w:t>9</w:t>
      </w:r>
      <w:r>
        <w:rPr>
          <w:rFonts w:eastAsiaTheme="minorEastAsia"/>
          <w:b/>
          <w:sz w:val="24"/>
        </w:rPr>
        <w:t xml:space="preserve">  饮食业单位的油烟最高允许排放浓度和油烟净化设施最低去除效率</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01"/>
        <w:gridCol w:w="1162"/>
        <w:gridCol w:w="1162"/>
        <w:gridCol w:w="116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6" w:type="pct"/>
            <w:vAlign w:val="center"/>
          </w:tcPr>
          <w:p>
            <w:pPr>
              <w:adjustRightInd w:val="0"/>
              <w:snapToGrid w:val="0"/>
              <w:jc w:val="center"/>
              <w:rPr>
                <w:rFonts w:eastAsiaTheme="minorEastAsia"/>
                <w:b/>
                <w:szCs w:val="21"/>
              </w:rPr>
            </w:pPr>
            <w:r>
              <w:rPr>
                <w:rFonts w:eastAsiaTheme="minorEastAsia"/>
                <w:b/>
                <w:szCs w:val="21"/>
              </w:rPr>
              <w:t>规模</w:t>
            </w:r>
          </w:p>
        </w:tc>
        <w:tc>
          <w:tcPr>
            <w:tcW w:w="661" w:type="pct"/>
            <w:vAlign w:val="center"/>
          </w:tcPr>
          <w:p>
            <w:pPr>
              <w:adjustRightInd w:val="0"/>
              <w:snapToGrid w:val="0"/>
              <w:jc w:val="center"/>
              <w:rPr>
                <w:rFonts w:eastAsiaTheme="minorEastAsia"/>
                <w:b/>
                <w:szCs w:val="21"/>
              </w:rPr>
            </w:pPr>
            <w:r>
              <w:rPr>
                <w:rFonts w:eastAsiaTheme="minorEastAsia"/>
                <w:b/>
                <w:szCs w:val="21"/>
              </w:rPr>
              <w:t>小型</w:t>
            </w:r>
          </w:p>
        </w:tc>
        <w:tc>
          <w:tcPr>
            <w:tcW w:w="661" w:type="pct"/>
            <w:vAlign w:val="center"/>
          </w:tcPr>
          <w:p>
            <w:pPr>
              <w:adjustRightInd w:val="0"/>
              <w:snapToGrid w:val="0"/>
              <w:jc w:val="center"/>
              <w:rPr>
                <w:rFonts w:eastAsiaTheme="minorEastAsia"/>
                <w:b/>
                <w:szCs w:val="21"/>
              </w:rPr>
            </w:pPr>
            <w:r>
              <w:rPr>
                <w:rFonts w:eastAsiaTheme="minorEastAsia"/>
                <w:b/>
                <w:szCs w:val="21"/>
              </w:rPr>
              <w:t>中型</w:t>
            </w:r>
          </w:p>
        </w:tc>
        <w:tc>
          <w:tcPr>
            <w:tcW w:w="661" w:type="pct"/>
            <w:vAlign w:val="center"/>
          </w:tcPr>
          <w:p>
            <w:pPr>
              <w:adjustRightInd w:val="0"/>
              <w:snapToGrid w:val="0"/>
              <w:jc w:val="center"/>
              <w:rPr>
                <w:rFonts w:eastAsiaTheme="minorEastAsia"/>
                <w:b/>
                <w:szCs w:val="21"/>
              </w:rPr>
            </w:pPr>
            <w:r>
              <w:rPr>
                <w:rFonts w:eastAsiaTheme="minorEastAsia"/>
                <w:b/>
                <w:szCs w:val="21"/>
              </w:rPr>
              <w:t>大型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6" w:type="pct"/>
            <w:vAlign w:val="center"/>
          </w:tcPr>
          <w:p>
            <w:pPr>
              <w:adjustRightInd w:val="0"/>
              <w:snapToGrid w:val="0"/>
              <w:jc w:val="center"/>
              <w:rPr>
                <w:rFonts w:eastAsiaTheme="minorEastAsia"/>
                <w:szCs w:val="21"/>
              </w:rPr>
            </w:pPr>
            <w:r>
              <w:rPr>
                <w:rFonts w:eastAsiaTheme="minorEastAsia"/>
                <w:szCs w:val="21"/>
              </w:rPr>
              <w:t>最高允许排放浓度（mg/m</w:t>
            </w:r>
            <w:r>
              <w:rPr>
                <w:rFonts w:eastAsiaTheme="minorEastAsia"/>
                <w:szCs w:val="21"/>
                <w:vertAlign w:val="superscript"/>
              </w:rPr>
              <w:t>3</w:t>
            </w:r>
            <w:r>
              <w:rPr>
                <w:rFonts w:eastAsiaTheme="minorEastAsia"/>
                <w:szCs w:val="21"/>
              </w:rPr>
              <w:t>）</w:t>
            </w:r>
          </w:p>
        </w:tc>
        <w:tc>
          <w:tcPr>
            <w:tcW w:w="1984" w:type="pct"/>
            <w:gridSpan w:val="3"/>
            <w:vAlign w:val="center"/>
          </w:tcPr>
          <w:p>
            <w:pPr>
              <w:adjustRightInd w:val="0"/>
              <w:snapToGrid w:val="0"/>
              <w:jc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016" w:type="pct"/>
            <w:vAlign w:val="center"/>
          </w:tcPr>
          <w:p>
            <w:pPr>
              <w:adjustRightInd w:val="0"/>
              <w:snapToGrid w:val="0"/>
              <w:jc w:val="center"/>
              <w:rPr>
                <w:rFonts w:eastAsiaTheme="minorEastAsia"/>
                <w:szCs w:val="21"/>
              </w:rPr>
            </w:pPr>
            <w:r>
              <w:rPr>
                <w:rFonts w:eastAsiaTheme="minorEastAsia"/>
                <w:szCs w:val="21"/>
              </w:rPr>
              <w:t>净化设施最低去除效率（%）</w:t>
            </w:r>
          </w:p>
        </w:tc>
        <w:tc>
          <w:tcPr>
            <w:tcW w:w="661" w:type="pct"/>
            <w:vAlign w:val="center"/>
          </w:tcPr>
          <w:p>
            <w:pPr>
              <w:adjustRightInd w:val="0"/>
              <w:snapToGrid w:val="0"/>
              <w:jc w:val="center"/>
              <w:rPr>
                <w:rFonts w:eastAsiaTheme="minorEastAsia"/>
                <w:szCs w:val="21"/>
              </w:rPr>
            </w:pPr>
            <w:r>
              <w:rPr>
                <w:rFonts w:eastAsiaTheme="minorEastAsia"/>
                <w:szCs w:val="21"/>
              </w:rPr>
              <w:t>60</w:t>
            </w:r>
          </w:p>
        </w:tc>
        <w:tc>
          <w:tcPr>
            <w:tcW w:w="661" w:type="pct"/>
            <w:vAlign w:val="center"/>
          </w:tcPr>
          <w:p>
            <w:pPr>
              <w:adjustRightInd w:val="0"/>
              <w:snapToGrid w:val="0"/>
              <w:jc w:val="center"/>
              <w:rPr>
                <w:rFonts w:eastAsiaTheme="minorEastAsia"/>
                <w:szCs w:val="21"/>
              </w:rPr>
            </w:pPr>
            <w:r>
              <w:rPr>
                <w:rFonts w:eastAsiaTheme="minorEastAsia"/>
                <w:szCs w:val="21"/>
              </w:rPr>
              <w:t>75</w:t>
            </w:r>
          </w:p>
        </w:tc>
        <w:tc>
          <w:tcPr>
            <w:tcW w:w="661" w:type="pct"/>
            <w:vAlign w:val="center"/>
          </w:tcPr>
          <w:p>
            <w:pPr>
              <w:adjustRightInd w:val="0"/>
              <w:snapToGrid w:val="0"/>
              <w:jc w:val="center"/>
              <w:rPr>
                <w:rFonts w:eastAsiaTheme="minorEastAsia"/>
                <w:szCs w:val="21"/>
              </w:rPr>
            </w:pPr>
            <w:r>
              <w:rPr>
                <w:rFonts w:eastAsiaTheme="minorEastAsia"/>
                <w:szCs w:val="21"/>
              </w:rPr>
              <w:t>85</w:t>
            </w:r>
          </w:p>
        </w:tc>
      </w:tr>
    </w:tbl>
    <w:p>
      <w:pPr>
        <w:snapToGrid w:val="0"/>
        <w:spacing w:line="360" w:lineRule="auto"/>
        <w:jc w:val="center"/>
        <w:rPr>
          <w:rFonts w:eastAsiaTheme="minorEastAsia"/>
          <w:b/>
          <w:sz w:val="24"/>
        </w:rPr>
      </w:pPr>
      <w:r>
        <w:rPr>
          <w:rFonts w:eastAsiaTheme="minorEastAsia"/>
          <w:b/>
          <w:sz w:val="24"/>
        </w:rPr>
        <w:t>表2.3-</w:t>
      </w:r>
      <w:r>
        <w:rPr>
          <w:rFonts w:hint="eastAsia" w:eastAsiaTheme="minorEastAsia"/>
          <w:b/>
          <w:sz w:val="24"/>
        </w:rPr>
        <w:t>10</w:t>
      </w:r>
      <w:r>
        <w:rPr>
          <w:rFonts w:eastAsiaTheme="minorEastAsia"/>
          <w:b/>
          <w:sz w:val="24"/>
        </w:rPr>
        <w:t xml:space="preserve">  柴油发电机燃油废气污染物排放浓度限值</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31"/>
        <w:gridCol w:w="1275"/>
        <w:gridCol w:w="1560"/>
        <w:gridCol w:w="1701"/>
        <w:gridCol w:w="3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31" w:type="dxa"/>
            <w:vAlign w:val="center"/>
          </w:tcPr>
          <w:p>
            <w:pPr>
              <w:adjustRightInd w:val="0"/>
              <w:snapToGrid w:val="0"/>
              <w:jc w:val="center"/>
              <w:rPr>
                <w:rFonts w:eastAsiaTheme="minorEastAsia"/>
                <w:b/>
                <w:szCs w:val="21"/>
              </w:rPr>
            </w:pPr>
            <w:bookmarkStart w:id="50" w:name="_Hlk57557981"/>
            <w:r>
              <w:rPr>
                <w:rFonts w:eastAsiaTheme="minorEastAsia"/>
                <w:b/>
                <w:szCs w:val="21"/>
              </w:rPr>
              <w:t>类别</w:t>
            </w:r>
          </w:p>
        </w:tc>
        <w:tc>
          <w:tcPr>
            <w:tcW w:w="1275" w:type="dxa"/>
            <w:vAlign w:val="center"/>
          </w:tcPr>
          <w:p>
            <w:pPr>
              <w:adjustRightInd w:val="0"/>
              <w:snapToGrid w:val="0"/>
              <w:jc w:val="center"/>
              <w:rPr>
                <w:rFonts w:eastAsiaTheme="minorEastAsia"/>
                <w:b/>
                <w:szCs w:val="21"/>
              </w:rPr>
            </w:pPr>
            <w:r>
              <w:rPr>
                <w:rFonts w:eastAsiaTheme="minorEastAsia"/>
                <w:b/>
                <w:szCs w:val="21"/>
              </w:rPr>
              <w:t>颗粒物</w:t>
            </w:r>
          </w:p>
        </w:tc>
        <w:tc>
          <w:tcPr>
            <w:tcW w:w="1560" w:type="dxa"/>
            <w:vAlign w:val="center"/>
          </w:tcPr>
          <w:p>
            <w:pPr>
              <w:adjustRightInd w:val="0"/>
              <w:snapToGrid w:val="0"/>
              <w:jc w:val="center"/>
              <w:rPr>
                <w:rFonts w:eastAsiaTheme="minorEastAsia"/>
                <w:b/>
                <w:szCs w:val="21"/>
              </w:rPr>
            </w:pPr>
            <w:r>
              <w:rPr>
                <w:rFonts w:eastAsiaTheme="minorEastAsia"/>
                <w:b/>
                <w:szCs w:val="21"/>
              </w:rPr>
              <w:t>二氧化硫</w:t>
            </w:r>
          </w:p>
        </w:tc>
        <w:tc>
          <w:tcPr>
            <w:tcW w:w="1701" w:type="dxa"/>
            <w:vAlign w:val="center"/>
          </w:tcPr>
          <w:p>
            <w:pPr>
              <w:adjustRightInd w:val="0"/>
              <w:snapToGrid w:val="0"/>
              <w:jc w:val="center"/>
              <w:rPr>
                <w:rFonts w:eastAsiaTheme="minorEastAsia"/>
                <w:b/>
                <w:szCs w:val="21"/>
              </w:rPr>
            </w:pPr>
            <w:r>
              <w:rPr>
                <w:rFonts w:eastAsiaTheme="minorEastAsia"/>
                <w:b/>
                <w:szCs w:val="21"/>
              </w:rPr>
              <w:t>氮氧化物</w:t>
            </w:r>
          </w:p>
        </w:tc>
        <w:tc>
          <w:tcPr>
            <w:tcW w:w="3022" w:type="dxa"/>
            <w:vAlign w:val="center"/>
          </w:tcPr>
          <w:p>
            <w:pPr>
              <w:adjustRightInd w:val="0"/>
              <w:snapToGrid w:val="0"/>
              <w:jc w:val="center"/>
              <w:rPr>
                <w:rFonts w:eastAsiaTheme="minorEastAsia"/>
                <w:b/>
                <w:szCs w:val="21"/>
              </w:rPr>
            </w:pPr>
            <w:r>
              <w:rPr>
                <w:rFonts w:eastAsiaTheme="minorEastAsia"/>
                <w:b/>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31" w:type="dxa"/>
            <w:vMerge w:val="restart"/>
            <w:vAlign w:val="center"/>
          </w:tcPr>
          <w:p>
            <w:pPr>
              <w:adjustRightInd w:val="0"/>
              <w:snapToGrid w:val="0"/>
              <w:jc w:val="center"/>
              <w:rPr>
                <w:rFonts w:eastAsiaTheme="minorEastAsia"/>
                <w:szCs w:val="21"/>
              </w:rPr>
            </w:pPr>
            <w:r>
              <w:rPr>
                <w:rFonts w:eastAsiaTheme="minorEastAsia"/>
                <w:szCs w:val="21"/>
              </w:rPr>
              <w:t>备用柴油发电机</w:t>
            </w:r>
          </w:p>
        </w:tc>
        <w:tc>
          <w:tcPr>
            <w:tcW w:w="4536" w:type="dxa"/>
            <w:gridSpan w:val="3"/>
            <w:vAlign w:val="center"/>
          </w:tcPr>
          <w:p>
            <w:pPr>
              <w:adjustRightInd w:val="0"/>
              <w:snapToGrid w:val="0"/>
              <w:jc w:val="center"/>
              <w:rPr>
                <w:rFonts w:eastAsiaTheme="minorEastAsia"/>
                <w:szCs w:val="21"/>
              </w:rPr>
            </w:pPr>
            <w:r>
              <w:rPr>
                <w:rFonts w:eastAsiaTheme="minorEastAsia"/>
                <w:szCs w:val="21"/>
              </w:rPr>
              <w:t>最高允许排放浓度（mg/m</w:t>
            </w:r>
            <w:r>
              <w:rPr>
                <w:rFonts w:eastAsiaTheme="minorEastAsia"/>
                <w:szCs w:val="21"/>
                <w:vertAlign w:val="superscript"/>
              </w:rPr>
              <w:t>3</w:t>
            </w:r>
            <w:r>
              <w:rPr>
                <w:rFonts w:eastAsiaTheme="minorEastAsia"/>
                <w:szCs w:val="21"/>
              </w:rPr>
              <w:t>）</w:t>
            </w:r>
          </w:p>
        </w:tc>
        <w:tc>
          <w:tcPr>
            <w:tcW w:w="3022" w:type="dxa"/>
            <w:vMerge w:val="restart"/>
            <w:vAlign w:val="center"/>
          </w:tcPr>
          <w:p>
            <w:pPr>
              <w:adjustRightInd w:val="0"/>
              <w:snapToGrid w:val="0"/>
              <w:jc w:val="center"/>
              <w:rPr>
                <w:rFonts w:eastAsiaTheme="minorEastAsia"/>
                <w:szCs w:val="21"/>
              </w:rPr>
            </w:pPr>
            <w:r>
              <w:rPr>
                <w:rFonts w:eastAsiaTheme="minorEastAsia"/>
                <w:szCs w:val="21"/>
              </w:rPr>
              <w:t>《大气污染物综合排放标准》（GB16297-1996）二级标准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31" w:type="dxa"/>
            <w:vMerge w:val="continue"/>
            <w:vAlign w:val="center"/>
          </w:tcPr>
          <w:p>
            <w:pPr>
              <w:adjustRightInd w:val="0"/>
              <w:snapToGrid w:val="0"/>
              <w:jc w:val="center"/>
              <w:rPr>
                <w:rFonts w:eastAsiaTheme="minorEastAsia"/>
                <w:szCs w:val="21"/>
              </w:rPr>
            </w:pPr>
          </w:p>
        </w:tc>
        <w:tc>
          <w:tcPr>
            <w:tcW w:w="1275" w:type="dxa"/>
            <w:vAlign w:val="center"/>
          </w:tcPr>
          <w:p>
            <w:pPr>
              <w:adjustRightInd w:val="0"/>
              <w:snapToGrid w:val="0"/>
              <w:jc w:val="center"/>
              <w:rPr>
                <w:rFonts w:eastAsiaTheme="minorEastAsia"/>
                <w:szCs w:val="21"/>
              </w:rPr>
            </w:pPr>
            <w:r>
              <w:rPr>
                <w:rFonts w:eastAsiaTheme="minorEastAsia"/>
                <w:szCs w:val="21"/>
              </w:rPr>
              <w:t>120</w:t>
            </w:r>
          </w:p>
        </w:tc>
        <w:tc>
          <w:tcPr>
            <w:tcW w:w="1560" w:type="dxa"/>
            <w:vAlign w:val="center"/>
          </w:tcPr>
          <w:p>
            <w:pPr>
              <w:adjustRightInd w:val="0"/>
              <w:snapToGrid w:val="0"/>
              <w:jc w:val="center"/>
              <w:rPr>
                <w:rFonts w:eastAsiaTheme="minorEastAsia"/>
                <w:szCs w:val="21"/>
              </w:rPr>
            </w:pPr>
            <w:r>
              <w:rPr>
                <w:rFonts w:eastAsiaTheme="minorEastAsia"/>
                <w:szCs w:val="21"/>
              </w:rPr>
              <w:t>550</w:t>
            </w:r>
          </w:p>
        </w:tc>
        <w:tc>
          <w:tcPr>
            <w:tcW w:w="1701" w:type="dxa"/>
            <w:vAlign w:val="center"/>
          </w:tcPr>
          <w:p>
            <w:pPr>
              <w:adjustRightInd w:val="0"/>
              <w:snapToGrid w:val="0"/>
              <w:jc w:val="center"/>
              <w:rPr>
                <w:rFonts w:eastAsiaTheme="minorEastAsia"/>
                <w:szCs w:val="21"/>
              </w:rPr>
            </w:pPr>
            <w:r>
              <w:rPr>
                <w:rFonts w:eastAsiaTheme="minorEastAsia"/>
                <w:szCs w:val="21"/>
              </w:rPr>
              <w:t>240</w:t>
            </w:r>
          </w:p>
        </w:tc>
        <w:tc>
          <w:tcPr>
            <w:tcW w:w="3022" w:type="dxa"/>
            <w:vMerge w:val="continue"/>
            <w:vAlign w:val="center"/>
          </w:tcPr>
          <w:p>
            <w:pPr>
              <w:adjustRightInd w:val="0"/>
              <w:snapToGrid w:val="0"/>
              <w:jc w:val="center"/>
              <w:rPr>
                <w:rFonts w:eastAsiaTheme="minorEastAsia"/>
                <w:szCs w:val="21"/>
              </w:rPr>
            </w:pPr>
          </w:p>
        </w:tc>
      </w:tr>
      <w:bookmarkEnd w:id="50"/>
    </w:tbl>
    <w:p>
      <w:pPr>
        <w:snapToGrid w:val="0"/>
        <w:spacing w:line="360" w:lineRule="auto"/>
        <w:ind w:firstLine="601"/>
        <w:rPr>
          <w:rFonts w:eastAsiaTheme="minorEastAsia"/>
          <w:sz w:val="24"/>
        </w:rPr>
      </w:pPr>
      <w:r>
        <w:rPr>
          <w:rFonts w:eastAsiaTheme="minorEastAsia"/>
          <w:sz w:val="24"/>
        </w:rPr>
        <w:t>（2）废水排放标准</w:t>
      </w:r>
    </w:p>
    <w:p>
      <w:pPr>
        <w:snapToGrid w:val="0"/>
        <w:spacing w:line="360" w:lineRule="auto"/>
        <w:ind w:firstLine="601"/>
        <w:rPr>
          <w:rFonts w:eastAsiaTheme="minorEastAsia"/>
          <w:color w:val="FF0000"/>
          <w:sz w:val="24"/>
        </w:rPr>
      </w:pPr>
      <w:r>
        <w:rPr>
          <w:rFonts w:eastAsiaTheme="minorEastAsia"/>
          <w:sz w:val="24"/>
        </w:rPr>
        <w:t>项目施工期废水生活污水经化粪池处理达到《污水综合排放标准》（GB8978-1996）表4三级标准后，排入市政管网；施工废水经处理后大部分回用，不能回用的处理达到《污水综合排放标准》（GB8978-1996）表4三级标准排入市政管网，其标准值见下表。</w:t>
      </w:r>
    </w:p>
    <w:p>
      <w:pPr>
        <w:snapToGrid w:val="0"/>
        <w:spacing w:line="360" w:lineRule="auto"/>
        <w:jc w:val="center"/>
        <w:rPr>
          <w:rFonts w:eastAsiaTheme="minorEastAsia"/>
          <w:b/>
          <w:sz w:val="24"/>
        </w:rPr>
      </w:pPr>
      <w:r>
        <w:rPr>
          <w:rFonts w:eastAsiaTheme="minorEastAsia"/>
          <w:b/>
          <w:sz w:val="24"/>
        </w:rPr>
        <w:t>表2.3-10  污水综合排放标准（表4三级标准）</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74"/>
        <w:gridCol w:w="2409"/>
        <w:gridCol w:w="2692"/>
        <w:gridCol w:w="23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djustRightInd w:val="0"/>
              <w:snapToGrid w:val="0"/>
              <w:jc w:val="center"/>
              <w:rPr>
                <w:rFonts w:eastAsiaTheme="minorEastAsia"/>
                <w:b/>
                <w:szCs w:val="21"/>
              </w:rPr>
            </w:pPr>
            <w:r>
              <w:rPr>
                <w:rFonts w:eastAsiaTheme="minorEastAsia"/>
                <w:b/>
                <w:szCs w:val="21"/>
              </w:rPr>
              <w:t>序号</w:t>
            </w:r>
          </w:p>
        </w:tc>
        <w:tc>
          <w:tcPr>
            <w:tcW w:w="1370" w:type="pct"/>
            <w:vAlign w:val="center"/>
          </w:tcPr>
          <w:p>
            <w:pPr>
              <w:adjustRightInd w:val="0"/>
              <w:snapToGrid w:val="0"/>
              <w:jc w:val="center"/>
              <w:rPr>
                <w:rFonts w:eastAsiaTheme="minorEastAsia"/>
                <w:b/>
                <w:szCs w:val="21"/>
              </w:rPr>
            </w:pPr>
            <w:r>
              <w:rPr>
                <w:rFonts w:eastAsiaTheme="minorEastAsia"/>
                <w:b/>
                <w:szCs w:val="21"/>
              </w:rPr>
              <w:t>控制项目</w:t>
            </w:r>
          </w:p>
        </w:tc>
        <w:tc>
          <w:tcPr>
            <w:tcW w:w="1531" w:type="pct"/>
            <w:vAlign w:val="center"/>
          </w:tcPr>
          <w:p>
            <w:pPr>
              <w:adjustRightInd w:val="0"/>
              <w:snapToGrid w:val="0"/>
              <w:jc w:val="center"/>
              <w:rPr>
                <w:rFonts w:eastAsiaTheme="minorEastAsia"/>
                <w:b/>
                <w:szCs w:val="21"/>
              </w:rPr>
            </w:pPr>
            <w:r>
              <w:rPr>
                <w:rFonts w:eastAsiaTheme="minorEastAsia"/>
                <w:b/>
                <w:szCs w:val="21"/>
              </w:rPr>
              <w:t>标准值</w:t>
            </w:r>
          </w:p>
        </w:tc>
        <w:tc>
          <w:tcPr>
            <w:tcW w:w="1316" w:type="pct"/>
            <w:vAlign w:val="center"/>
          </w:tcPr>
          <w:p>
            <w:pPr>
              <w:adjustRightInd w:val="0"/>
              <w:snapToGrid w:val="0"/>
              <w:jc w:val="center"/>
              <w:rPr>
                <w:rFonts w:eastAsiaTheme="minorEastAsia"/>
                <w:b/>
                <w:szCs w:val="21"/>
              </w:rPr>
            </w:pPr>
            <w:r>
              <w:rPr>
                <w:rFonts w:eastAsiaTheme="minorEastAsia"/>
                <w:b/>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djustRightInd w:val="0"/>
              <w:snapToGrid w:val="0"/>
              <w:jc w:val="center"/>
              <w:rPr>
                <w:rFonts w:eastAsiaTheme="minorEastAsia"/>
                <w:szCs w:val="21"/>
              </w:rPr>
            </w:pPr>
            <w:r>
              <w:rPr>
                <w:rFonts w:eastAsiaTheme="minorEastAsia"/>
                <w:szCs w:val="21"/>
              </w:rPr>
              <w:t>1</w:t>
            </w:r>
          </w:p>
        </w:tc>
        <w:tc>
          <w:tcPr>
            <w:tcW w:w="1370" w:type="pct"/>
            <w:vAlign w:val="center"/>
          </w:tcPr>
          <w:p>
            <w:pPr>
              <w:adjustRightInd w:val="0"/>
              <w:snapToGrid w:val="0"/>
              <w:jc w:val="center"/>
              <w:rPr>
                <w:rFonts w:eastAsiaTheme="minorEastAsia"/>
                <w:szCs w:val="21"/>
              </w:rPr>
            </w:pPr>
            <w:r>
              <w:rPr>
                <w:rFonts w:eastAsiaTheme="minorEastAsia"/>
                <w:szCs w:val="21"/>
              </w:rPr>
              <w:t>pH</w:t>
            </w:r>
          </w:p>
        </w:tc>
        <w:tc>
          <w:tcPr>
            <w:tcW w:w="1531" w:type="pct"/>
            <w:vAlign w:val="center"/>
          </w:tcPr>
          <w:p>
            <w:pPr>
              <w:adjustRightInd w:val="0"/>
              <w:snapToGrid w:val="0"/>
              <w:jc w:val="center"/>
              <w:rPr>
                <w:rFonts w:eastAsiaTheme="minorEastAsia"/>
                <w:szCs w:val="21"/>
              </w:rPr>
            </w:pPr>
            <w:r>
              <w:rPr>
                <w:rFonts w:eastAsiaTheme="minorEastAsia"/>
                <w:szCs w:val="21"/>
              </w:rPr>
              <w:t>6~9</w:t>
            </w:r>
          </w:p>
        </w:tc>
        <w:tc>
          <w:tcPr>
            <w:tcW w:w="1316" w:type="pct"/>
            <w:vAlign w:val="center"/>
          </w:tcPr>
          <w:p>
            <w:pPr>
              <w:adjustRightInd w:val="0"/>
              <w:snapToGrid w:val="0"/>
              <w:jc w:val="center"/>
              <w:rPr>
                <w:rFonts w:eastAsiaTheme="minorEastAsia"/>
                <w:szCs w:val="21"/>
              </w:rPr>
            </w:pPr>
            <w:r>
              <w:rPr>
                <w:rFonts w:eastAsiaTheme="minorEastAsia"/>
                <w:szCs w:val="21"/>
              </w:rPr>
              <w:t>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djustRightInd w:val="0"/>
              <w:snapToGrid w:val="0"/>
              <w:jc w:val="center"/>
              <w:rPr>
                <w:rFonts w:eastAsiaTheme="minorEastAsia"/>
                <w:szCs w:val="21"/>
              </w:rPr>
            </w:pPr>
            <w:r>
              <w:rPr>
                <w:rFonts w:eastAsiaTheme="minorEastAsia"/>
                <w:szCs w:val="21"/>
              </w:rPr>
              <w:t>2</w:t>
            </w:r>
          </w:p>
        </w:tc>
        <w:tc>
          <w:tcPr>
            <w:tcW w:w="1370" w:type="pct"/>
            <w:vAlign w:val="center"/>
          </w:tcPr>
          <w:p>
            <w:pPr>
              <w:adjustRightInd w:val="0"/>
              <w:snapToGrid w:val="0"/>
              <w:jc w:val="center"/>
              <w:rPr>
                <w:rFonts w:eastAsiaTheme="minorEastAsia"/>
                <w:szCs w:val="21"/>
              </w:rPr>
            </w:pPr>
            <w:r>
              <w:rPr>
                <w:rFonts w:eastAsiaTheme="minorEastAsia"/>
                <w:szCs w:val="21"/>
              </w:rPr>
              <w:t>COD</w:t>
            </w:r>
          </w:p>
        </w:tc>
        <w:tc>
          <w:tcPr>
            <w:tcW w:w="1531" w:type="pct"/>
            <w:vAlign w:val="center"/>
          </w:tcPr>
          <w:p>
            <w:pPr>
              <w:adjustRightInd w:val="0"/>
              <w:snapToGrid w:val="0"/>
              <w:jc w:val="center"/>
              <w:rPr>
                <w:rFonts w:eastAsiaTheme="minorEastAsia"/>
                <w:szCs w:val="21"/>
              </w:rPr>
            </w:pPr>
            <w:r>
              <w:rPr>
                <w:rFonts w:eastAsiaTheme="minorEastAsia"/>
                <w:szCs w:val="21"/>
              </w:rPr>
              <w:t>500</w:t>
            </w:r>
          </w:p>
        </w:tc>
        <w:tc>
          <w:tcPr>
            <w:tcW w:w="1316" w:type="pct"/>
            <w:vAlign w:val="center"/>
          </w:tcPr>
          <w:p>
            <w:pPr>
              <w:adjustRightInd w:val="0"/>
              <w:snapToGrid w:val="0"/>
              <w:jc w:val="center"/>
              <w:rPr>
                <w:rFonts w:eastAsiaTheme="minorEastAsia"/>
                <w:szCs w:val="21"/>
              </w:rPr>
            </w:pPr>
            <w:r>
              <w:rPr>
                <w:rFonts w:eastAsiaTheme="minor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djustRightInd w:val="0"/>
              <w:snapToGrid w:val="0"/>
              <w:jc w:val="center"/>
              <w:rPr>
                <w:rFonts w:eastAsiaTheme="minorEastAsia"/>
                <w:szCs w:val="21"/>
              </w:rPr>
            </w:pPr>
            <w:r>
              <w:rPr>
                <w:rFonts w:eastAsiaTheme="minorEastAsia"/>
                <w:szCs w:val="21"/>
              </w:rPr>
              <w:t>3</w:t>
            </w:r>
          </w:p>
        </w:tc>
        <w:tc>
          <w:tcPr>
            <w:tcW w:w="1370" w:type="pct"/>
            <w:vAlign w:val="center"/>
          </w:tcPr>
          <w:p>
            <w:pPr>
              <w:adjustRightInd w:val="0"/>
              <w:snapToGrid w:val="0"/>
              <w:jc w:val="center"/>
              <w:rPr>
                <w:rFonts w:eastAsiaTheme="minorEastAsia"/>
                <w:szCs w:val="21"/>
              </w:rPr>
            </w:pPr>
            <w:r>
              <w:rPr>
                <w:rFonts w:eastAsiaTheme="minorEastAsia"/>
                <w:szCs w:val="21"/>
              </w:rPr>
              <w:t>SS</w:t>
            </w:r>
          </w:p>
        </w:tc>
        <w:tc>
          <w:tcPr>
            <w:tcW w:w="1531" w:type="pct"/>
            <w:vAlign w:val="center"/>
          </w:tcPr>
          <w:p>
            <w:pPr>
              <w:adjustRightInd w:val="0"/>
              <w:snapToGrid w:val="0"/>
              <w:jc w:val="center"/>
              <w:rPr>
                <w:rFonts w:eastAsiaTheme="minorEastAsia"/>
                <w:szCs w:val="21"/>
              </w:rPr>
            </w:pPr>
            <w:r>
              <w:rPr>
                <w:rFonts w:eastAsiaTheme="minorEastAsia"/>
                <w:szCs w:val="21"/>
              </w:rPr>
              <w:t>400</w:t>
            </w:r>
          </w:p>
        </w:tc>
        <w:tc>
          <w:tcPr>
            <w:tcW w:w="1316" w:type="pct"/>
            <w:vAlign w:val="center"/>
          </w:tcPr>
          <w:p>
            <w:pPr>
              <w:adjustRightInd w:val="0"/>
              <w:snapToGrid w:val="0"/>
              <w:jc w:val="center"/>
              <w:rPr>
                <w:rFonts w:eastAsiaTheme="minorEastAsia"/>
                <w:szCs w:val="21"/>
              </w:rPr>
            </w:pPr>
            <w:r>
              <w:rPr>
                <w:rFonts w:eastAsiaTheme="minor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djustRightInd w:val="0"/>
              <w:snapToGrid w:val="0"/>
              <w:jc w:val="center"/>
              <w:rPr>
                <w:rFonts w:eastAsiaTheme="minorEastAsia"/>
                <w:szCs w:val="21"/>
              </w:rPr>
            </w:pPr>
            <w:r>
              <w:rPr>
                <w:rFonts w:eastAsiaTheme="minorEastAsia"/>
                <w:szCs w:val="21"/>
              </w:rPr>
              <w:t>4</w:t>
            </w:r>
          </w:p>
        </w:tc>
        <w:tc>
          <w:tcPr>
            <w:tcW w:w="1370" w:type="pct"/>
            <w:vAlign w:val="center"/>
          </w:tcPr>
          <w:p>
            <w:pPr>
              <w:adjustRightInd w:val="0"/>
              <w:snapToGrid w:val="0"/>
              <w:jc w:val="center"/>
              <w:rPr>
                <w:rFonts w:eastAsiaTheme="minorEastAsia"/>
                <w:szCs w:val="21"/>
              </w:rPr>
            </w:pPr>
            <w:r>
              <w:rPr>
                <w:rFonts w:eastAsiaTheme="minorEastAsia"/>
                <w:szCs w:val="21"/>
              </w:rPr>
              <w:t>BOD</w:t>
            </w:r>
            <w:r>
              <w:rPr>
                <w:rFonts w:eastAsiaTheme="minorEastAsia"/>
                <w:szCs w:val="21"/>
                <w:vertAlign w:val="subscript"/>
              </w:rPr>
              <w:t>5</w:t>
            </w:r>
          </w:p>
        </w:tc>
        <w:tc>
          <w:tcPr>
            <w:tcW w:w="1531" w:type="pct"/>
            <w:vAlign w:val="center"/>
          </w:tcPr>
          <w:p>
            <w:pPr>
              <w:adjustRightInd w:val="0"/>
              <w:snapToGrid w:val="0"/>
              <w:jc w:val="center"/>
              <w:rPr>
                <w:rFonts w:eastAsiaTheme="minorEastAsia"/>
                <w:szCs w:val="21"/>
              </w:rPr>
            </w:pPr>
            <w:r>
              <w:rPr>
                <w:rFonts w:eastAsiaTheme="minorEastAsia"/>
                <w:szCs w:val="21"/>
              </w:rPr>
              <w:t>300</w:t>
            </w:r>
          </w:p>
        </w:tc>
        <w:tc>
          <w:tcPr>
            <w:tcW w:w="1316" w:type="pct"/>
            <w:vAlign w:val="center"/>
          </w:tcPr>
          <w:p>
            <w:pPr>
              <w:adjustRightInd w:val="0"/>
              <w:snapToGrid w:val="0"/>
              <w:jc w:val="center"/>
              <w:rPr>
                <w:rFonts w:eastAsiaTheme="minorEastAsia"/>
                <w:szCs w:val="21"/>
              </w:rPr>
            </w:pPr>
            <w:r>
              <w:rPr>
                <w:rFonts w:eastAsiaTheme="minor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djustRightInd w:val="0"/>
              <w:snapToGrid w:val="0"/>
              <w:jc w:val="center"/>
              <w:rPr>
                <w:rFonts w:eastAsiaTheme="minorEastAsia"/>
                <w:szCs w:val="21"/>
              </w:rPr>
            </w:pPr>
            <w:r>
              <w:rPr>
                <w:rFonts w:eastAsiaTheme="minorEastAsia"/>
                <w:szCs w:val="21"/>
              </w:rPr>
              <w:t>5</w:t>
            </w:r>
          </w:p>
        </w:tc>
        <w:tc>
          <w:tcPr>
            <w:tcW w:w="1370" w:type="pct"/>
            <w:vAlign w:val="center"/>
          </w:tcPr>
          <w:p>
            <w:pPr>
              <w:adjustRightInd w:val="0"/>
              <w:snapToGrid w:val="0"/>
              <w:jc w:val="center"/>
              <w:rPr>
                <w:rFonts w:eastAsiaTheme="minorEastAsia"/>
                <w:szCs w:val="21"/>
              </w:rPr>
            </w:pPr>
            <w:r>
              <w:rPr>
                <w:rFonts w:eastAsiaTheme="minorEastAsia"/>
                <w:szCs w:val="21"/>
              </w:rPr>
              <w:t>氨氮</w:t>
            </w:r>
          </w:p>
        </w:tc>
        <w:tc>
          <w:tcPr>
            <w:tcW w:w="1531" w:type="pct"/>
            <w:vAlign w:val="center"/>
          </w:tcPr>
          <w:p>
            <w:pPr>
              <w:adjustRightInd w:val="0"/>
              <w:snapToGrid w:val="0"/>
              <w:jc w:val="center"/>
              <w:rPr>
                <w:rFonts w:eastAsiaTheme="minorEastAsia"/>
                <w:szCs w:val="21"/>
              </w:rPr>
            </w:pPr>
            <w:r>
              <w:rPr>
                <w:rFonts w:eastAsiaTheme="minorEastAsia"/>
                <w:szCs w:val="21"/>
              </w:rPr>
              <w:t>—</w:t>
            </w:r>
          </w:p>
        </w:tc>
        <w:tc>
          <w:tcPr>
            <w:tcW w:w="1316" w:type="pct"/>
            <w:vAlign w:val="center"/>
          </w:tcPr>
          <w:p>
            <w:pPr>
              <w:adjustRightInd w:val="0"/>
              <w:snapToGrid w:val="0"/>
              <w:jc w:val="center"/>
              <w:rPr>
                <w:rFonts w:eastAsiaTheme="minorEastAsia"/>
                <w:szCs w:val="21"/>
              </w:rPr>
            </w:pPr>
            <w:r>
              <w:rPr>
                <w:rFonts w:eastAsiaTheme="minorEastAsia"/>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djustRightInd w:val="0"/>
              <w:snapToGrid w:val="0"/>
              <w:jc w:val="center"/>
              <w:rPr>
                <w:rFonts w:eastAsiaTheme="minorEastAsia"/>
                <w:szCs w:val="21"/>
              </w:rPr>
            </w:pPr>
            <w:r>
              <w:rPr>
                <w:rFonts w:eastAsiaTheme="minorEastAsia"/>
                <w:szCs w:val="21"/>
              </w:rPr>
              <w:t>6</w:t>
            </w:r>
          </w:p>
        </w:tc>
        <w:tc>
          <w:tcPr>
            <w:tcW w:w="1370" w:type="pct"/>
            <w:vAlign w:val="center"/>
          </w:tcPr>
          <w:p>
            <w:pPr>
              <w:adjustRightInd w:val="0"/>
              <w:snapToGrid w:val="0"/>
              <w:jc w:val="center"/>
              <w:rPr>
                <w:rFonts w:eastAsiaTheme="minorEastAsia"/>
                <w:szCs w:val="21"/>
              </w:rPr>
            </w:pPr>
            <w:r>
              <w:rPr>
                <w:rFonts w:eastAsiaTheme="minorEastAsia"/>
                <w:szCs w:val="21"/>
              </w:rPr>
              <w:t>石油类</w:t>
            </w:r>
          </w:p>
        </w:tc>
        <w:tc>
          <w:tcPr>
            <w:tcW w:w="1531" w:type="pct"/>
            <w:vAlign w:val="center"/>
          </w:tcPr>
          <w:p>
            <w:pPr>
              <w:adjustRightInd w:val="0"/>
              <w:snapToGrid w:val="0"/>
              <w:jc w:val="center"/>
              <w:rPr>
                <w:rFonts w:eastAsiaTheme="minorEastAsia"/>
                <w:szCs w:val="21"/>
              </w:rPr>
            </w:pPr>
            <w:r>
              <w:rPr>
                <w:rFonts w:eastAsiaTheme="minorEastAsia"/>
                <w:szCs w:val="21"/>
              </w:rPr>
              <w:t>20</w:t>
            </w:r>
          </w:p>
        </w:tc>
        <w:tc>
          <w:tcPr>
            <w:tcW w:w="1316" w:type="pct"/>
            <w:vAlign w:val="center"/>
          </w:tcPr>
          <w:p>
            <w:pPr>
              <w:adjustRightInd w:val="0"/>
              <w:snapToGrid w:val="0"/>
              <w:jc w:val="center"/>
              <w:rPr>
                <w:rFonts w:eastAsiaTheme="minorEastAsia"/>
                <w:szCs w:val="21"/>
              </w:rPr>
            </w:pPr>
            <w:r>
              <w:rPr>
                <w:rFonts w:eastAsiaTheme="minorEastAsia"/>
                <w:szCs w:val="21"/>
              </w:rPr>
              <w:t>mg/L</w:t>
            </w:r>
          </w:p>
        </w:tc>
      </w:tr>
    </w:tbl>
    <w:p>
      <w:pPr>
        <w:snapToGrid w:val="0"/>
        <w:spacing w:line="360" w:lineRule="auto"/>
        <w:ind w:firstLine="601"/>
        <w:rPr>
          <w:rFonts w:eastAsiaTheme="minorEastAsia"/>
          <w:color w:val="FF0000"/>
          <w:sz w:val="24"/>
          <w:u w:val="single"/>
        </w:rPr>
      </w:pPr>
      <w:r>
        <w:rPr>
          <w:rFonts w:eastAsiaTheme="minorEastAsia"/>
          <w:sz w:val="24"/>
          <w:u w:val="single"/>
        </w:rPr>
        <w:t>本项目医疗废水经项目内自建的污水处理站预处理达到《医疗机构水污染物排放标准》（GB18466-2005）表2预处理标准</w:t>
      </w:r>
      <w:r>
        <w:rPr>
          <w:rFonts w:hint="eastAsia" w:eastAsiaTheme="minorEastAsia"/>
          <w:sz w:val="24"/>
          <w:u w:val="single"/>
        </w:rPr>
        <w:t>、《污水排入城镇下水道水质标准》（GB/T 31962—2015）C级标准以及</w:t>
      </w:r>
      <w:r>
        <w:rPr>
          <w:rFonts w:eastAsiaTheme="minorEastAsia"/>
          <w:sz w:val="24"/>
          <w:u w:val="single"/>
        </w:rPr>
        <w:t>湘阴县第一污水处理厂</w:t>
      </w:r>
      <w:r>
        <w:rPr>
          <w:rFonts w:hint="eastAsia" w:eastAsiaTheme="minorEastAsia"/>
          <w:sz w:val="24"/>
          <w:u w:val="single"/>
        </w:rPr>
        <w:t>进水水质要求后</w:t>
      </w:r>
      <w:r>
        <w:rPr>
          <w:rFonts w:eastAsiaTheme="minorEastAsia"/>
          <w:sz w:val="24"/>
          <w:u w:val="single"/>
        </w:rPr>
        <w:t>后排入市政污水管网，最终进入湘阴县第一污水处理厂处理。经</w:t>
      </w:r>
      <w:bookmarkStart w:id="51" w:name="OLE_LINK40"/>
      <w:bookmarkStart w:id="52" w:name="OLE_LINK41"/>
      <w:r>
        <w:rPr>
          <w:rFonts w:eastAsiaTheme="minorEastAsia"/>
          <w:sz w:val="24"/>
          <w:u w:val="single"/>
        </w:rPr>
        <w:t>湘阴县第一污水处理厂</w:t>
      </w:r>
      <w:bookmarkEnd w:id="51"/>
      <w:bookmarkEnd w:id="52"/>
      <w:r>
        <w:rPr>
          <w:rFonts w:eastAsiaTheme="minorEastAsia"/>
          <w:sz w:val="24"/>
          <w:u w:val="single"/>
        </w:rPr>
        <w:t>处理达到《城镇污水处理厂污染物排放标准》(GB18918-2002)一级A标准后经白水江最终排入湘江。其标准值见下表。</w:t>
      </w:r>
    </w:p>
    <w:p>
      <w:pPr>
        <w:snapToGrid w:val="0"/>
        <w:spacing w:line="360" w:lineRule="auto"/>
        <w:jc w:val="center"/>
        <w:rPr>
          <w:rFonts w:eastAsiaTheme="minorEastAsia"/>
          <w:b/>
          <w:sz w:val="24"/>
        </w:rPr>
      </w:pPr>
      <w:r>
        <w:rPr>
          <w:rFonts w:eastAsiaTheme="minorEastAsia"/>
          <w:b/>
          <w:sz w:val="24"/>
        </w:rPr>
        <w:t>表2.3-11  《医疗机构水污染物排放标准》（GB18466-2005）表2预处理标准</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046"/>
        <w:gridCol w:w="2774"/>
        <w:gridCol w:w="1271"/>
        <w:gridCol w:w="20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b/>
                <w:szCs w:val="21"/>
              </w:rPr>
            </w:pPr>
            <w:r>
              <w:rPr>
                <w:rFonts w:eastAsiaTheme="minorEastAsia"/>
                <w:b/>
                <w:szCs w:val="21"/>
              </w:rPr>
              <w:t>序号</w:t>
            </w:r>
          </w:p>
        </w:tc>
        <w:tc>
          <w:tcPr>
            <w:tcW w:w="1164" w:type="pct"/>
            <w:vAlign w:val="center"/>
          </w:tcPr>
          <w:p>
            <w:pPr>
              <w:adjustRightInd w:val="0"/>
              <w:snapToGrid w:val="0"/>
              <w:jc w:val="center"/>
              <w:rPr>
                <w:rFonts w:eastAsiaTheme="minorEastAsia"/>
                <w:b/>
                <w:szCs w:val="21"/>
              </w:rPr>
            </w:pPr>
            <w:r>
              <w:rPr>
                <w:rFonts w:eastAsiaTheme="minorEastAsia"/>
                <w:b/>
                <w:szCs w:val="21"/>
              </w:rPr>
              <w:t>控制项目</w:t>
            </w:r>
          </w:p>
        </w:tc>
        <w:tc>
          <w:tcPr>
            <w:tcW w:w="1578" w:type="pct"/>
            <w:vAlign w:val="center"/>
          </w:tcPr>
          <w:p>
            <w:pPr>
              <w:adjustRightInd w:val="0"/>
              <w:snapToGrid w:val="0"/>
              <w:jc w:val="center"/>
              <w:rPr>
                <w:rFonts w:eastAsiaTheme="minorEastAsia"/>
                <w:b/>
                <w:szCs w:val="21"/>
              </w:rPr>
            </w:pPr>
            <w:r>
              <w:rPr>
                <w:rFonts w:eastAsiaTheme="minorEastAsia"/>
                <w:b/>
                <w:szCs w:val="21"/>
              </w:rPr>
              <w:t>标准值</w:t>
            </w:r>
          </w:p>
        </w:tc>
        <w:tc>
          <w:tcPr>
            <w:tcW w:w="723" w:type="pct"/>
            <w:vAlign w:val="center"/>
          </w:tcPr>
          <w:p>
            <w:pPr>
              <w:adjustRightInd w:val="0"/>
              <w:snapToGrid w:val="0"/>
              <w:jc w:val="center"/>
              <w:rPr>
                <w:rFonts w:eastAsiaTheme="minorEastAsia"/>
                <w:b/>
                <w:szCs w:val="21"/>
              </w:rPr>
            </w:pPr>
            <w:r>
              <w:rPr>
                <w:rFonts w:eastAsiaTheme="minorEastAsia"/>
                <w:b/>
                <w:szCs w:val="21"/>
              </w:rPr>
              <w:t>单位</w:t>
            </w:r>
          </w:p>
        </w:tc>
        <w:tc>
          <w:tcPr>
            <w:tcW w:w="1139" w:type="pct"/>
            <w:vAlign w:val="center"/>
          </w:tcPr>
          <w:p>
            <w:pPr>
              <w:adjustRightInd w:val="0"/>
              <w:snapToGrid w:val="0"/>
              <w:jc w:val="center"/>
              <w:rPr>
                <w:rFonts w:eastAsiaTheme="minorEastAsia"/>
                <w:b/>
                <w:szCs w:val="21"/>
              </w:rPr>
            </w:pPr>
            <w:r>
              <w:rPr>
                <w:rFonts w:eastAsiaTheme="minorEastAsia"/>
                <w:b/>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w:t>
            </w:r>
          </w:p>
        </w:tc>
        <w:tc>
          <w:tcPr>
            <w:tcW w:w="1164" w:type="pct"/>
            <w:vAlign w:val="center"/>
          </w:tcPr>
          <w:p>
            <w:pPr>
              <w:adjustRightInd w:val="0"/>
              <w:snapToGrid w:val="0"/>
              <w:jc w:val="center"/>
              <w:rPr>
                <w:rFonts w:eastAsiaTheme="minorEastAsia"/>
                <w:szCs w:val="21"/>
              </w:rPr>
            </w:pPr>
            <w:r>
              <w:rPr>
                <w:rFonts w:eastAsiaTheme="minorEastAsia"/>
                <w:szCs w:val="21"/>
              </w:rPr>
              <w:t>pH</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6~9</w:t>
            </w:r>
          </w:p>
        </w:tc>
        <w:tc>
          <w:tcPr>
            <w:tcW w:w="723" w:type="pct"/>
            <w:vAlign w:val="center"/>
          </w:tcPr>
          <w:p>
            <w:pPr>
              <w:adjustRightInd w:val="0"/>
              <w:snapToGrid w:val="0"/>
              <w:jc w:val="center"/>
              <w:rPr>
                <w:rFonts w:eastAsiaTheme="minorEastAsia"/>
                <w:szCs w:val="21"/>
              </w:rPr>
            </w:pPr>
            <w:r>
              <w:rPr>
                <w:rFonts w:eastAsiaTheme="minorEastAsia"/>
                <w:szCs w:val="21"/>
              </w:rPr>
              <w:t>无量纲</w:t>
            </w:r>
          </w:p>
        </w:tc>
        <w:tc>
          <w:tcPr>
            <w:tcW w:w="1139" w:type="pct"/>
            <w:vMerge w:val="restart"/>
            <w:vAlign w:val="center"/>
          </w:tcPr>
          <w:p>
            <w:pPr>
              <w:adjustRightInd w:val="0"/>
              <w:snapToGrid w:val="0"/>
              <w:jc w:val="center"/>
              <w:rPr>
                <w:rFonts w:eastAsiaTheme="minorEastAsia"/>
                <w:szCs w:val="21"/>
              </w:rPr>
            </w:pPr>
            <w:r>
              <w:rPr>
                <w:rFonts w:eastAsiaTheme="minorEastAsia"/>
                <w:szCs w:val="21"/>
              </w:rPr>
              <w:t>《医疗机构水污染物排放标准》（GB18466-2005）表2预处理标准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2</w:t>
            </w:r>
          </w:p>
        </w:tc>
        <w:tc>
          <w:tcPr>
            <w:tcW w:w="1164" w:type="pct"/>
            <w:vAlign w:val="center"/>
          </w:tcPr>
          <w:p>
            <w:pPr>
              <w:adjustRightInd w:val="0"/>
              <w:snapToGrid w:val="0"/>
              <w:jc w:val="center"/>
              <w:rPr>
                <w:rFonts w:eastAsiaTheme="minorEastAsia"/>
                <w:szCs w:val="21"/>
              </w:rPr>
            </w:pPr>
            <w:r>
              <w:rPr>
                <w:rFonts w:eastAsiaTheme="minorEastAsia"/>
                <w:szCs w:val="21"/>
              </w:rPr>
              <w:t>COD</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25</w:t>
            </w:r>
            <w:r>
              <w:rPr>
                <w:rFonts w:hint="eastAsia" w:eastAsiaTheme="minorEastAsia"/>
                <w:szCs w:val="21"/>
                <w:u w:val="single"/>
              </w:rPr>
              <w:t>0</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3</w:t>
            </w:r>
          </w:p>
        </w:tc>
        <w:tc>
          <w:tcPr>
            <w:tcW w:w="1164" w:type="pct"/>
            <w:vAlign w:val="center"/>
          </w:tcPr>
          <w:p>
            <w:pPr>
              <w:adjustRightInd w:val="0"/>
              <w:snapToGrid w:val="0"/>
              <w:jc w:val="center"/>
              <w:rPr>
                <w:rFonts w:eastAsiaTheme="minorEastAsia"/>
                <w:szCs w:val="21"/>
              </w:rPr>
            </w:pPr>
            <w:r>
              <w:rPr>
                <w:rFonts w:eastAsiaTheme="minorEastAsia"/>
                <w:szCs w:val="21"/>
              </w:rPr>
              <w:t>SS</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60</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4</w:t>
            </w:r>
          </w:p>
        </w:tc>
        <w:tc>
          <w:tcPr>
            <w:tcW w:w="1164" w:type="pct"/>
            <w:vAlign w:val="center"/>
          </w:tcPr>
          <w:p>
            <w:pPr>
              <w:adjustRightInd w:val="0"/>
              <w:snapToGrid w:val="0"/>
              <w:jc w:val="center"/>
              <w:rPr>
                <w:rFonts w:eastAsiaTheme="minorEastAsia"/>
                <w:szCs w:val="21"/>
              </w:rPr>
            </w:pPr>
            <w:r>
              <w:rPr>
                <w:rFonts w:eastAsiaTheme="minorEastAsia"/>
                <w:szCs w:val="21"/>
              </w:rPr>
              <w:t>BOD</w:t>
            </w:r>
            <w:r>
              <w:rPr>
                <w:rFonts w:eastAsiaTheme="minorEastAsia"/>
                <w:szCs w:val="21"/>
                <w:vertAlign w:val="subscript"/>
              </w:rPr>
              <w:t>5</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100</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5</w:t>
            </w:r>
          </w:p>
        </w:tc>
        <w:tc>
          <w:tcPr>
            <w:tcW w:w="1164" w:type="pct"/>
            <w:vAlign w:val="center"/>
          </w:tcPr>
          <w:p>
            <w:pPr>
              <w:adjustRightInd w:val="0"/>
              <w:snapToGrid w:val="0"/>
              <w:jc w:val="center"/>
              <w:rPr>
                <w:rFonts w:eastAsiaTheme="minorEastAsia"/>
                <w:szCs w:val="21"/>
              </w:rPr>
            </w:pPr>
            <w:r>
              <w:rPr>
                <w:rFonts w:eastAsiaTheme="minorEastAsia"/>
                <w:szCs w:val="21"/>
              </w:rPr>
              <w:t>氨氮</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6</w:t>
            </w:r>
          </w:p>
        </w:tc>
        <w:tc>
          <w:tcPr>
            <w:tcW w:w="1164" w:type="pct"/>
            <w:vAlign w:val="center"/>
          </w:tcPr>
          <w:p>
            <w:pPr>
              <w:adjustRightInd w:val="0"/>
              <w:snapToGrid w:val="0"/>
              <w:jc w:val="center"/>
              <w:rPr>
                <w:rFonts w:eastAsiaTheme="minorEastAsia"/>
                <w:szCs w:val="21"/>
              </w:rPr>
            </w:pPr>
            <w:r>
              <w:rPr>
                <w:rFonts w:eastAsiaTheme="minorEastAsia"/>
                <w:szCs w:val="21"/>
              </w:rPr>
              <w:t>动植物油</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20</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7</w:t>
            </w:r>
          </w:p>
        </w:tc>
        <w:tc>
          <w:tcPr>
            <w:tcW w:w="1164" w:type="pct"/>
            <w:vAlign w:val="center"/>
          </w:tcPr>
          <w:p>
            <w:pPr>
              <w:adjustRightInd w:val="0"/>
              <w:snapToGrid w:val="0"/>
              <w:jc w:val="center"/>
              <w:rPr>
                <w:rFonts w:eastAsiaTheme="minorEastAsia"/>
                <w:szCs w:val="21"/>
              </w:rPr>
            </w:pPr>
            <w:r>
              <w:rPr>
                <w:rFonts w:eastAsiaTheme="minorEastAsia"/>
                <w:szCs w:val="21"/>
              </w:rPr>
              <w:t>总氰化物</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0.5</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8</w:t>
            </w:r>
          </w:p>
        </w:tc>
        <w:tc>
          <w:tcPr>
            <w:tcW w:w="1164" w:type="pct"/>
            <w:vAlign w:val="center"/>
          </w:tcPr>
          <w:p>
            <w:pPr>
              <w:adjustRightInd w:val="0"/>
              <w:snapToGrid w:val="0"/>
              <w:jc w:val="center"/>
              <w:rPr>
                <w:rFonts w:eastAsiaTheme="minorEastAsia"/>
                <w:szCs w:val="21"/>
              </w:rPr>
            </w:pPr>
            <w:r>
              <w:rPr>
                <w:rFonts w:eastAsiaTheme="minorEastAsia"/>
                <w:szCs w:val="21"/>
              </w:rPr>
              <w:t>粪大肠菌群</w:t>
            </w:r>
          </w:p>
        </w:tc>
        <w:tc>
          <w:tcPr>
            <w:tcW w:w="1578" w:type="pct"/>
            <w:vAlign w:val="center"/>
          </w:tcPr>
          <w:p>
            <w:pPr>
              <w:adjustRightInd w:val="0"/>
              <w:snapToGrid w:val="0"/>
              <w:jc w:val="center"/>
              <w:rPr>
                <w:rFonts w:eastAsiaTheme="minorEastAsia"/>
                <w:szCs w:val="21"/>
                <w:u w:val="single"/>
              </w:rPr>
            </w:pPr>
            <w:r>
              <w:rPr>
                <w:rFonts w:eastAsiaTheme="minorEastAsia"/>
                <w:szCs w:val="21"/>
                <w:u w:val="single"/>
              </w:rPr>
              <w:t>500</w:t>
            </w:r>
            <w:r>
              <w:rPr>
                <w:rFonts w:hint="eastAsia" w:eastAsiaTheme="minorEastAsia"/>
                <w:szCs w:val="21"/>
                <w:u w:val="single"/>
              </w:rPr>
              <w:t>0</w:t>
            </w:r>
          </w:p>
        </w:tc>
        <w:tc>
          <w:tcPr>
            <w:tcW w:w="723" w:type="pct"/>
            <w:vAlign w:val="center"/>
          </w:tcPr>
          <w:p>
            <w:pPr>
              <w:adjustRightInd w:val="0"/>
              <w:snapToGrid w:val="0"/>
              <w:jc w:val="center"/>
              <w:rPr>
                <w:rFonts w:eastAsiaTheme="minorEastAsia"/>
                <w:szCs w:val="21"/>
              </w:rPr>
            </w:pPr>
            <w:r>
              <w:rPr>
                <w:rFonts w:eastAsiaTheme="minorEastAsia"/>
                <w:szCs w:val="21"/>
              </w:rPr>
              <w:t>MPN/L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9</w:t>
            </w:r>
          </w:p>
        </w:tc>
        <w:tc>
          <w:tcPr>
            <w:tcW w:w="1164" w:type="pct"/>
            <w:vAlign w:val="center"/>
          </w:tcPr>
          <w:p>
            <w:pPr>
              <w:adjustRightInd w:val="0"/>
              <w:snapToGrid w:val="0"/>
              <w:jc w:val="center"/>
              <w:rPr>
                <w:rFonts w:eastAsiaTheme="minorEastAsia"/>
                <w:szCs w:val="21"/>
              </w:rPr>
            </w:pPr>
            <w:r>
              <w:rPr>
                <w:rFonts w:eastAsiaTheme="minorEastAsia"/>
                <w:szCs w:val="21"/>
              </w:rPr>
              <w:t>总余氯</w:t>
            </w:r>
          </w:p>
        </w:tc>
        <w:tc>
          <w:tcPr>
            <w:tcW w:w="1578" w:type="pct"/>
            <w:vAlign w:val="center"/>
          </w:tcPr>
          <w:p>
            <w:pPr>
              <w:adjustRightInd w:val="0"/>
              <w:snapToGrid w:val="0"/>
              <w:jc w:val="center"/>
              <w:rPr>
                <w:rFonts w:eastAsiaTheme="minorEastAsia"/>
                <w:szCs w:val="21"/>
              </w:rPr>
            </w:pPr>
            <w:r>
              <w:rPr>
                <w:rFonts w:eastAsiaTheme="minorEastAsia"/>
                <w:szCs w:val="21"/>
              </w:rPr>
              <w:t>2-8（采用含氯消毒剂）</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10</w:t>
            </w:r>
          </w:p>
        </w:tc>
        <w:tc>
          <w:tcPr>
            <w:tcW w:w="1164" w:type="pct"/>
            <w:vAlign w:val="center"/>
          </w:tcPr>
          <w:p>
            <w:pPr>
              <w:adjustRightInd w:val="0"/>
              <w:snapToGrid w:val="0"/>
              <w:jc w:val="center"/>
              <w:rPr>
                <w:rFonts w:eastAsiaTheme="minorEastAsia"/>
                <w:szCs w:val="21"/>
              </w:rPr>
            </w:pPr>
            <w:r>
              <w:rPr>
                <w:rFonts w:eastAsiaTheme="minorEastAsia"/>
                <w:szCs w:val="21"/>
              </w:rPr>
              <w:t>肠道致病菌</w:t>
            </w:r>
          </w:p>
        </w:tc>
        <w:tc>
          <w:tcPr>
            <w:tcW w:w="1578" w:type="pct"/>
            <w:vAlign w:val="center"/>
          </w:tcPr>
          <w:p>
            <w:pPr>
              <w:adjustRightInd w:val="0"/>
              <w:snapToGrid w:val="0"/>
              <w:jc w:val="center"/>
              <w:rPr>
                <w:rFonts w:eastAsiaTheme="minorEastAsia"/>
                <w:szCs w:val="21"/>
              </w:rPr>
            </w:pPr>
            <w:r>
              <w:rPr>
                <w:rFonts w:eastAsiaTheme="minorEastAsia"/>
                <w:szCs w:val="21"/>
              </w:rPr>
              <w:t>——</w:t>
            </w:r>
          </w:p>
        </w:tc>
        <w:tc>
          <w:tcPr>
            <w:tcW w:w="723" w:type="pct"/>
            <w:vAlign w:val="center"/>
          </w:tcPr>
          <w:p>
            <w:pPr>
              <w:adjustRightInd w:val="0"/>
              <w:snapToGrid w:val="0"/>
              <w:jc w:val="center"/>
              <w:rPr>
                <w:rFonts w:eastAsiaTheme="minorEastAsia"/>
                <w:szCs w:val="21"/>
              </w:rPr>
            </w:pPr>
            <w:r>
              <w:rPr>
                <w:rFonts w:eastAsiaTheme="minorEastAsia"/>
                <w:szCs w:val="21"/>
              </w:rPr>
              <w:t>——</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11</w:t>
            </w:r>
          </w:p>
        </w:tc>
        <w:tc>
          <w:tcPr>
            <w:tcW w:w="1164" w:type="pct"/>
            <w:vAlign w:val="center"/>
          </w:tcPr>
          <w:p>
            <w:pPr>
              <w:adjustRightInd w:val="0"/>
              <w:snapToGrid w:val="0"/>
              <w:jc w:val="center"/>
              <w:rPr>
                <w:rFonts w:eastAsiaTheme="minorEastAsia"/>
                <w:szCs w:val="21"/>
              </w:rPr>
            </w:pPr>
            <w:r>
              <w:rPr>
                <w:rFonts w:eastAsiaTheme="minorEastAsia"/>
                <w:szCs w:val="21"/>
              </w:rPr>
              <w:t>肠道病毒</w:t>
            </w:r>
          </w:p>
        </w:tc>
        <w:tc>
          <w:tcPr>
            <w:tcW w:w="1578" w:type="pct"/>
            <w:vAlign w:val="center"/>
          </w:tcPr>
          <w:p>
            <w:pPr>
              <w:adjustRightInd w:val="0"/>
              <w:snapToGrid w:val="0"/>
              <w:jc w:val="center"/>
              <w:rPr>
                <w:rFonts w:eastAsiaTheme="minorEastAsia"/>
                <w:szCs w:val="21"/>
              </w:rPr>
            </w:pPr>
            <w:r>
              <w:rPr>
                <w:rFonts w:eastAsiaTheme="minorEastAsia"/>
                <w:szCs w:val="21"/>
              </w:rPr>
              <w:t>——</w:t>
            </w:r>
          </w:p>
        </w:tc>
        <w:tc>
          <w:tcPr>
            <w:tcW w:w="723" w:type="pct"/>
            <w:vAlign w:val="center"/>
          </w:tcPr>
          <w:p>
            <w:pPr>
              <w:adjustRightInd w:val="0"/>
              <w:snapToGrid w:val="0"/>
              <w:jc w:val="center"/>
              <w:rPr>
                <w:rFonts w:eastAsiaTheme="minorEastAsia"/>
                <w:szCs w:val="21"/>
              </w:rPr>
            </w:pPr>
            <w:r>
              <w:rPr>
                <w:rFonts w:eastAsiaTheme="minorEastAsia"/>
                <w:szCs w:val="21"/>
              </w:rPr>
              <w:t>——</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12</w:t>
            </w:r>
          </w:p>
        </w:tc>
        <w:tc>
          <w:tcPr>
            <w:tcW w:w="1164" w:type="pct"/>
            <w:vAlign w:val="center"/>
          </w:tcPr>
          <w:p>
            <w:pPr>
              <w:adjustRightInd w:val="0"/>
              <w:snapToGrid w:val="0"/>
              <w:jc w:val="center"/>
              <w:rPr>
                <w:rFonts w:eastAsiaTheme="minorEastAsia"/>
                <w:szCs w:val="21"/>
              </w:rPr>
            </w:pPr>
            <w:r>
              <w:rPr>
                <w:rFonts w:eastAsiaTheme="minorEastAsia"/>
                <w:szCs w:val="21"/>
              </w:rPr>
              <w:t>pH</w:t>
            </w:r>
          </w:p>
        </w:tc>
        <w:tc>
          <w:tcPr>
            <w:tcW w:w="1578" w:type="pct"/>
            <w:vAlign w:val="center"/>
          </w:tcPr>
          <w:p>
            <w:pPr>
              <w:adjustRightInd w:val="0"/>
              <w:snapToGrid w:val="0"/>
              <w:jc w:val="center"/>
              <w:rPr>
                <w:rFonts w:eastAsiaTheme="minorEastAsia"/>
                <w:szCs w:val="21"/>
              </w:rPr>
            </w:pPr>
            <w:r>
              <w:rPr>
                <w:rFonts w:eastAsiaTheme="minorEastAsia"/>
                <w:szCs w:val="21"/>
              </w:rPr>
              <w:t>6~9</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restart"/>
            <w:vAlign w:val="center"/>
          </w:tcPr>
          <w:p>
            <w:pPr>
              <w:adjustRightInd w:val="0"/>
              <w:snapToGrid w:val="0"/>
              <w:jc w:val="center"/>
              <w:rPr>
                <w:rFonts w:eastAsiaTheme="minorEastAsia"/>
                <w:szCs w:val="21"/>
              </w:rPr>
            </w:pPr>
            <w:r>
              <w:rPr>
                <w:rFonts w:eastAsiaTheme="minorEastAsia"/>
                <w:szCs w:val="21"/>
              </w:rPr>
              <w:t>《城镇污水处理厂污染物排放标准》(GB18918-2002)一级A标准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13</w:t>
            </w:r>
          </w:p>
        </w:tc>
        <w:tc>
          <w:tcPr>
            <w:tcW w:w="1164" w:type="pct"/>
            <w:vAlign w:val="center"/>
          </w:tcPr>
          <w:p>
            <w:pPr>
              <w:adjustRightInd w:val="0"/>
              <w:snapToGrid w:val="0"/>
              <w:jc w:val="center"/>
              <w:rPr>
                <w:rFonts w:eastAsiaTheme="minorEastAsia"/>
                <w:szCs w:val="21"/>
              </w:rPr>
            </w:pPr>
            <w:r>
              <w:rPr>
                <w:rFonts w:eastAsiaTheme="minorEastAsia"/>
                <w:szCs w:val="21"/>
              </w:rPr>
              <w:t>COD</w:t>
            </w:r>
            <w:r>
              <w:rPr>
                <w:rFonts w:eastAsiaTheme="minorEastAsia"/>
                <w:szCs w:val="21"/>
                <w:vertAlign w:val="subscript"/>
              </w:rPr>
              <w:t>Cr</w:t>
            </w:r>
          </w:p>
        </w:tc>
        <w:tc>
          <w:tcPr>
            <w:tcW w:w="1578" w:type="pct"/>
            <w:vAlign w:val="center"/>
          </w:tcPr>
          <w:p>
            <w:pPr>
              <w:adjustRightInd w:val="0"/>
              <w:snapToGrid w:val="0"/>
              <w:jc w:val="center"/>
              <w:rPr>
                <w:rFonts w:eastAsiaTheme="minorEastAsia"/>
                <w:szCs w:val="21"/>
              </w:rPr>
            </w:pPr>
            <w:r>
              <w:rPr>
                <w:rFonts w:eastAsiaTheme="minorEastAsia"/>
                <w:szCs w:val="21"/>
              </w:rPr>
              <w:t>50</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14</w:t>
            </w:r>
          </w:p>
        </w:tc>
        <w:tc>
          <w:tcPr>
            <w:tcW w:w="1164" w:type="pct"/>
            <w:vAlign w:val="center"/>
          </w:tcPr>
          <w:p>
            <w:pPr>
              <w:adjustRightInd w:val="0"/>
              <w:snapToGrid w:val="0"/>
              <w:jc w:val="center"/>
              <w:rPr>
                <w:rFonts w:eastAsiaTheme="minorEastAsia"/>
                <w:szCs w:val="21"/>
              </w:rPr>
            </w:pPr>
            <w:r>
              <w:rPr>
                <w:rFonts w:eastAsiaTheme="minorEastAsia"/>
                <w:szCs w:val="21"/>
              </w:rPr>
              <w:t>SS</w:t>
            </w:r>
          </w:p>
        </w:tc>
        <w:tc>
          <w:tcPr>
            <w:tcW w:w="1578" w:type="pct"/>
            <w:vAlign w:val="center"/>
          </w:tcPr>
          <w:p>
            <w:pPr>
              <w:adjustRightInd w:val="0"/>
              <w:snapToGrid w:val="0"/>
              <w:jc w:val="center"/>
              <w:rPr>
                <w:rFonts w:eastAsiaTheme="minorEastAsia"/>
                <w:szCs w:val="21"/>
              </w:rPr>
            </w:pPr>
            <w:r>
              <w:rPr>
                <w:rFonts w:eastAsiaTheme="minorEastAsia"/>
                <w:szCs w:val="21"/>
              </w:rPr>
              <w:t>10</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15</w:t>
            </w:r>
          </w:p>
        </w:tc>
        <w:tc>
          <w:tcPr>
            <w:tcW w:w="1164" w:type="pct"/>
            <w:vAlign w:val="center"/>
          </w:tcPr>
          <w:p>
            <w:pPr>
              <w:adjustRightInd w:val="0"/>
              <w:snapToGrid w:val="0"/>
              <w:jc w:val="center"/>
              <w:rPr>
                <w:rFonts w:eastAsiaTheme="minorEastAsia"/>
                <w:szCs w:val="21"/>
              </w:rPr>
            </w:pPr>
            <w:r>
              <w:rPr>
                <w:rFonts w:eastAsiaTheme="minorEastAsia"/>
                <w:szCs w:val="21"/>
              </w:rPr>
              <w:t>BOD</w:t>
            </w:r>
            <w:r>
              <w:rPr>
                <w:rFonts w:eastAsiaTheme="minorEastAsia"/>
                <w:szCs w:val="21"/>
                <w:vertAlign w:val="subscript"/>
              </w:rPr>
              <w:t>5</w:t>
            </w:r>
          </w:p>
        </w:tc>
        <w:tc>
          <w:tcPr>
            <w:tcW w:w="1578" w:type="pct"/>
            <w:vAlign w:val="center"/>
          </w:tcPr>
          <w:p>
            <w:pPr>
              <w:adjustRightInd w:val="0"/>
              <w:snapToGrid w:val="0"/>
              <w:jc w:val="center"/>
              <w:rPr>
                <w:rFonts w:eastAsiaTheme="minorEastAsia"/>
                <w:szCs w:val="21"/>
              </w:rPr>
            </w:pPr>
            <w:r>
              <w:rPr>
                <w:rFonts w:eastAsiaTheme="minorEastAsia"/>
                <w:szCs w:val="21"/>
              </w:rPr>
              <w:t>10</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16</w:t>
            </w:r>
          </w:p>
        </w:tc>
        <w:tc>
          <w:tcPr>
            <w:tcW w:w="1164" w:type="pct"/>
            <w:vAlign w:val="center"/>
          </w:tcPr>
          <w:p>
            <w:pPr>
              <w:adjustRightInd w:val="0"/>
              <w:snapToGrid w:val="0"/>
              <w:jc w:val="center"/>
              <w:rPr>
                <w:rFonts w:eastAsiaTheme="minorEastAsia"/>
                <w:szCs w:val="21"/>
              </w:rPr>
            </w:pPr>
            <w:r>
              <w:rPr>
                <w:rFonts w:eastAsiaTheme="minorEastAsia"/>
                <w:szCs w:val="21"/>
              </w:rPr>
              <w:t>氨氮(以N计)</w:t>
            </w:r>
          </w:p>
        </w:tc>
        <w:tc>
          <w:tcPr>
            <w:tcW w:w="1578" w:type="pct"/>
            <w:vAlign w:val="center"/>
          </w:tcPr>
          <w:p>
            <w:pPr>
              <w:adjustRightInd w:val="0"/>
              <w:snapToGrid w:val="0"/>
              <w:jc w:val="center"/>
              <w:rPr>
                <w:rFonts w:eastAsiaTheme="minorEastAsia"/>
                <w:szCs w:val="21"/>
              </w:rPr>
            </w:pPr>
            <w:r>
              <w:rPr>
                <w:rFonts w:eastAsiaTheme="minorEastAsia"/>
                <w:szCs w:val="21"/>
              </w:rPr>
              <w:t>5(8)</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17</w:t>
            </w:r>
          </w:p>
        </w:tc>
        <w:tc>
          <w:tcPr>
            <w:tcW w:w="1164" w:type="pct"/>
            <w:vAlign w:val="center"/>
          </w:tcPr>
          <w:p>
            <w:pPr>
              <w:adjustRightInd w:val="0"/>
              <w:snapToGrid w:val="0"/>
              <w:jc w:val="center"/>
              <w:rPr>
                <w:rFonts w:eastAsiaTheme="minorEastAsia"/>
                <w:szCs w:val="21"/>
              </w:rPr>
            </w:pPr>
            <w:r>
              <w:rPr>
                <w:rFonts w:eastAsiaTheme="minorEastAsia"/>
                <w:szCs w:val="21"/>
              </w:rPr>
              <w:t>总磷（以P计）</w:t>
            </w:r>
          </w:p>
        </w:tc>
        <w:tc>
          <w:tcPr>
            <w:tcW w:w="1578" w:type="pct"/>
            <w:vAlign w:val="center"/>
          </w:tcPr>
          <w:p>
            <w:pPr>
              <w:adjustRightInd w:val="0"/>
              <w:snapToGrid w:val="0"/>
              <w:jc w:val="center"/>
              <w:rPr>
                <w:rFonts w:eastAsiaTheme="minorEastAsia"/>
                <w:szCs w:val="21"/>
              </w:rPr>
            </w:pPr>
            <w:r>
              <w:rPr>
                <w:rFonts w:eastAsiaTheme="minorEastAsia"/>
                <w:szCs w:val="21"/>
              </w:rPr>
              <w:t>0.5</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18</w:t>
            </w:r>
          </w:p>
        </w:tc>
        <w:tc>
          <w:tcPr>
            <w:tcW w:w="1164" w:type="pct"/>
            <w:vAlign w:val="center"/>
          </w:tcPr>
          <w:p>
            <w:pPr>
              <w:adjustRightInd w:val="0"/>
              <w:snapToGrid w:val="0"/>
              <w:jc w:val="center"/>
              <w:rPr>
                <w:rFonts w:eastAsiaTheme="minorEastAsia"/>
                <w:szCs w:val="21"/>
              </w:rPr>
            </w:pPr>
            <w:r>
              <w:rPr>
                <w:rFonts w:eastAsiaTheme="minorEastAsia"/>
                <w:szCs w:val="21"/>
              </w:rPr>
              <w:t>动植物油</w:t>
            </w:r>
          </w:p>
        </w:tc>
        <w:tc>
          <w:tcPr>
            <w:tcW w:w="1578" w:type="pct"/>
            <w:vAlign w:val="center"/>
          </w:tcPr>
          <w:p>
            <w:pPr>
              <w:adjustRightInd w:val="0"/>
              <w:snapToGrid w:val="0"/>
              <w:jc w:val="center"/>
              <w:rPr>
                <w:rFonts w:eastAsiaTheme="minorEastAsia"/>
                <w:szCs w:val="21"/>
              </w:rPr>
            </w:pPr>
            <w:r>
              <w:rPr>
                <w:rFonts w:eastAsiaTheme="minorEastAsia"/>
                <w:szCs w:val="21"/>
              </w:rPr>
              <w:t>1</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19</w:t>
            </w:r>
          </w:p>
        </w:tc>
        <w:tc>
          <w:tcPr>
            <w:tcW w:w="1164" w:type="pct"/>
            <w:vAlign w:val="center"/>
          </w:tcPr>
          <w:p>
            <w:pPr>
              <w:adjustRightInd w:val="0"/>
              <w:snapToGrid w:val="0"/>
              <w:jc w:val="center"/>
              <w:rPr>
                <w:rFonts w:eastAsiaTheme="minorEastAsia"/>
                <w:szCs w:val="21"/>
              </w:rPr>
            </w:pPr>
            <w:r>
              <w:rPr>
                <w:rFonts w:eastAsiaTheme="minorEastAsia"/>
                <w:szCs w:val="21"/>
              </w:rPr>
              <w:t>总氰化物</w:t>
            </w:r>
          </w:p>
        </w:tc>
        <w:tc>
          <w:tcPr>
            <w:tcW w:w="1578" w:type="pct"/>
            <w:vAlign w:val="center"/>
          </w:tcPr>
          <w:p>
            <w:pPr>
              <w:adjustRightInd w:val="0"/>
              <w:snapToGrid w:val="0"/>
              <w:jc w:val="center"/>
              <w:rPr>
                <w:rFonts w:eastAsiaTheme="minorEastAsia"/>
                <w:szCs w:val="21"/>
              </w:rPr>
            </w:pPr>
            <w:r>
              <w:rPr>
                <w:rFonts w:eastAsiaTheme="minorEastAsia"/>
                <w:szCs w:val="21"/>
              </w:rPr>
              <w:t>0.5</w:t>
            </w:r>
          </w:p>
        </w:tc>
        <w:tc>
          <w:tcPr>
            <w:tcW w:w="723" w:type="pct"/>
            <w:vAlign w:val="center"/>
          </w:tcPr>
          <w:p>
            <w:pPr>
              <w:adjustRightInd w:val="0"/>
              <w:snapToGrid w:val="0"/>
              <w:jc w:val="center"/>
              <w:rPr>
                <w:rFonts w:eastAsiaTheme="minorEastAsia"/>
                <w:szCs w:val="21"/>
              </w:rPr>
            </w:pPr>
            <w:r>
              <w:rPr>
                <w:rFonts w:eastAsiaTheme="minorEastAsia"/>
                <w:szCs w:val="21"/>
              </w:rPr>
              <w:t>mg/L</w:t>
            </w:r>
          </w:p>
        </w:tc>
        <w:tc>
          <w:tcPr>
            <w:tcW w:w="1139" w:type="pct"/>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djustRightInd w:val="0"/>
              <w:snapToGrid w:val="0"/>
              <w:jc w:val="center"/>
              <w:rPr>
                <w:rFonts w:eastAsiaTheme="minorEastAsia"/>
                <w:szCs w:val="21"/>
              </w:rPr>
            </w:pPr>
            <w:r>
              <w:rPr>
                <w:rFonts w:eastAsiaTheme="minorEastAsia"/>
                <w:szCs w:val="21"/>
              </w:rPr>
              <w:t>20</w:t>
            </w:r>
          </w:p>
        </w:tc>
        <w:tc>
          <w:tcPr>
            <w:tcW w:w="1164" w:type="pct"/>
            <w:vAlign w:val="center"/>
          </w:tcPr>
          <w:p>
            <w:pPr>
              <w:adjustRightInd w:val="0"/>
              <w:snapToGrid w:val="0"/>
              <w:jc w:val="center"/>
              <w:rPr>
                <w:rFonts w:eastAsiaTheme="minorEastAsia"/>
                <w:szCs w:val="21"/>
              </w:rPr>
            </w:pPr>
            <w:r>
              <w:rPr>
                <w:rFonts w:eastAsiaTheme="minorEastAsia"/>
                <w:szCs w:val="21"/>
              </w:rPr>
              <w:t>粪大肠菌群</w:t>
            </w:r>
          </w:p>
        </w:tc>
        <w:tc>
          <w:tcPr>
            <w:tcW w:w="1578" w:type="pct"/>
            <w:vAlign w:val="center"/>
          </w:tcPr>
          <w:p>
            <w:pPr>
              <w:adjustRightInd w:val="0"/>
              <w:snapToGrid w:val="0"/>
              <w:jc w:val="center"/>
              <w:rPr>
                <w:rFonts w:eastAsiaTheme="minorEastAsia"/>
                <w:szCs w:val="21"/>
              </w:rPr>
            </w:pPr>
            <w:r>
              <w:rPr>
                <w:rFonts w:eastAsiaTheme="minorEastAsia"/>
                <w:szCs w:val="21"/>
              </w:rPr>
              <w:t>1000</w:t>
            </w:r>
          </w:p>
        </w:tc>
        <w:tc>
          <w:tcPr>
            <w:tcW w:w="723" w:type="pct"/>
            <w:vAlign w:val="center"/>
          </w:tcPr>
          <w:p>
            <w:pPr>
              <w:adjustRightInd w:val="0"/>
              <w:snapToGrid w:val="0"/>
              <w:jc w:val="center"/>
              <w:rPr>
                <w:rFonts w:eastAsiaTheme="minorEastAsia"/>
                <w:szCs w:val="21"/>
              </w:rPr>
            </w:pPr>
            <w:r>
              <w:rPr>
                <w:rFonts w:eastAsiaTheme="minorEastAsia"/>
                <w:szCs w:val="21"/>
              </w:rPr>
              <w:t>个/L</w:t>
            </w:r>
          </w:p>
        </w:tc>
        <w:tc>
          <w:tcPr>
            <w:tcW w:w="1139" w:type="pct"/>
            <w:vMerge w:val="continue"/>
            <w:vAlign w:val="center"/>
          </w:tcPr>
          <w:p>
            <w:pPr>
              <w:adjustRightInd w:val="0"/>
              <w:snapToGrid w:val="0"/>
              <w:jc w:val="center"/>
              <w:rPr>
                <w:rFonts w:eastAsiaTheme="minorEastAsia"/>
                <w:szCs w:val="21"/>
              </w:rPr>
            </w:pPr>
          </w:p>
        </w:tc>
      </w:tr>
    </w:tbl>
    <w:p>
      <w:pPr>
        <w:snapToGrid w:val="0"/>
        <w:spacing w:line="360" w:lineRule="auto"/>
        <w:jc w:val="center"/>
        <w:rPr>
          <w:rFonts w:eastAsiaTheme="minorEastAsia"/>
          <w:b/>
          <w:bCs/>
          <w:sz w:val="24"/>
          <w:u w:val="single"/>
        </w:rPr>
      </w:pPr>
      <w:r>
        <w:rPr>
          <w:rFonts w:hint="eastAsia" w:eastAsiaTheme="minorEastAsia"/>
          <w:b/>
          <w:bCs/>
          <w:sz w:val="24"/>
          <w:u w:val="single"/>
        </w:rPr>
        <w:t>表2</w:t>
      </w:r>
      <w:r>
        <w:rPr>
          <w:rFonts w:eastAsiaTheme="minorEastAsia"/>
          <w:b/>
          <w:bCs/>
          <w:sz w:val="24"/>
          <w:u w:val="single"/>
        </w:rPr>
        <w:t>.3-</w:t>
      </w:r>
      <w:r>
        <w:rPr>
          <w:rFonts w:hint="eastAsia" w:eastAsiaTheme="minorEastAsia"/>
          <w:b/>
          <w:bCs/>
          <w:sz w:val="24"/>
          <w:u w:val="single"/>
        </w:rPr>
        <w:t>1</w:t>
      </w:r>
      <w:r>
        <w:rPr>
          <w:rFonts w:eastAsiaTheme="minorEastAsia"/>
          <w:b/>
          <w:bCs/>
          <w:sz w:val="24"/>
          <w:u w:val="single"/>
        </w:rPr>
        <w:t xml:space="preserve">2  </w:t>
      </w:r>
      <w:r>
        <w:rPr>
          <w:rFonts w:hint="eastAsia" w:eastAsiaTheme="minorEastAsia"/>
          <w:b/>
          <w:bCs/>
          <w:sz w:val="24"/>
          <w:u w:val="single"/>
        </w:rPr>
        <w:t>湘阴县第一污水处理厂设计进水质（单位</w:t>
      </w:r>
      <w:r>
        <w:rPr>
          <w:rFonts w:eastAsiaTheme="minorEastAsia"/>
          <w:b/>
          <w:bCs/>
          <w:sz w:val="24"/>
          <w:u w:val="single"/>
        </w:rPr>
        <w:t>mg/L</w:t>
      </w:r>
      <w:r>
        <w:rPr>
          <w:rFonts w:hint="eastAsia" w:eastAsiaTheme="minorEastAsia"/>
          <w:b/>
          <w:bCs/>
          <w:sz w:val="24"/>
          <w:u w:val="single"/>
        </w:rPr>
        <w:t>）</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0"/>
        <w:gridCol w:w="1068"/>
        <w:gridCol w:w="1139"/>
        <w:gridCol w:w="1149"/>
        <w:gridCol w:w="1051"/>
        <w:gridCol w:w="1186"/>
        <w:gridCol w:w="944"/>
        <w:gridCol w:w="10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0" w:type="dxa"/>
            <w:tcBorders>
              <w:top w:val="single" w:color="auto" w:sz="12" w:space="0"/>
              <w:left w:val="single" w:color="auto" w:sz="12" w:space="0"/>
              <w:bottom w:val="single" w:color="auto" w:sz="6" w:space="0"/>
              <w:right w:val="single" w:color="auto" w:sz="6" w:space="0"/>
            </w:tcBorders>
            <w:vAlign w:val="center"/>
          </w:tcPr>
          <w:p>
            <w:pPr>
              <w:widowControl/>
              <w:snapToGrid w:val="0"/>
              <w:jc w:val="center"/>
              <w:rPr>
                <w:b/>
                <w:bCs/>
                <w:kern w:val="0"/>
                <w:szCs w:val="21"/>
                <w:u w:val="single"/>
              </w:rPr>
            </w:pPr>
            <w:r>
              <w:rPr>
                <w:rFonts w:hint="eastAsia"/>
                <w:b/>
                <w:bCs/>
                <w:kern w:val="0"/>
                <w:szCs w:val="21"/>
                <w:u w:val="single"/>
              </w:rPr>
              <w:t>项目</w:t>
            </w:r>
          </w:p>
        </w:tc>
        <w:tc>
          <w:tcPr>
            <w:tcW w:w="1145"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rFonts w:hint="eastAsia"/>
                <w:b/>
                <w:bCs/>
                <w:kern w:val="0"/>
                <w:szCs w:val="21"/>
                <w:u w:val="single"/>
              </w:rPr>
              <w:t>p</w:t>
            </w:r>
            <w:r>
              <w:rPr>
                <w:b/>
                <w:bCs/>
                <w:kern w:val="0"/>
                <w:szCs w:val="21"/>
                <w:u w:val="single"/>
              </w:rPr>
              <w:t>H</w:t>
            </w:r>
          </w:p>
        </w:tc>
        <w:tc>
          <w:tcPr>
            <w:tcW w:w="1201"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kern w:val="0"/>
                <w:szCs w:val="21"/>
                <w:u w:val="single"/>
              </w:rPr>
              <w:t>COD</w:t>
            </w:r>
          </w:p>
        </w:tc>
        <w:tc>
          <w:tcPr>
            <w:tcW w:w="1205"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BOD</w:t>
            </w:r>
            <w:r>
              <w:rPr>
                <w:b/>
                <w:bCs/>
                <w:szCs w:val="21"/>
                <w:u w:val="single"/>
                <w:vertAlign w:val="subscript"/>
              </w:rPr>
              <w:t>5</w:t>
            </w:r>
          </w:p>
        </w:tc>
        <w:tc>
          <w:tcPr>
            <w:tcW w:w="1122"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SS</w:t>
            </w:r>
          </w:p>
        </w:tc>
        <w:tc>
          <w:tcPr>
            <w:tcW w:w="1235"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NH</w:t>
            </w:r>
            <w:r>
              <w:rPr>
                <w:b/>
                <w:bCs/>
                <w:szCs w:val="21"/>
                <w:u w:val="single"/>
                <w:vertAlign w:val="subscript"/>
              </w:rPr>
              <w:t>3</w:t>
            </w:r>
            <w:r>
              <w:rPr>
                <w:b/>
                <w:bCs/>
                <w:szCs w:val="21"/>
                <w:u w:val="single"/>
              </w:rPr>
              <w:t>-N</w:t>
            </w:r>
          </w:p>
        </w:tc>
        <w:tc>
          <w:tcPr>
            <w:tcW w:w="1003"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TN</w:t>
            </w:r>
          </w:p>
        </w:tc>
        <w:tc>
          <w:tcPr>
            <w:tcW w:w="1084" w:type="dxa"/>
            <w:tcBorders>
              <w:top w:val="single" w:color="auto" w:sz="12" w:space="0"/>
              <w:left w:val="single" w:color="auto" w:sz="6" w:space="0"/>
              <w:bottom w:val="single" w:color="auto" w:sz="6" w:space="0"/>
              <w:right w:val="single" w:color="auto" w:sz="12" w:space="0"/>
            </w:tcBorders>
            <w:vAlign w:val="center"/>
          </w:tcPr>
          <w:p>
            <w:pPr>
              <w:widowControl/>
              <w:snapToGrid w:val="0"/>
              <w:jc w:val="center"/>
              <w:rPr>
                <w:b/>
                <w:bCs/>
                <w:kern w:val="0"/>
                <w:szCs w:val="21"/>
                <w:u w:val="single"/>
              </w:rPr>
            </w:pPr>
            <w:r>
              <w:rPr>
                <w:b/>
                <w:bCs/>
                <w:szCs w:val="21"/>
                <w:u w:val="single"/>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50" w:type="dxa"/>
            <w:tcBorders>
              <w:top w:val="single" w:color="auto" w:sz="6" w:space="0"/>
              <w:left w:val="single" w:color="auto" w:sz="12" w:space="0"/>
              <w:bottom w:val="single" w:color="auto" w:sz="12" w:space="0"/>
              <w:right w:val="single" w:color="auto" w:sz="6" w:space="0"/>
            </w:tcBorders>
            <w:vAlign w:val="center"/>
          </w:tcPr>
          <w:p>
            <w:pPr>
              <w:widowControl/>
              <w:snapToGrid w:val="0"/>
              <w:jc w:val="center"/>
              <w:rPr>
                <w:kern w:val="0"/>
                <w:szCs w:val="21"/>
                <w:u w:val="single"/>
              </w:rPr>
            </w:pPr>
            <w:r>
              <w:rPr>
                <w:rFonts w:hint="eastAsia"/>
                <w:kern w:val="0"/>
                <w:szCs w:val="21"/>
                <w:u w:val="single"/>
              </w:rPr>
              <w:t>设计进水水质</w:t>
            </w:r>
          </w:p>
        </w:tc>
        <w:tc>
          <w:tcPr>
            <w:tcW w:w="1145"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rFonts w:hint="eastAsia"/>
                <w:kern w:val="0"/>
                <w:szCs w:val="21"/>
                <w:u w:val="single"/>
              </w:rPr>
              <w:t>6-9</w:t>
            </w:r>
          </w:p>
        </w:tc>
        <w:tc>
          <w:tcPr>
            <w:tcW w:w="1201"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kern w:val="0"/>
                <w:szCs w:val="21"/>
                <w:u w:val="single"/>
              </w:rPr>
              <w:t>300</w:t>
            </w:r>
          </w:p>
        </w:tc>
        <w:tc>
          <w:tcPr>
            <w:tcW w:w="1205"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kern w:val="0"/>
                <w:szCs w:val="21"/>
                <w:u w:val="single"/>
              </w:rPr>
              <w:t>120</w:t>
            </w:r>
          </w:p>
        </w:tc>
        <w:tc>
          <w:tcPr>
            <w:tcW w:w="1122"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kern w:val="0"/>
                <w:szCs w:val="21"/>
                <w:u w:val="single"/>
              </w:rPr>
              <w:t>200</w:t>
            </w:r>
          </w:p>
        </w:tc>
        <w:tc>
          <w:tcPr>
            <w:tcW w:w="1235"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kern w:val="0"/>
                <w:szCs w:val="21"/>
                <w:u w:val="single"/>
              </w:rPr>
              <w:t>30</w:t>
            </w:r>
          </w:p>
        </w:tc>
        <w:tc>
          <w:tcPr>
            <w:tcW w:w="1003"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kern w:val="0"/>
                <w:szCs w:val="21"/>
                <w:u w:val="single"/>
              </w:rPr>
              <w:t>35</w:t>
            </w:r>
          </w:p>
        </w:tc>
        <w:tc>
          <w:tcPr>
            <w:tcW w:w="1084" w:type="dxa"/>
            <w:tcBorders>
              <w:top w:val="single" w:color="auto" w:sz="6" w:space="0"/>
              <w:left w:val="single" w:color="auto" w:sz="6" w:space="0"/>
              <w:bottom w:val="single" w:color="auto" w:sz="12" w:space="0"/>
              <w:right w:val="single" w:color="auto" w:sz="12" w:space="0"/>
            </w:tcBorders>
            <w:vAlign w:val="center"/>
          </w:tcPr>
          <w:p>
            <w:pPr>
              <w:widowControl/>
              <w:snapToGrid w:val="0"/>
              <w:jc w:val="center"/>
              <w:rPr>
                <w:kern w:val="0"/>
                <w:szCs w:val="21"/>
                <w:u w:val="single"/>
              </w:rPr>
            </w:pPr>
            <w:r>
              <w:rPr>
                <w:kern w:val="0"/>
                <w:szCs w:val="21"/>
                <w:u w:val="single"/>
              </w:rPr>
              <w:t>3.0</w:t>
            </w:r>
          </w:p>
        </w:tc>
      </w:tr>
    </w:tbl>
    <w:p>
      <w:pPr>
        <w:snapToGrid w:val="0"/>
        <w:spacing w:line="360" w:lineRule="auto"/>
        <w:jc w:val="center"/>
        <w:rPr>
          <w:rFonts w:eastAsiaTheme="minorEastAsia"/>
          <w:b/>
          <w:sz w:val="24"/>
        </w:rPr>
      </w:pPr>
      <w:r>
        <w:rPr>
          <w:rFonts w:hint="eastAsia" w:eastAsiaTheme="minorEastAsia"/>
          <w:b/>
          <w:sz w:val="24"/>
        </w:rPr>
        <w:t>表2.3-13《污水排入城镇下水道水质标准》（GB/T 31962—2015）</w:t>
      </w:r>
      <w:r>
        <w:rPr>
          <w:rFonts w:hint="eastAsia" w:eastAsiaTheme="minorEastAsia"/>
          <w:b/>
          <w:bCs/>
          <w:sz w:val="24"/>
          <w:u w:val="single"/>
        </w:rPr>
        <w:t>（单位</w:t>
      </w:r>
      <w:r>
        <w:rPr>
          <w:rFonts w:eastAsiaTheme="minorEastAsia"/>
          <w:b/>
          <w:bCs/>
          <w:sz w:val="24"/>
          <w:u w:val="single"/>
        </w:rPr>
        <w:t>mg/L</w:t>
      </w:r>
      <w:r>
        <w:rPr>
          <w:rFonts w:hint="eastAsia" w:eastAsiaTheme="minorEastAsia"/>
          <w:b/>
          <w:bCs/>
          <w:sz w:val="24"/>
          <w:u w:val="single"/>
        </w:rPr>
        <w:t>）</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1"/>
        <w:gridCol w:w="937"/>
        <w:gridCol w:w="1041"/>
        <w:gridCol w:w="1064"/>
        <w:gridCol w:w="945"/>
        <w:gridCol w:w="1108"/>
        <w:gridCol w:w="852"/>
        <w:gridCol w:w="904"/>
        <w:gridCol w:w="8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9" w:type="dxa"/>
            <w:tcBorders>
              <w:top w:val="single" w:color="auto" w:sz="12" w:space="0"/>
              <w:left w:val="single" w:color="auto" w:sz="12" w:space="0"/>
              <w:bottom w:val="single" w:color="auto" w:sz="6" w:space="0"/>
              <w:right w:val="single" w:color="auto" w:sz="6" w:space="0"/>
            </w:tcBorders>
            <w:vAlign w:val="center"/>
          </w:tcPr>
          <w:p>
            <w:pPr>
              <w:widowControl/>
              <w:snapToGrid w:val="0"/>
              <w:jc w:val="center"/>
              <w:rPr>
                <w:b/>
                <w:bCs/>
                <w:kern w:val="0"/>
                <w:szCs w:val="21"/>
                <w:u w:val="single"/>
              </w:rPr>
            </w:pPr>
            <w:r>
              <w:rPr>
                <w:rFonts w:hint="eastAsia"/>
                <w:b/>
                <w:bCs/>
                <w:kern w:val="0"/>
                <w:szCs w:val="21"/>
                <w:u w:val="single"/>
              </w:rPr>
              <w:t>项目</w:t>
            </w:r>
          </w:p>
        </w:tc>
        <w:tc>
          <w:tcPr>
            <w:tcW w:w="1004"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rFonts w:hint="eastAsia"/>
                <w:b/>
                <w:bCs/>
                <w:kern w:val="0"/>
                <w:szCs w:val="21"/>
                <w:u w:val="single"/>
              </w:rPr>
              <w:t>p</w:t>
            </w:r>
            <w:r>
              <w:rPr>
                <w:b/>
                <w:bCs/>
                <w:kern w:val="0"/>
                <w:szCs w:val="21"/>
                <w:u w:val="single"/>
              </w:rPr>
              <w:t>H</w:t>
            </w:r>
          </w:p>
        </w:tc>
        <w:tc>
          <w:tcPr>
            <w:tcW w:w="1095"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kern w:val="0"/>
                <w:szCs w:val="21"/>
                <w:u w:val="single"/>
              </w:rPr>
              <w:t>COD</w:t>
            </w:r>
          </w:p>
        </w:tc>
        <w:tc>
          <w:tcPr>
            <w:tcW w:w="1113"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BOD</w:t>
            </w:r>
            <w:r>
              <w:rPr>
                <w:b/>
                <w:bCs/>
                <w:szCs w:val="21"/>
                <w:u w:val="single"/>
                <w:vertAlign w:val="subscript"/>
              </w:rPr>
              <w:t>5</w:t>
            </w:r>
          </w:p>
        </w:tc>
        <w:tc>
          <w:tcPr>
            <w:tcW w:w="1008"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SS</w:t>
            </w:r>
          </w:p>
        </w:tc>
        <w:tc>
          <w:tcPr>
            <w:tcW w:w="1152"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NH</w:t>
            </w:r>
            <w:r>
              <w:rPr>
                <w:b/>
                <w:bCs/>
                <w:szCs w:val="21"/>
                <w:u w:val="single"/>
                <w:vertAlign w:val="subscript"/>
              </w:rPr>
              <w:t>3</w:t>
            </w:r>
            <w:r>
              <w:rPr>
                <w:b/>
                <w:bCs/>
                <w:szCs w:val="21"/>
                <w:u w:val="single"/>
              </w:rPr>
              <w:t>-N</w:t>
            </w:r>
          </w:p>
        </w:tc>
        <w:tc>
          <w:tcPr>
            <w:tcW w:w="904" w:type="dxa"/>
            <w:tcBorders>
              <w:top w:val="single" w:color="auto" w:sz="12" w:space="0"/>
              <w:left w:val="single" w:color="auto" w:sz="6" w:space="0"/>
              <w:bottom w:val="single" w:color="auto" w:sz="6" w:space="0"/>
              <w:right w:val="single" w:color="auto" w:sz="6" w:space="0"/>
            </w:tcBorders>
            <w:vAlign w:val="center"/>
          </w:tcPr>
          <w:p>
            <w:pPr>
              <w:widowControl/>
              <w:snapToGrid w:val="0"/>
              <w:jc w:val="center"/>
              <w:rPr>
                <w:b/>
                <w:bCs/>
                <w:kern w:val="0"/>
                <w:szCs w:val="21"/>
                <w:u w:val="single"/>
              </w:rPr>
            </w:pPr>
            <w:r>
              <w:rPr>
                <w:b/>
                <w:bCs/>
                <w:szCs w:val="21"/>
                <w:u w:val="single"/>
              </w:rPr>
              <w:t>TN</w:t>
            </w:r>
          </w:p>
        </w:tc>
        <w:tc>
          <w:tcPr>
            <w:tcW w:w="967" w:type="dxa"/>
            <w:tcBorders>
              <w:top w:val="single" w:color="auto" w:sz="12" w:space="0"/>
              <w:left w:val="single" w:color="auto" w:sz="6" w:space="0"/>
              <w:bottom w:val="single" w:color="auto" w:sz="6" w:space="0"/>
              <w:right w:val="single" w:color="auto" w:sz="12" w:space="0"/>
            </w:tcBorders>
            <w:vAlign w:val="center"/>
          </w:tcPr>
          <w:p>
            <w:pPr>
              <w:widowControl/>
              <w:snapToGrid w:val="0"/>
              <w:jc w:val="center"/>
              <w:rPr>
                <w:b/>
                <w:bCs/>
                <w:kern w:val="0"/>
                <w:szCs w:val="21"/>
                <w:u w:val="single"/>
              </w:rPr>
            </w:pPr>
            <w:r>
              <w:rPr>
                <w:b/>
                <w:bCs/>
                <w:szCs w:val="21"/>
                <w:u w:val="single"/>
              </w:rPr>
              <w:t>TP</w:t>
            </w:r>
          </w:p>
        </w:tc>
        <w:tc>
          <w:tcPr>
            <w:tcW w:w="933" w:type="dxa"/>
            <w:tcBorders>
              <w:top w:val="single" w:color="auto" w:sz="12" w:space="0"/>
              <w:left w:val="single" w:color="auto" w:sz="6" w:space="0"/>
              <w:bottom w:val="single" w:color="auto" w:sz="6" w:space="0"/>
              <w:right w:val="single" w:color="auto" w:sz="12" w:space="0"/>
            </w:tcBorders>
            <w:vAlign w:val="center"/>
          </w:tcPr>
          <w:p>
            <w:pPr>
              <w:widowControl/>
              <w:snapToGrid w:val="0"/>
              <w:jc w:val="center"/>
              <w:rPr>
                <w:b/>
                <w:bCs/>
                <w:szCs w:val="21"/>
                <w:u w:val="single"/>
              </w:rPr>
            </w:pPr>
            <w:r>
              <w:rPr>
                <w:rFonts w:hint="eastAsia"/>
                <w:b/>
                <w:bCs/>
                <w:szCs w:val="21"/>
                <w:u w:val="single"/>
              </w:rPr>
              <w:t>总余氣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9" w:type="dxa"/>
            <w:tcBorders>
              <w:top w:val="single" w:color="auto" w:sz="6" w:space="0"/>
              <w:left w:val="single" w:color="auto" w:sz="12" w:space="0"/>
              <w:bottom w:val="single" w:color="auto" w:sz="12" w:space="0"/>
              <w:right w:val="single" w:color="auto" w:sz="6" w:space="0"/>
            </w:tcBorders>
            <w:vAlign w:val="center"/>
          </w:tcPr>
          <w:p>
            <w:pPr>
              <w:widowControl/>
              <w:snapToGrid w:val="0"/>
              <w:jc w:val="center"/>
              <w:rPr>
                <w:kern w:val="0"/>
                <w:szCs w:val="21"/>
                <w:u w:val="single"/>
              </w:rPr>
            </w:pPr>
            <w:r>
              <w:rPr>
                <w:kern w:val="0"/>
                <w:szCs w:val="21"/>
                <w:u w:val="single"/>
              </w:rPr>
              <w:t>C</w:t>
            </w:r>
            <w:r>
              <w:rPr>
                <w:rFonts w:hint="eastAsia"/>
                <w:kern w:val="0"/>
                <w:szCs w:val="21"/>
                <w:u w:val="single"/>
              </w:rPr>
              <w:t>级</w:t>
            </w:r>
          </w:p>
        </w:tc>
        <w:tc>
          <w:tcPr>
            <w:tcW w:w="1004"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rFonts w:hint="eastAsia"/>
                <w:kern w:val="0"/>
                <w:szCs w:val="21"/>
                <w:u w:val="single"/>
              </w:rPr>
              <w:t>6-9</w:t>
            </w:r>
          </w:p>
        </w:tc>
        <w:tc>
          <w:tcPr>
            <w:tcW w:w="1095"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rFonts w:hint="eastAsia"/>
                <w:kern w:val="0"/>
                <w:szCs w:val="21"/>
                <w:u w:val="single"/>
              </w:rPr>
              <w:t>3</w:t>
            </w:r>
            <w:r>
              <w:rPr>
                <w:kern w:val="0"/>
                <w:szCs w:val="21"/>
                <w:u w:val="single"/>
              </w:rPr>
              <w:t>00</w:t>
            </w:r>
          </w:p>
        </w:tc>
        <w:tc>
          <w:tcPr>
            <w:tcW w:w="1113"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rFonts w:hint="eastAsia"/>
                <w:kern w:val="0"/>
                <w:szCs w:val="21"/>
                <w:u w:val="single"/>
              </w:rPr>
              <w:t>150</w:t>
            </w:r>
          </w:p>
        </w:tc>
        <w:tc>
          <w:tcPr>
            <w:tcW w:w="1008"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kern w:val="0"/>
                <w:szCs w:val="21"/>
                <w:u w:val="single"/>
              </w:rPr>
              <w:t>2</w:t>
            </w:r>
            <w:r>
              <w:rPr>
                <w:rFonts w:hint="eastAsia"/>
                <w:kern w:val="0"/>
                <w:szCs w:val="21"/>
                <w:u w:val="single"/>
              </w:rPr>
              <w:t>5</w:t>
            </w:r>
            <w:r>
              <w:rPr>
                <w:kern w:val="0"/>
                <w:szCs w:val="21"/>
                <w:u w:val="single"/>
              </w:rPr>
              <w:t>0</w:t>
            </w:r>
          </w:p>
        </w:tc>
        <w:tc>
          <w:tcPr>
            <w:tcW w:w="1152"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rFonts w:hint="eastAsia"/>
                <w:kern w:val="0"/>
                <w:szCs w:val="21"/>
                <w:u w:val="single"/>
              </w:rPr>
              <w:t>25</w:t>
            </w:r>
          </w:p>
        </w:tc>
        <w:tc>
          <w:tcPr>
            <w:tcW w:w="904" w:type="dxa"/>
            <w:tcBorders>
              <w:top w:val="single" w:color="auto" w:sz="6" w:space="0"/>
              <w:left w:val="single" w:color="auto" w:sz="6" w:space="0"/>
              <w:bottom w:val="single" w:color="auto" w:sz="12" w:space="0"/>
              <w:right w:val="single" w:color="auto" w:sz="6" w:space="0"/>
            </w:tcBorders>
            <w:vAlign w:val="center"/>
          </w:tcPr>
          <w:p>
            <w:pPr>
              <w:widowControl/>
              <w:snapToGrid w:val="0"/>
              <w:jc w:val="center"/>
              <w:rPr>
                <w:kern w:val="0"/>
                <w:szCs w:val="21"/>
                <w:u w:val="single"/>
              </w:rPr>
            </w:pPr>
            <w:r>
              <w:rPr>
                <w:rFonts w:hint="eastAsia"/>
                <w:kern w:val="0"/>
                <w:szCs w:val="21"/>
                <w:u w:val="single"/>
              </w:rPr>
              <w:t>45</w:t>
            </w:r>
          </w:p>
        </w:tc>
        <w:tc>
          <w:tcPr>
            <w:tcW w:w="967" w:type="dxa"/>
            <w:tcBorders>
              <w:top w:val="single" w:color="auto" w:sz="6" w:space="0"/>
              <w:left w:val="single" w:color="auto" w:sz="6" w:space="0"/>
              <w:bottom w:val="single" w:color="auto" w:sz="12" w:space="0"/>
              <w:right w:val="single" w:color="auto" w:sz="12" w:space="0"/>
            </w:tcBorders>
            <w:vAlign w:val="center"/>
          </w:tcPr>
          <w:p>
            <w:pPr>
              <w:widowControl/>
              <w:snapToGrid w:val="0"/>
              <w:jc w:val="center"/>
              <w:rPr>
                <w:kern w:val="0"/>
                <w:szCs w:val="21"/>
                <w:u w:val="single"/>
              </w:rPr>
            </w:pPr>
            <w:r>
              <w:rPr>
                <w:rFonts w:hint="eastAsia"/>
                <w:kern w:val="0"/>
                <w:szCs w:val="21"/>
                <w:u w:val="single"/>
              </w:rPr>
              <w:t>5.0</w:t>
            </w:r>
          </w:p>
        </w:tc>
        <w:tc>
          <w:tcPr>
            <w:tcW w:w="933" w:type="dxa"/>
            <w:tcBorders>
              <w:top w:val="single" w:color="auto" w:sz="6" w:space="0"/>
              <w:left w:val="single" w:color="auto" w:sz="6" w:space="0"/>
              <w:bottom w:val="single" w:color="auto" w:sz="12" w:space="0"/>
              <w:right w:val="single" w:color="auto" w:sz="12" w:space="0"/>
            </w:tcBorders>
            <w:vAlign w:val="center"/>
          </w:tcPr>
          <w:p>
            <w:pPr>
              <w:widowControl/>
              <w:snapToGrid w:val="0"/>
              <w:jc w:val="center"/>
              <w:rPr>
                <w:kern w:val="0"/>
                <w:szCs w:val="21"/>
                <w:u w:val="single"/>
              </w:rPr>
            </w:pPr>
            <w:r>
              <w:rPr>
                <w:rFonts w:hint="eastAsia"/>
                <w:kern w:val="0"/>
                <w:szCs w:val="21"/>
                <w:u w:val="single"/>
              </w:rPr>
              <w:t>8</w:t>
            </w:r>
          </w:p>
        </w:tc>
      </w:tr>
    </w:tbl>
    <w:p>
      <w:pPr>
        <w:snapToGrid w:val="0"/>
        <w:spacing w:line="360" w:lineRule="auto"/>
        <w:ind w:firstLine="601"/>
        <w:rPr>
          <w:rFonts w:eastAsiaTheme="minorEastAsia"/>
          <w:sz w:val="24"/>
        </w:rPr>
      </w:pPr>
      <w:r>
        <w:rPr>
          <w:rFonts w:eastAsiaTheme="minorEastAsia"/>
          <w:sz w:val="24"/>
        </w:rPr>
        <w:t>（3）噪声</w:t>
      </w:r>
    </w:p>
    <w:p>
      <w:pPr>
        <w:snapToGrid w:val="0"/>
        <w:spacing w:line="360" w:lineRule="auto"/>
        <w:ind w:firstLine="601"/>
        <w:rPr>
          <w:rFonts w:eastAsiaTheme="minorEastAsia"/>
          <w:sz w:val="24"/>
        </w:rPr>
      </w:pPr>
      <w:r>
        <w:rPr>
          <w:rFonts w:eastAsiaTheme="minorEastAsia"/>
          <w:sz w:val="24"/>
        </w:rPr>
        <w:t>施工厂界噪声执行《建筑施工场界环境噪声排放标准》（GB12523－2011），见</w:t>
      </w:r>
      <w:r>
        <w:rPr>
          <w:rFonts w:hint="eastAsia" w:eastAsiaTheme="minorEastAsia"/>
          <w:sz w:val="24"/>
        </w:rPr>
        <w:t>下表</w:t>
      </w:r>
      <w:r>
        <w:rPr>
          <w:rFonts w:eastAsiaTheme="minorEastAsia"/>
          <w:sz w:val="24"/>
        </w:rPr>
        <w:t>。</w:t>
      </w:r>
    </w:p>
    <w:p>
      <w:pPr>
        <w:snapToGrid w:val="0"/>
        <w:spacing w:line="360" w:lineRule="auto"/>
        <w:jc w:val="center"/>
        <w:rPr>
          <w:rFonts w:eastAsiaTheme="minorEastAsia"/>
          <w:b/>
          <w:sz w:val="24"/>
        </w:rPr>
      </w:pPr>
      <w:r>
        <w:rPr>
          <w:rFonts w:eastAsiaTheme="minorEastAsia"/>
          <w:b/>
          <w:sz w:val="24"/>
        </w:rPr>
        <w:t>表2.3-1</w:t>
      </w:r>
      <w:r>
        <w:rPr>
          <w:rFonts w:hint="eastAsia" w:eastAsiaTheme="minorEastAsia"/>
          <w:b/>
          <w:sz w:val="24"/>
        </w:rPr>
        <w:t>4</w:t>
      </w:r>
      <w:r>
        <w:rPr>
          <w:rFonts w:eastAsiaTheme="minorEastAsia"/>
          <w:b/>
          <w:sz w:val="24"/>
        </w:rPr>
        <w:t xml:space="preserve">  建筑施工场界环境噪声排放限值  单位：dB(A)</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94"/>
        <w:gridCol w:w="43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4" w:type="dxa"/>
            <w:vAlign w:val="center"/>
          </w:tcPr>
          <w:p>
            <w:pPr>
              <w:snapToGrid w:val="0"/>
              <w:jc w:val="center"/>
              <w:rPr>
                <w:rFonts w:eastAsiaTheme="minorEastAsia"/>
                <w:b/>
                <w:szCs w:val="21"/>
              </w:rPr>
            </w:pPr>
            <w:r>
              <w:rPr>
                <w:rFonts w:eastAsiaTheme="minorEastAsia"/>
                <w:b/>
                <w:szCs w:val="21"/>
              </w:rPr>
              <w:t>昼间</w:t>
            </w:r>
          </w:p>
        </w:tc>
        <w:tc>
          <w:tcPr>
            <w:tcW w:w="4265" w:type="dxa"/>
            <w:vAlign w:val="center"/>
          </w:tcPr>
          <w:p>
            <w:pPr>
              <w:snapToGrid w:val="0"/>
              <w:jc w:val="center"/>
              <w:rPr>
                <w:rFonts w:eastAsiaTheme="minorEastAsia"/>
                <w:b/>
                <w:szCs w:val="21"/>
              </w:rPr>
            </w:pPr>
            <w:r>
              <w:rPr>
                <w:rFonts w:eastAsiaTheme="minorEastAsia"/>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4" w:type="dxa"/>
            <w:vAlign w:val="center"/>
          </w:tcPr>
          <w:p>
            <w:pPr>
              <w:snapToGrid w:val="0"/>
              <w:jc w:val="center"/>
              <w:rPr>
                <w:rFonts w:eastAsiaTheme="minorEastAsia"/>
                <w:szCs w:val="21"/>
              </w:rPr>
            </w:pPr>
            <w:r>
              <w:rPr>
                <w:rFonts w:eastAsiaTheme="minorEastAsia"/>
                <w:szCs w:val="21"/>
              </w:rPr>
              <w:t>70</w:t>
            </w:r>
          </w:p>
        </w:tc>
        <w:tc>
          <w:tcPr>
            <w:tcW w:w="4265" w:type="dxa"/>
            <w:vAlign w:val="center"/>
          </w:tcPr>
          <w:p>
            <w:pPr>
              <w:snapToGrid w:val="0"/>
              <w:jc w:val="center"/>
              <w:rPr>
                <w:rFonts w:eastAsiaTheme="minorEastAsia"/>
                <w:szCs w:val="21"/>
              </w:rPr>
            </w:pPr>
            <w:r>
              <w:rPr>
                <w:rFonts w:eastAsiaTheme="minorEastAsia"/>
                <w:szCs w:val="21"/>
              </w:rPr>
              <w:t>55</w:t>
            </w:r>
          </w:p>
        </w:tc>
      </w:tr>
    </w:tbl>
    <w:p>
      <w:pPr>
        <w:snapToGrid w:val="0"/>
        <w:spacing w:line="360" w:lineRule="auto"/>
        <w:ind w:firstLine="601"/>
        <w:rPr>
          <w:rFonts w:eastAsiaTheme="minorEastAsia"/>
          <w:sz w:val="24"/>
        </w:rPr>
      </w:pPr>
      <w:r>
        <w:rPr>
          <w:rFonts w:eastAsiaTheme="minorEastAsia"/>
          <w:sz w:val="24"/>
        </w:rPr>
        <w:t>营运期医院厂界噪声排放标准执行《工业企业厂界环境噪声排放标准》（GB12348-2008）中2类</w:t>
      </w:r>
      <w:r>
        <w:rPr>
          <w:rFonts w:hint="eastAsia" w:eastAsiaTheme="minorEastAsia"/>
          <w:sz w:val="24"/>
        </w:rPr>
        <w:t>标准</w:t>
      </w:r>
      <w:r>
        <w:rPr>
          <w:rFonts w:eastAsiaTheme="minorEastAsia"/>
          <w:sz w:val="24"/>
        </w:rPr>
        <w:t>。</w:t>
      </w:r>
    </w:p>
    <w:p>
      <w:pPr>
        <w:adjustRightInd w:val="0"/>
        <w:snapToGrid w:val="0"/>
        <w:spacing w:line="360" w:lineRule="auto"/>
        <w:jc w:val="center"/>
        <w:rPr>
          <w:rFonts w:eastAsiaTheme="minorEastAsia"/>
          <w:b/>
          <w:sz w:val="24"/>
        </w:rPr>
      </w:pPr>
      <w:r>
        <w:rPr>
          <w:rFonts w:eastAsiaTheme="minorEastAsia"/>
          <w:b/>
          <w:sz w:val="24"/>
        </w:rPr>
        <w:t>表2.3-1</w:t>
      </w:r>
      <w:r>
        <w:rPr>
          <w:rFonts w:hint="eastAsia" w:eastAsiaTheme="minorEastAsia"/>
          <w:b/>
          <w:sz w:val="24"/>
        </w:rPr>
        <w:t>5</w:t>
      </w:r>
      <w:r>
        <w:rPr>
          <w:rFonts w:eastAsiaTheme="minorEastAsia"/>
          <w:b/>
          <w:sz w:val="24"/>
        </w:rPr>
        <w:t xml:space="preserve">  工业企业厂界环境噪声排放标准  单位：dB(A)</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93"/>
        <w:gridCol w:w="43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263" w:type="dxa"/>
            <w:vAlign w:val="center"/>
          </w:tcPr>
          <w:p>
            <w:pPr>
              <w:pStyle w:val="181"/>
              <w:spacing w:line="320" w:lineRule="exact"/>
              <w:rPr>
                <w:rFonts w:eastAsiaTheme="minorEastAsia"/>
                <w:b/>
                <w:sz w:val="21"/>
                <w:szCs w:val="21"/>
              </w:rPr>
            </w:pPr>
            <w:r>
              <w:rPr>
                <w:rFonts w:eastAsiaTheme="minorEastAsia"/>
                <w:b/>
                <w:sz w:val="21"/>
                <w:szCs w:val="21"/>
              </w:rPr>
              <w:t>昼间</w:t>
            </w:r>
          </w:p>
        </w:tc>
        <w:tc>
          <w:tcPr>
            <w:tcW w:w="4266" w:type="dxa"/>
            <w:vAlign w:val="center"/>
          </w:tcPr>
          <w:p>
            <w:pPr>
              <w:pStyle w:val="181"/>
              <w:spacing w:line="320" w:lineRule="exact"/>
              <w:rPr>
                <w:rFonts w:eastAsiaTheme="minorEastAsia"/>
                <w:b/>
                <w:sz w:val="21"/>
                <w:szCs w:val="21"/>
              </w:rPr>
            </w:pPr>
            <w:r>
              <w:rPr>
                <w:rFonts w:eastAsiaTheme="minorEastAsia"/>
                <w:b/>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263" w:type="dxa"/>
            <w:vAlign w:val="center"/>
          </w:tcPr>
          <w:p>
            <w:pPr>
              <w:pStyle w:val="181"/>
              <w:spacing w:line="320" w:lineRule="exact"/>
              <w:rPr>
                <w:rFonts w:eastAsiaTheme="minorEastAsia"/>
                <w:sz w:val="21"/>
                <w:szCs w:val="21"/>
              </w:rPr>
            </w:pPr>
            <w:r>
              <w:rPr>
                <w:rFonts w:eastAsiaTheme="minorEastAsia"/>
                <w:sz w:val="21"/>
                <w:szCs w:val="21"/>
              </w:rPr>
              <w:t>60</w:t>
            </w:r>
          </w:p>
        </w:tc>
        <w:tc>
          <w:tcPr>
            <w:tcW w:w="4266" w:type="dxa"/>
            <w:vAlign w:val="center"/>
          </w:tcPr>
          <w:p>
            <w:pPr>
              <w:pStyle w:val="181"/>
              <w:spacing w:line="320" w:lineRule="exact"/>
              <w:rPr>
                <w:rFonts w:eastAsiaTheme="minorEastAsia"/>
                <w:sz w:val="21"/>
                <w:szCs w:val="21"/>
              </w:rPr>
            </w:pPr>
            <w:r>
              <w:rPr>
                <w:rFonts w:eastAsiaTheme="minorEastAsia"/>
                <w:sz w:val="21"/>
                <w:szCs w:val="21"/>
              </w:rPr>
              <w:t>50</w:t>
            </w:r>
          </w:p>
        </w:tc>
      </w:tr>
    </w:tbl>
    <w:p>
      <w:pPr>
        <w:snapToGrid w:val="0"/>
        <w:spacing w:line="360" w:lineRule="auto"/>
        <w:ind w:firstLine="601"/>
        <w:rPr>
          <w:rFonts w:eastAsiaTheme="minorEastAsia"/>
          <w:sz w:val="24"/>
        </w:rPr>
      </w:pPr>
      <w:r>
        <w:rPr>
          <w:rFonts w:eastAsiaTheme="minorEastAsia"/>
          <w:sz w:val="24"/>
        </w:rPr>
        <w:t>（4）固废</w:t>
      </w:r>
    </w:p>
    <w:p>
      <w:pPr>
        <w:snapToGrid w:val="0"/>
        <w:spacing w:line="360" w:lineRule="auto"/>
        <w:ind w:firstLine="601"/>
        <w:rPr>
          <w:rFonts w:eastAsiaTheme="minorEastAsia"/>
          <w:sz w:val="24"/>
        </w:rPr>
      </w:pPr>
      <w:r>
        <w:rPr>
          <w:sz w:val="24"/>
          <w:szCs w:val="28"/>
        </w:rPr>
        <w:t>生活垃圾执行《生活垃圾填埋污染控制标准》(GB 16889-2008)</w:t>
      </w:r>
      <w:r>
        <w:rPr>
          <w:rFonts w:hint="eastAsia"/>
          <w:sz w:val="24"/>
          <w:szCs w:val="28"/>
        </w:rPr>
        <w:t>。</w:t>
      </w:r>
      <w:r>
        <w:rPr>
          <w:rFonts w:eastAsiaTheme="minorEastAsia"/>
          <w:sz w:val="24"/>
        </w:rPr>
        <w:t>一般工业固体废物贮存及处置执行《一般工业固体废物贮存、处置场污染控制标准》（GB18599-2001）及原环境保护部公告20113年第36号修改单相关要求；污泥清掏前执行《医疗机构水污染物排放标准》（GB18466-2005）中表4医疗机构污泥控制标准，医疗废物转运执行《医疗废物转运车技术要求》（GB19217-2003）要求，医疗废物、栅渣、化粪池和污泥处理站污泥属危险废物，危险废物暂存执行《危险废物贮存污染控制标准》（GB18597-2001）及原环境保护部公告20113年第36号修改单相关要求。</w:t>
      </w:r>
    </w:p>
    <w:p>
      <w:pPr>
        <w:snapToGrid w:val="0"/>
        <w:spacing w:line="360" w:lineRule="auto"/>
        <w:ind w:firstLine="601"/>
        <w:rPr>
          <w:rFonts w:eastAsiaTheme="minorEastAsia"/>
          <w:sz w:val="24"/>
        </w:rPr>
      </w:pPr>
      <w:r>
        <w:rPr>
          <w:rFonts w:hint="eastAsia" w:eastAsiaTheme="minorEastAsia"/>
          <w:sz w:val="24"/>
        </w:rPr>
        <w:t>此外，根据《关于明确医疗废物分类有关问题的通知》(卫办医发〔2005〕292号）的规定：使用后的输液瓶不属于医疗废物。使用后的各种玻璃（一次性塑料）输液瓶（袋），未被病人血液、体液、排泄物污染的，不属于医疗废物，不必按照医疗废物进行管理，但这类废物回收利用时不能用于原用途，用于其他用途时应符合不危害人体健康的原则。</w:t>
      </w:r>
    </w:p>
    <w:p>
      <w:pPr>
        <w:pStyle w:val="3"/>
        <w:snapToGrid w:val="0"/>
        <w:spacing w:before="0" w:after="0" w:line="360" w:lineRule="auto"/>
        <w:rPr>
          <w:rFonts w:ascii="Times New Roman" w:hAnsi="Times New Roman" w:eastAsiaTheme="minorEastAsia"/>
          <w:sz w:val="28"/>
          <w:lang w:val="zh-CN"/>
        </w:rPr>
      </w:pPr>
      <w:bookmarkStart w:id="53" w:name="_Toc61026588"/>
      <w:r>
        <w:rPr>
          <w:rFonts w:ascii="Times New Roman" w:hAnsi="Times New Roman" w:eastAsiaTheme="minorEastAsia"/>
          <w:sz w:val="28"/>
          <w:lang w:val="zh-CN"/>
        </w:rPr>
        <w:t>2.4 评价工作等级和评价范围</w:t>
      </w:r>
      <w:bookmarkEnd w:id="53"/>
    </w:p>
    <w:p>
      <w:pPr>
        <w:pStyle w:val="4"/>
        <w:snapToGrid w:val="0"/>
        <w:spacing w:before="0" w:after="0" w:line="360" w:lineRule="auto"/>
        <w:rPr>
          <w:rFonts w:eastAsiaTheme="minorEastAsia"/>
          <w:kern w:val="0"/>
          <w:sz w:val="24"/>
        </w:rPr>
      </w:pPr>
      <w:r>
        <w:rPr>
          <w:rFonts w:eastAsiaTheme="minorEastAsia"/>
          <w:kern w:val="0"/>
          <w:sz w:val="24"/>
        </w:rPr>
        <w:t>2.4.1 评价等级</w:t>
      </w:r>
    </w:p>
    <w:p>
      <w:pPr>
        <w:adjustRightInd w:val="0"/>
        <w:snapToGrid w:val="0"/>
        <w:spacing w:line="360" w:lineRule="auto"/>
        <w:ind w:firstLine="480" w:firstLineChars="200"/>
        <w:rPr>
          <w:rFonts w:eastAsiaTheme="minorEastAsia"/>
          <w:sz w:val="24"/>
        </w:rPr>
      </w:pPr>
      <w:r>
        <w:rPr>
          <w:rFonts w:eastAsiaTheme="minorEastAsia"/>
          <w:sz w:val="24"/>
        </w:rPr>
        <w:t>根据该项目污染物排放特征，项目所在地区的地形特点和环境质量概况，按照《环境影响评价技术导则—大气环境》（HJ2.2-2018）、《环境影响评价技术导则—地表水环境》（HJ2.3-2018）、《环境影响评价技术导则—地下水环境》（HJ610-2016）、《环境影响评价技术导则—声环境》（HJ2.4-2009）、《环境影响评价技术导则—生态影响》（HJ19-2011）、《建设项目环境风险评价技术导则》(HJ169-2018)、《环境影响评价技术导则—土壤环境（试行）》（HJ964-2018）所规定的方法，确定本次环境评价等级。</w:t>
      </w:r>
    </w:p>
    <w:p>
      <w:pPr>
        <w:pStyle w:val="5"/>
        <w:snapToGrid w:val="0"/>
        <w:spacing w:before="0" w:after="0" w:line="360" w:lineRule="auto"/>
        <w:rPr>
          <w:rFonts w:ascii="Times New Roman" w:hAnsi="Times New Roman" w:eastAsiaTheme="minorEastAsia"/>
          <w:kern w:val="0"/>
          <w:sz w:val="24"/>
        </w:rPr>
      </w:pPr>
      <w:r>
        <w:rPr>
          <w:rFonts w:ascii="Times New Roman" w:hAnsi="Times New Roman" w:eastAsiaTheme="minorEastAsia"/>
          <w:kern w:val="0"/>
          <w:sz w:val="24"/>
        </w:rPr>
        <w:t>2.4.1.1 环境空气评价等级判定</w:t>
      </w:r>
    </w:p>
    <w:p>
      <w:pPr>
        <w:adjustRightInd w:val="0"/>
        <w:snapToGrid w:val="0"/>
        <w:spacing w:line="360" w:lineRule="auto"/>
        <w:ind w:firstLine="480" w:firstLineChars="200"/>
        <w:rPr>
          <w:rFonts w:eastAsiaTheme="minorEastAsia"/>
          <w:sz w:val="24"/>
        </w:rPr>
      </w:pPr>
      <w:r>
        <w:rPr>
          <w:rFonts w:eastAsiaTheme="minorEastAsia"/>
          <w:sz w:val="24"/>
        </w:rPr>
        <w:t>根据《环境影响评价技术导则—大气环境》（HJ2.2-2018）中最大地面浓度占标率P</w:t>
      </w:r>
      <w:r>
        <w:rPr>
          <w:rFonts w:eastAsiaTheme="minorEastAsia"/>
          <w:sz w:val="24"/>
          <w:vertAlign w:val="subscript"/>
        </w:rPr>
        <w:t>i</w:t>
      </w:r>
      <w:r>
        <w:rPr>
          <w:rFonts w:eastAsiaTheme="minorEastAsia"/>
          <w:sz w:val="24"/>
        </w:rPr>
        <w:t>的定义及第i个污染物的地面浓度达标准限值10%时所对应的最远距离D</w:t>
      </w:r>
      <w:r>
        <w:rPr>
          <w:rFonts w:eastAsiaTheme="minorEastAsia"/>
          <w:sz w:val="24"/>
          <w:vertAlign w:val="subscript"/>
        </w:rPr>
        <w:t>10%</w:t>
      </w:r>
      <w:r>
        <w:rPr>
          <w:rFonts w:eastAsiaTheme="minorEastAsia"/>
          <w:sz w:val="24"/>
        </w:rPr>
        <w:t>，依据导则推荐模式分别计算污染物的下风向轴线浓度，并计算相应浓度占标率。</w:t>
      </w:r>
    </w:p>
    <w:p>
      <w:pPr>
        <w:snapToGrid w:val="0"/>
        <w:spacing w:line="360" w:lineRule="auto"/>
        <w:jc w:val="center"/>
        <w:rPr>
          <w:rFonts w:eastAsiaTheme="minorEastAsia"/>
          <w:sz w:val="24"/>
        </w:rPr>
      </w:pPr>
      <w:bookmarkStart w:id="54" w:name="_Toc385613271"/>
      <w:bookmarkStart w:id="55" w:name="_Toc385403156"/>
      <w:r>
        <w:rPr>
          <w:rFonts w:eastAsiaTheme="minorEastAsia"/>
          <w:sz w:val="24"/>
        </w:rPr>
        <w:t>P</w:t>
      </w:r>
      <w:r>
        <w:rPr>
          <w:rFonts w:eastAsiaTheme="minorEastAsia"/>
          <w:sz w:val="24"/>
          <w:vertAlign w:val="subscript"/>
        </w:rPr>
        <w:t>i</w:t>
      </w:r>
      <w:r>
        <w:rPr>
          <w:rFonts w:eastAsiaTheme="minorEastAsia"/>
          <w:sz w:val="24"/>
        </w:rPr>
        <w:t>=(C</w:t>
      </w:r>
      <w:r>
        <w:rPr>
          <w:rFonts w:eastAsiaTheme="minorEastAsia"/>
          <w:sz w:val="24"/>
          <w:vertAlign w:val="subscript"/>
        </w:rPr>
        <w:t>i</w:t>
      </w:r>
      <w:r>
        <w:rPr>
          <w:rFonts w:eastAsiaTheme="minorEastAsia"/>
          <w:sz w:val="24"/>
        </w:rPr>
        <w:t>/C</w:t>
      </w:r>
      <w:r>
        <w:rPr>
          <w:rFonts w:eastAsiaTheme="minorEastAsia"/>
          <w:sz w:val="24"/>
          <w:vertAlign w:val="subscript"/>
        </w:rPr>
        <w:t>0i</w:t>
      </w:r>
      <w:r>
        <w:rPr>
          <w:rFonts w:eastAsiaTheme="minorEastAsia"/>
          <w:sz w:val="24"/>
        </w:rPr>
        <w:t>)×100%</w:t>
      </w:r>
      <w:bookmarkEnd w:id="54"/>
      <w:bookmarkEnd w:id="55"/>
    </w:p>
    <w:p>
      <w:pPr>
        <w:adjustRightInd w:val="0"/>
        <w:snapToGrid w:val="0"/>
        <w:spacing w:line="360" w:lineRule="auto"/>
        <w:ind w:firstLine="480" w:firstLineChars="200"/>
        <w:rPr>
          <w:rFonts w:eastAsiaTheme="minorEastAsia"/>
          <w:sz w:val="24"/>
        </w:rPr>
      </w:pPr>
      <w:r>
        <w:rPr>
          <w:rFonts w:eastAsiaTheme="minorEastAsia"/>
          <w:sz w:val="24"/>
        </w:rPr>
        <w:t>式中：P</w:t>
      </w:r>
      <w:r>
        <w:rPr>
          <w:rFonts w:eastAsiaTheme="minorEastAsia"/>
          <w:sz w:val="24"/>
          <w:vertAlign w:val="subscript"/>
        </w:rPr>
        <w:t>i</w:t>
      </w:r>
      <w:r>
        <w:rPr>
          <w:rFonts w:eastAsiaTheme="minorEastAsia"/>
          <w:sz w:val="24"/>
        </w:rPr>
        <w:t>－第i个污染物的最大地面浓度占标率，%；</w:t>
      </w:r>
    </w:p>
    <w:p>
      <w:pPr>
        <w:adjustRightInd w:val="0"/>
        <w:snapToGrid w:val="0"/>
        <w:spacing w:line="360" w:lineRule="auto"/>
        <w:ind w:firstLine="480" w:firstLineChars="200"/>
        <w:rPr>
          <w:rFonts w:eastAsiaTheme="minorEastAsia"/>
          <w:sz w:val="24"/>
        </w:rPr>
      </w:pPr>
      <w:r>
        <w:rPr>
          <w:rFonts w:eastAsiaTheme="minorEastAsia"/>
          <w:sz w:val="24"/>
        </w:rPr>
        <w:t>C</w:t>
      </w:r>
      <w:r>
        <w:rPr>
          <w:rFonts w:eastAsiaTheme="minorEastAsia"/>
          <w:sz w:val="24"/>
          <w:vertAlign w:val="subscript"/>
        </w:rPr>
        <w:t>i</w:t>
      </w:r>
      <w:r>
        <w:rPr>
          <w:rFonts w:eastAsiaTheme="minorEastAsia"/>
          <w:sz w:val="24"/>
        </w:rPr>
        <w:t>－采用估算模式计算出的第i个污染物的最大地面浓度，mg/m</w:t>
      </w:r>
      <w:r>
        <w:rPr>
          <w:rFonts w:eastAsiaTheme="minorEastAsia"/>
          <w:sz w:val="24"/>
          <w:vertAlign w:val="superscript"/>
        </w:rPr>
        <w:t>3</w:t>
      </w:r>
      <w:r>
        <w:rPr>
          <w:rFonts w:eastAsiaTheme="minorEastAsia"/>
          <w:sz w:val="24"/>
        </w:rPr>
        <w:t>；</w:t>
      </w:r>
    </w:p>
    <w:p>
      <w:pPr>
        <w:adjustRightInd w:val="0"/>
        <w:snapToGrid w:val="0"/>
        <w:spacing w:line="360" w:lineRule="auto"/>
        <w:ind w:firstLine="480" w:firstLineChars="200"/>
        <w:rPr>
          <w:rFonts w:eastAsiaTheme="minorEastAsia"/>
          <w:sz w:val="24"/>
        </w:rPr>
      </w:pPr>
      <w:r>
        <w:rPr>
          <w:rFonts w:eastAsiaTheme="minorEastAsia"/>
          <w:sz w:val="24"/>
        </w:rPr>
        <w:t>C</w:t>
      </w:r>
      <w:r>
        <w:rPr>
          <w:rFonts w:eastAsiaTheme="minorEastAsia"/>
          <w:sz w:val="24"/>
          <w:vertAlign w:val="subscript"/>
        </w:rPr>
        <w:t>0i</w:t>
      </w:r>
      <w:r>
        <w:rPr>
          <w:rFonts w:eastAsiaTheme="minorEastAsia"/>
          <w:sz w:val="24"/>
        </w:rPr>
        <w:t>－第i个污染物的环境空气质量标准，mg/m</w:t>
      </w:r>
      <w:r>
        <w:rPr>
          <w:rFonts w:eastAsiaTheme="minorEastAsia"/>
          <w:sz w:val="24"/>
          <w:vertAlign w:val="superscript"/>
        </w:rPr>
        <w:t>3</w:t>
      </w:r>
      <w:r>
        <w:rPr>
          <w:rFonts w:eastAsiaTheme="minorEastAsia"/>
          <w:sz w:val="24"/>
        </w:rPr>
        <w:t>。</w:t>
      </w:r>
    </w:p>
    <w:p>
      <w:pPr>
        <w:autoSpaceDE w:val="0"/>
        <w:autoSpaceDN w:val="0"/>
        <w:adjustRightInd w:val="0"/>
        <w:snapToGrid w:val="0"/>
        <w:spacing w:line="360" w:lineRule="auto"/>
        <w:ind w:left="40" w:firstLine="494" w:firstLineChars="206"/>
        <w:rPr>
          <w:rFonts w:eastAsiaTheme="minorEastAsia"/>
          <w:sz w:val="24"/>
        </w:rPr>
      </w:pPr>
      <w:r>
        <w:rPr>
          <w:rFonts w:eastAsiaTheme="minorEastAsia"/>
          <w:sz w:val="24"/>
        </w:rPr>
        <w:t>建设项目大气污染物评价等级判别参数列于表2.4-1，判断结果详见表2.4-2。</w:t>
      </w:r>
    </w:p>
    <w:p>
      <w:pPr>
        <w:snapToGrid w:val="0"/>
        <w:spacing w:line="360" w:lineRule="auto"/>
        <w:jc w:val="center"/>
        <w:rPr>
          <w:rFonts w:eastAsiaTheme="minorEastAsia"/>
          <w:b/>
          <w:sz w:val="24"/>
        </w:rPr>
      </w:pPr>
      <w:r>
        <w:rPr>
          <w:rFonts w:eastAsiaTheme="minorEastAsia"/>
          <w:b/>
          <w:sz w:val="24"/>
        </w:rPr>
        <w:t>表2.4-1  主要废气污染源参数一览表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09"/>
        <w:gridCol w:w="1099"/>
        <w:gridCol w:w="998"/>
        <w:gridCol w:w="643"/>
        <w:gridCol w:w="1099"/>
        <w:gridCol w:w="1095"/>
        <w:gridCol w:w="946"/>
        <w:gridCol w:w="937"/>
        <w:gridCol w:w="10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污染源名称</w:t>
            </w:r>
          </w:p>
        </w:tc>
        <w:tc>
          <w:tcPr>
            <w:tcW w:w="1193" w:type="pct"/>
            <w:gridSpan w:val="2"/>
            <w:vAlign w:val="center"/>
          </w:tcPr>
          <w:p>
            <w:pPr>
              <w:adjustRightInd w:val="0"/>
              <w:snapToGrid w:val="0"/>
              <w:jc w:val="center"/>
              <w:rPr>
                <w:rFonts w:eastAsiaTheme="minorEastAsia"/>
                <w:b/>
                <w:szCs w:val="21"/>
                <w:u w:val="single"/>
              </w:rPr>
            </w:pPr>
            <w:r>
              <w:rPr>
                <w:rFonts w:eastAsiaTheme="minorEastAsia"/>
                <w:b/>
                <w:szCs w:val="21"/>
                <w:u w:val="single"/>
              </w:rPr>
              <w:t>中心坐标(</w:t>
            </w:r>
            <w:r>
              <w:rPr>
                <w:rFonts w:eastAsiaTheme="minorEastAsia"/>
                <w:b/>
                <w:szCs w:val="21"/>
                <w:u w:val="single"/>
                <w:vertAlign w:val="superscript"/>
              </w:rPr>
              <w:t>o</w:t>
            </w:r>
            <w:r>
              <w:rPr>
                <w:rFonts w:eastAsiaTheme="minorEastAsia"/>
                <w:b/>
                <w:szCs w:val="21"/>
                <w:u w:val="single"/>
              </w:rPr>
              <w:t>)</w:t>
            </w:r>
          </w:p>
        </w:tc>
        <w:tc>
          <w:tcPr>
            <w:tcW w:w="366"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海拔高度(m)</w:t>
            </w:r>
          </w:p>
        </w:tc>
        <w:tc>
          <w:tcPr>
            <w:tcW w:w="625"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面源宽度（m）</w:t>
            </w:r>
          </w:p>
        </w:tc>
        <w:tc>
          <w:tcPr>
            <w:tcW w:w="623"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面源长度（m）</w:t>
            </w:r>
          </w:p>
        </w:tc>
        <w:tc>
          <w:tcPr>
            <w:tcW w:w="538"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平均释放高度(m)</w:t>
            </w:r>
          </w:p>
        </w:tc>
        <w:tc>
          <w:tcPr>
            <w:tcW w:w="533"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污染物名称</w:t>
            </w:r>
          </w:p>
        </w:tc>
        <w:tc>
          <w:tcPr>
            <w:tcW w:w="605"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continue"/>
            <w:vAlign w:val="center"/>
          </w:tcPr>
          <w:p>
            <w:pPr>
              <w:adjustRightInd w:val="0"/>
              <w:snapToGrid w:val="0"/>
              <w:jc w:val="center"/>
              <w:rPr>
                <w:rFonts w:eastAsiaTheme="minorEastAsia"/>
                <w:b/>
                <w:szCs w:val="21"/>
                <w:u w:val="single"/>
              </w:rPr>
            </w:pPr>
          </w:p>
        </w:tc>
        <w:tc>
          <w:tcPr>
            <w:tcW w:w="625" w:type="pct"/>
            <w:vAlign w:val="center"/>
          </w:tcPr>
          <w:p>
            <w:pPr>
              <w:adjustRightInd w:val="0"/>
              <w:snapToGrid w:val="0"/>
              <w:jc w:val="center"/>
              <w:rPr>
                <w:rFonts w:eastAsiaTheme="minorEastAsia"/>
                <w:b/>
                <w:szCs w:val="21"/>
                <w:u w:val="single"/>
              </w:rPr>
            </w:pPr>
            <w:r>
              <w:rPr>
                <w:rFonts w:eastAsiaTheme="minorEastAsia"/>
                <w:b/>
                <w:szCs w:val="21"/>
                <w:u w:val="single"/>
              </w:rPr>
              <w:t>经度</w:t>
            </w:r>
          </w:p>
        </w:tc>
        <w:tc>
          <w:tcPr>
            <w:tcW w:w="568" w:type="pct"/>
            <w:vAlign w:val="center"/>
          </w:tcPr>
          <w:p>
            <w:pPr>
              <w:adjustRightInd w:val="0"/>
              <w:snapToGrid w:val="0"/>
              <w:jc w:val="center"/>
              <w:rPr>
                <w:rFonts w:eastAsiaTheme="minorEastAsia"/>
                <w:b/>
                <w:szCs w:val="21"/>
                <w:u w:val="single"/>
              </w:rPr>
            </w:pPr>
            <w:r>
              <w:rPr>
                <w:rFonts w:eastAsiaTheme="minorEastAsia"/>
                <w:b/>
                <w:szCs w:val="21"/>
                <w:u w:val="single"/>
              </w:rPr>
              <w:t>纬度</w:t>
            </w:r>
          </w:p>
        </w:tc>
        <w:tc>
          <w:tcPr>
            <w:tcW w:w="366" w:type="pct"/>
            <w:vMerge w:val="continue"/>
            <w:vAlign w:val="center"/>
          </w:tcPr>
          <w:p>
            <w:pPr>
              <w:adjustRightInd w:val="0"/>
              <w:snapToGrid w:val="0"/>
              <w:jc w:val="center"/>
              <w:rPr>
                <w:rFonts w:eastAsiaTheme="minorEastAsia"/>
                <w:b/>
                <w:szCs w:val="21"/>
                <w:u w:val="single"/>
              </w:rPr>
            </w:pPr>
          </w:p>
        </w:tc>
        <w:tc>
          <w:tcPr>
            <w:tcW w:w="625" w:type="pct"/>
            <w:vMerge w:val="continue"/>
            <w:vAlign w:val="center"/>
          </w:tcPr>
          <w:p>
            <w:pPr>
              <w:adjustRightInd w:val="0"/>
              <w:snapToGrid w:val="0"/>
              <w:jc w:val="center"/>
              <w:rPr>
                <w:rFonts w:eastAsiaTheme="minorEastAsia"/>
                <w:b/>
                <w:szCs w:val="21"/>
                <w:u w:val="single"/>
              </w:rPr>
            </w:pPr>
          </w:p>
        </w:tc>
        <w:tc>
          <w:tcPr>
            <w:tcW w:w="623" w:type="pct"/>
            <w:vMerge w:val="continue"/>
            <w:vAlign w:val="center"/>
          </w:tcPr>
          <w:p>
            <w:pPr>
              <w:adjustRightInd w:val="0"/>
              <w:snapToGrid w:val="0"/>
              <w:jc w:val="center"/>
              <w:rPr>
                <w:rFonts w:eastAsiaTheme="minorEastAsia"/>
                <w:b/>
                <w:szCs w:val="21"/>
                <w:u w:val="single"/>
              </w:rPr>
            </w:pPr>
          </w:p>
        </w:tc>
        <w:tc>
          <w:tcPr>
            <w:tcW w:w="538" w:type="pct"/>
            <w:vMerge w:val="continue"/>
            <w:vAlign w:val="center"/>
          </w:tcPr>
          <w:p>
            <w:pPr>
              <w:adjustRightInd w:val="0"/>
              <w:snapToGrid w:val="0"/>
              <w:jc w:val="center"/>
              <w:rPr>
                <w:rFonts w:eastAsiaTheme="minorEastAsia"/>
                <w:b/>
                <w:szCs w:val="21"/>
                <w:u w:val="single"/>
              </w:rPr>
            </w:pPr>
          </w:p>
        </w:tc>
        <w:tc>
          <w:tcPr>
            <w:tcW w:w="533" w:type="pct"/>
            <w:vMerge w:val="continue"/>
            <w:vAlign w:val="center"/>
          </w:tcPr>
          <w:p>
            <w:pPr>
              <w:adjustRightInd w:val="0"/>
              <w:snapToGrid w:val="0"/>
              <w:jc w:val="center"/>
              <w:rPr>
                <w:rFonts w:eastAsiaTheme="minorEastAsia"/>
                <w:b/>
                <w:szCs w:val="21"/>
                <w:u w:val="single"/>
              </w:rPr>
            </w:pPr>
          </w:p>
        </w:tc>
        <w:tc>
          <w:tcPr>
            <w:tcW w:w="605" w:type="pct"/>
            <w:vMerge w:val="continue"/>
            <w:vAlign w:val="center"/>
          </w:tcPr>
          <w:p>
            <w:pPr>
              <w:adjustRightInd w:val="0"/>
              <w:snapToGrid w:val="0"/>
              <w:jc w:val="center"/>
              <w:rPr>
                <w:rFonts w:eastAsiaTheme="minorEastAsia"/>
                <w:b/>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无</w:t>
            </w:r>
            <w:r>
              <w:rPr>
                <w:rFonts w:eastAsiaTheme="minorEastAsia"/>
                <w:szCs w:val="21"/>
                <w:u w:val="single"/>
              </w:rPr>
              <w:t>组织</w:t>
            </w:r>
          </w:p>
        </w:tc>
        <w:tc>
          <w:tcPr>
            <w:tcW w:w="625" w:type="pct"/>
            <w:vMerge w:val="restart"/>
            <w:vAlign w:val="center"/>
          </w:tcPr>
          <w:p>
            <w:pPr>
              <w:adjustRightInd w:val="0"/>
              <w:snapToGrid w:val="0"/>
              <w:jc w:val="center"/>
              <w:rPr>
                <w:rFonts w:eastAsiaTheme="minorEastAsia"/>
                <w:szCs w:val="21"/>
                <w:u w:val="single"/>
              </w:rPr>
            </w:pPr>
            <w:r>
              <w:rPr>
                <w:rFonts w:eastAsiaTheme="minorEastAsia"/>
                <w:szCs w:val="21"/>
                <w:u w:val="single"/>
              </w:rPr>
              <w:t>113.078151</w:t>
            </w:r>
          </w:p>
        </w:tc>
        <w:tc>
          <w:tcPr>
            <w:tcW w:w="568" w:type="pct"/>
            <w:vMerge w:val="restart"/>
            <w:vAlign w:val="center"/>
          </w:tcPr>
          <w:p>
            <w:pPr>
              <w:adjustRightInd w:val="0"/>
              <w:snapToGrid w:val="0"/>
              <w:jc w:val="center"/>
              <w:rPr>
                <w:rFonts w:eastAsiaTheme="minorEastAsia"/>
                <w:szCs w:val="21"/>
                <w:u w:val="single"/>
              </w:rPr>
            </w:pPr>
            <w:r>
              <w:rPr>
                <w:rFonts w:eastAsiaTheme="minorEastAsia"/>
                <w:szCs w:val="21"/>
                <w:u w:val="single"/>
              </w:rPr>
              <w:t>28.823331</w:t>
            </w:r>
          </w:p>
        </w:tc>
        <w:tc>
          <w:tcPr>
            <w:tcW w:w="366" w:type="pct"/>
            <w:vMerge w:val="restart"/>
            <w:vAlign w:val="center"/>
          </w:tcPr>
          <w:p>
            <w:pPr>
              <w:adjustRightInd w:val="0"/>
              <w:snapToGrid w:val="0"/>
              <w:jc w:val="center"/>
              <w:rPr>
                <w:rFonts w:eastAsiaTheme="minorEastAsia"/>
                <w:szCs w:val="21"/>
                <w:u w:val="single"/>
              </w:rPr>
            </w:pPr>
            <w:r>
              <w:rPr>
                <w:rFonts w:eastAsiaTheme="minorEastAsia"/>
                <w:szCs w:val="21"/>
                <w:u w:val="single"/>
              </w:rPr>
              <w:t>30</w:t>
            </w:r>
          </w:p>
        </w:tc>
        <w:tc>
          <w:tcPr>
            <w:tcW w:w="625" w:type="pct"/>
            <w:vMerge w:val="restart"/>
            <w:vAlign w:val="center"/>
          </w:tcPr>
          <w:p>
            <w:pPr>
              <w:adjustRightInd w:val="0"/>
              <w:snapToGrid w:val="0"/>
              <w:jc w:val="center"/>
              <w:rPr>
                <w:rFonts w:eastAsiaTheme="minorEastAsia"/>
                <w:szCs w:val="21"/>
                <w:u w:val="single"/>
              </w:rPr>
            </w:pPr>
            <w:r>
              <w:rPr>
                <w:rFonts w:eastAsiaTheme="minorEastAsia"/>
                <w:szCs w:val="21"/>
                <w:u w:val="single"/>
              </w:rPr>
              <w:t>110</w:t>
            </w:r>
          </w:p>
        </w:tc>
        <w:tc>
          <w:tcPr>
            <w:tcW w:w="623" w:type="pct"/>
            <w:vMerge w:val="restart"/>
            <w:vAlign w:val="center"/>
          </w:tcPr>
          <w:p>
            <w:pPr>
              <w:adjustRightInd w:val="0"/>
              <w:snapToGrid w:val="0"/>
              <w:jc w:val="center"/>
              <w:rPr>
                <w:rFonts w:eastAsiaTheme="minorEastAsia"/>
                <w:szCs w:val="21"/>
                <w:u w:val="single"/>
              </w:rPr>
            </w:pPr>
            <w:r>
              <w:rPr>
                <w:rFonts w:eastAsiaTheme="minorEastAsia"/>
                <w:szCs w:val="21"/>
                <w:u w:val="single"/>
              </w:rPr>
              <w:t>120</w:t>
            </w:r>
          </w:p>
        </w:tc>
        <w:tc>
          <w:tcPr>
            <w:tcW w:w="538" w:type="pct"/>
            <w:vMerge w:val="restart"/>
            <w:vAlign w:val="center"/>
          </w:tcPr>
          <w:p>
            <w:pPr>
              <w:adjustRightInd w:val="0"/>
              <w:snapToGrid w:val="0"/>
              <w:jc w:val="center"/>
              <w:rPr>
                <w:rFonts w:eastAsiaTheme="minorEastAsia"/>
                <w:szCs w:val="21"/>
                <w:u w:val="single"/>
              </w:rPr>
            </w:pPr>
            <w:r>
              <w:rPr>
                <w:rFonts w:eastAsiaTheme="minorEastAsia"/>
                <w:szCs w:val="21"/>
                <w:u w:val="single"/>
              </w:rPr>
              <w:t>5</w:t>
            </w:r>
          </w:p>
        </w:tc>
        <w:tc>
          <w:tcPr>
            <w:tcW w:w="533" w:type="pct"/>
            <w:tcBorders>
              <w:bottom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H</w:t>
            </w:r>
            <w:r>
              <w:rPr>
                <w:rFonts w:eastAsiaTheme="minorEastAsia"/>
                <w:szCs w:val="21"/>
                <w:u w:val="single"/>
                <w:vertAlign w:val="subscript"/>
              </w:rPr>
              <w:t>2</w:t>
            </w:r>
            <w:r>
              <w:rPr>
                <w:rFonts w:eastAsiaTheme="minorEastAsia"/>
                <w:szCs w:val="21"/>
                <w:u w:val="single"/>
              </w:rPr>
              <w:t>S</w:t>
            </w:r>
          </w:p>
        </w:tc>
        <w:tc>
          <w:tcPr>
            <w:tcW w:w="605" w:type="pct"/>
            <w:tcBorders>
              <w:bottom w:val="single" w:color="auto" w:sz="4" w:space="0"/>
            </w:tcBorders>
            <w:vAlign w:val="center"/>
          </w:tcPr>
          <w:p>
            <w:pPr>
              <w:adjustRightInd w:val="0"/>
              <w:snapToGrid w:val="0"/>
              <w:jc w:val="center"/>
              <w:rPr>
                <w:rFonts w:eastAsiaTheme="minorEastAsia"/>
                <w:szCs w:val="21"/>
                <w:u w:val="single"/>
              </w:rPr>
            </w:pPr>
            <w:r>
              <w:rPr>
                <w:rFonts w:eastAsiaTheme="minorEastAsia"/>
                <w:kern w:val="0"/>
                <w:szCs w:val="21"/>
                <w:u w:val="single"/>
              </w:rPr>
              <w:t>0.000007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continue"/>
            <w:vAlign w:val="center"/>
          </w:tcPr>
          <w:p>
            <w:pPr>
              <w:adjustRightInd w:val="0"/>
              <w:snapToGrid w:val="0"/>
              <w:jc w:val="center"/>
              <w:rPr>
                <w:rFonts w:eastAsiaTheme="minorEastAsia"/>
                <w:color w:val="FF0000"/>
                <w:szCs w:val="21"/>
                <w:u w:val="single"/>
              </w:rPr>
            </w:pPr>
          </w:p>
        </w:tc>
        <w:tc>
          <w:tcPr>
            <w:tcW w:w="625" w:type="pct"/>
            <w:vMerge w:val="continue"/>
            <w:vAlign w:val="center"/>
          </w:tcPr>
          <w:p>
            <w:pPr>
              <w:adjustRightInd w:val="0"/>
              <w:snapToGrid w:val="0"/>
              <w:jc w:val="center"/>
              <w:rPr>
                <w:rFonts w:eastAsiaTheme="minorEastAsia"/>
                <w:color w:val="FF0000"/>
                <w:szCs w:val="21"/>
                <w:u w:val="single"/>
              </w:rPr>
            </w:pPr>
          </w:p>
        </w:tc>
        <w:tc>
          <w:tcPr>
            <w:tcW w:w="568" w:type="pct"/>
            <w:vMerge w:val="continue"/>
            <w:vAlign w:val="center"/>
          </w:tcPr>
          <w:p>
            <w:pPr>
              <w:adjustRightInd w:val="0"/>
              <w:snapToGrid w:val="0"/>
              <w:jc w:val="center"/>
              <w:rPr>
                <w:rFonts w:eastAsiaTheme="minorEastAsia"/>
                <w:color w:val="FF0000"/>
                <w:szCs w:val="21"/>
                <w:u w:val="single"/>
              </w:rPr>
            </w:pPr>
          </w:p>
        </w:tc>
        <w:tc>
          <w:tcPr>
            <w:tcW w:w="366" w:type="pct"/>
            <w:vMerge w:val="continue"/>
            <w:vAlign w:val="center"/>
          </w:tcPr>
          <w:p>
            <w:pPr>
              <w:adjustRightInd w:val="0"/>
              <w:snapToGrid w:val="0"/>
              <w:jc w:val="center"/>
              <w:rPr>
                <w:rFonts w:eastAsiaTheme="minorEastAsia"/>
                <w:color w:val="FF0000"/>
                <w:szCs w:val="21"/>
                <w:u w:val="single"/>
              </w:rPr>
            </w:pPr>
          </w:p>
        </w:tc>
        <w:tc>
          <w:tcPr>
            <w:tcW w:w="625" w:type="pct"/>
            <w:vMerge w:val="continue"/>
            <w:vAlign w:val="center"/>
          </w:tcPr>
          <w:p>
            <w:pPr>
              <w:adjustRightInd w:val="0"/>
              <w:snapToGrid w:val="0"/>
              <w:jc w:val="center"/>
              <w:rPr>
                <w:rFonts w:eastAsiaTheme="minorEastAsia"/>
                <w:color w:val="FF0000"/>
                <w:szCs w:val="21"/>
                <w:u w:val="single"/>
              </w:rPr>
            </w:pPr>
          </w:p>
        </w:tc>
        <w:tc>
          <w:tcPr>
            <w:tcW w:w="623" w:type="pct"/>
            <w:vMerge w:val="continue"/>
            <w:vAlign w:val="center"/>
          </w:tcPr>
          <w:p>
            <w:pPr>
              <w:adjustRightInd w:val="0"/>
              <w:snapToGrid w:val="0"/>
              <w:jc w:val="center"/>
              <w:rPr>
                <w:rFonts w:eastAsiaTheme="minorEastAsia"/>
                <w:color w:val="FF0000"/>
                <w:szCs w:val="21"/>
                <w:u w:val="single"/>
              </w:rPr>
            </w:pPr>
          </w:p>
        </w:tc>
        <w:tc>
          <w:tcPr>
            <w:tcW w:w="538" w:type="pct"/>
            <w:vMerge w:val="continue"/>
            <w:vAlign w:val="center"/>
          </w:tcPr>
          <w:p>
            <w:pPr>
              <w:adjustRightInd w:val="0"/>
              <w:snapToGrid w:val="0"/>
              <w:jc w:val="center"/>
              <w:rPr>
                <w:rFonts w:eastAsiaTheme="minorEastAsia"/>
                <w:color w:val="FF0000"/>
                <w:szCs w:val="21"/>
                <w:u w:val="single"/>
              </w:rPr>
            </w:pPr>
          </w:p>
        </w:tc>
        <w:tc>
          <w:tcPr>
            <w:tcW w:w="533" w:type="pct"/>
            <w:tcBorders>
              <w:top w:val="single" w:color="auto" w:sz="4" w:space="0"/>
              <w:bottom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NH</w:t>
            </w:r>
            <w:r>
              <w:rPr>
                <w:rFonts w:eastAsiaTheme="minorEastAsia"/>
                <w:szCs w:val="21"/>
                <w:u w:val="single"/>
                <w:vertAlign w:val="subscript"/>
              </w:rPr>
              <w:t>3</w:t>
            </w:r>
          </w:p>
        </w:tc>
        <w:tc>
          <w:tcPr>
            <w:tcW w:w="605" w:type="pct"/>
            <w:tcBorders>
              <w:top w:val="single" w:color="auto" w:sz="4" w:space="0"/>
              <w:bottom w:val="single" w:color="auto" w:sz="4" w:space="0"/>
            </w:tcBorders>
            <w:vAlign w:val="center"/>
          </w:tcPr>
          <w:p>
            <w:pPr>
              <w:adjustRightInd w:val="0"/>
              <w:snapToGrid w:val="0"/>
              <w:jc w:val="center"/>
              <w:rPr>
                <w:rFonts w:eastAsiaTheme="minorEastAsia"/>
                <w:szCs w:val="21"/>
                <w:u w:val="single"/>
              </w:rPr>
            </w:pPr>
            <w:r>
              <w:rPr>
                <w:rFonts w:hint="eastAsia"/>
                <w:color w:val="000000"/>
                <w:kern w:val="0"/>
                <w:u w:val="single"/>
              </w:rPr>
              <w:t>0.00018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有组织</w:t>
            </w:r>
          </w:p>
        </w:tc>
        <w:tc>
          <w:tcPr>
            <w:tcW w:w="625" w:type="pct"/>
            <w:vMerge w:val="restart"/>
            <w:vAlign w:val="center"/>
          </w:tcPr>
          <w:p>
            <w:pPr>
              <w:adjustRightInd w:val="0"/>
              <w:snapToGrid w:val="0"/>
              <w:jc w:val="center"/>
              <w:rPr>
                <w:rFonts w:eastAsiaTheme="minorEastAsia"/>
                <w:szCs w:val="21"/>
                <w:u w:val="single"/>
              </w:rPr>
            </w:pPr>
            <w:r>
              <w:rPr>
                <w:rFonts w:eastAsiaTheme="minorEastAsia"/>
                <w:szCs w:val="21"/>
                <w:u w:val="single"/>
              </w:rPr>
              <w:t>113.078151</w:t>
            </w:r>
          </w:p>
        </w:tc>
        <w:tc>
          <w:tcPr>
            <w:tcW w:w="568" w:type="pct"/>
            <w:vMerge w:val="restart"/>
            <w:vAlign w:val="center"/>
          </w:tcPr>
          <w:p>
            <w:pPr>
              <w:adjustRightInd w:val="0"/>
              <w:snapToGrid w:val="0"/>
              <w:jc w:val="center"/>
              <w:rPr>
                <w:rFonts w:eastAsiaTheme="minorEastAsia"/>
                <w:szCs w:val="21"/>
                <w:u w:val="single"/>
              </w:rPr>
            </w:pPr>
            <w:r>
              <w:rPr>
                <w:rFonts w:eastAsiaTheme="minorEastAsia"/>
                <w:szCs w:val="21"/>
                <w:u w:val="single"/>
              </w:rPr>
              <w:t>28.823331</w:t>
            </w:r>
          </w:p>
        </w:tc>
        <w:tc>
          <w:tcPr>
            <w:tcW w:w="366"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30</w:t>
            </w:r>
          </w:p>
        </w:tc>
        <w:tc>
          <w:tcPr>
            <w:tcW w:w="625" w:type="pct"/>
            <w:vAlign w:val="center"/>
          </w:tcPr>
          <w:p>
            <w:pPr>
              <w:adjustRightInd w:val="0"/>
              <w:snapToGrid w:val="0"/>
              <w:jc w:val="center"/>
              <w:rPr>
                <w:rFonts w:eastAsiaTheme="minorEastAsia"/>
                <w:szCs w:val="21"/>
                <w:u w:val="single"/>
              </w:rPr>
            </w:pPr>
            <w:r>
              <w:rPr>
                <w:rFonts w:hint="eastAsia" w:eastAsiaTheme="minorEastAsia"/>
                <w:szCs w:val="21"/>
                <w:u w:val="single"/>
              </w:rPr>
              <w:t>/</w:t>
            </w:r>
          </w:p>
        </w:tc>
        <w:tc>
          <w:tcPr>
            <w:tcW w:w="623" w:type="pct"/>
            <w:vAlign w:val="center"/>
          </w:tcPr>
          <w:p>
            <w:pPr>
              <w:adjustRightInd w:val="0"/>
              <w:snapToGrid w:val="0"/>
              <w:jc w:val="center"/>
              <w:rPr>
                <w:rFonts w:eastAsiaTheme="minorEastAsia"/>
                <w:szCs w:val="21"/>
                <w:u w:val="single"/>
              </w:rPr>
            </w:pPr>
            <w:r>
              <w:rPr>
                <w:rFonts w:hint="eastAsia" w:eastAsiaTheme="minorEastAsia"/>
                <w:szCs w:val="21"/>
                <w:u w:val="single"/>
              </w:rPr>
              <w:t>/</w:t>
            </w:r>
          </w:p>
        </w:tc>
        <w:tc>
          <w:tcPr>
            <w:tcW w:w="538"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15</w:t>
            </w:r>
          </w:p>
        </w:tc>
        <w:tc>
          <w:tcPr>
            <w:tcW w:w="533" w:type="pct"/>
            <w:tcBorders>
              <w:top w:val="single" w:color="auto" w:sz="4" w:space="0"/>
              <w:bottom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H</w:t>
            </w:r>
            <w:r>
              <w:rPr>
                <w:rFonts w:eastAsiaTheme="minorEastAsia"/>
                <w:szCs w:val="21"/>
                <w:u w:val="single"/>
                <w:vertAlign w:val="subscript"/>
              </w:rPr>
              <w:t>2</w:t>
            </w:r>
            <w:r>
              <w:rPr>
                <w:rFonts w:eastAsiaTheme="minorEastAsia"/>
                <w:szCs w:val="21"/>
                <w:u w:val="single"/>
              </w:rPr>
              <w:t xml:space="preserve">S </w:t>
            </w:r>
          </w:p>
        </w:tc>
        <w:tc>
          <w:tcPr>
            <w:tcW w:w="605" w:type="pct"/>
            <w:tcBorders>
              <w:top w:val="single" w:color="auto" w:sz="4" w:space="0"/>
              <w:bottom w:val="single" w:color="auto" w:sz="4" w:space="0"/>
            </w:tcBorders>
            <w:vAlign w:val="center"/>
          </w:tcPr>
          <w:p>
            <w:pPr>
              <w:adjustRightInd w:val="0"/>
              <w:snapToGrid w:val="0"/>
              <w:jc w:val="center"/>
              <w:rPr>
                <w:color w:val="000000"/>
                <w:kern w:val="0"/>
                <w:u w:val="single"/>
              </w:rPr>
            </w:pPr>
            <w:r>
              <w:rPr>
                <w:rFonts w:hint="eastAsia"/>
                <w:color w:val="000000"/>
                <w:kern w:val="0"/>
                <w:u w:val="single"/>
              </w:rPr>
              <w:t>0</w:t>
            </w:r>
            <w:r>
              <w:rPr>
                <w:color w:val="000000"/>
                <w:kern w:val="0"/>
                <w:u w:val="single"/>
              </w:rPr>
              <w:t>.000</w:t>
            </w:r>
            <w:r>
              <w:rPr>
                <w:rFonts w:hint="eastAsia"/>
                <w:color w:val="000000"/>
                <w:kern w:val="0"/>
                <w:u w:val="single"/>
              </w:rPr>
              <w:t>00</w:t>
            </w:r>
            <w:r>
              <w:rPr>
                <w:color w:val="000000"/>
                <w:kern w:val="0"/>
                <w:u w:val="single"/>
              </w:rPr>
              <w:t>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continue"/>
            <w:vAlign w:val="center"/>
          </w:tcPr>
          <w:p>
            <w:pPr>
              <w:widowControl/>
              <w:jc w:val="left"/>
              <w:rPr>
                <w:rFonts w:eastAsiaTheme="minorEastAsia"/>
                <w:color w:val="FF0000"/>
                <w:szCs w:val="21"/>
                <w:u w:val="single"/>
              </w:rPr>
            </w:pPr>
          </w:p>
        </w:tc>
        <w:tc>
          <w:tcPr>
            <w:tcW w:w="625" w:type="pct"/>
            <w:vMerge w:val="continue"/>
            <w:vAlign w:val="center"/>
          </w:tcPr>
          <w:p>
            <w:pPr>
              <w:adjustRightInd w:val="0"/>
              <w:snapToGrid w:val="0"/>
              <w:jc w:val="center"/>
              <w:rPr>
                <w:rFonts w:eastAsiaTheme="minorEastAsia"/>
                <w:color w:val="FF0000"/>
                <w:szCs w:val="21"/>
                <w:u w:val="single"/>
              </w:rPr>
            </w:pPr>
          </w:p>
        </w:tc>
        <w:tc>
          <w:tcPr>
            <w:tcW w:w="568" w:type="pct"/>
            <w:vMerge w:val="continue"/>
            <w:vAlign w:val="center"/>
          </w:tcPr>
          <w:p>
            <w:pPr>
              <w:adjustRightInd w:val="0"/>
              <w:snapToGrid w:val="0"/>
              <w:jc w:val="center"/>
              <w:rPr>
                <w:rFonts w:eastAsiaTheme="minorEastAsia"/>
                <w:color w:val="FF0000"/>
                <w:szCs w:val="21"/>
                <w:u w:val="single"/>
              </w:rPr>
            </w:pPr>
          </w:p>
        </w:tc>
        <w:tc>
          <w:tcPr>
            <w:tcW w:w="366" w:type="pct"/>
            <w:vMerge w:val="continue"/>
            <w:vAlign w:val="center"/>
          </w:tcPr>
          <w:p>
            <w:pPr>
              <w:adjustRightInd w:val="0"/>
              <w:snapToGrid w:val="0"/>
              <w:jc w:val="center"/>
              <w:rPr>
                <w:rFonts w:eastAsiaTheme="minorEastAsia"/>
                <w:color w:val="FF0000"/>
                <w:szCs w:val="21"/>
                <w:u w:val="single"/>
              </w:rPr>
            </w:pPr>
          </w:p>
        </w:tc>
        <w:tc>
          <w:tcPr>
            <w:tcW w:w="625" w:type="pct"/>
            <w:vAlign w:val="center"/>
          </w:tcPr>
          <w:p>
            <w:pPr>
              <w:adjustRightInd w:val="0"/>
              <w:snapToGrid w:val="0"/>
              <w:jc w:val="center"/>
              <w:rPr>
                <w:rFonts w:eastAsiaTheme="minorEastAsia"/>
                <w:color w:val="FF0000"/>
                <w:szCs w:val="21"/>
                <w:u w:val="single"/>
              </w:rPr>
            </w:pPr>
          </w:p>
        </w:tc>
        <w:tc>
          <w:tcPr>
            <w:tcW w:w="623" w:type="pct"/>
            <w:vAlign w:val="center"/>
          </w:tcPr>
          <w:p>
            <w:pPr>
              <w:adjustRightInd w:val="0"/>
              <w:snapToGrid w:val="0"/>
              <w:jc w:val="center"/>
              <w:rPr>
                <w:rFonts w:eastAsiaTheme="minorEastAsia"/>
                <w:color w:val="FF0000"/>
                <w:szCs w:val="21"/>
                <w:u w:val="single"/>
              </w:rPr>
            </w:pPr>
          </w:p>
        </w:tc>
        <w:tc>
          <w:tcPr>
            <w:tcW w:w="538" w:type="pct"/>
            <w:vMerge w:val="continue"/>
            <w:vAlign w:val="center"/>
          </w:tcPr>
          <w:p>
            <w:pPr>
              <w:adjustRightInd w:val="0"/>
              <w:snapToGrid w:val="0"/>
              <w:jc w:val="center"/>
              <w:rPr>
                <w:rFonts w:eastAsiaTheme="minorEastAsia"/>
                <w:color w:val="FF0000"/>
                <w:szCs w:val="21"/>
                <w:u w:val="single"/>
              </w:rPr>
            </w:pPr>
          </w:p>
        </w:tc>
        <w:tc>
          <w:tcPr>
            <w:tcW w:w="533" w:type="pct"/>
            <w:tcBorders>
              <w:top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NH</w:t>
            </w:r>
            <w:r>
              <w:rPr>
                <w:rFonts w:eastAsiaTheme="minorEastAsia"/>
                <w:szCs w:val="21"/>
                <w:u w:val="single"/>
                <w:vertAlign w:val="subscript"/>
              </w:rPr>
              <w:t>3</w:t>
            </w:r>
          </w:p>
        </w:tc>
        <w:tc>
          <w:tcPr>
            <w:tcW w:w="605" w:type="pct"/>
            <w:tcBorders>
              <w:top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0.00037</w:t>
            </w:r>
          </w:p>
        </w:tc>
      </w:tr>
    </w:tbl>
    <w:p>
      <w:pPr>
        <w:snapToGrid w:val="0"/>
        <w:spacing w:line="360" w:lineRule="auto"/>
        <w:jc w:val="center"/>
        <w:rPr>
          <w:rFonts w:eastAsiaTheme="minorEastAsia"/>
          <w:b/>
          <w:sz w:val="24"/>
        </w:rPr>
      </w:pPr>
      <w:r>
        <w:rPr>
          <w:rFonts w:eastAsiaTheme="minorEastAsia"/>
          <w:b/>
          <w:sz w:val="24"/>
        </w:rPr>
        <w:t>表2.4-2  P</w:t>
      </w:r>
      <w:r>
        <w:rPr>
          <w:rFonts w:eastAsiaTheme="minorEastAsia"/>
          <w:b/>
          <w:sz w:val="24"/>
          <w:vertAlign w:val="subscript"/>
        </w:rPr>
        <w:t>max</w:t>
      </w:r>
      <w:r>
        <w:rPr>
          <w:rFonts w:eastAsiaTheme="minorEastAsia"/>
          <w:b/>
          <w:sz w:val="24"/>
        </w:rPr>
        <w:t>和D</w:t>
      </w:r>
      <w:r>
        <w:rPr>
          <w:rFonts w:eastAsiaTheme="minorEastAsia"/>
          <w:b/>
          <w:sz w:val="24"/>
          <w:vertAlign w:val="subscript"/>
        </w:rPr>
        <w:t>10%</w:t>
      </w:r>
      <w:r>
        <w:rPr>
          <w:rFonts w:eastAsiaTheme="minorEastAsia"/>
          <w:b/>
          <w:sz w:val="24"/>
        </w:rPr>
        <w:t>预测和计算结果一览表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55"/>
        <w:gridCol w:w="1760"/>
        <w:gridCol w:w="1760"/>
        <w:gridCol w:w="1756"/>
        <w:gridCol w:w="1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98" w:type="pct"/>
            <w:vAlign w:val="center"/>
          </w:tcPr>
          <w:p>
            <w:pPr>
              <w:adjustRightInd w:val="0"/>
              <w:snapToGrid w:val="0"/>
              <w:jc w:val="center"/>
              <w:rPr>
                <w:rFonts w:eastAsiaTheme="minorEastAsia"/>
                <w:b/>
                <w:szCs w:val="21"/>
                <w:u w:val="single"/>
              </w:rPr>
            </w:pPr>
            <w:r>
              <w:rPr>
                <w:rFonts w:eastAsiaTheme="minorEastAsia"/>
                <w:b/>
                <w:szCs w:val="21"/>
                <w:u w:val="single"/>
              </w:rPr>
              <w:t>污染源名称</w:t>
            </w:r>
          </w:p>
        </w:tc>
        <w:tc>
          <w:tcPr>
            <w:tcW w:w="1001" w:type="pct"/>
            <w:vAlign w:val="center"/>
          </w:tcPr>
          <w:p>
            <w:pPr>
              <w:adjustRightInd w:val="0"/>
              <w:snapToGrid w:val="0"/>
              <w:jc w:val="center"/>
              <w:rPr>
                <w:rFonts w:eastAsiaTheme="minorEastAsia"/>
                <w:b/>
                <w:szCs w:val="21"/>
                <w:u w:val="single"/>
              </w:rPr>
            </w:pPr>
            <w:r>
              <w:rPr>
                <w:rFonts w:eastAsiaTheme="minorEastAsia"/>
                <w:b/>
                <w:szCs w:val="21"/>
                <w:u w:val="single"/>
              </w:rPr>
              <w:t>评价因子</w:t>
            </w:r>
          </w:p>
        </w:tc>
        <w:tc>
          <w:tcPr>
            <w:tcW w:w="1001" w:type="pct"/>
            <w:vAlign w:val="center"/>
          </w:tcPr>
          <w:p>
            <w:pPr>
              <w:adjustRightInd w:val="0"/>
              <w:snapToGrid w:val="0"/>
              <w:jc w:val="center"/>
              <w:rPr>
                <w:rFonts w:eastAsiaTheme="minorEastAsia"/>
                <w:b/>
                <w:szCs w:val="21"/>
                <w:u w:val="single"/>
              </w:rPr>
            </w:pPr>
            <w:r>
              <w:rPr>
                <w:rFonts w:eastAsiaTheme="minorEastAsia"/>
                <w:b/>
                <w:szCs w:val="21"/>
                <w:u w:val="single"/>
              </w:rPr>
              <w:t>评价标准(μg/m</w:t>
            </w:r>
            <w:r>
              <w:rPr>
                <w:rFonts w:eastAsiaTheme="minorEastAsia"/>
                <w:b/>
                <w:szCs w:val="21"/>
                <w:u w:val="single"/>
                <w:vertAlign w:val="superscript"/>
              </w:rPr>
              <w:t>3</w:t>
            </w:r>
            <w:r>
              <w:rPr>
                <w:rFonts w:eastAsiaTheme="minorEastAsia"/>
                <w:b/>
                <w:szCs w:val="21"/>
                <w:u w:val="single"/>
              </w:rPr>
              <w:t>)</w:t>
            </w:r>
          </w:p>
        </w:tc>
        <w:tc>
          <w:tcPr>
            <w:tcW w:w="999" w:type="pct"/>
            <w:vAlign w:val="center"/>
          </w:tcPr>
          <w:p>
            <w:pPr>
              <w:adjustRightInd w:val="0"/>
              <w:snapToGrid w:val="0"/>
              <w:jc w:val="center"/>
              <w:rPr>
                <w:rFonts w:eastAsiaTheme="minorEastAsia"/>
                <w:b/>
                <w:szCs w:val="21"/>
                <w:u w:val="single"/>
              </w:rPr>
            </w:pPr>
            <w:r>
              <w:rPr>
                <w:rFonts w:eastAsiaTheme="minorEastAsia"/>
                <w:b/>
                <w:szCs w:val="21"/>
                <w:u w:val="single"/>
              </w:rPr>
              <w:t>C</w:t>
            </w:r>
            <w:r>
              <w:rPr>
                <w:rFonts w:eastAsiaTheme="minorEastAsia"/>
                <w:b/>
                <w:szCs w:val="21"/>
                <w:u w:val="single"/>
                <w:vertAlign w:val="subscript"/>
              </w:rPr>
              <w:t>max</w:t>
            </w:r>
          </w:p>
          <w:p>
            <w:pPr>
              <w:adjustRightInd w:val="0"/>
              <w:snapToGrid w:val="0"/>
              <w:jc w:val="center"/>
              <w:rPr>
                <w:rFonts w:eastAsiaTheme="minorEastAsia"/>
                <w:b/>
                <w:szCs w:val="21"/>
                <w:u w:val="single"/>
              </w:rPr>
            </w:pPr>
            <w:r>
              <w:rPr>
                <w:rFonts w:eastAsiaTheme="minorEastAsia"/>
                <w:b/>
                <w:szCs w:val="21"/>
                <w:u w:val="single"/>
              </w:rPr>
              <w:t>(μg/m</w:t>
            </w:r>
            <w:r>
              <w:rPr>
                <w:rFonts w:eastAsiaTheme="minorEastAsia"/>
                <w:b/>
                <w:szCs w:val="21"/>
                <w:u w:val="single"/>
                <w:vertAlign w:val="superscript"/>
              </w:rPr>
              <w:t>3</w:t>
            </w:r>
            <w:r>
              <w:rPr>
                <w:rFonts w:eastAsiaTheme="minorEastAsia"/>
                <w:b/>
                <w:szCs w:val="21"/>
                <w:u w:val="single"/>
              </w:rPr>
              <w:t>)</w:t>
            </w:r>
          </w:p>
        </w:tc>
        <w:tc>
          <w:tcPr>
            <w:tcW w:w="1000" w:type="pct"/>
            <w:vAlign w:val="center"/>
          </w:tcPr>
          <w:p>
            <w:pPr>
              <w:adjustRightInd w:val="0"/>
              <w:snapToGrid w:val="0"/>
              <w:jc w:val="center"/>
              <w:rPr>
                <w:rFonts w:eastAsiaTheme="minorEastAsia"/>
                <w:b/>
                <w:szCs w:val="21"/>
                <w:u w:val="single"/>
              </w:rPr>
            </w:pPr>
            <w:r>
              <w:rPr>
                <w:rFonts w:eastAsiaTheme="minorEastAsia"/>
                <w:b/>
                <w:szCs w:val="21"/>
                <w:u w:val="single"/>
              </w:rPr>
              <w:t>P</w:t>
            </w:r>
            <w:r>
              <w:rPr>
                <w:rFonts w:eastAsiaTheme="minorEastAsia"/>
                <w:b/>
                <w:szCs w:val="21"/>
                <w:u w:val="single"/>
                <w:vertAlign w:val="subscript"/>
              </w:rPr>
              <w:t>max</w:t>
            </w:r>
          </w:p>
          <w:p>
            <w:pPr>
              <w:adjustRightInd w:val="0"/>
              <w:snapToGrid w:val="0"/>
              <w:jc w:val="center"/>
              <w:rPr>
                <w:rFonts w:eastAsiaTheme="minorEastAsia"/>
                <w:b/>
                <w:szCs w:val="21"/>
                <w:u w:val="single"/>
              </w:rPr>
            </w:pPr>
            <w:r>
              <w:rPr>
                <w:rFonts w:eastAsiaTheme="minorEastAsia"/>
                <w:b/>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98" w:type="pct"/>
            <w:vMerge w:val="restart"/>
            <w:vAlign w:val="center"/>
          </w:tcPr>
          <w:p>
            <w:pPr>
              <w:adjustRightInd w:val="0"/>
              <w:snapToGrid w:val="0"/>
              <w:jc w:val="center"/>
              <w:rPr>
                <w:rFonts w:eastAsiaTheme="minorEastAsia"/>
                <w:szCs w:val="21"/>
                <w:u w:val="single"/>
              </w:rPr>
            </w:pPr>
            <w:r>
              <w:rPr>
                <w:rFonts w:eastAsiaTheme="minorEastAsia"/>
                <w:szCs w:val="21"/>
                <w:u w:val="single"/>
              </w:rPr>
              <w:t>污水处理站无组织臭气</w:t>
            </w: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氨气</w:t>
            </w: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200</w:t>
            </w:r>
          </w:p>
        </w:tc>
        <w:tc>
          <w:tcPr>
            <w:tcW w:w="999" w:type="pct"/>
            <w:vAlign w:val="center"/>
          </w:tcPr>
          <w:p>
            <w:pPr>
              <w:snapToGrid w:val="0"/>
              <w:jc w:val="center"/>
              <w:rPr>
                <w:rFonts w:eastAsiaTheme="minorEastAsia"/>
                <w:szCs w:val="21"/>
                <w:u w:val="single"/>
              </w:rPr>
            </w:pPr>
            <w:r>
              <w:rPr>
                <w:rFonts w:eastAsiaTheme="minorEastAsia"/>
                <w:szCs w:val="21"/>
                <w:u w:val="single"/>
              </w:rPr>
              <w:t>0.317</w:t>
            </w:r>
          </w:p>
        </w:tc>
        <w:tc>
          <w:tcPr>
            <w:tcW w:w="1000" w:type="pct"/>
            <w:vAlign w:val="center"/>
          </w:tcPr>
          <w:p>
            <w:pPr>
              <w:snapToGrid w:val="0"/>
              <w:jc w:val="center"/>
              <w:rPr>
                <w:rFonts w:eastAsiaTheme="minorEastAsia"/>
                <w:szCs w:val="21"/>
                <w:u w:val="single"/>
              </w:rPr>
            </w:pPr>
            <w:r>
              <w:rPr>
                <w:rFonts w:eastAsiaTheme="minorEastAsia"/>
                <w:szCs w:val="21"/>
                <w:u w:val="single"/>
              </w:rPr>
              <w:t>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98" w:type="pct"/>
            <w:vMerge w:val="continue"/>
            <w:vAlign w:val="center"/>
          </w:tcPr>
          <w:p>
            <w:pPr>
              <w:adjustRightInd w:val="0"/>
              <w:snapToGrid w:val="0"/>
              <w:jc w:val="center"/>
              <w:rPr>
                <w:rFonts w:eastAsiaTheme="minorEastAsia"/>
                <w:szCs w:val="21"/>
                <w:u w:val="single"/>
              </w:rPr>
            </w:pP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硫化氢</w:t>
            </w: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10</w:t>
            </w:r>
          </w:p>
        </w:tc>
        <w:tc>
          <w:tcPr>
            <w:tcW w:w="999" w:type="pct"/>
            <w:vAlign w:val="center"/>
          </w:tcPr>
          <w:p>
            <w:pPr>
              <w:snapToGrid w:val="0"/>
              <w:jc w:val="center"/>
              <w:rPr>
                <w:rFonts w:eastAsiaTheme="minorEastAsia"/>
                <w:szCs w:val="21"/>
                <w:u w:val="single"/>
              </w:rPr>
            </w:pPr>
            <w:r>
              <w:rPr>
                <w:rFonts w:eastAsiaTheme="minorEastAsia"/>
                <w:szCs w:val="21"/>
                <w:u w:val="single"/>
              </w:rPr>
              <w:t>0.012</w:t>
            </w:r>
          </w:p>
        </w:tc>
        <w:tc>
          <w:tcPr>
            <w:tcW w:w="1000" w:type="pct"/>
            <w:vAlign w:val="center"/>
          </w:tcPr>
          <w:p>
            <w:pPr>
              <w:snapToGrid w:val="0"/>
              <w:jc w:val="center"/>
              <w:rPr>
                <w:rFonts w:eastAsiaTheme="minorEastAsia"/>
                <w:szCs w:val="21"/>
                <w:u w:val="single"/>
              </w:rPr>
            </w:pPr>
            <w:r>
              <w:rPr>
                <w:rFonts w:eastAsiaTheme="minorEastAsia"/>
                <w:szCs w:val="21"/>
                <w:u w:val="single"/>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98" w:type="pct"/>
            <w:vMerge w:val="restart"/>
            <w:vAlign w:val="center"/>
          </w:tcPr>
          <w:p>
            <w:pPr>
              <w:adjustRightInd w:val="0"/>
              <w:snapToGrid w:val="0"/>
              <w:jc w:val="center"/>
              <w:rPr>
                <w:rFonts w:eastAsiaTheme="minorEastAsia"/>
                <w:szCs w:val="21"/>
                <w:u w:val="single"/>
              </w:rPr>
            </w:pPr>
            <w:r>
              <w:rPr>
                <w:rFonts w:eastAsiaTheme="minorEastAsia"/>
                <w:szCs w:val="21"/>
                <w:u w:val="single"/>
              </w:rPr>
              <w:t>污水处理站</w:t>
            </w:r>
            <w:r>
              <w:rPr>
                <w:rFonts w:hint="eastAsia" w:eastAsiaTheme="minorEastAsia"/>
                <w:szCs w:val="21"/>
                <w:u w:val="single"/>
              </w:rPr>
              <w:t>有</w:t>
            </w:r>
            <w:r>
              <w:rPr>
                <w:rFonts w:eastAsiaTheme="minorEastAsia"/>
                <w:szCs w:val="21"/>
                <w:u w:val="single"/>
              </w:rPr>
              <w:t>组织臭气</w:t>
            </w: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氨气</w:t>
            </w: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200</w:t>
            </w:r>
          </w:p>
        </w:tc>
        <w:tc>
          <w:tcPr>
            <w:tcW w:w="999" w:type="pct"/>
            <w:vAlign w:val="center"/>
          </w:tcPr>
          <w:p>
            <w:pPr>
              <w:snapToGrid w:val="0"/>
              <w:jc w:val="center"/>
              <w:rPr>
                <w:rFonts w:eastAsiaTheme="minorEastAsia"/>
                <w:szCs w:val="21"/>
                <w:u w:val="single"/>
              </w:rPr>
            </w:pPr>
            <w:r>
              <w:rPr>
                <w:rFonts w:hint="eastAsia" w:eastAsiaTheme="minorEastAsia"/>
                <w:szCs w:val="21"/>
                <w:u w:val="single"/>
              </w:rPr>
              <w:t>0.422</w:t>
            </w:r>
          </w:p>
        </w:tc>
        <w:tc>
          <w:tcPr>
            <w:tcW w:w="1000" w:type="pct"/>
            <w:vAlign w:val="center"/>
          </w:tcPr>
          <w:p>
            <w:pPr>
              <w:snapToGrid w:val="0"/>
              <w:jc w:val="center"/>
              <w:rPr>
                <w:rFonts w:eastAsiaTheme="minorEastAsia"/>
                <w:szCs w:val="21"/>
                <w:u w:val="single"/>
              </w:rPr>
            </w:pPr>
            <w:r>
              <w:rPr>
                <w:rFonts w:hint="eastAsia" w:eastAsiaTheme="minorEastAsia"/>
                <w:szCs w:val="21"/>
                <w:u w:val="single"/>
              </w:rPr>
              <w:t>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98" w:type="pct"/>
            <w:vMerge w:val="continue"/>
            <w:vAlign w:val="center"/>
          </w:tcPr>
          <w:p>
            <w:pPr>
              <w:adjustRightInd w:val="0"/>
              <w:snapToGrid w:val="0"/>
              <w:jc w:val="center"/>
              <w:rPr>
                <w:rFonts w:eastAsiaTheme="minorEastAsia"/>
                <w:szCs w:val="21"/>
                <w:u w:val="single"/>
              </w:rPr>
            </w:pP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硫化氢</w:t>
            </w:r>
          </w:p>
        </w:tc>
        <w:tc>
          <w:tcPr>
            <w:tcW w:w="1001" w:type="pct"/>
            <w:vAlign w:val="center"/>
          </w:tcPr>
          <w:p>
            <w:pPr>
              <w:adjustRightInd w:val="0"/>
              <w:snapToGrid w:val="0"/>
              <w:jc w:val="center"/>
              <w:rPr>
                <w:rFonts w:eastAsiaTheme="minorEastAsia"/>
                <w:szCs w:val="21"/>
                <w:u w:val="single"/>
              </w:rPr>
            </w:pPr>
            <w:r>
              <w:rPr>
                <w:rFonts w:eastAsiaTheme="minorEastAsia"/>
                <w:szCs w:val="21"/>
                <w:u w:val="single"/>
              </w:rPr>
              <w:t>10</w:t>
            </w:r>
          </w:p>
        </w:tc>
        <w:tc>
          <w:tcPr>
            <w:tcW w:w="999" w:type="pct"/>
            <w:vAlign w:val="center"/>
          </w:tcPr>
          <w:p>
            <w:pPr>
              <w:snapToGrid w:val="0"/>
              <w:jc w:val="center"/>
              <w:rPr>
                <w:rFonts w:eastAsiaTheme="minorEastAsia"/>
                <w:szCs w:val="21"/>
                <w:u w:val="single"/>
              </w:rPr>
            </w:pPr>
            <w:r>
              <w:rPr>
                <w:rFonts w:hint="eastAsia" w:eastAsiaTheme="minorEastAsia"/>
                <w:szCs w:val="21"/>
                <w:u w:val="single"/>
              </w:rPr>
              <w:t>0.017</w:t>
            </w:r>
          </w:p>
        </w:tc>
        <w:tc>
          <w:tcPr>
            <w:tcW w:w="1000" w:type="pct"/>
            <w:vAlign w:val="center"/>
          </w:tcPr>
          <w:p>
            <w:pPr>
              <w:snapToGrid w:val="0"/>
              <w:jc w:val="center"/>
              <w:rPr>
                <w:rFonts w:eastAsiaTheme="minorEastAsia"/>
                <w:szCs w:val="21"/>
                <w:u w:val="single"/>
              </w:rPr>
            </w:pPr>
            <w:r>
              <w:rPr>
                <w:rFonts w:hint="eastAsia" w:eastAsiaTheme="minorEastAsia"/>
                <w:szCs w:val="21"/>
                <w:u w:val="single"/>
              </w:rPr>
              <w:t>0.17</w:t>
            </w:r>
          </w:p>
        </w:tc>
      </w:tr>
    </w:tbl>
    <w:p>
      <w:pPr>
        <w:snapToGrid w:val="0"/>
        <w:spacing w:line="360" w:lineRule="auto"/>
        <w:ind w:firstLine="422" w:firstLineChars="176"/>
        <w:rPr>
          <w:rFonts w:eastAsiaTheme="minorEastAsia"/>
          <w:sz w:val="24"/>
          <w:u w:val="single"/>
        </w:rPr>
      </w:pPr>
      <w:r>
        <w:rPr>
          <w:rFonts w:eastAsiaTheme="minorEastAsia"/>
          <w:sz w:val="24"/>
          <w:u w:val="single"/>
        </w:rPr>
        <w:t>根据测结果可知，污水厂处理站无组织排放的氨气、硫化氢最大落地浓度分别为0.317μg/m</w:t>
      </w:r>
      <w:r>
        <w:rPr>
          <w:rFonts w:eastAsiaTheme="minorEastAsia"/>
          <w:sz w:val="24"/>
          <w:u w:val="single"/>
          <w:vertAlign w:val="superscript"/>
        </w:rPr>
        <w:t>3</w:t>
      </w:r>
      <w:r>
        <w:rPr>
          <w:rFonts w:eastAsiaTheme="minorEastAsia"/>
          <w:sz w:val="24"/>
          <w:u w:val="single"/>
        </w:rPr>
        <w:t>、0.012μg/m</w:t>
      </w:r>
      <w:r>
        <w:rPr>
          <w:rFonts w:eastAsiaTheme="minorEastAsia"/>
          <w:sz w:val="24"/>
          <w:u w:val="single"/>
          <w:vertAlign w:val="superscript"/>
        </w:rPr>
        <w:t>3</w:t>
      </w:r>
      <w:r>
        <w:rPr>
          <w:rFonts w:eastAsiaTheme="minorEastAsia"/>
          <w:sz w:val="24"/>
          <w:u w:val="single"/>
        </w:rPr>
        <w:t>，最大占标率分别为0.16%、0.12%</w:t>
      </w:r>
      <w:r>
        <w:rPr>
          <w:rFonts w:hint="eastAsia" w:eastAsiaTheme="minorEastAsia"/>
          <w:sz w:val="24"/>
          <w:u w:val="single"/>
        </w:rPr>
        <w:t>；</w:t>
      </w:r>
      <w:r>
        <w:rPr>
          <w:rFonts w:hint="eastAsia" w:eastAsiaTheme="minorEastAsia"/>
          <w:sz w:val="24"/>
          <w:szCs w:val="28"/>
          <w:u w:val="single"/>
        </w:rPr>
        <w:t>有</w:t>
      </w:r>
      <w:r>
        <w:rPr>
          <w:rFonts w:eastAsiaTheme="minorEastAsia"/>
          <w:sz w:val="24"/>
          <w:szCs w:val="28"/>
          <w:u w:val="single"/>
        </w:rPr>
        <w:t>组织排放的氨气、硫化氢最大落地浓度分别为0.</w:t>
      </w:r>
      <w:r>
        <w:rPr>
          <w:rFonts w:hint="eastAsia" w:eastAsiaTheme="minorEastAsia"/>
          <w:sz w:val="24"/>
          <w:szCs w:val="28"/>
          <w:u w:val="single"/>
        </w:rPr>
        <w:t>422</w:t>
      </w:r>
      <w:r>
        <w:rPr>
          <w:rFonts w:eastAsiaTheme="minorEastAsia"/>
          <w:sz w:val="24"/>
          <w:szCs w:val="28"/>
          <w:u w:val="single"/>
        </w:rPr>
        <w:t>μg/m</w:t>
      </w:r>
      <w:r>
        <w:rPr>
          <w:rFonts w:eastAsiaTheme="minorEastAsia"/>
          <w:sz w:val="24"/>
          <w:szCs w:val="28"/>
          <w:u w:val="single"/>
          <w:vertAlign w:val="superscript"/>
        </w:rPr>
        <w:t>3</w:t>
      </w:r>
      <w:r>
        <w:rPr>
          <w:rFonts w:eastAsiaTheme="minorEastAsia"/>
          <w:sz w:val="24"/>
          <w:szCs w:val="28"/>
          <w:u w:val="single"/>
        </w:rPr>
        <w:t>、0.0</w:t>
      </w:r>
      <w:r>
        <w:rPr>
          <w:rFonts w:hint="eastAsia" w:eastAsiaTheme="minorEastAsia"/>
          <w:sz w:val="24"/>
          <w:szCs w:val="28"/>
          <w:u w:val="single"/>
        </w:rPr>
        <w:t>17</w:t>
      </w:r>
      <w:r>
        <w:rPr>
          <w:rFonts w:eastAsiaTheme="minorEastAsia"/>
          <w:sz w:val="24"/>
          <w:szCs w:val="28"/>
          <w:u w:val="single"/>
        </w:rPr>
        <w:t>μg/m</w:t>
      </w:r>
      <w:r>
        <w:rPr>
          <w:rFonts w:eastAsiaTheme="minorEastAsia"/>
          <w:sz w:val="24"/>
          <w:szCs w:val="28"/>
          <w:u w:val="single"/>
          <w:vertAlign w:val="superscript"/>
        </w:rPr>
        <w:t>3</w:t>
      </w:r>
      <w:r>
        <w:rPr>
          <w:rFonts w:eastAsiaTheme="minorEastAsia"/>
          <w:sz w:val="24"/>
          <w:szCs w:val="28"/>
          <w:u w:val="single"/>
        </w:rPr>
        <w:t>，最大占标率分别为0.</w:t>
      </w:r>
      <w:r>
        <w:rPr>
          <w:rFonts w:hint="eastAsia" w:eastAsiaTheme="minorEastAsia"/>
          <w:sz w:val="24"/>
          <w:szCs w:val="28"/>
          <w:u w:val="single"/>
        </w:rPr>
        <w:t>21</w:t>
      </w:r>
      <w:r>
        <w:rPr>
          <w:rFonts w:eastAsiaTheme="minorEastAsia"/>
          <w:sz w:val="24"/>
          <w:szCs w:val="28"/>
          <w:u w:val="single"/>
        </w:rPr>
        <w:t>%、0.</w:t>
      </w:r>
      <w:r>
        <w:rPr>
          <w:rFonts w:hint="eastAsia" w:eastAsiaTheme="minorEastAsia"/>
          <w:sz w:val="24"/>
          <w:szCs w:val="28"/>
          <w:u w:val="single"/>
        </w:rPr>
        <w:t>17</w:t>
      </w:r>
      <w:r>
        <w:rPr>
          <w:rFonts w:eastAsiaTheme="minorEastAsia"/>
          <w:sz w:val="24"/>
          <w:szCs w:val="28"/>
          <w:u w:val="single"/>
        </w:rPr>
        <w:t>%。</w:t>
      </w:r>
      <w:r>
        <w:rPr>
          <w:rFonts w:eastAsiaTheme="minorEastAsia"/>
          <w:sz w:val="24"/>
          <w:u w:val="single"/>
        </w:rPr>
        <w:t>根据《环境影响评价技术导则大气环境》(HJ2.2-2018)分级判据，确定本项目大气环境影响评价工作等级为三级。</w:t>
      </w:r>
    </w:p>
    <w:p>
      <w:pPr>
        <w:pStyle w:val="5"/>
        <w:snapToGrid w:val="0"/>
        <w:spacing w:before="0" w:after="0" w:line="360" w:lineRule="auto"/>
        <w:rPr>
          <w:rFonts w:ascii="Times New Roman" w:hAnsi="Times New Roman" w:eastAsiaTheme="minorEastAsia"/>
          <w:kern w:val="0"/>
          <w:sz w:val="24"/>
        </w:rPr>
      </w:pPr>
      <w:bookmarkStart w:id="56" w:name="_Toc385613272"/>
      <w:bookmarkStart w:id="57" w:name="_Toc385403157"/>
      <w:r>
        <w:rPr>
          <w:rFonts w:ascii="Times New Roman" w:hAnsi="Times New Roman" w:eastAsiaTheme="minorEastAsia"/>
          <w:kern w:val="0"/>
          <w:sz w:val="24"/>
        </w:rPr>
        <w:t>2.4.1.2 地表水环境影响评价等级</w:t>
      </w:r>
      <w:bookmarkEnd w:id="56"/>
      <w:bookmarkEnd w:id="57"/>
    </w:p>
    <w:p>
      <w:pPr>
        <w:snapToGrid w:val="0"/>
        <w:spacing w:line="360" w:lineRule="auto"/>
        <w:ind w:firstLine="435"/>
        <w:rPr>
          <w:rFonts w:eastAsiaTheme="minorEastAsia"/>
          <w:sz w:val="24"/>
        </w:rPr>
      </w:pPr>
      <w:r>
        <w:rPr>
          <w:rFonts w:eastAsiaTheme="minorEastAsia"/>
          <w:sz w:val="24"/>
        </w:rPr>
        <w:t>运营期废水主要有普通医疗废水（医院住院部综合废水、医务人员生活废水、医院门诊废水、体检中心废水）、特殊医疗废水（检验科废水、口腔科废水）和食堂餐饮废水。项目产生废水经预处理达标后，进入城市污水管网，最终经湘阴县第一污水处理厂处理达到《城镇污水处理厂污染物排放标准》(GB18918-2002)一级A标准后经白水江排入湘江。根据《环境影响评价技术导则—地表水环境》（HJ2.3-2018）规定，本项目地表水环境影响评价等级为三级B。</w:t>
      </w:r>
    </w:p>
    <w:p>
      <w:pPr>
        <w:snapToGrid w:val="0"/>
        <w:spacing w:line="360" w:lineRule="auto"/>
        <w:jc w:val="center"/>
        <w:rPr>
          <w:rFonts w:eastAsiaTheme="minorEastAsia"/>
          <w:b/>
          <w:sz w:val="24"/>
        </w:rPr>
      </w:pPr>
      <w:r>
        <w:rPr>
          <w:rFonts w:eastAsiaTheme="minorEastAsia"/>
          <w:b/>
          <w:sz w:val="24"/>
        </w:rPr>
        <w:t>表2.4-5  地表水环境评价等级判定表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0"/>
        <w:gridCol w:w="1984"/>
        <w:gridCol w:w="54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dxa"/>
            <w:vMerge w:val="restart"/>
            <w:vAlign w:val="center"/>
          </w:tcPr>
          <w:p>
            <w:pPr>
              <w:snapToGrid w:val="0"/>
              <w:jc w:val="center"/>
              <w:rPr>
                <w:rFonts w:eastAsiaTheme="minorEastAsia"/>
                <w:b/>
                <w:szCs w:val="21"/>
              </w:rPr>
            </w:pPr>
            <w:r>
              <w:rPr>
                <w:rFonts w:eastAsiaTheme="minorEastAsia"/>
                <w:b/>
                <w:szCs w:val="21"/>
              </w:rPr>
              <w:t>评价等级</w:t>
            </w:r>
          </w:p>
        </w:tc>
        <w:tc>
          <w:tcPr>
            <w:tcW w:w="7399" w:type="dxa"/>
            <w:gridSpan w:val="2"/>
            <w:vAlign w:val="center"/>
          </w:tcPr>
          <w:p>
            <w:pPr>
              <w:snapToGrid w:val="0"/>
              <w:jc w:val="center"/>
              <w:rPr>
                <w:rFonts w:eastAsiaTheme="minorEastAsia"/>
                <w:b/>
                <w:szCs w:val="21"/>
              </w:rPr>
            </w:pPr>
            <w:r>
              <w:rPr>
                <w:rFonts w:eastAsiaTheme="minorEastAsia"/>
                <w:b/>
                <w:szCs w:val="21"/>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dxa"/>
            <w:vMerge w:val="continue"/>
            <w:vAlign w:val="center"/>
          </w:tcPr>
          <w:p>
            <w:pPr>
              <w:snapToGrid w:val="0"/>
              <w:jc w:val="center"/>
              <w:rPr>
                <w:rFonts w:eastAsiaTheme="minorEastAsia"/>
                <w:b/>
                <w:szCs w:val="21"/>
              </w:rPr>
            </w:pPr>
          </w:p>
        </w:tc>
        <w:tc>
          <w:tcPr>
            <w:tcW w:w="1984" w:type="dxa"/>
            <w:vAlign w:val="center"/>
          </w:tcPr>
          <w:p>
            <w:pPr>
              <w:snapToGrid w:val="0"/>
              <w:jc w:val="center"/>
              <w:rPr>
                <w:rFonts w:eastAsiaTheme="minorEastAsia"/>
                <w:b/>
                <w:szCs w:val="21"/>
              </w:rPr>
            </w:pPr>
            <w:r>
              <w:rPr>
                <w:rFonts w:eastAsiaTheme="minorEastAsia"/>
                <w:b/>
                <w:szCs w:val="21"/>
              </w:rPr>
              <w:t>排放方式</w:t>
            </w:r>
          </w:p>
        </w:tc>
        <w:tc>
          <w:tcPr>
            <w:tcW w:w="5415" w:type="dxa"/>
            <w:vAlign w:val="center"/>
          </w:tcPr>
          <w:p>
            <w:pPr>
              <w:snapToGrid w:val="0"/>
              <w:jc w:val="center"/>
              <w:rPr>
                <w:rFonts w:eastAsiaTheme="minorEastAsia"/>
                <w:b/>
                <w:szCs w:val="21"/>
              </w:rPr>
            </w:pPr>
            <w:r>
              <w:rPr>
                <w:rFonts w:eastAsiaTheme="minorEastAsia"/>
                <w:b/>
                <w:szCs w:val="21"/>
              </w:rPr>
              <w:t>废水排放量Q/（m</w:t>
            </w:r>
            <w:r>
              <w:rPr>
                <w:rFonts w:eastAsiaTheme="minorEastAsia"/>
                <w:b/>
                <w:szCs w:val="21"/>
                <w:vertAlign w:val="superscript"/>
              </w:rPr>
              <w:t>3</w:t>
            </w:r>
            <w:r>
              <w:rPr>
                <w:rFonts w:eastAsiaTheme="minorEastAsia"/>
                <w:b/>
                <w:szCs w:val="21"/>
              </w:rPr>
              <w:t>/d）水污染物当量数W/（无量纲）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dxa"/>
            <w:vAlign w:val="center"/>
          </w:tcPr>
          <w:p>
            <w:pPr>
              <w:snapToGrid w:val="0"/>
              <w:jc w:val="center"/>
              <w:rPr>
                <w:rFonts w:eastAsiaTheme="minorEastAsia"/>
                <w:szCs w:val="21"/>
              </w:rPr>
            </w:pPr>
            <w:r>
              <w:rPr>
                <w:rFonts w:eastAsiaTheme="minorEastAsia"/>
                <w:szCs w:val="21"/>
              </w:rPr>
              <w:t>一级</w:t>
            </w:r>
          </w:p>
        </w:tc>
        <w:tc>
          <w:tcPr>
            <w:tcW w:w="1984" w:type="dxa"/>
            <w:vAlign w:val="center"/>
          </w:tcPr>
          <w:p>
            <w:pPr>
              <w:snapToGrid w:val="0"/>
              <w:jc w:val="center"/>
              <w:rPr>
                <w:rFonts w:eastAsiaTheme="minorEastAsia"/>
                <w:szCs w:val="21"/>
              </w:rPr>
            </w:pPr>
            <w:r>
              <w:rPr>
                <w:rFonts w:eastAsiaTheme="minorEastAsia"/>
                <w:szCs w:val="21"/>
              </w:rPr>
              <w:t>直接排放</w:t>
            </w:r>
          </w:p>
        </w:tc>
        <w:tc>
          <w:tcPr>
            <w:tcW w:w="5415" w:type="dxa"/>
            <w:vAlign w:val="center"/>
          </w:tcPr>
          <w:p>
            <w:pPr>
              <w:snapToGrid w:val="0"/>
              <w:jc w:val="center"/>
              <w:rPr>
                <w:rFonts w:eastAsiaTheme="minorEastAsia"/>
                <w:szCs w:val="21"/>
              </w:rPr>
            </w:pPr>
            <w:r>
              <w:rPr>
                <w:rFonts w:eastAsiaTheme="minorEastAsia"/>
                <w:szCs w:val="21"/>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dxa"/>
            <w:vAlign w:val="center"/>
          </w:tcPr>
          <w:p>
            <w:pPr>
              <w:snapToGrid w:val="0"/>
              <w:jc w:val="center"/>
              <w:rPr>
                <w:rFonts w:eastAsiaTheme="minorEastAsia"/>
                <w:szCs w:val="21"/>
              </w:rPr>
            </w:pPr>
            <w:r>
              <w:rPr>
                <w:rFonts w:eastAsiaTheme="minorEastAsia"/>
                <w:szCs w:val="21"/>
              </w:rPr>
              <w:t>二级</w:t>
            </w:r>
          </w:p>
        </w:tc>
        <w:tc>
          <w:tcPr>
            <w:tcW w:w="1984" w:type="dxa"/>
            <w:vAlign w:val="center"/>
          </w:tcPr>
          <w:p>
            <w:pPr>
              <w:snapToGrid w:val="0"/>
              <w:jc w:val="center"/>
              <w:rPr>
                <w:rFonts w:eastAsiaTheme="minorEastAsia"/>
                <w:szCs w:val="21"/>
              </w:rPr>
            </w:pPr>
            <w:r>
              <w:rPr>
                <w:rFonts w:eastAsiaTheme="minorEastAsia"/>
                <w:szCs w:val="21"/>
              </w:rPr>
              <w:t>直接排放</w:t>
            </w:r>
          </w:p>
        </w:tc>
        <w:tc>
          <w:tcPr>
            <w:tcW w:w="5415" w:type="dxa"/>
            <w:vAlign w:val="center"/>
          </w:tcPr>
          <w:p>
            <w:pPr>
              <w:snapToGrid w:val="0"/>
              <w:jc w:val="center"/>
              <w:rPr>
                <w:rFonts w:eastAsiaTheme="minorEastAsia"/>
                <w:szCs w:val="21"/>
              </w:rPr>
            </w:pPr>
            <w:r>
              <w:rPr>
                <w:rFonts w:eastAsiaTheme="minorEastAsia"/>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dxa"/>
            <w:tcBorders>
              <w:bottom w:val="single" w:color="auto" w:sz="6" w:space="0"/>
            </w:tcBorders>
            <w:vAlign w:val="center"/>
          </w:tcPr>
          <w:p>
            <w:pPr>
              <w:snapToGrid w:val="0"/>
              <w:jc w:val="center"/>
              <w:rPr>
                <w:rFonts w:eastAsiaTheme="minorEastAsia"/>
                <w:szCs w:val="21"/>
              </w:rPr>
            </w:pPr>
            <w:r>
              <w:rPr>
                <w:rFonts w:eastAsiaTheme="minorEastAsia"/>
                <w:szCs w:val="21"/>
              </w:rPr>
              <w:t>三级A</w:t>
            </w:r>
          </w:p>
        </w:tc>
        <w:tc>
          <w:tcPr>
            <w:tcW w:w="1984" w:type="dxa"/>
            <w:tcBorders>
              <w:bottom w:val="single" w:color="auto" w:sz="6" w:space="0"/>
            </w:tcBorders>
            <w:vAlign w:val="center"/>
          </w:tcPr>
          <w:p>
            <w:pPr>
              <w:snapToGrid w:val="0"/>
              <w:jc w:val="center"/>
              <w:rPr>
                <w:rFonts w:eastAsiaTheme="minorEastAsia"/>
                <w:szCs w:val="21"/>
              </w:rPr>
            </w:pPr>
            <w:r>
              <w:rPr>
                <w:rFonts w:eastAsiaTheme="minorEastAsia"/>
                <w:szCs w:val="21"/>
              </w:rPr>
              <w:t>直接排放</w:t>
            </w:r>
          </w:p>
        </w:tc>
        <w:tc>
          <w:tcPr>
            <w:tcW w:w="5415" w:type="dxa"/>
            <w:tcBorders>
              <w:bottom w:val="single" w:color="auto" w:sz="6" w:space="0"/>
            </w:tcBorders>
            <w:vAlign w:val="center"/>
          </w:tcPr>
          <w:p>
            <w:pPr>
              <w:snapToGrid w:val="0"/>
              <w:jc w:val="center"/>
              <w:rPr>
                <w:rFonts w:eastAsiaTheme="minorEastAsia"/>
                <w:szCs w:val="21"/>
              </w:rPr>
            </w:pPr>
            <w:r>
              <w:rPr>
                <w:rFonts w:eastAsiaTheme="minorEastAsia"/>
                <w:szCs w:val="21"/>
              </w:rPr>
              <w:t>Q＜200且W＜6000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0" w:type="dxa"/>
            <w:tcBorders>
              <w:top w:val="single" w:color="auto" w:sz="6" w:space="0"/>
              <w:bottom w:val="single" w:color="auto" w:sz="12" w:space="0"/>
            </w:tcBorders>
            <w:shd w:val="pct20" w:color="auto" w:fill="auto"/>
            <w:vAlign w:val="center"/>
          </w:tcPr>
          <w:p>
            <w:pPr>
              <w:snapToGrid w:val="0"/>
              <w:jc w:val="center"/>
              <w:rPr>
                <w:rFonts w:eastAsiaTheme="minorEastAsia"/>
                <w:szCs w:val="21"/>
              </w:rPr>
            </w:pPr>
            <w:r>
              <w:rPr>
                <w:rFonts w:eastAsiaTheme="minorEastAsia"/>
                <w:szCs w:val="21"/>
              </w:rPr>
              <w:t>三级B</w:t>
            </w:r>
          </w:p>
        </w:tc>
        <w:tc>
          <w:tcPr>
            <w:tcW w:w="1984" w:type="dxa"/>
            <w:tcBorders>
              <w:top w:val="single" w:color="auto" w:sz="6" w:space="0"/>
              <w:bottom w:val="single" w:color="auto" w:sz="12" w:space="0"/>
            </w:tcBorders>
            <w:shd w:val="pct20" w:color="auto" w:fill="auto"/>
            <w:vAlign w:val="center"/>
          </w:tcPr>
          <w:p>
            <w:pPr>
              <w:snapToGrid w:val="0"/>
              <w:jc w:val="center"/>
              <w:rPr>
                <w:rFonts w:eastAsiaTheme="minorEastAsia"/>
                <w:szCs w:val="21"/>
              </w:rPr>
            </w:pPr>
            <w:r>
              <w:rPr>
                <w:rFonts w:eastAsiaTheme="minorEastAsia"/>
                <w:szCs w:val="21"/>
              </w:rPr>
              <w:t>间接排放</w:t>
            </w:r>
          </w:p>
        </w:tc>
        <w:tc>
          <w:tcPr>
            <w:tcW w:w="5415" w:type="dxa"/>
            <w:tcBorders>
              <w:top w:val="single" w:color="auto" w:sz="6" w:space="0"/>
              <w:bottom w:val="single" w:color="auto" w:sz="12" w:space="0"/>
            </w:tcBorders>
            <w:shd w:val="pct20" w:color="auto" w:fill="auto"/>
            <w:vAlign w:val="center"/>
          </w:tcPr>
          <w:p>
            <w:pPr>
              <w:snapToGrid w:val="0"/>
              <w:jc w:val="center"/>
              <w:rPr>
                <w:rFonts w:eastAsiaTheme="minorEastAsia"/>
                <w:szCs w:val="21"/>
              </w:rPr>
            </w:pPr>
            <w:r>
              <w:rPr>
                <w:rFonts w:eastAsiaTheme="minorEastAsia"/>
                <w:szCs w:val="21"/>
              </w:rPr>
              <w:t>—</w:t>
            </w:r>
          </w:p>
        </w:tc>
      </w:tr>
    </w:tbl>
    <w:p>
      <w:pPr>
        <w:pStyle w:val="5"/>
        <w:snapToGrid w:val="0"/>
        <w:spacing w:before="0" w:after="0" w:line="360" w:lineRule="auto"/>
        <w:rPr>
          <w:rFonts w:ascii="Times New Roman" w:hAnsi="Times New Roman" w:eastAsiaTheme="minorEastAsia"/>
          <w:kern w:val="0"/>
          <w:sz w:val="24"/>
        </w:rPr>
      </w:pPr>
      <w:bookmarkStart w:id="58" w:name="_Toc385613273"/>
      <w:bookmarkStart w:id="59" w:name="_Toc385403158"/>
      <w:r>
        <w:rPr>
          <w:rFonts w:ascii="Times New Roman" w:hAnsi="Times New Roman" w:eastAsiaTheme="minorEastAsia"/>
          <w:kern w:val="0"/>
          <w:sz w:val="24"/>
        </w:rPr>
        <w:t>2.4.1.3 地下水环境影响评价等级</w:t>
      </w:r>
      <w:bookmarkEnd w:id="58"/>
      <w:bookmarkEnd w:id="59"/>
    </w:p>
    <w:p>
      <w:pPr>
        <w:snapToGrid w:val="0"/>
        <w:spacing w:line="360" w:lineRule="auto"/>
        <w:ind w:firstLine="435"/>
        <w:rPr>
          <w:rFonts w:eastAsiaTheme="minorEastAsia"/>
          <w:sz w:val="24"/>
        </w:rPr>
      </w:pPr>
      <w:r>
        <w:rPr>
          <w:rFonts w:eastAsiaTheme="minorEastAsia"/>
          <w:sz w:val="24"/>
        </w:rPr>
        <w:t>本项目属于综合医院建设项目，医院等级为二级甲等医院，根据《环境影响评价技术导则 地下水环境》（HJ610-2016）附录A，本项目属于“V 社会事业与服务业”“158 医院”。本项目为低于三级甲综合医院，属于IV类建设项目。根据《环境影响评价技术导则 地下水环境》（HJ610-2016）分级判断，本项目仅需对地下水环境进行简单分析。</w:t>
      </w:r>
    </w:p>
    <w:p>
      <w:pPr>
        <w:pStyle w:val="5"/>
        <w:snapToGrid w:val="0"/>
        <w:spacing w:before="0" w:after="0" w:line="360" w:lineRule="auto"/>
        <w:rPr>
          <w:rFonts w:ascii="Times New Roman" w:hAnsi="Times New Roman" w:eastAsiaTheme="minorEastAsia"/>
          <w:kern w:val="0"/>
          <w:sz w:val="24"/>
        </w:rPr>
      </w:pPr>
      <w:r>
        <w:rPr>
          <w:rFonts w:ascii="Times New Roman" w:hAnsi="Times New Roman" w:eastAsiaTheme="minorEastAsia"/>
          <w:kern w:val="0"/>
          <w:sz w:val="24"/>
        </w:rPr>
        <w:t>2.4.1.4 声环境影响评价等级</w:t>
      </w:r>
    </w:p>
    <w:p>
      <w:pPr>
        <w:snapToGrid w:val="0"/>
        <w:spacing w:line="360" w:lineRule="auto"/>
        <w:ind w:firstLine="435"/>
        <w:rPr>
          <w:rFonts w:eastAsiaTheme="minorEastAsia"/>
          <w:sz w:val="24"/>
        </w:rPr>
      </w:pPr>
      <w:r>
        <w:rPr>
          <w:rFonts w:eastAsiaTheme="minorEastAsia"/>
          <w:sz w:val="24"/>
        </w:rPr>
        <w:t>本项目医院所在区域为《声环境质量标准》（GB3096-2008）规定的2类地区，经预测项目建成前后评价范围内敏感目标噪声级增高量在3dB（A）以下，且受影响人口数量变化不大，根据《环境影响评价技术导则 声环境》（HJ 2.4-2009），声环境影响评价确定为二级。</w:t>
      </w:r>
    </w:p>
    <w:p>
      <w:pPr>
        <w:pStyle w:val="5"/>
        <w:snapToGrid w:val="0"/>
        <w:spacing w:before="0" w:after="0" w:line="360" w:lineRule="auto"/>
        <w:rPr>
          <w:rFonts w:ascii="Times New Roman" w:hAnsi="Times New Roman" w:eastAsiaTheme="minorEastAsia"/>
          <w:kern w:val="0"/>
          <w:sz w:val="24"/>
        </w:rPr>
      </w:pPr>
      <w:r>
        <w:rPr>
          <w:rFonts w:ascii="Times New Roman" w:hAnsi="Times New Roman" w:eastAsiaTheme="minorEastAsia"/>
          <w:kern w:val="0"/>
          <w:sz w:val="24"/>
        </w:rPr>
        <w:t>2.4.1.5 环境风险评价等级</w:t>
      </w:r>
    </w:p>
    <w:p>
      <w:pPr>
        <w:adjustRightInd w:val="0"/>
        <w:snapToGrid w:val="0"/>
        <w:spacing w:line="360" w:lineRule="auto"/>
        <w:ind w:firstLine="482" w:firstLineChars="200"/>
        <w:rPr>
          <w:rFonts w:eastAsiaTheme="minorEastAsia"/>
          <w:b/>
          <w:sz w:val="24"/>
        </w:rPr>
      </w:pPr>
      <w:r>
        <w:rPr>
          <w:rFonts w:eastAsiaTheme="minorEastAsia"/>
          <w:b/>
          <w:sz w:val="24"/>
        </w:rPr>
        <w:t>1、Q值确定</w:t>
      </w:r>
    </w:p>
    <w:p>
      <w:pPr>
        <w:autoSpaceDE w:val="0"/>
        <w:autoSpaceDN w:val="0"/>
        <w:adjustRightInd w:val="0"/>
        <w:snapToGrid w:val="0"/>
        <w:spacing w:line="360" w:lineRule="auto"/>
        <w:ind w:firstLine="480"/>
        <w:rPr>
          <w:rFonts w:eastAsiaTheme="minorEastAsia"/>
          <w:kern w:val="0"/>
          <w:sz w:val="24"/>
          <w:lang w:val="zh-CN"/>
        </w:rPr>
      </w:pPr>
      <w:r>
        <w:rPr>
          <w:rFonts w:eastAsiaTheme="minorEastAsia"/>
          <w:kern w:val="0"/>
          <w:sz w:val="24"/>
          <w:lang w:val="zh-CN"/>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autoSpaceDE w:val="0"/>
        <w:autoSpaceDN w:val="0"/>
        <w:adjustRightInd w:val="0"/>
        <w:snapToGrid w:val="0"/>
        <w:spacing w:line="360" w:lineRule="auto"/>
        <w:ind w:firstLine="480"/>
        <w:rPr>
          <w:rFonts w:eastAsiaTheme="minorEastAsia"/>
          <w:kern w:val="0"/>
          <w:sz w:val="24"/>
          <w:lang w:val="zh-CN"/>
        </w:rPr>
      </w:pPr>
      <m:oMathPara>
        <m:oMath>
          <m:r>
            <w:rPr>
              <w:rFonts w:ascii="Cambria Math" w:hAnsi="Cambria Math" w:eastAsiaTheme="minorEastAsia"/>
              <w:kern w:val="0"/>
              <w:sz w:val="24"/>
              <w:lang w:val="zh-CN"/>
            </w:rPr>
            <m:t>Q</m:t>
          </m:r>
          <m:r>
            <m:rPr>
              <m:sty m:val="p"/>
            </m:rPr>
            <w:rPr>
              <w:rFonts w:ascii="Cambria Math" w:hAnsi="Cambria Math" w:eastAsiaTheme="minorEastAsia"/>
              <w:kern w:val="0"/>
              <w:sz w:val="24"/>
              <w:lang w:val="zh-CN"/>
            </w:rPr>
            <m:t>=</m:t>
          </m:r>
          <m:f>
            <m:fPr>
              <m:ctrlPr>
                <w:rPr>
                  <w:rFonts w:ascii="Cambria Math" w:hAnsi="Cambria Math" w:eastAsiaTheme="minorEastAsia"/>
                  <w:kern w:val="0"/>
                  <w:sz w:val="24"/>
                  <w:lang w:val="zh-CN"/>
                </w:rPr>
              </m:ctrlPr>
            </m:fPr>
            <m:num>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1</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num>
            <m:den>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1</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den>
          </m:f>
          <m:r>
            <w:rPr>
              <w:rFonts w:ascii="Cambria Math" w:hAnsi="Cambria Math" w:eastAsiaTheme="minorEastAsia"/>
              <w:kern w:val="0"/>
              <w:sz w:val="24"/>
              <w:lang w:val="zh-CN"/>
            </w:rPr>
            <m:t>+</m:t>
          </m:r>
          <m:f>
            <m:fPr>
              <m:ctrlPr>
                <w:rPr>
                  <w:rFonts w:ascii="Cambria Math" w:hAnsi="Cambria Math" w:eastAsiaTheme="minorEastAsia"/>
                  <w:kern w:val="0"/>
                  <w:sz w:val="24"/>
                  <w:lang w:val="zh-CN"/>
                </w:rPr>
              </m:ctrlPr>
            </m:fPr>
            <m:num>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2</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num>
            <m:den>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2</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den>
          </m:f>
          <m:r>
            <w:rPr>
              <w:rFonts w:ascii="Cambria Math" w:hAnsi="Cambria Math" w:eastAsiaTheme="minorEastAsia"/>
              <w:kern w:val="0"/>
              <w:sz w:val="24"/>
              <w:lang w:val="zh-CN"/>
            </w:rPr>
            <m:t>⋯+</m:t>
          </m:r>
          <m:f>
            <m:fPr>
              <m:ctrlPr>
                <w:rPr>
                  <w:rFonts w:ascii="Cambria Math" w:hAnsi="Cambria Math" w:eastAsiaTheme="minorEastAsia"/>
                  <w:kern w:val="0"/>
                  <w:sz w:val="24"/>
                  <w:lang w:val="zh-CN"/>
                </w:rPr>
              </m:ctrlPr>
            </m:fPr>
            <m:num>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n</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num>
            <m:den>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n</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den>
          </m:f>
        </m:oMath>
      </m:oMathPara>
    </w:p>
    <w:p>
      <w:pPr>
        <w:autoSpaceDE w:val="0"/>
        <w:autoSpaceDN w:val="0"/>
        <w:adjustRightInd w:val="0"/>
        <w:snapToGrid w:val="0"/>
        <w:spacing w:line="360" w:lineRule="auto"/>
        <w:ind w:firstLine="480"/>
        <w:rPr>
          <w:rFonts w:eastAsiaTheme="minorEastAsia"/>
          <w:kern w:val="0"/>
          <w:sz w:val="24"/>
          <w:lang w:val="zh-CN"/>
        </w:rPr>
      </w:pPr>
      <w:r>
        <w:rPr>
          <w:rFonts w:eastAsiaTheme="minorEastAsia"/>
          <w:kern w:val="0"/>
          <w:sz w:val="24"/>
          <w:lang w:val="zh-CN"/>
        </w:rPr>
        <w:t>式中：q</w:t>
      </w:r>
      <w:r>
        <w:rPr>
          <w:rFonts w:eastAsiaTheme="minorEastAsia"/>
          <w:kern w:val="0"/>
          <w:sz w:val="24"/>
          <w:vertAlign w:val="subscript"/>
          <w:lang w:val="zh-CN"/>
        </w:rPr>
        <w:t>1</w:t>
      </w:r>
      <w:r>
        <w:rPr>
          <w:rFonts w:eastAsiaTheme="minorEastAsia"/>
          <w:kern w:val="0"/>
          <w:sz w:val="24"/>
          <w:lang w:val="zh-CN"/>
        </w:rPr>
        <w:t>，q</w:t>
      </w:r>
      <w:r>
        <w:rPr>
          <w:rFonts w:eastAsiaTheme="minorEastAsia"/>
          <w:kern w:val="0"/>
          <w:sz w:val="24"/>
          <w:vertAlign w:val="subscript"/>
          <w:lang w:val="zh-CN"/>
        </w:rPr>
        <w:t>2</w:t>
      </w:r>
      <w:r>
        <w:rPr>
          <w:rFonts w:eastAsiaTheme="minorEastAsia"/>
          <w:kern w:val="0"/>
          <w:sz w:val="24"/>
          <w:lang w:val="zh-CN"/>
        </w:rPr>
        <w:t>，…，q</w:t>
      </w:r>
      <w:r>
        <w:rPr>
          <w:rFonts w:eastAsiaTheme="minorEastAsia"/>
          <w:kern w:val="0"/>
          <w:sz w:val="24"/>
          <w:vertAlign w:val="subscript"/>
          <w:lang w:val="zh-CN"/>
        </w:rPr>
        <w:t>n</w:t>
      </w:r>
      <w:r>
        <w:rPr>
          <w:rFonts w:eastAsiaTheme="minorEastAsia"/>
          <w:kern w:val="0"/>
          <w:sz w:val="24"/>
          <w:lang w:val="zh-CN"/>
        </w:rPr>
        <w:t>—每种危险物质的最大存在总量，t；</w:t>
      </w:r>
    </w:p>
    <w:p>
      <w:pPr>
        <w:autoSpaceDE w:val="0"/>
        <w:autoSpaceDN w:val="0"/>
        <w:adjustRightInd w:val="0"/>
        <w:snapToGrid w:val="0"/>
        <w:spacing w:line="360" w:lineRule="auto"/>
        <w:ind w:firstLine="1200" w:firstLineChars="500"/>
        <w:rPr>
          <w:rFonts w:eastAsiaTheme="minorEastAsia"/>
          <w:kern w:val="0"/>
          <w:sz w:val="24"/>
          <w:lang w:val="zh-CN"/>
        </w:rPr>
      </w:pPr>
      <w:r>
        <w:rPr>
          <w:rFonts w:eastAsiaTheme="minorEastAsia"/>
          <w:kern w:val="0"/>
          <w:sz w:val="24"/>
          <w:lang w:val="zh-CN"/>
        </w:rPr>
        <w:t>Q</w:t>
      </w:r>
      <w:r>
        <w:rPr>
          <w:rFonts w:eastAsiaTheme="minorEastAsia"/>
          <w:kern w:val="0"/>
          <w:sz w:val="24"/>
          <w:vertAlign w:val="subscript"/>
          <w:lang w:val="zh-CN"/>
        </w:rPr>
        <w:t>1</w:t>
      </w:r>
      <w:r>
        <w:rPr>
          <w:rFonts w:eastAsiaTheme="minorEastAsia"/>
          <w:kern w:val="0"/>
          <w:sz w:val="24"/>
          <w:lang w:val="zh-CN"/>
        </w:rPr>
        <w:t>，Q</w:t>
      </w:r>
      <w:r>
        <w:rPr>
          <w:rFonts w:eastAsiaTheme="minorEastAsia"/>
          <w:kern w:val="0"/>
          <w:sz w:val="24"/>
          <w:vertAlign w:val="subscript"/>
          <w:lang w:val="zh-CN"/>
        </w:rPr>
        <w:t>2</w:t>
      </w:r>
      <w:r>
        <w:rPr>
          <w:rFonts w:eastAsiaTheme="minorEastAsia"/>
          <w:kern w:val="0"/>
          <w:sz w:val="24"/>
          <w:lang w:val="zh-CN"/>
        </w:rPr>
        <w:t>，…，Q</w:t>
      </w:r>
      <w:r>
        <w:rPr>
          <w:rFonts w:eastAsiaTheme="minorEastAsia"/>
          <w:kern w:val="0"/>
          <w:sz w:val="24"/>
          <w:vertAlign w:val="subscript"/>
          <w:lang w:val="zh-CN"/>
        </w:rPr>
        <w:t>n</w:t>
      </w:r>
      <w:r>
        <w:rPr>
          <w:rFonts w:eastAsiaTheme="minorEastAsia"/>
          <w:kern w:val="0"/>
          <w:sz w:val="24"/>
          <w:lang w:val="zh-CN"/>
        </w:rPr>
        <w:t>.每种危险物质的临界量，t。</w:t>
      </w:r>
    </w:p>
    <w:p>
      <w:pPr>
        <w:autoSpaceDE w:val="0"/>
        <w:autoSpaceDN w:val="0"/>
        <w:adjustRightInd w:val="0"/>
        <w:snapToGrid w:val="0"/>
        <w:spacing w:line="360" w:lineRule="auto"/>
        <w:ind w:firstLine="480" w:firstLineChars="200"/>
        <w:rPr>
          <w:rFonts w:eastAsiaTheme="minorEastAsia"/>
          <w:kern w:val="0"/>
          <w:sz w:val="24"/>
          <w:lang w:val="zh-CN"/>
        </w:rPr>
      </w:pPr>
      <w:r>
        <w:rPr>
          <w:rFonts w:eastAsiaTheme="minorEastAsia"/>
          <w:kern w:val="0"/>
          <w:sz w:val="24"/>
          <w:lang w:val="zh-CN"/>
        </w:rPr>
        <w:t>当Q&lt;1时，该项目环境风险潜势为I。</w:t>
      </w:r>
    </w:p>
    <w:p>
      <w:pPr>
        <w:autoSpaceDE w:val="0"/>
        <w:autoSpaceDN w:val="0"/>
        <w:adjustRightInd w:val="0"/>
        <w:snapToGrid w:val="0"/>
        <w:spacing w:line="360" w:lineRule="auto"/>
        <w:ind w:firstLine="480" w:firstLineChars="200"/>
        <w:rPr>
          <w:rFonts w:eastAsiaTheme="minorEastAsia"/>
          <w:kern w:val="0"/>
          <w:sz w:val="24"/>
          <w:lang w:val="zh-CN"/>
        </w:rPr>
      </w:pPr>
      <w:r>
        <w:rPr>
          <w:rFonts w:eastAsiaTheme="minorEastAsia"/>
          <w:kern w:val="0"/>
          <w:sz w:val="24"/>
          <w:lang w:val="zh-CN"/>
        </w:rPr>
        <w:t>当Q≥1时，将Q值划分为：（1）1≤Q&lt;10；（2）10≤Q&lt;100；（3）Q≥100。</w:t>
      </w:r>
    </w:p>
    <w:p>
      <w:pPr>
        <w:snapToGrid w:val="0"/>
        <w:spacing w:line="360" w:lineRule="auto"/>
        <w:jc w:val="center"/>
        <w:rPr>
          <w:rFonts w:eastAsiaTheme="minorEastAsia"/>
          <w:b/>
          <w:sz w:val="24"/>
        </w:rPr>
      </w:pPr>
      <w:r>
        <w:rPr>
          <w:rFonts w:eastAsiaTheme="minorEastAsia"/>
          <w:b/>
          <w:sz w:val="24"/>
        </w:rPr>
        <w:t>表2.4-6  本项目危险物质数量与临界量比值计算一览表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3"/>
        <w:gridCol w:w="2744"/>
        <w:gridCol w:w="1838"/>
        <w:gridCol w:w="19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b/>
                <w:bCs/>
                <w:color w:val="000000"/>
                <w:szCs w:val="21"/>
                <w:u w:val="single"/>
              </w:rPr>
            </w:pPr>
            <w:r>
              <w:rPr>
                <w:b/>
                <w:bCs/>
                <w:color w:val="000000"/>
                <w:szCs w:val="21"/>
                <w:u w:val="single"/>
              </w:rPr>
              <w:t>化学品名称</w:t>
            </w:r>
          </w:p>
        </w:tc>
        <w:tc>
          <w:tcPr>
            <w:tcW w:w="1877" w:type="dxa"/>
            <w:vAlign w:val="center"/>
          </w:tcPr>
          <w:p>
            <w:pPr>
              <w:jc w:val="center"/>
              <w:rPr>
                <w:b/>
                <w:bCs/>
                <w:color w:val="000000"/>
                <w:szCs w:val="21"/>
                <w:u w:val="single"/>
              </w:rPr>
            </w:pPr>
            <w:r>
              <w:rPr>
                <w:b/>
                <w:bCs/>
                <w:color w:val="000000"/>
                <w:szCs w:val="21"/>
                <w:u w:val="single"/>
              </w:rPr>
              <w:t>最大储存量</w:t>
            </w:r>
            <w:r>
              <w:rPr>
                <w:b/>
                <w:bCs/>
                <w:i/>
                <w:color w:val="000000"/>
                <w:szCs w:val="21"/>
                <w:u w:val="single"/>
              </w:rPr>
              <w:t>q</w:t>
            </w:r>
            <w:r>
              <w:rPr>
                <w:b/>
                <w:bCs/>
                <w:i/>
                <w:color w:val="000000"/>
                <w:szCs w:val="21"/>
                <w:u w:val="single"/>
                <w:vertAlign w:val="subscript"/>
              </w:rPr>
              <w:t>i</w:t>
            </w:r>
          </w:p>
        </w:tc>
        <w:tc>
          <w:tcPr>
            <w:tcW w:w="1257" w:type="dxa"/>
            <w:vAlign w:val="center"/>
          </w:tcPr>
          <w:p>
            <w:pPr>
              <w:jc w:val="center"/>
              <w:rPr>
                <w:b/>
                <w:bCs/>
                <w:color w:val="000000"/>
                <w:szCs w:val="21"/>
                <w:u w:val="single"/>
              </w:rPr>
            </w:pPr>
            <w:r>
              <w:rPr>
                <w:b/>
                <w:bCs/>
                <w:color w:val="000000"/>
                <w:szCs w:val="21"/>
                <w:u w:val="single"/>
              </w:rPr>
              <w:t>临界值</w:t>
            </w:r>
            <w:r>
              <w:rPr>
                <w:b/>
                <w:bCs/>
                <w:i/>
                <w:color w:val="000000"/>
                <w:szCs w:val="21"/>
                <w:u w:val="single"/>
              </w:rPr>
              <w:t>Q</w:t>
            </w:r>
            <w:r>
              <w:rPr>
                <w:b/>
                <w:bCs/>
                <w:i/>
                <w:color w:val="000000"/>
                <w:szCs w:val="21"/>
                <w:u w:val="single"/>
                <w:vertAlign w:val="subscript"/>
              </w:rPr>
              <w:t>i</w:t>
            </w:r>
          </w:p>
        </w:tc>
        <w:tc>
          <w:tcPr>
            <w:tcW w:w="1316" w:type="dxa"/>
            <w:vAlign w:val="center"/>
          </w:tcPr>
          <w:p>
            <w:pPr>
              <w:jc w:val="center"/>
              <w:rPr>
                <w:b/>
                <w:bCs/>
                <w:i/>
                <w:color w:val="000000"/>
                <w:szCs w:val="21"/>
                <w:u w:val="single"/>
              </w:rPr>
            </w:pPr>
            <w:r>
              <w:rPr>
                <w:b/>
                <w:bCs/>
                <w:i/>
                <w:color w:val="000000"/>
                <w:szCs w:val="21"/>
                <w:u w:val="single"/>
              </w:rPr>
              <w:t>q</w:t>
            </w:r>
            <w:r>
              <w:rPr>
                <w:b/>
                <w:bCs/>
                <w:i/>
                <w:color w:val="000000"/>
                <w:szCs w:val="21"/>
                <w:u w:val="single"/>
                <w:vertAlign w:val="subscript"/>
              </w:rPr>
              <w:t>i</w:t>
            </w:r>
            <w:r>
              <w:rPr>
                <w:b/>
                <w:bCs/>
                <w:i/>
                <w:color w:val="000000"/>
                <w:szCs w:val="21"/>
                <w:u w:val="single"/>
              </w:rPr>
              <w:t>/Q</w:t>
            </w:r>
            <w:r>
              <w:rPr>
                <w:b/>
                <w:bCs/>
                <w:i/>
                <w:color w:val="000000"/>
                <w:szCs w:val="21"/>
                <w:u w:val="single"/>
                <w:vertAlign w:val="subscript"/>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color w:val="000000"/>
                <w:szCs w:val="21"/>
                <w:u w:val="single"/>
              </w:rPr>
            </w:pPr>
            <w:r>
              <w:rPr>
                <w:color w:val="000000"/>
                <w:szCs w:val="21"/>
                <w:u w:val="single"/>
              </w:rPr>
              <w:t>乙醇</w:t>
            </w:r>
          </w:p>
        </w:tc>
        <w:tc>
          <w:tcPr>
            <w:tcW w:w="1877" w:type="dxa"/>
            <w:vAlign w:val="center"/>
          </w:tcPr>
          <w:p>
            <w:pPr>
              <w:jc w:val="center"/>
              <w:rPr>
                <w:color w:val="000000"/>
                <w:szCs w:val="21"/>
                <w:u w:val="single"/>
              </w:rPr>
            </w:pPr>
            <w:r>
              <w:rPr>
                <w:color w:val="000000"/>
                <w:szCs w:val="21"/>
                <w:u w:val="single"/>
              </w:rPr>
              <w:t>0.2t</w:t>
            </w:r>
          </w:p>
        </w:tc>
        <w:tc>
          <w:tcPr>
            <w:tcW w:w="1257" w:type="dxa"/>
            <w:vAlign w:val="center"/>
          </w:tcPr>
          <w:p>
            <w:pPr>
              <w:jc w:val="center"/>
              <w:rPr>
                <w:color w:val="000000"/>
                <w:szCs w:val="21"/>
                <w:u w:val="single"/>
              </w:rPr>
            </w:pPr>
            <w:r>
              <w:rPr>
                <w:color w:val="000000"/>
                <w:szCs w:val="21"/>
                <w:u w:val="single"/>
              </w:rPr>
              <w:t>50t</w:t>
            </w:r>
          </w:p>
        </w:tc>
        <w:tc>
          <w:tcPr>
            <w:tcW w:w="1316" w:type="dxa"/>
            <w:vAlign w:val="center"/>
          </w:tcPr>
          <w:p>
            <w:pPr>
              <w:jc w:val="center"/>
              <w:rPr>
                <w:color w:val="000000"/>
                <w:szCs w:val="21"/>
                <w:u w:val="single"/>
              </w:rPr>
            </w:pPr>
            <w:r>
              <w:rPr>
                <w:color w:val="000000"/>
                <w:szCs w:val="21"/>
                <w:u w:val="single"/>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color w:val="000000"/>
                <w:szCs w:val="21"/>
                <w:u w:val="single"/>
              </w:rPr>
            </w:pPr>
            <w:r>
              <w:rPr>
                <w:color w:val="000000"/>
                <w:szCs w:val="21"/>
                <w:u w:val="single"/>
              </w:rPr>
              <w:t>甲醛</w:t>
            </w:r>
          </w:p>
        </w:tc>
        <w:tc>
          <w:tcPr>
            <w:tcW w:w="1877" w:type="dxa"/>
            <w:vAlign w:val="center"/>
          </w:tcPr>
          <w:p>
            <w:pPr>
              <w:jc w:val="center"/>
              <w:rPr>
                <w:color w:val="000000"/>
                <w:szCs w:val="21"/>
                <w:u w:val="single"/>
              </w:rPr>
            </w:pPr>
            <w:r>
              <w:rPr>
                <w:color w:val="000000"/>
                <w:szCs w:val="21"/>
                <w:u w:val="single"/>
              </w:rPr>
              <w:t>0.02t</w:t>
            </w:r>
          </w:p>
        </w:tc>
        <w:tc>
          <w:tcPr>
            <w:tcW w:w="1257" w:type="dxa"/>
            <w:vAlign w:val="center"/>
          </w:tcPr>
          <w:p>
            <w:pPr>
              <w:jc w:val="center"/>
              <w:rPr>
                <w:color w:val="000000"/>
                <w:szCs w:val="21"/>
                <w:u w:val="single"/>
              </w:rPr>
            </w:pPr>
            <w:r>
              <w:rPr>
                <w:color w:val="000000"/>
                <w:szCs w:val="21"/>
                <w:u w:val="single"/>
              </w:rPr>
              <w:t>0.5t</w:t>
            </w:r>
          </w:p>
        </w:tc>
        <w:tc>
          <w:tcPr>
            <w:tcW w:w="1316" w:type="dxa"/>
            <w:vAlign w:val="center"/>
          </w:tcPr>
          <w:p>
            <w:pPr>
              <w:jc w:val="center"/>
              <w:rPr>
                <w:color w:val="000000"/>
                <w:szCs w:val="21"/>
                <w:u w:val="single"/>
              </w:rPr>
            </w:pPr>
            <w:r>
              <w:rPr>
                <w:color w:val="000000"/>
                <w:szCs w:val="21"/>
                <w:u w:val="singl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kern w:val="0"/>
                <w:szCs w:val="21"/>
                <w:u w:val="single"/>
              </w:rPr>
            </w:pPr>
            <w:r>
              <w:rPr>
                <w:color w:val="000000"/>
                <w:szCs w:val="21"/>
                <w:u w:val="single"/>
              </w:rPr>
              <w:t>氯酸钠</w:t>
            </w:r>
          </w:p>
        </w:tc>
        <w:tc>
          <w:tcPr>
            <w:tcW w:w="1877" w:type="dxa"/>
            <w:vAlign w:val="center"/>
          </w:tcPr>
          <w:p>
            <w:pPr>
              <w:jc w:val="center"/>
              <w:rPr>
                <w:color w:val="000000"/>
                <w:szCs w:val="21"/>
                <w:u w:val="single"/>
              </w:rPr>
            </w:pPr>
            <w:r>
              <w:rPr>
                <w:color w:val="000000"/>
                <w:szCs w:val="21"/>
                <w:u w:val="single"/>
              </w:rPr>
              <w:t>0.2t</w:t>
            </w:r>
          </w:p>
        </w:tc>
        <w:tc>
          <w:tcPr>
            <w:tcW w:w="1257" w:type="dxa"/>
            <w:vAlign w:val="center"/>
          </w:tcPr>
          <w:p>
            <w:pPr>
              <w:jc w:val="center"/>
              <w:rPr>
                <w:color w:val="000000"/>
                <w:szCs w:val="21"/>
                <w:u w:val="single"/>
              </w:rPr>
            </w:pPr>
            <w:r>
              <w:rPr>
                <w:color w:val="000000"/>
                <w:szCs w:val="21"/>
                <w:u w:val="single"/>
              </w:rPr>
              <w:t>100t</w:t>
            </w:r>
          </w:p>
        </w:tc>
        <w:tc>
          <w:tcPr>
            <w:tcW w:w="1316" w:type="dxa"/>
            <w:vAlign w:val="center"/>
          </w:tcPr>
          <w:p>
            <w:pPr>
              <w:jc w:val="center"/>
              <w:rPr>
                <w:color w:val="000000"/>
                <w:szCs w:val="21"/>
                <w:u w:val="single"/>
              </w:rPr>
            </w:pPr>
            <w:r>
              <w:rPr>
                <w:color w:val="000000"/>
                <w:szCs w:val="21"/>
                <w:u w:val="single"/>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szCs w:val="21"/>
                <w:u w:val="single"/>
              </w:rPr>
            </w:pPr>
            <w:r>
              <w:rPr>
                <w:rFonts w:hint="eastAsia"/>
                <w:color w:val="000000"/>
                <w:szCs w:val="21"/>
                <w:u w:val="single"/>
              </w:rPr>
              <w:t>次氯酸钠</w:t>
            </w:r>
          </w:p>
        </w:tc>
        <w:tc>
          <w:tcPr>
            <w:tcW w:w="1877" w:type="dxa"/>
            <w:vAlign w:val="center"/>
          </w:tcPr>
          <w:p>
            <w:pPr>
              <w:jc w:val="center"/>
              <w:rPr>
                <w:color w:val="000000"/>
                <w:szCs w:val="21"/>
                <w:u w:val="single"/>
              </w:rPr>
            </w:pPr>
            <w:r>
              <w:rPr>
                <w:rFonts w:hint="eastAsia"/>
                <w:color w:val="000000"/>
                <w:szCs w:val="21"/>
                <w:u w:val="single"/>
              </w:rPr>
              <w:t>0.01</w:t>
            </w:r>
          </w:p>
        </w:tc>
        <w:tc>
          <w:tcPr>
            <w:tcW w:w="1257" w:type="dxa"/>
            <w:vAlign w:val="center"/>
          </w:tcPr>
          <w:p>
            <w:pPr>
              <w:jc w:val="center"/>
              <w:rPr>
                <w:color w:val="000000"/>
                <w:szCs w:val="21"/>
                <w:u w:val="single"/>
              </w:rPr>
            </w:pPr>
            <w:r>
              <w:rPr>
                <w:rFonts w:hint="eastAsia"/>
                <w:color w:val="000000"/>
                <w:szCs w:val="21"/>
                <w:u w:val="single"/>
              </w:rPr>
              <w:t>5</w:t>
            </w:r>
          </w:p>
        </w:tc>
        <w:tc>
          <w:tcPr>
            <w:tcW w:w="1316" w:type="dxa"/>
            <w:vAlign w:val="center"/>
          </w:tcPr>
          <w:p>
            <w:pPr>
              <w:jc w:val="center"/>
              <w:rPr>
                <w:color w:val="000000"/>
                <w:szCs w:val="21"/>
                <w:u w:val="single"/>
              </w:rPr>
            </w:pPr>
            <w:r>
              <w:rPr>
                <w:rFonts w:hint="eastAsia"/>
                <w:color w:val="000000"/>
                <w:szCs w:val="21"/>
                <w:u w:val="single"/>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kern w:val="0"/>
                <w:szCs w:val="21"/>
                <w:u w:val="single"/>
              </w:rPr>
            </w:pPr>
            <w:r>
              <w:rPr>
                <w:color w:val="000000"/>
                <w:kern w:val="0"/>
                <w:szCs w:val="21"/>
                <w:u w:val="single"/>
              </w:rPr>
              <w:t>盐酸</w:t>
            </w:r>
          </w:p>
        </w:tc>
        <w:tc>
          <w:tcPr>
            <w:tcW w:w="1877" w:type="dxa"/>
            <w:vAlign w:val="center"/>
          </w:tcPr>
          <w:p>
            <w:pPr>
              <w:jc w:val="center"/>
              <w:rPr>
                <w:color w:val="000000"/>
                <w:szCs w:val="21"/>
                <w:u w:val="single"/>
              </w:rPr>
            </w:pPr>
            <w:r>
              <w:rPr>
                <w:color w:val="000000"/>
                <w:szCs w:val="21"/>
                <w:u w:val="single"/>
              </w:rPr>
              <w:t>0.15t</w:t>
            </w:r>
          </w:p>
        </w:tc>
        <w:tc>
          <w:tcPr>
            <w:tcW w:w="1257" w:type="dxa"/>
            <w:vAlign w:val="center"/>
          </w:tcPr>
          <w:p>
            <w:pPr>
              <w:jc w:val="center"/>
              <w:rPr>
                <w:color w:val="000000"/>
                <w:szCs w:val="21"/>
                <w:u w:val="single"/>
              </w:rPr>
            </w:pPr>
            <w:r>
              <w:rPr>
                <w:color w:val="000000"/>
                <w:szCs w:val="21"/>
                <w:u w:val="single"/>
              </w:rPr>
              <w:t>7.5t</w:t>
            </w:r>
          </w:p>
        </w:tc>
        <w:tc>
          <w:tcPr>
            <w:tcW w:w="1316" w:type="dxa"/>
            <w:vAlign w:val="center"/>
          </w:tcPr>
          <w:p>
            <w:pPr>
              <w:jc w:val="center"/>
              <w:rPr>
                <w:color w:val="000000"/>
                <w:szCs w:val="21"/>
                <w:u w:val="single"/>
              </w:rPr>
            </w:pPr>
            <w:r>
              <w:rPr>
                <w:color w:val="000000"/>
                <w:szCs w:val="21"/>
                <w:u w:val="single"/>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561" w:type="dxa"/>
            <w:vAlign w:val="center"/>
          </w:tcPr>
          <w:p>
            <w:pPr>
              <w:widowControl/>
              <w:jc w:val="center"/>
              <w:rPr>
                <w:color w:val="000000"/>
                <w:kern w:val="0"/>
                <w:szCs w:val="21"/>
                <w:u w:val="single"/>
              </w:rPr>
            </w:pPr>
            <w:r>
              <w:rPr>
                <w:color w:val="000000"/>
                <w:szCs w:val="21"/>
                <w:u w:val="single"/>
              </w:rPr>
              <w:t>二氧化氯</w:t>
            </w:r>
          </w:p>
        </w:tc>
        <w:tc>
          <w:tcPr>
            <w:tcW w:w="1877" w:type="dxa"/>
            <w:vAlign w:val="center"/>
          </w:tcPr>
          <w:p>
            <w:pPr>
              <w:jc w:val="center"/>
              <w:rPr>
                <w:color w:val="000000"/>
                <w:szCs w:val="21"/>
                <w:u w:val="single"/>
              </w:rPr>
            </w:pPr>
            <w:r>
              <w:rPr>
                <w:color w:val="000000"/>
                <w:szCs w:val="21"/>
                <w:u w:val="single"/>
              </w:rPr>
              <w:t>0.01t</w:t>
            </w:r>
          </w:p>
        </w:tc>
        <w:tc>
          <w:tcPr>
            <w:tcW w:w="1257" w:type="dxa"/>
            <w:vAlign w:val="center"/>
          </w:tcPr>
          <w:p>
            <w:pPr>
              <w:jc w:val="center"/>
              <w:rPr>
                <w:color w:val="000000"/>
                <w:szCs w:val="21"/>
                <w:u w:val="single"/>
              </w:rPr>
            </w:pPr>
            <w:r>
              <w:rPr>
                <w:color w:val="000000"/>
                <w:szCs w:val="21"/>
                <w:u w:val="single"/>
              </w:rPr>
              <w:t>0.5t</w:t>
            </w:r>
          </w:p>
        </w:tc>
        <w:tc>
          <w:tcPr>
            <w:tcW w:w="1316" w:type="dxa"/>
            <w:vAlign w:val="center"/>
          </w:tcPr>
          <w:p>
            <w:pPr>
              <w:jc w:val="center"/>
              <w:rPr>
                <w:color w:val="000000"/>
                <w:szCs w:val="21"/>
                <w:u w:val="single"/>
              </w:rPr>
            </w:pPr>
            <w:r>
              <w:rPr>
                <w:color w:val="000000"/>
                <w:szCs w:val="21"/>
                <w:u w:val="single"/>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szCs w:val="21"/>
                <w:u w:val="single"/>
              </w:rPr>
            </w:pPr>
            <w:r>
              <w:rPr>
                <w:color w:val="000000" w:themeColor="text1"/>
                <w:kern w:val="0"/>
                <w:szCs w:val="21"/>
                <w:u w:val="single"/>
              </w:rPr>
              <w:t>柴油</w:t>
            </w:r>
          </w:p>
        </w:tc>
        <w:tc>
          <w:tcPr>
            <w:tcW w:w="1877" w:type="dxa"/>
            <w:vAlign w:val="center"/>
          </w:tcPr>
          <w:p>
            <w:pPr>
              <w:jc w:val="center"/>
              <w:rPr>
                <w:color w:val="000000"/>
                <w:szCs w:val="21"/>
                <w:u w:val="single"/>
              </w:rPr>
            </w:pPr>
            <w:r>
              <w:rPr>
                <w:color w:val="000000" w:themeColor="text1"/>
                <w:kern w:val="0"/>
                <w:szCs w:val="21"/>
                <w:u w:val="single"/>
              </w:rPr>
              <w:t>1.5</w:t>
            </w:r>
          </w:p>
        </w:tc>
        <w:tc>
          <w:tcPr>
            <w:tcW w:w="1257" w:type="dxa"/>
            <w:vAlign w:val="center"/>
          </w:tcPr>
          <w:p>
            <w:pPr>
              <w:jc w:val="center"/>
              <w:rPr>
                <w:color w:val="000000"/>
                <w:szCs w:val="21"/>
                <w:u w:val="single"/>
              </w:rPr>
            </w:pPr>
            <w:r>
              <w:rPr>
                <w:color w:val="000000"/>
                <w:szCs w:val="21"/>
                <w:u w:val="single"/>
              </w:rPr>
              <w:t>2500</w:t>
            </w:r>
          </w:p>
        </w:tc>
        <w:tc>
          <w:tcPr>
            <w:tcW w:w="1316" w:type="dxa"/>
            <w:vAlign w:val="center"/>
          </w:tcPr>
          <w:p>
            <w:pPr>
              <w:jc w:val="center"/>
              <w:rPr>
                <w:color w:val="000000"/>
                <w:szCs w:val="21"/>
                <w:u w:val="single"/>
              </w:rPr>
            </w:pPr>
            <w:r>
              <w:rPr>
                <w:color w:val="000000"/>
                <w:szCs w:val="21"/>
                <w:u w:val="single"/>
              </w:rPr>
              <w:t>0.0006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color w:val="000000"/>
                <w:szCs w:val="21"/>
                <w:u w:val="single"/>
              </w:rPr>
            </w:pPr>
            <w:r>
              <w:rPr>
                <w:color w:val="000000"/>
                <w:szCs w:val="21"/>
                <w:u w:val="single"/>
              </w:rPr>
              <w:t>/</w:t>
            </w:r>
          </w:p>
        </w:tc>
        <w:tc>
          <w:tcPr>
            <w:tcW w:w="3134" w:type="dxa"/>
            <w:gridSpan w:val="2"/>
            <w:vAlign w:val="center"/>
          </w:tcPr>
          <w:p>
            <w:pPr>
              <w:jc w:val="center"/>
              <w:rPr>
                <w:color w:val="000000"/>
                <w:szCs w:val="21"/>
                <w:u w:val="single"/>
              </w:rPr>
            </w:pPr>
            <w:r>
              <w:rPr>
                <w:color w:val="000000"/>
                <w:szCs w:val="21"/>
                <w:u w:val="single"/>
              </w:rPr>
              <w:t>/</w:t>
            </w:r>
          </w:p>
        </w:tc>
        <w:tc>
          <w:tcPr>
            <w:tcW w:w="1316" w:type="dxa"/>
            <w:vAlign w:val="center"/>
          </w:tcPr>
          <w:p>
            <w:pPr>
              <w:jc w:val="center"/>
              <w:rPr>
                <w:color w:val="000000"/>
                <w:szCs w:val="21"/>
                <w:u w:val="single"/>
              </w:rPr>
            </w:pPr>
            <w:r>
              <w:rPr>
                <w:color w:val="000000"/>
                <w:szCs w:val="21"/>
                <w:u w:val="single"/>
              </w:rPr>
              <w:t>0.08</w:t>
            </w:r>
            <w:r>
              <w:rPr>
                <w:rFonts w:hint="eastAsia"/>
                <w:color w:val="000000"/>
                <w:szCs w:val="21"/>
                <w:u w:val="single"/>
              </w:rPr>
              <w:t>9</w:t>
            </w:r>
            <w:r>
              <w:rPr>
                <w:color w:val="000000"/>
                <w:szCs w:val="21"/>
                <w:u w:val="single"/>
              </w:rPr>
              <w:t>6</w:t>
            </w:r>
          </w:p>
        </w:tc>
      </w:tr>
    </w:tbl>
    <w:p>
      <w:pPr>
        <w:autoSpaceDE w:val="0"/>
        <w:autoSpaceDN w:val="0"/>
        <w:adjustRightInd w:val="0"/>
        <w:snapToGrid w:val="0"/>
        <w:spacing w:line="360" w:lineRule="auto"/>
        <w:ind w:firstLine="480"/>
        <w:rPr>
          <w:rFonts w:eastAsiaTheme="minorEastAsia"/>
          <w:b/>
          <w:sz w:val="24"/>
        </w:rPr>
      </w:pPr>
      <w:r>
        <w:rPr>
          <w:rFonts w:eastAsiaTheme="minorEastAsia"/>
          <w:b/>
          <w:sz w:val="24"/>
        </w:rPr>
        <w:t>经计算，Q值为0.08</w:t>
      </w:r>
      <w:r>
        <w:rPr>
          <w:rFonts w:hint="eastAsia" w:eastAsiaTheme="minorEastAsia"/>
          <w:b/>
          <w:sz w:val="24"/>
        </w:rPr>
        <w:t>9</w:t>
      </w:r>
      <w:r>
        <w:rPr>
          <w:rFonts w:eastAsiaTheme="minorEastAsia"/>
          <w:b/>
          <w:sz w:val="24"/>
        </w:rPr>
        <w:t>6，Q＜1，该项目环境风险潜势为I。</w:t>
      </w:r>
    </w:p>
    <w:p>
      <w:pPr>
        <w:autoSpaceDE w:val="0"/>
        <w:autoSpaceDN w:val="0"/>
        <w:adjustRightInd w:val="0"/>
        <w:snapToGrid w:val="0"/>
        <w:spacing w:line="360" w:lineRule="auto"/>
        <w:ind w:firstLine="480"/>
        <w:rPr>
          <w:rFonts w:eastAsiaTheme="minorEastAsia"/>
          <w:kern w:val="0"/>
          <w:sz w:val="24"/>
          <w:lang w:val="zh-CN"/>
        </w:rPr>
      </w:pPr>
      <w:r>
        <w:rPr>
          <w:rFonts w:eastAsiaTheme="minorEastAsia"/>
          <w:kern w:val="0"/>
          <w:sz w:val="24"/>
          <w:lang w:val="zh-CN"/>
        </w:rPr>
        <w:t>根据环境风险工作等级划分（表2.4-7），本项目环境风险评价等级为</w:t>
      </w:r>
      <w:r>
        <w:rPr>
          <w:rFonts w:eastAsiaTheme="minorEastAsia"/>
          <w:b/>
          <w:kern w:val="0"/>
          <w:sz w:val="24"/>
          <w:lang w:val="zh-CN"/>
        </w:rPr>
        <w:t>简单分析</w:t>
      </w:r>
      <w:r>
        <w:rPr>
          <w:rFonts w:eastAsiaTheme="minorEastAsia"/>
          <w:kern w:val="0"/>
          <w:sz w:val="24"/>
          <w:lang w:val="zh-CN"/>
        </w:rPr>
        <w:t>。详见下表。</w:t>
      </w:r>
    </w:p>
    <w:p>
      <w:pPr>
        <w:snapToGrid w:val="0"/>
        <w:spacing w:line="360" w:lineRule="auto"/>
        <w:jc w:val="center"/>
        <w:rPr>
          <w:rFonts w:eastAsiaTheme="minorEastAsia"/>
          <w:b/>
          <w:sz w:val="24"/>
        </w:rPr>
      </w:pPr>
      <w:r>
        <w:rPr>
          <w:rFonts w:eastAsiaTheme="minorEastAsia"/>
          <w:b/>
          <w:sz w:val="24"/>
        </w:rPr>
        <w:t>表2.4-7  评价工作等级划分</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57"/>
        <w:gridCol w:w="1757"/>
        <w:gridCol w:w="1757"/>
        <w:gridCol w:w="1759"/>
        <w:gridCol w:w="1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4" w:type="dxa"/>
            <w:vAlign w:val="center"/>
          </w:tcPr>
          <w:p>
            <w:pPr>
              <w:adjustRightInd w:val="0"/>
              <w:snapToGrid w:val="0"/>
              <w:jc w:val="center"/>
              <w:rPr>
                <w:rFonts w:eastAsiaTheme="minorEastAsia"/>
                <w:b/>
                <w:szCs w:val="21"/>
              </w:rPr>
            </w:pPr>
            <w:r>
              <w:rPr>
                <w:rFonts w:eastAsiaTheme="minorEastAsia"/>
                <w:b/>
                <w:szCs w:val="21"/>
              </w:rPr>
              <w:t>环境风险潜势</w:t>
            </w:r>
          </w:p>
        </w:tc>
        <w:tc>
          <w:tcPr>
            <w:tcW w:w="1704" w:type="dxa"/>
            <w:vAlign w:val="center"/>
          </w:tcPr>
          <w:p>
            <w:pPr>
              <w:adjustRightInd w:val="0"/>
              <w:snapToGrid w:val="0"/>
              <w:jc w:val="center"/>
              <w:rPr>
                <w:rFonts w:eastAsiaTheme="minorEastAsia"/>
                <w:b/>
                <w:szCs w:val="21"/>
              </w:rPr>
            </w:pPr>
            <w:r>
              <w:rPr>
                <w:rFonts w:eastAsiaTheme="minorEastAsia"/>
                <w:b/>
                <w:szCs w:val="21"/>
              </w:rPr>
              <w:t>IV、IV+</w:t>
            </w:r>
          </w:p>
        </w:tc>
        <w:tc>
          <w:tcPr>
            <w:tcW w:w="1704" w:type="dxa"/>
            <w:tcBorders>
              <w:bottom w:val="single" w:color="auto" w:sz="6" w:space="0"/>
            </w:tcBorders>
            <w:vAlign w:val="center"/>
          </w:tcPr>
          <w:p>
            <w:pPr>
              <w:adjustRightInd w:val="0"/>
              <w:snapToGrid w:val="0"/>
              <w:jc w:val="center"/>
              <w:rPr>
                <w:rFonts w:eastAsiaTheme="minorEastAsia"/>
                <w:b/>
                <w:szCs w:val="21"/>
              </w:rPr>
            </w:pPr>
            <w:r>
              <w:rPr>
                <w:rFonts w:eastAsiaTheme="minorEastAsia"/>
                <w:b/>
                <w:szCs w:val="21"/>
              </w:rPr>
              <w:t>III</w:t>
            </w:r>
          </w:p>
        </w:tc>
        <w:tc>
          <w:tcPr>
            <w:tcW w:w="1705" w:type="dxa"/>
            <w:vAlign w:val="center"/>
          </w:tcPr>
          <w:p>
            <w:pPr>
              <w:adjustRightInd w:val="0"/>
              <w:snapToGrid w:val="0"/>
              <w:jc w:val="center"/>
              <w:rPr>
                <w:rFonts w:eastAsiaTheme="minorEastAsia"/>
                <w:b/>
                <w:szCs w:val="21"/>
              </w:rPr>
            </w:pPr>
            <w:r>
              <w:rPr>
                <w:rFonts w:eastAsiaTheme="minorEastAsia"/>
                <w:b/>
                <w:szCs w:val="21"/>
              </w:rPr>
              <w:t>II</w:t>
            </w:r>
          </w:p>
        </w:tc>
        <w:tc>
          <w:tcPr>
            <w:tcW w:w="1705" w:type="dxa"/>
            <w:tcBorders>
              <w:bottom w:val="single" w:color="auto" w:sz="6" w:space="0"/>
            </w:tcBorders>
            <w:vAlign w:val="center"/>
          </w:tcPr>
          <w:p>
            <w:pPr>
              <w:adjustRightInd w:val="0"/>
              <w:snapToGrid w:val="0"/>
              <w:jc w:val="center"/>
              <w:rPr>
                <w:rFonts w:eastAsiaTheme="minorEastAsia"/>
                <w:b/>
                <w:szCs w:val="21"/>
              </w:rPr>
            </w:pPr>
            <w:r>
              <w:rPr>
                <w:rFonts w:eastAsiaTheme="minorEastAsia"/>
                <w:b/>
                <w:szCs w:val="21"/>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4" w:type="dxa"/>
            <w:vAlign w:val="center"/>
          </w:tcPr>
          <w:p>
            <w:pPr>
              <w:adjustRightInd w:val="0"/>
              <w:snapToGrid w:val="0"/>
              <w:jc w:val="center"/>
              <w:rPr>
                <w:rFonts w:eastAsiaTheme="minorEastAsia"/>
                <w:b/>
                <w:szCs w:val="21"/>
              </w:rPr>
            </w:pPr>
            <w:r>
              <w:rPr>
                <w:rFonts w:eastAsiaTheme="minorEastAsia"/>
                <w:b/>
                <w:szCs w:val="21"/>
              </w:rPr>
              <w:t>评价工作等级</w:t>
            </w:r>
          </w:p>
        </w:tc>
        <w:tc>
          <w:tcPr>
            <w:tcW w:w="1704" w:type="dxa"/>
            <w:vAlign w:val="center"/>
          </w:tcPr>
          <w:p>
            <w:pPr>
              <w:adjustRightInd w:val="0"/>
              <w:snapToGrid w:val="0"/>
              <w:jc w:val="center"/>
              <w:rPr>
                <w:rFonts w:eastAsiaTheme="minorEastAsia"/>
                <w:szCs w:val="21"/>
              </w:rPr>
            </w:pPr>
            <w:r>
              <w:rPr>
                <w:rFonts w:eastAsiaTheme="minorEastAsia"/>
                <w:szCs w:val="21"/>
              </w:rPr>
              <w:t>一</w:t>
            </w:r>
          </w:p>
        </w:tc>
        <w:tc>
          <w:tcPr>
            <w:tcW w:w="1704" w:type="dxa"/>
            <w:tcBorders>
              <w:top w:val="single" w:color="auto" w:sz="6" w:space="0"/>
              <w:bottom w:val="single" w:color="auto" w:sz="12" w:space="0"/>
            </w:tcBorders>
            <w:shd w:val="clear" w:color="auto" w:fill="auto"/>
            <w:vAlign w:val="center"/>
          </w:tcPr>
          <w:p>
            <w:pPr>
              <w:adjustRightInd w:val="0"/>
              <w:snapToGrid w:val="0"/>
              <w:jc w:val="center"/>
              <w:rPr>
                <w:rFonts w:eastAsiaTheme="minorEastAsia"/>
                <w:szCs w:val="21"/>
              </w:rPr>
            </w:pPr>
            <w:r>
              <w:rPr>
                <w:rFonts w:eastAsiaTheme="minorEastAsia"/>
                <w:szCs w:val="21"/>
              </w:rPr>
              <w:t>二</w:t>
            </w:r>
          </w:p>
        </w:tc>
        <w:tc>
          <w:tcPr>
            <w:tcW w:w="1705" w:type="dxa"/>
            <w:vAlign w:val="center"/>
          </w:tcPr>
          <w:p>
            <w:pPr>
              <w:adjustRightInd w:val="0"/>
              <w:snapToGrid w:val="0"/>
              <w:jc w:val="center"/>
              <w:rPr>
                <w:rFonts w:eastAsiaTheme="minorEastAsia"/>
                <w:szCs w:val="21"/>
              </w:rPr>
            </w:pPr>
            <w:r>
              <w:rPr>
                <w:rFonts w:eastAsiaTheme="minorEastAsia"/>
                <w:szCs w:val="21"/>
              </w:rPr>
              <w:t>三</w:t>
            </w:r>
          </w:p>
        </w:tc>
        <w:tc>
          <w:tcPr>
            <w:tcW w:w="1705" w:type="dxa"/>
            <w:tcBorders>
              <w:top w:val="single" w:color="auto" w:sz="6" w:space="0"/>
              <w:bottom w:val="single" w:color="auto" w:sz="12" w:space="0"/>
            </w:tcBorders>
            <w:shd w:val="pct25" w:color="auto" w:fill="auto"/>
            <w:vAlign w:val="center"/>
          </w:tcPr>
          <w:p>
            <w:pPr>
              <w:adjustRightInd w:val="0"/>
              <w:snapToGrid w:val="0"/>
              <w:jc w:val="center"/>
              <w:rPr>
                <w:rFonts w:eastAsiaTheme="minorEastAsia"/>
                <w:szCs w:val="21"/>
              </w:rPr>
            </w:pPr>
            <w:r>
              <w:rPr>
                <w:rFonts w:eastAsiaTheme="minorEastAsia"/>
                <w:szCs w:val="21"/>
              </w:rPr>
              <w:t>简单分析</w:t>
            </w:r>
          </w:p>
        </w:tc>
      </w:tr>
    </w:tbl>
    <w:p>
      <w:pPr>
        <w:autoSpaceDE w:val="0"/>
        <w:autoSpaceDN w:val="0"/>
        <w:adjustRightInd w:val="0"/>
        <w:snapToGrid w:val="0"/>
        <w:spacing w:line="360" w:lineRule="auto"/>
        <w:ind w:firstLine="480"/>
        <w:rPr>
          <w:rFonts w:eastAsiaTheme="minorEastAsia"/>
          <w:bCs/>
          <w:kern w:val="0"/>
          <w:sz w:val="24"/>
          <w:lang w:val="zh-CN"/>
        </w:rPr>
      </w:pPr>
      <w:r>
        <w:rPr>
          <w:rFonts w:eastAsiaTheme="minorEastAsia"/>
          <w:bCs/>
          <w:kern w:val="0"/>
          <w:sz w:val="24"/>
          <w:lang w:val="zh-CN"/>
        </w:rPr>
        <w:t>根据环境风险工作等级划分，本项目环境风险评价等级直接判定为简单分析。</w:t>
      </w:r>
    </w:p>
    <w:p>
      <w:pPr>
        <w:pStyle w:val="5"/>
        <w:snapToGrid w:val="0"/>
        <w:spacing w:before="0" w:after="0" w:line="360" w:lineRule="auto"/>
        <w:rPr>
          <w:rFonts w:ascii="Times New Roman" w:hAnsi="Times New Roman" w:eastAsiaTheme="minorEastAsia"/>
          <w:kern w:val="0"/>
          <w:sz w:val="24"/>
        </w:rPr>
      </w:pPr>
      <w:r>
        <w:rPr>
          <w:rFonts w:ascii="Times New Roman" w:hAnsi="Times New Roman" w:eastAsiaTheme="minorEastAsia"/>
          <w:kern w:val="0"/>
          <w:sz w:val="24"/>
        </w:rPr>
        <w:t>2.4.1.6 生态评价工作等级</w:t>
      </w:r>
    </w:p>
    <w:p>
      <w:pPr>
        <w:adjustRightInd w:val="0"/>
        <w:snapToGrid w:val="0"/>
        <w:spacing w:line="360" w:lineRule="auto"/>
        <w:ind w:firstLine="480" w:firstLineChars="200"/>
        <w:rPr>
          <w:rFonts w:eastAsiaTheme="minorEastAsia"/>
          <w:sz w:val="24"/>
        </w:rPr>
      </w:pPr>
      <w:r>
        <w:rPr>
          <w:rFonts w:eastAsiaTheme="minorEastAsia"/>
          <w:sz w:val="24"/>
        </w:rPr>
        <w:t>本项目占地面积26987m</w:t>
      </w:r>
      <w:r>
        <w:rPr>
          <w:rFonts w:eastAsiaTheme="minorEastAsia"/>
          <w:sz w:val="24"/>
          <w:vertAlign w:val="superscript"/>
        </w:rPr>
        <w:t>2</w:t>
      </w:r>
      <w:r>
        <w:rPr>
          <w:rFonts w:eastAsiaTheme="minorEastAsia"/>
          <w:sz w:val="24"/>
        </w:rPr>
        <w:t>，项目厂址位于湖南省岳阳市湘阴县文星镇先锋路69 号，不涉及生态敏感区，对照生态影响评价导则，本项目生态评价级别定为三级。生态评价工作等级划分依据见表2.4-8。</w:t>
      </w:r>
    </w:p>
    <w:p>
      <w:pPr>
        <w:adjustRightInd w:val="0"/>
        <w:snapToGrid w:val="0"/>
        <w:spacing w:line="360" w:lineRule="auto"/>
        <w:ind w:firstLine="480" w:firstLineChars="200"/>
        <w:rPr>
          <w:rFonts w:eastAsiaTheme="minorEastAsia"/>
          <w:sz w:val="24"/>
        </w:rPr>
      </w:pPr>
    </w:p>
    <w:p>
      <w:pPr>
        <w:snapToGrid w:val="0"/>
        <w:spacing w:line="360" w:lineRule="auto"/>
        <w:jc w:val="center"/>
        <w:rPr>
          <w:rFonts w:eastAsiaTheme="minorEastAsia"/>
          <w:b/>
          <w:sz w:val="24"/>
        </w:rPr>
      </w:pPr>
      <w:r>
        <w:rPr>
          <w:rFonts w:eastAsiaTheme="minorEastAsia"/>
          <w:b/>
          <w:sz w:val="24"/>
        </w:rPr>
        <w:t>表2.4-8  生态影响评价工作等级划分表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9"/>
        <w:gridCol w:w="2580"/>
        <w:gridCol w:w="2744"/>
        <w:gridCol w:w="1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blHeader/>
          <w:jc w:val="center"/>
        </w:trPr>
        <w:tc>
          <w:tcPr>
            <w:tcW w:w="1706" w:type="dxa"/>
            <w:vMerge w:val="restart"/>
            <w:vAlign w:val="center"/>
          </w:tcPr>
          <w:p>
            <w:pPr>
              <w:snapToGrid w:val="0"/>
              <w:jc w:val="center"/>
              <w:rPr>
                <w:rFonts w:eastAsiaTheme="minorEastAsia"/>
                <w:b/>
                <w:szCs w:val="21"/>
              </w:rPr>
            </w:pPr>
            <w:r>
              <w:rPr>
                <w:rFonts w:eastAsiaTheme="minorEastAsia"/>
                <w:b/>
                <w:szCs w:val="21"/>
              </w:rPr>
              <w:t>影响区域生态敏感性</w:t>
            </w:r>
          </w:p>
        </w:tc>
        <w:tc>
          <w:tcPr>
            <w:tcW w:w="6823" w:type="dxa"/>
            <w:gridSpan w:val="3"/>
            <w:vAlign w:val="center"/>
          </w:tcPr>
          <w:p>
            <w:pPr>
              <w:snapToGrid w:val="0"/>
              <w:jc w:val="center"/>
              <w:rPr>
                <w:rFonts w:eastAsiaTheme="minorEastAsia"/>
                <w:b/>
                <w:szCs w:val="21"/>
                <w:shd w:val="pct10" w:color="auto" w:fill="FFFFFF"/>
              </w:rPr>
            </w:pPr>
            <w:r>
              <w:rPr>
                <w:rFonts w:eastAsiaTheme="minorEastAsia"/>
                <w:b/>
                <w:szCs w:val="21"/>
              </w:rPr>
              <w:t>工程占地（水域）范围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706" w:type="dxa"/>
            <w:vMerge w:val="continue"/>
            <w:vAlign w:val="center"/>
          </w:tcPr>
          <w:p>
            <w:pPr>
              <w:snapToGrid w:val="0"/>
              <w:jc w:val="center"/>
              <w:rPr>
                <w:rFonts w:eastAsiaTheme="minorEastAsia"/>
                <w:b/>
                <w:szCs w:val="21"/>
              </w:rPr>
            </w:pPr>
          </w:p>
        </w:tc>
        <w:tc>
          <w:tcPr>
            <w:tcW w:w="2504" w:type="dxa"/>
            <w:vAlign w:val="center"/>
          </w:tcPr>
          <w:p>
            <w:pPr>
              <w:snapToGrid w:val="0"/>
              <w:jc w:val="center"/>
              <w:rPr>
                <w:rFonts w:eastAsiaTheme="minorEastAsia"/>
                <w:b/>
                <w:szCs w:val="21"/>
              </w:rPr>
            </w:pPr>
            <w:r>
              <w:rPr>
                <w:rFonts w:eastAsiaTheme="minorEastAsia"/>
                <w:b/>
                <w:szCs w:val="21"/>
              </w:rPr>
              <w:t>面积≥20km</w:t>
            </w:r>
            <w:r>
              <w:rPr>
                <w:rFonts w:eastAsiaTheme="minorEastAsia"/>
                <w:b/>
                <w:szCs w:val="21"/>
                <w:vertAlign w:val="superscript"/>
              </w:rPr>
              <w:t>2</w:t>
            </w:r>
            <w:r>
              <w:rPr>
                <w:rFonts w:eastAsiaTheme="minorEastAsia"/>
                <w:b/>
                <w:szCs w:val="21"/>
              </w:rPr>
              <w:t>或</w:t>
            </w:r>
          </w:p>
          <w:p>
            <w:pPr>
              <w:snapToGrid w:val="0"/>
              <w:jc w:val="center"/>
              <w:rPr>
                <w:rFonts w:eastAsiaTheme="minorEastAsia"/>
                <w:b/>
                <w:szCs w:val="21"/>
              </w:rPr>
            </w:pPr>
            <w:r>
              <w:rPr>
                <w:rFonts w:eastAsiaTheme="minorEastAsia"/>
                <w:b/>
                <w:szCs w:val="21"/>
              </w:rPr>
              <w:t>长度≥100km</w:t>
            </w:r>
          </w:p>
        </w:tc>
        <w:tc>
          <w:tcPr>
            <w:tcW w:w="2663" w:type="dxa"/>
            <w:vAlign w:val="center"/>
          </w:tcPr>
          <w:p>
            <w:pPr>
              <w:snapToGrid w:val="0"/>
              <w:jc w:val="center"/>
              <w:rPr>
                <w:rFonts w:eastAsiaTheme="minorEastAsia"/>
                <w:b/>
                <w:szCs w:val="21"/>
              </w:rPr>
            </w:pPr>
            <w:r>
              <w:rPr>
                <w:rFonts w:eastAsiaTheme="minorEastAsia"/>
                <w:b/>
                <w:szCs w:val="21"/>
              </w:rPr>
              <w:t>面积2km</w:t>
            </w:r>
            <w:r>
              <w:rPr>
                <w:rFonts w:eastAsiaTheme="minorEastAsia"/>
                <w:b/>
                <w:szCs w:val="21"/>
                <w:vertAlign w:val="superscript"/>
              </w:rPr>
              <w:t>2</w:t>
            </w:r>
            <w:r>
              <w:rPr>
                <w:rFonts w:eastAsiaTheme="minorEastAsia"/>
                <w:b/>
                <w:szCs w:val="21"/>
              </w:rPr>
              <w:t>~20km</w:t>
            </w:r>
            <w:r>
              <w:rPr>
                <w:rFonts w:eastAsiaTheme="minorEastAsia"/>
                <w:b/>
                <w:szCs w:val="21"/>
                <w:vertAlign w:val="superscript"/>
              </w:rPr>
              <w:t>2</w:t>
            </w:r>
            <w:r>
              <w:rPr>
                <w:rFonts w:eastAsiaTheme="minorEastAsia"/>
                <w:b/>
                <w:szCs w:val="21"/>
              </w:rPr>
              <w:t>或长度50km~100km</w:t>
            </w:r>
          </w:p>
        </w:tc>
        <w:tc>
          <w:tcPr>
            <w:tcW w:w="1656" w:type="dxa"/>
            <w:vAlign w:val="center"/>
          </w:tcPr>
          <w:p>
            <w:pPr>
              <w:snapToGrid w:val="0"/>
              <w:jc w:val="center"/>
              <w:rPr>
                <w:rFonts w:eastAsiaTheme="minorEastAsia"/>
                <w:b/>
                <w:szCs w:val="21"/>
              </w:rPr>
            </w:pPr>
            <w:r>
              <w:rPr>
                <w:rFonts w:eastAsiaTheme="minorEastAsia"/>
                <w:b/>
                <w:szCs w:val="21"/>
              </w:rPr>
              <w:t>面积≤2km</w:t>
            </w:r>
            <w:r>
              <w:rPr>
                <w:rFonts w:eastAsiaTheme="minorEastAsia"/>
                <w:b/>
                <w:szCs w:val="21"/>
                <w:vertAlign w:val="superscript"/>
              </w:rPr>
              <w:t>2</w:t>
            </w:r>
            <w:r>
              <w:rPr>
                <w:rFonts w:eastAsiaTheme="minorEastAsia"/>
                <w:b/>
                <w:szCs w:val="21"/>
              </w:rPr>
              <w:t>或长度≤50km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6" w:type="dxa"/>
            <w:vAlign w:val="center"/>
          </w:tcPr>
          <w:p>
            <w:pPr>
              <w:snapToGrid w:val="0"/>
              <w:jc w:val="center"/>
              <w:rPr>
                <w:rFonts w:eastAsiaTheme="minorEastAsia"/>
                <w:szCs w:val="21"/>
              </w:rPr>
            </w:pPr>
            <w:r>
              <w:rPr>
                <w:rFonts w:eastAsiaTheme="minorEastAsia"/>
                <w:szCs w:val="21"/>
              </w:rPr>
              <w:t>特殊生态敏感区</w:t>
            </w:r>
          </w:p>
        </w:tc>
        <w:tc>
          <w:tcPr>
            <w:tcW w:w="2504" w:type="dxa"/>
            <w:vAlign w:val="center"/>
          </w:tcPr>
          <w:p>
            <w:pPr>
              <w:snapToGrid w:val="0"/>
              <w:jc w:val="center"/>
              <w:rPr>
                <w:rFonts w:eastAsiaTheme="minorEastAsia"/>
                <w:szCs w:val="21"/>
                <w:shd w:val="pct10" w:color="auto" w:fill="FFFFFF"/>
              </w:rPr>
            </w:pPr>
            <w:r>
              <w:rPr>
                <w:rFonts w:eastAsiaTheme="minorEastAsia"/>
                <w:szCs w:val="21"/>
              </w:rPr>
              <w:t>一级</w:t>
            </w:r>
          </w:p>
        </w:tc>
        <w:tc>
          <w:tcPr>
            <w:tcW w:w="2663" w:type="dxa"/>
            <w:vAlign w:val="center"/>
          </w:tcPr>
          <w:p>
            <w:pPr>
              <w:snapToGrid w:val="0"/>
              <w:jc w:val="center"/>
              <w:rPr>
                <w:rFonts w:eastAsiaTheme="minorEastAsia"/>
                <w:szCs w:val="21"/>
              </w:rPr>
            </w:pPr>
            <w:r>
              <w:rPr>
                <w:rFonts w:eastAsiaTheme="minorEastAsia"/>
                <w:szCs w:val="21"/>
              </w:rPr>
              <w:t>一级</w:t>
            </w:r>
          </w:p>
        </w:tc>
        <w:tc>
          <w:tcPr>
            <w:tcW w:w="1656" w:type="dxa"/>
            <w:tcBorders>
              <w:bottom w:val="single" w:color="auto" w:sz="6" w:space="0"/>
            </w:tcBorders>
            <w:vAlign w:val="center"/>
          </w:tcPr>
          <w:p>
            <w:pPr>
              <w:snapToGrid w:val="0"/>
              <w:jc w:val="center"/>
              <w:rPr>
                <w:rFonts w:eastAsiaTheme="minorEastAsia"/>
                <w:szCs w:val="21"/>
              </w:rPr>
            </w:pPr>
            <w:r>
              <w:rPr>
                <w:rFonts w:eastAsiaTheme="minorEastAsia"/>
                <w:szCs w:val="21"/>
              </w:rPr>
              <w:t>一级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6" w:type="dxa"/>
            <w:shd w:val="clear" w:color="auto" w:fill="auto"/>
            <w:vAlign w:val="center"/>
          </w:tcPr>
          <w:p>
            <w:pPr>
              <w:snapToGrid w:val="0"/>
              <w:jc w:val="center"/>
              <w:rPr>
                <w:rFonts w:eastAsiaTheme="minorEastAsia"/>
                <w:szCs w:val="21"/>
              </w:rPr>
            </w:pPr>
            <w:r>
              <w:rPr>
                <w:rFonts w:eastAsiaTheme="minorEastAsia"/>
                <w:szCs w:val="21"/>
              </w:rPr>
              <w:t>重要生态敏感区</w:t>
            </w:r>
          </w:p>
        </w:tc>
        <w:tc>
          <w:tcPr>
            <w:tcW w:w="2504" w:type="dxa"/>
            <w:shd w:val="clear" w:color="auto" w:fill="auto"/>
            <w:vAlign w:val="center"/>
          </w:tcPr>
          <w:p>
            <w:pPr>
              <w:snapToGrid w:val="0"/>
              <w:jc w:val="center"/>
              <w:rPr>
                <w:rFonts w:eastAsiaTheme="minorEastAsia"/>
                <w:szCs w:val="21"/>
              </w:rPr>
            </w:pPr>
            <w:r>
              <w:rPr>
                <w:rFonts w:eastAsiaTheme="minorEastAsia"/>
                <w:szCs w:val="21"/>
              </w:rPr>
              <w:t>一级</w:t>
            </w:r>
          </w:p>
        </w:tc>
        <w:tc>
          <w:tcPr>
            <w:tcW w:w="2663" w:type="dxa"/>
            <w:shd w:val="clear" w:color="auto" w:fill="auto"/>
            <w:vAlign w:val="center"/>
          </w:tcPr>
          <w:p>
            <w:pPr>
              <w:snapToGrid w:val="0"/>
              <w:jc w:val="center"/>
              <w:rPr>
                <w:rFonts w:eastAsiaTheme="minorEastAsia"/>
                <w:szCs w:val="21"/>
              </w:rPr>
            </w:pPr>
            <w:r>
              <w:rPr>
                <w:rFonts w:eastAsiaTheme="minorEastAsia"/>
                <w:szCs w:val="21"/>
              </w:rPr>
              <w:t>二级</w:t>
            </w:r>
          </w:p>
        </w:tc>
        <w:tc>
          <w:tcPr>
            <w:tcW w:w="1656" w:type="dxa"/>
            <w:tcBorders>
              <w:top w:val="single" w:color="auto" w:sz="6" w:space="0"/>
              <w:bottom w:val="single" w:color="auto" w:sz="6" w:space="0"/>
            </w:tcBorders>
            <w:shd w:val="clear" w:color="auto" w:fill="FFFFFF" w:themeFill="background1"/>
            <w:vAlign w:val="center"/>
          </w:tcPr>
          <w:p>
            <w:pPr>
              <w:snapToGrid w:val="0"/>
              <w:jc w:val="center"/>
              <w:rPr>
                <w:rFonts w:eastAsiaTheme="minorEastAsia"/>
                <w:szCs w:val="21"/>
              </w:rPr>
            </w:pPr>
            <w:r>
              <w:rPr>
                <w:rFonts w:eastAsiaTheme="minorEastAsia"/>
                <w:szCs w:val="21"/>
              </w:rPr>
              <w:t>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706" w:type="dxa"/>
            <w:vAlign w:val="center"/>
          </w:tcPr>
          <w:p>
            <w:pPr>
              <w:snapToGrid w:val="0"/>
              <w:jc w:val="center"/>
              <w:rPr>
                <w:rFonts w:eastAsiaTheme="minorEastAsia"/>
                <w:szCs w:val="21"/>
                <w:shd w:val="pct10" w:color="auto" w:fill="FFFFFF"/>
              </w:rPr>
            </w:pPr>
            <w:r>
              <w:rPr>
                <w:rFonts w:eastAsiaTheme="minorEastAsia"/>
                <w:szCs w:val="21"/>
              </w:rPr>
              <w:t>一般区域</w:t>
            </w:r>
          </w:p>
        </w:tc>
        <w:tc>
          <w:tcPr>
            <w:tcW w:w="2504" w:type="dxa"/>
            <w:vAlign w:val="center"/>
          </w:tcPr>
          <w:p>
            <w:pPr>
              <w:snapToGrid w:val="0"/>
              <w:jc w:val="center"/>
              <w:rPr>
                <w:rFonts w:eastAsiaTheme="minorEastAsia"/>
                <w:szCs w:val="21"/>
              </w:rPr>
            </w:pPr>
            <w:r>
              <w:rPr>
                <w:rFonts w:eastAsiaTheme="minorEastAsia"/>
                <w:szCs w:val="21"/>
              </w:rPr>
              <w:t>二级</w:t>
            </w:r>
          </w:p>
        </w:tc>
        <w:tc>
          <w:tcPr>
            <w:tcW w:w="2663" w:type="dxa"/>
            <w:vAlign w:val="center"/>
          </w:tcPr>
          <w:p>
            <w:pPr>
              <w:snapToGrid w:val="0"/>
              <w:jc w:val="center"/>
              <w:rPr>
                <w:rFonts w:eastAsiaTheme="minorEastAsia"/>
                <w:szCs w:val="21"/>
              </w:rPr>
            </w:pPr>
            <w:r>
              <w:rPr>
                <w:rFonts w:eastAsiaTheme="minorEastAsia"/>
                <w:szCs w:val="21"/>
              </w:rPr>
              <w:t>三级</w:t>
            </w:r>
          </w:p>
        </w:tc>
        <w:tc>
          <w:tcPr>
            <w:tcW w:w="1656" w:type="dxa"/>
            <w:tcBorders>
              <w:top w:val="single" w:color="auto" w:sz="6" w:space="0"/>
              <w:bottom w:val="single" w:color="auto" w:sz="12" w:space="0"/>
            </w:tcBorders>
            <w:shd w:val="pct20" w:color="auto" w:fill="auto"/>
            <w:vAlign w:val="center"/>
          </w:tcPr>
          <w:p>
            <w:pPr>
              <w:snapToGrid w:val="0"/>
              <w:jc w:val="center"/>
              <w:rPr>
                <w:rFonts w:eastAsiaTheme="minorEastAsia"/>
                <w:szCs w:val="21"/>
              </w:rPr>
            </w:pPr>
            <w:r>
              <w:rPr>
                <w:rFonts w:eastAsiaTheme="minorEastAsia"/>
                <w:szCs w:val="21"/>
              </w:rPr>
              <w:t>三级</w:t>
            </w:r>
          </w:p>
        </w:tc>
      </w:tr>
    </w:tbl>
    <w:p>
      <w:pPr>
        <w:pStyle w:val="5"/>
        <w:snapToGrid w:val="0"/>
        <w:spacing w:before="0" w:after="0" w:line="360" w:lineRule="auto"/>
        <w:rPr>
          <w:rFonts w:ascii="Times New Roman" w:hAnsi="Times New Roman" w:eastAsiaTheme="minorEastAsia"/>
          <w:kern w:val="0"/>
          <w:sz w:val="24"/>
        </w:rPr>
      </w:pPr>
      <w:r>
        <w:rPr>
          <w:rFonts w:ascii="Times New Roman" w:hAnsi="Times New Roman" w:eastAsiaTheme="minorEastAsia"/>
          <w:kern w:val="0"/>
          <w:sz w:val="24"/>
        </w:rPr>
        <w:t>2.4.1.7 土壤环境工作等级</w:t>
      </w:r>
    </w:p>
    <w:p>
      <w:pPr>
        <w:adjustRightInd w:val="0"/>
        <w:snapToGrid w:val="0"/>
        <w:spacing w:line="360" w:lineRule="auto"/>
        <w:ind w:firstLine="480" w:firstLineChars="200"/>
        <w:rPr>
          <w:rFonts w:eastAsiaTheme="minorEastAsia"/>
          <w:sz w:val="24"/>
        </w:rPr>
      </w:pPr>
      <w:r>
        <w:rPr>
          <w:rFonts w:eastAsiaTheme="minorEastAsia"/>
          <w:sz w:val="24"/>
        </w:rPr>
        <w:t>根据《环境影响评价技术导则 土壤环境（试行）》（HJ964-2018）：本项目行业类别属于“附录A土壤环境影响评价项目类别表A.1”中的“社会事业与服务业之其他行业”，为Ⅳ类项目，可不开展土壤环境影响评价工作。</w:t>
      </w:r>
    </w:p>
    <w:p>
      <w:pPr>
        <w:pStyle w:val="4"/>
        <w:snapToGrid w:val="0"/>
        <w:spacing w:before="0" w:after="0" w:line="360" w:lineRule="auto"/>
        <w:rPr>
          <w:rFonts w:eastAsiaTheme="minorEastAsia"/>
          <w:kern w:val="0"/>
          <w:sz w:val="24"/>
        </w:rPr>
      </w:pPr>
      <w:r>
        <w:rPr>
          <w:rFonts w:eastAsiaTheme="minorEastAsia"/>
          <w:kern w:val="0"/>
          <w:sz w:val="24"/>
        </w:rPr>
        <w:t>2.4.2 评价范围</w:t>
      </w:r>
    </w:p>
    <w:p>
      <w:pPr>
        <w:adjustRightInd w:val="0"/>
        <w:snapToGrid w:val="0"/>
        <w:spacing w:line="360" w:lineRule="auto"/>
        <w:ind w:firstLine="480" w:firstLineChars="200"/>
        <w:rPr>
          <w:rFonts w:eastAsiaTheme="minorEastAsia"/>
          <w:sz w:val="24"/>
        </w:rPr>
      </w:pPr>
      <w:r>
        <w:rPr>
          <w:rFonts w:eastAsiaTheme="minorEastAsia"/>
          <w:sz w:val="24"/>
        </w:rPr>
        <w:t>根据当地气象、水文地质条件和本项目“三废”排放情况，确定本项目环境影响评价范围见表2.4-9。</w:t>
      </w:r>
    </w:p>
    <w:p>
      <w:pPr>
        <w:adjustRightInd w:val="0"/>
        <w:snapToGrid w:val="0"/>
        <w:spacing w:line="360" w:lineRule="auto"/>
        <w:jc w:val="center"/>
        <w:rPr>
          <w:rFonts w:eastAsiaTheme="minorEastAsia"/>
          <w:b/>
          <w:sz w:val="24"/>
        </w:rPr>
      </w:pPr>
      <w:r>
        <w:rPr>
          <w:rFonts w:eastAsiaTheme="minorEastAsia"/>
          <w:b/>
          <w:sz w:val="24"/>
        </w:rPr>
        <w:t>表2.4-9  项目评价范围一览表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3"/>
        <w:gridCol w:w="1648"/>
        <w:gridCol w:w="60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Align w:val="center"/>
          </w:tcPr>
          <w:p>
            <w:pPr>
              <w:snapToGrid w:val="0"/>
              <w:spacing w:line="320" w:lineRule="exact"/>
              <w:jc w:val="center"/>
              <w:rPr>
                <w:rFonts w:eastAsiaTheme="minorEastAsia"/>
                <w:b/>
                <w:szCs w:val="21"/>
              </w:rPr>
            </w:pPr>
            <w:r>
              <w:rPr>
                <w:rFonts w:eastAsiaTheme="minorEastAsia"/>
                <w:b/>
                <w:szCs w:val="21"/>
              </w:rPr>
              <w:t>序号</w:t>
            </w:r>
          </w:p>
        </w:tc>
        <w:tc>
          <w:tcPr>
            <w:tcW w:w="1599" w:type="dxa"/>
            <w:vAlign w:val="center"/>
          </w:tcPr>
          <w:p>
            <w:pPr>
              <w:snapToGrid w:val="0"/>
              <w:spacing w:line="320" w:lineRule="exact"/>
              <w:jc w:val="center"/>
              <w:rPr>
                <w:rFonts w:eastAsiaTheme="minorEastAsia"/>
                <w:b/>
                <w:szCs w:val="21"/>
              </w:rPr>
            </w:pPr>
            <w:r>
              <w:rPr>
                <w:rFonts w:eastAsiaTheme="minorEastAsia"/>
                <w:b/>
                <w:szCs w:val="21"/>
              </w:rPr>
              <w:t>环境因素</w:t>
            </w:r>
          </w:p>
        </w:tc>
        <w:tc>
          <w:tcPr>
            <w:tcW w:w="5869" w:type="dxa"/>
            <w:vAlign w:val="center"/>
          </w:tcPr>
          <w:p>
            <w:pPr>
              <w:snapToGrid w:val="0"/>
              <w:spacing w:line="320" w:lineRule="exact"/>
              <w:jc w:val="center"/>
              <w:rPr>
                <w:rFonts w:eastAsiaTheme="minorEastAsia"/>
                <w:b/>
                <w:szCs w:val="21"/>
              </w:rPr>
            </w:pPr>
            <w:r>
              <w:rPr>
                <w:rFonts w:eastAsiaTheme="minorEastAsia"/>
                <w:b/>
                <w:szCs w:val="21"/>
              </w:rPr>
              <w:t>评价范围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Align w:val="center"/>
          </w:tcPr>
          <w:p>
            <w:pPr>
              <w:snapToGrid w:val="0"/>
              <w:spacing w:line="320" w:lineRule="exact"/>
              <w:jc w:val="center"/>
              <w:rPr>
                <w:rFonts w:eastAsiaTheme="minorEastAsia"/>
                <w:szCs w:val="21"/>
              </w:rPr>
            </w:pPr>
            <w:r>
              <w:rPr>
                <w:rFonts w:eastAsiaTheme="minorEastAsia"/>
                <w:szCs w:val="21"/>
              </w:rPr>
              <w:t>1</w:t>
            </w:r>
          </w:p>
        </w:tc>
        <w:tc>
          <w:tcPr>
            <w:tcW w:w="1599" w:type="dxa"/>
            <w:vAlign w:val="center"/>
          </w:tcPr>
          <w:p>
            <w:pPr>
              <w:snapToGrid w:val="0"/>
              <w:spacing w:line="320" w:lineRule="exact"/>
              <w:jc w:val="center"/>
              <w:rPr>
                <w:rFonts w:eastAsiaTheme="minorEastAsia"/>
                <w:szCs w:val="21"/>
              </w:rPr>
            </w:pPr>
            <w:r>
              <w:rPr>
                <w:rFonts w:eastAsiaTheme="minorEastAsia"/>
                <w:szCs w:val="21"/>
              </w:rPr>
              <w:t>环境空气</w:t>
            </w:r>
          </w:p>
        </w:tc>
        <w:tc>
          <w:tcPr>
            <w:tcW w:w="5869" w:type="dxa"/>
            <w:vAlign w:val="center"/>
          </w:tcPr>
          <w:p>
            <w:pPr>
              <w:snapToGrid w:val="0"/>
              <w:spacing w:line="320" w:lineRule="exact"/>
              <w:jc w:val="center"/>
              <w:rPr>
                <w:rFonts w:eastAsiaTheme="minorEastAsia"/>
                <w:szCs w:val="21"/>
              </w:rPr>
            </w:pPr>
            <w:r>
              <w:rPr>
                <w:rFonts w:eastAsiaTheme="minorEastAsia"/>
                <w:szCs w:val="21"/>
              </w:rPr>
              <w:t>项目周边300m范围内区域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Align w:val="center"/>
          </w:tcPr>
          <w:p>
            <w:pPr>
              <w:snapToGrid w:val="0"/>
              <w:spacing w:line="320" w:lineRule="exact"/>
              <w:jc w:val="center"/>
              <w:rPr>
                <w:rFonts w:eastAsiaTheme="minorEastAsia"/>
                <w:szCs w:val="21"/>
              </w:rPr>
            </w:pPr>
            <w:r>
              <w:rPr>
                <w:rFonts w:eastAsiaTheme="minorEastAsia"/>
                <w:szCs w:val="21"/>
              </w:rPr>
              <w:t>2</w:t>
            </w:r>
          </w:p>
        </w:tc>
        <w:tc>
          <w:tcPr>
            <w:tcW w:w="1599" w:type="dxa"/>
            <w:vAlign w:val="center"/>
          </w:tcPr>
          <w:p>
            <w:pPr>
              <w:snapToGrid w:val="0"/>
              <w:spacing w:line="320" w:lineRule="exact"/>
              <w:jc w:val="center"/>
              <w:rPr>
                <w:rFonts w:eastAsiaTheme="minorEastAsia"/>
                <w:szCs w:val="21"/>
              </w:rPr>
            </w:pPr>
            <w:r>
              <w:rPr>
                <w:rFonts w:eastAsiaTheme="minorEastAsia"/>
                <w:szCs w:val="21"/>
              </w:rPr>
              <w:t>地表水</w:t>
            </w:r>
          </w:p>
        </w:tc>
        <w:tc>
          <w:tcPr>
            <w:tcW w:w="5869" w:type="dxa"/>
            <w:vAlign w:val="center"/>
          </w:tcPr>
          <w:p>
            <w:pPr>
              <w:snapToGrid w:val="0"/>
              <w:spacing w:line="320" w:lineRule="exact"/>
              <w:jc w:val="center"/>
              <w:rPr>
                <w:rFonts w:eastAsiaTheme="minorEastAsia"/>
                <w:szCs w:val="21"/>
              </w:rPr>
            </w:pPr>
            <w:r>
              <w:rPr>
                <w:rFonts w:eastAsiaTheme="minorEastAsia"/>
                <w:szCs w:val="21"/>
              </w:rPr>
              <w:t>主要评价项目污水排放情况、拟建污水处理设施的可行及污水进入市政管网和依托湘阴县第一污水处理厂的可行性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Align w:val="center"/>
          </w:tcPr>
          <w:p>
            <w:pPr>
              <w:snapToGrid w:val="0"/>
              <w:spacing w:line="320" w:lineRule="exact"/>
              <w:jc w:val="center"/>
              <w:rPr>
                <w:rFonts w:eastAsiaTheme="minorEastAsia"/>
                <w:szCs w:val="21"/>
              </w:rPr>
            </w:pPr>
            <w:r>
              <w:rPr>
                <w:rFonts w:eastAsiaTheme="minorEastAsia"/>
                <w:szCs w:val="21"/>
              </w:rPr>
              <w:t>3</w:t>
            </w:r>
          </w:p>
        </w:tc>
        <w:tc>
          <w:tcPr>
            <w:tcW w:w="1599" w:type="dxa"/>
            <w:vAlign w:val="center"/>
          </w:tcPr>
          <w:p>
            <w:pPr>
              <w:snapToGrid w:val="0"/>
              <w:spacing w:line="320" w:lineRule="exact"/>
              <w:jc w:val="center"/>
              <w:rPr>
                <w:rFonts w:eastAsiaTheme="minorEastAsia"/>
                <w:szCs w:val="21"/>
              </w:rPr>
            </w:pPr>
            <w:r>
              <w:rPr>
                <w:rFonts w:eastAsiaTheme="minorEastAsia"/>
                <w:szCs w:val="21"/>
              </w:rPr>
              <w:t>噪声</w:t>
            </w:r>
          </w:p>
        </w:tc>
        <w:tc>
          <w:tcPr>
            <w:tcW w:w="5869" w:type="dxa"/>
            <w:vAlign w:val="center"/>
          </w:tcPr>
          <w:p>
            <w:pPr>
              <w:snapToGrid w:val="0"/>
              <w:spacing w:line="320" w:lineRule="exact"/>
              <w:jc w:val="center"/>
              <w:rPr>
                <w:rFonts w:eastAsiaTheme="minorEastAsia"/>
                <w:szCs w:val="21"/>
              </w:rPr>
            </w:pPr>
            <w:r>
              <w:rPr>
                <w:rFonts w:eastAsiaTheme="minorEastAsia"/>
                <w:szCs w:val="21"/>
              </w:rPr>
              <w:t>场界外200m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61" w:type="dxa"/>
            <w:vAlign w:val="center"/>
          </w:tcPr>
          <w:p>
            <w:pPr>
              <w:snapToGrid w:val="0"/>
              <w:spacing w:line="320" w:lineRule="exact"/>
              <w:jc w:val="center"/>
              <w:rPr>
                <w:rFonts w:eastAsiaTheme="minorEastAsia"/>
                <w:szCs w:val="21"/>
              </w:rPr>
            </w:pPr>
            <w:r>
              <w:rPr>
                <w:rFonts w:eastAsiaTheme="minorEastAsia"/>
                <w:szCs w:val="21"/>
              </w:rPr>
              <w:t>4</w:t>
            </w:r>
          </w:p>
        </w:tc>
        <w:tc>
          <w:tcPr>
            <w:tcW w:w="1599" w:type="dxa"/>
            <w:vAlign w:val="center"/>
          </w:tcPr>
          <w:p>
            <w:pPr>
              <w:snapToGrid w:val="0"/>
              <w:spacing w:line="320" w:lineRule="exact"/>
              <w:jc w:val="center"/>
              <w:rPr>
                <w:rFonts w:eastAsiaTheme="minorEastAsia"/>
                <w:szCs w:val="21"/>
              </w:rPr>
            </w:pPr>
            <w:r>
              <w:rPr>
                <w:rFonts w:eastAsiaTheme="minorEastAsia"/>
                <w:szCs w:val="21"/>
              </w:rPr>
              <w:t>生态</w:t>
            </w:r>
          </w:p>
        </w:tc>
        <w:tc>
          <w:tcPr>
            <w:tcW w:w="5869" w:type="dxa"/>
            <w:vAlign w:val="center"/>
          </w:tcPr>
          <w:p>
            <w:pPr>
              <w:snapToGrid w:val="0"/>
              <w:spacing w:line="320" w:lineRule="exact"/>
              <w:jc w:val="center"/>
              <w:rPr>
                <w:rFonts w:eastAsiaTheme="minorEastAsia"/>
                <w:szCs w:val="21"/>
              </w:rPr>
            </w:pPr>
            <w:r>
              <w:rPr>
                <w:rFonts w:eastAsiaTheme="minorEastAsia"/>
                <w:szCs w:val="21"/>
              </w:rPr>
              <w:t>项目场界200m范围内土壤、植被</w:t>
            </w:r>
          </w:p>
        </w:tc>
      </w:tr>
    </w:tbl>
    <w:p>
      <w:pPr>
        <w:pStyle w:val="3"/>
        <w:snapToGrid w:val="0"/>
        <w:spacing w:before="0" w:after="0" w:line="360" w:lineRule="auto"/>
        <w:rPr>
          <w:rFonts w:ascii="Times New Roman" w:hAnsi="Times New Roman" w:eastAsiaTheme="minorEastAsia"/>
          <w:sz w:val="28"/>
          <w:lang w:val="zh-CN"/>
        </w:rPr>
      </w:pPr>
      <w:bookmarkStart w:id="60" w:name="_Toc61026589"/>
      <w:r>
        <w:rPr>
          <w:rFonts w:ascii="Times New Roman" w:hAnsi="Times New Roman" w:eastAsiaTheme="minorEastAsia"/>
          <w:sz w:val="28"/>
          <w:lang w:val="zh-CN"/>
        </w:rPr>
        <w:t>2.5 保护目标</w:t>
      </w:r>
      <w:bookmarkEnd w:id="60"/>
    </w:p>
    <w:p>
      <w:pPr>
        <w:adjustRightInd w:val="0"/>
        <w:snapToGrid w:val="0"/>
        <w:spacing w:line="360" w:lineRule="auto"/>
        <w:ind w:firstLine="480" w:firstLineChars="200"/>
        <w:rPr>
          <w:rFonts w:eastAsiaTheme="minorEastAsia"/>
          <w:sz w:val="24"/>
        </w:rPr>
      </w:pPr>
      <w:r>
        <w:rPr>
          <w:rFonts w:eastAsiaTheme="minorEastAsia"/>
          <w:sz w:val="24"/>
        </w:rPr>
        <w:t>本项目位于湘阴县文星镇先锋路69号，</w:t>
      </w:r>
      <w:r>
        <w:rPr>
          <w:rFonts w:hint="eastAsia" w:eastAsiaTheme="minorEastAsia"/>
          <w:sz w:val="24"/>
        </w:rPr>
        <w:t>院</w:t>
      </w:r>
      <w:r>
        <w:rPr>
          <w:rFonts w:eastAsiaTheme="minorEastAsia"/>
          <w:sz w:val="24"/>
        </w:rPr>
        <w:t>址中心经纬度坐标：东经113°4'34"、北纬28°49'23"。项目周围环境保护目标见表2.5-1。</w:t>
      </w:r>
    </w:p>
    <w:p>
      <w:pPr>
        <w:adjustRightInd w:val="0"/>
        <w:snapToGrid w:val="0"/>
        <w:spacing w:line="360" w:lineRule="auto"/>
        <w:jc w:val="center"/>
        <w:rPr>
          <w:rFonts w:eastAsiaTheme="minorEastAsia"/>
          <w:b/>
          <w:sz w:val="24"/>
        </w:rPr>
      </w:pPr>
      <w:r>
        <w:rPr>
          <w:rFonts w:eastAsiaTheme="minorEastAsia"/>
          <w:b/>
          <w:sz w:val="24"/>
        </w:rPr>
        <w:t>表2.5-1  大气环境保护目标一览表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4" w:type="dxa"/>
          <w:bottom w:w="0" w:type="dxa"/>
          <w:right w:w="14" w:type="dxa"/>
        </w:tblCellMar>
      </w:tblPr>
      <w:tblGrid>
        <w:gridCol w:w="1064"/>
        <w:gridCol w:w="1318"/>
        <w:gridCol w:w="1417"/>
        <w:gridCol w:w="567"/>
        <w:gridCol w:w="1560"/>
        <w:gridCol w:w="975"/>
        <w:gridCol w:w="850"/>
        <w:gridCol w:w="10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tblHeader/>
          <w:jc w:val="center"/>
        </w:trPr>
        <w:tc>
          <w:tcPr>
            <w:tcW w:w="1064" w:type="dxa"/>
            <w:vMerge w:val="restart"/>
            <w:noWrap/>
            <w:vAlign w:val="center"/>
          </w:tcPr>
          <w:p>
            <w:pPr>
              <w:adjustRightInd w:val="0"/>
              <w:snapToGrid w:val="0"/>
              <w:jc w:val="center"/>
              <w:rPr>
                <w:rFonts w:eastAsiaTheme="minorEastAsia"/>
                <w:b/>
                <w:szCs w:val="21"/>
              </w:rPr>
            </w:pPr>
            <w:r>
              <w:rPr>
                <w:rFonts w:eastAsiaTheme="minorEastAsia"/>
                <w:b/>
                <w:szCs w:val="21"/>
              </w:rPr>
              <w:t>名称</w:t>
            </w:r>
          </w:p>
        </w:tc>
        <w:tc>
          <w:tcPr>
            <w:tcW w:w="2735" w:type="dxa"/>
            <w:gridSpan w:val="2"/>
            <w:noWrap/>
            <w:vAlign w:val="center"/>
          </w:tcPr>
          <w:p>
            <w:pPr>
              <w:adjustRightInd w:val="0"/>
              <w:snapToGrid w:val="0"/>
              <w:jc w:val="center"/>
              <w:rPr>
                <w:rFonts w:eastAsiaTheme="minorEastAsia"/>
                <w:b/>
                <w:szCs w:val="21"/>
              </w:rPr>
            </w:pPr>
            <w:r>
              <w:rPr>
                <w:rFonts w:eastAsiaTheme="minorEastAsia"/>
                <w:b/>
                <w:szCs w:val="21"/>
              </w:rPr>
              <w:t>坐标</w:t>
            </w:r>
          </w:p>
        </w:tc>
        <w:tc>
          <w:tcPr>
            <w:tcW w:w="567" w:type="dxa"/>
            <w:vMerge w:val="restart"/>
            <w:noWrap/>
            <w:vAlign w:val="center"/>
          </w:tcPr>
          <w:p>
            <w:pPr>
              <w:adjustRightInd w:val="0"/>
              <w:snapToGrid w:val="0"/>
              <w:jc w:val="center"/>
              <w:rPr>
                <w:rFonts w:eastAsiaTheme="minorEastAsia"/>
                <w:b/>
                <w:szCs w:val="21"/>
              </w:rPr>
            </w:pPr>
            <w:r>
              <w:rPr>
                <w:rFonts w:eastAsiaTheme="minorEastAsia"/>
                <w:b/>
                <w:szCs w:val="21"/>
              </w:rPr>
              <w:t>保护对象</w:t>
            </w:r>
          </w:p>
        </w:tc>
        <w:tc>
          <w:tcPr>
            <w:tcW w:w="1560" w:type="dxa"/>
            <w:vMerge w:val="restart"/>
            <w:noWrap/>
            <w:vAlign w:val="center"/>
          </w:tcPr>
          <w:p>
            <w:pPr>
              <w:adjustRightInd w:val="0"/>
              <w:snapToGrid w:val="0"/>
              <w:jc w:val="center"/>
              <w:rPr>
                <w:rFonts w:eastAsiaTheme="minorEastAsia"/>
                <w:b/>
                <w:szCs w:val="21"/>
              </w:rPr>
            </w:pPr>
            <w:r>
              <w:rPr>
                <w:rFonts w:eastAsiaTheme="minorEastAsia"/>
                <w:b/>
                <w:szCs w:val="21"/>
              </w:rPr>
              <w:t>保护内容</w:t>
            </w:r>
          </w:p>
        </w:tc>
        <w:tc>
          <w:tcPr>
            <w:tcW w:w="975" w:type="dxa"/>
            <w:vMerge w:val="restart"/>
            <w:noWrap/>
            <w:vAlign w:val="center"/>
          </w:tcPr>
          <w:p>
            <w:pPr>
              <w:adjustRightInd w:val="0"/>
              <w:snapToGrid w:val="0"/>
              <w:jc w:val="center"/>
              <w:rPr>
                <w:rFonts w:eastAsiaTheme="minorEastAsia"/>
                <w:b/>
                <w:szCs w:val="21"/>
              </w:rPr>
            </w:pPr>
            <w:r>
              <w:rPr>
                <w:rFonts w:eastAsiaTheme="minorEastAsia"/>
                <w:b/>
                <w:szCs w:val="21"/>
              </w:rPr>
              <w:t>环境功能区</w:t>
            </w:r>
          </w:p>
        </w:tc>
        <w:tc>
          <w:tcPr>
            <w:tcW w:w="850" w:type="dxa"/>
            <w:vMerge w:val="restart"/>
            <w:noWrap/>
            <w:vAlign w:val="center"/>
          </w:tcPr>
          <w:p>
            <w:pPr>
              <w:adjustRightInd w:val="0"/>
              <w:snapToGrid w:val="0"/>
              <w:jc w:val="center"/>
              <w:rPr>
                <w:rFonts w:eastAsiaTheme="minorEastAsia"/>
                <w:b/>
                <w:szCs w:val="21"/>
              </w:rPr>
            </w:pPr>
            <w:r>
              <w:rPr>
                <w:rFonts w:eastAsiaTheme="minorEastAsia"/>
                <w:b/>
                <w:szCs w:val="21"/>
              </w:rPr>
              <w:t>相对厂址方位</w:t>
            </w:r>
          </w:p>
        </w:tc>
        <w:tc>
          <w:tcPr>
            <w:tcW w:w="1038" w:type="dxa"/>
            <w:vMerge w:val="restart"/>
            <w:noWrap/>
            <w:vAlign w:val="center"/>
          </w:tcPr>
          <w:p>
            <w:pPr>
              <w:adjustRightInd w:val="0"/>
              <w:snapToGrid w:val="0"/>
              <w:jc w:val="center"/>
              <w:rPr>
                <w:rFonts w:eastAsiaTheme="minorEastAsia"/>
                <w:b/>
                <w:szCs w:val="21"/>
              </w:rPr>
            </w:pPr>
            <w:r>
              <w:rPr>
                <w:rFonts w:eastAsiaTheme="minorEastAsia"/>
                <w:b/>
                <w:szCs w:val="21"/>
              </w:rPr>
              <w:t>相对厂址距离（m）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tblHeader/>
          <w:jc w:val="center"/>
        </w:trPr>
        <w:tc>
          <w:tcPr>
            <w:tcW w:w="1064" w:type="dxa"/>
            <w:vMerge w:val="continue"/>
            <w:noWrap/>
            <w:vAlign w:val="center"/>
          </w:tcPr>
          <w:p>
            <w:pPr>
              <w:adjustRightInd w:val="0"/>
              <w:snapToGrid w:val="0"/>
              <w:jc w:val="center"/>
              <w:rPr>
                <w:rFonts w:eastAsiaTheme="minorEastAsia"/>
                <w:b/>
                <w:szCs w:val="21"/>
              </w:rPr>
            </w:pPr>
          </w:p>
        </w:tc>
        <w:tc>
          <w:tcPr>
            <w:tcW w:w="1318" w:type="dxa"/>
            <w:noWrap/>
            <w:vAlign w:val="center"/>
          </w:tcPr>
          <w:p>
            <w:pPr>
              <w:adjustRightInd w:val="0"/>
              <w:snapToGrid w:val="0"/>
              <w:jc w:val="center"/>
              <w:rPr>
                <w:rFonts w:eastAsiaTheme="minorEastAsia"/>
                <w:b/>
                <w:szCs w:val="21"/>
              </w:rPr>
            </w:pPr>
            <w:r>
              <w:rPr>
                <w:rFonts w:eastAsiaTheme="minorEastAsia"/>
                <w:b/>
                <w:szCs w:val="21"/>
              </w:rPr>
              <w:t>经度</w:t>
            </w:r>
          </w:p>
        </w:tc>
        <w:tc>
          <w:tcPr>
            <w:tcW w:w="1417" w:type="dxa"/>
            <w:noWrap/>
            <w:vAlign w:val="center"/>
          </w:tcPr>
          <w:p>
            <w:pPr>
              <w:adjustRightInd w:val="0"/>
              <w:snapToGrid w:val="0"/>
              <w:jc w:val="center"/>
              <w:rPr>
                <w:rFonts w:eastAsiaTheme="minorEastAsia"/>
                <w:b/>
                <w:szCs w:val="21"/>
              </w:rPr>
            </w:pPr>
            <w:r>
              <w:rPr>
                <w:rFonts w:eastAsiaTheme="minorEastAsia"/>
                <w:b/>
                <w:szCs w:val="21"/>
              </w:rPr>
              <w:t>纬度</w:t>
            </w:r>
          </w:p>
        </w:tc>
        <w:tc>
          <w:tcPr>
            <w:tcW w:w="567" w:type="dxa"/>
            <w:vMerge w:val="continue"/>
            <w:noWrap/>
            <w:vAlign w:val="center"/>
          </w:tcPr>
          <w:p>
            <w:pPr>
              <w:adjustRightInd w:val="0"/>
              <w:snapToGrid w:val="0"/>
              <w:jc w:val="center"/>
              <w:rPr>
                <w:rFonts w:eastAsiaTheme="minorEastAsia"/>
                <w:b/>
                <w:szCs w:val="21"/>
              </w:rPr>
            </w:pPr>
          </w:p>
        </w:tc>
        <w:tc>
          <w:tcPr>
            <w:tcW w:w="1560" w:type="dxa"/>
            <w:vMerge w:val="continue"/>
            <w:noWrap/>
            <w:vAlign w:val="center"/>
          </w:tcPr>
          <w:p>
            <w:pPr>
              <w:adjustRightInd w:val="0"/>
              <w:snapToGrid w:val="0"/>
              <w:jc w:val="center"/>
              <w:rPr>
                <w:rFonts w:eastAsiaTheme="minorEastAsia"/>
                <w:b/>
                <w:szCs w:val="21"/>
              </w:rPr>
            </w:pPr>
          </w:p>
        </w:tc>
        <w:tc>
          <w:tcPr>
            <w:tcW w:w="975" w:type="dxa"/>
            <w:vMerge w:val="continue"/>
            <w:noWrap/>
            <w:vAlign w:val="center"/>
          </w:tcPr>
          <w:p>
            <w:pPr>
              <w:adjustRightInd w:val="0"/>
              <w:snapToGrid w:val="0"/>
              <w:jc w:val="center"/>
              <w:rPr>
                <w:rFonts w:eastAsiaTheme="minorEastAsia"/>
                <w:b/>
                <w:szCs w:val="21"/>
              </w:rPr>
            </w:pPr>
          </w:p>
        </w:tc>
        <w:tc>
          <w:tcPr>
            <w:tcW w:w="850" w:type="dxa"/>
            <w:vMerge w:val="continue"/>
            <w:noWrap/>
            <w:vAlign w:val="center"/>
          </w:tcPr>
          <w:p>
            <w:pPr>
              <w:adjustRightInd w:val="0"/>
              <w:snapToGrid w:val="0"/>
              <w:jc w:val="center"/>
              <w:rPr>
                <w:rFonts w:eastAsiaTheme="minorEastAsia"/>
                <w:b/>
                <w:szCs w:val="21"/>
              </w:rPr>
            </w:pPr>
          </w:p>
        </w:tc>
        <w:tc>
          <w:tcPr>
            <w:tcW w:w="1038" w:type="dxa"/>
            <w:vMerge w:val="continue"/>
            <w:noWrap/>
            <w:vAlign w:val="center"/>
          </w:tcPr>
          <w:p>
            <w:pPr>
              <w:adjustRightInd w:val="0"/>
              <w:snapToGrid w:val="0"/>
              <w:jc w:val="center"/>
              <w:rPr>
                <w:rFonts w:eastAsiaTheme="minorEastAsia"/>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1064" w:type="dxa"/>
            <w:noWrap/>
            <w:vAlign w:val="center"/>
          </w:tcPr>
          <w:p>
            <w:pPr>
              <w:adjustRightInd w:val="0"/>
              <w:snapToGrid w:val="0"/>
              <w:jc w:val="center"/>
              <w:rPr>
                <w:rFonts w:eastAsiaTheme="minorEastAsia"/>
                <w:szCs w:val="21"/>
              </w:rPr>
            </w:pPr>
            <w:r>
              <w:rPr>
                <w:rFonts w:eastAsiaTheme="minorEastAsia"/>
                <w:szCs w:val="21"/>
              </w:rPr>
              <w:t>滨江茗园</w:t>
            </w:r>
          </w:p>
        </w:tc>
        <w:tc>
          <w:tcPr>
            <w:tcW w:w="1318" w:type="dxa"/>
            <w:noWrap/>
            <w:vAlign w:val="center"/>
          </w:tcPr>
          <w:p>
            <w:pPr>
              <w:adjustRightInd w:val="0"/>
              <w:snapToGrid w:val="0"/>
              <w:jc w:val="center"/>
              <w:rPr>
                <w:rFonts w:eastAsiaTheme="minorEastAsia"/>
                <w:szCs w:val="21"/>
                <w:u w:val="single"/>
              </w:rPr>
            </w:pPr>
            <w:r>
              <w:rPr>
                <w:rFonts w:eastAsiaTheme="minorEastAsia"/>
                <w:szCs w:val="21"/>
                <w:u w:val="single"/>
              </w:rPr>
              <w:t>112°52'55.573733349552"</w:t>
            </w:r>
          </w:p>
        </w:tc>
        <w:tc>
          <w:tcPr>
            <w:tcW w:w="1417" w:type="dxa"/>
            <w:noWrap/>
            <w:vAlign w:val="center"/>
          </w:tcPr>
          <w:p>
            <w:pPr>
              <w:adjustRightInd w:val="0"/>
              <w:snapToGrid w:val="0"/>
              <w:jc w:val="center"/>
              <w:rPr>
                <w:rFonts w:eastAsiaTheme="minorEastAsia"/>
                <w:szCs w:val="21"/>
                <w:u w:val="single"/>
              </w:rPr>
            </w:pPr>
            <w:r>
              <w:rPr>
                <w:rFonts w:eastAsiaTheme="minorEastAsia"/>
                <w:szCs w:val="21"/>
                <w:u w:val="single"/>
              </w:rPr>
              <w:t>28°40'28.417339190758803"</w:t>
            </w:r>
          </w:p>
        </w:tc>
        <w:tc>
          <w:tcPr>
            <w:tcW w:w="567" w:type="dxa"/>
            <w:noWrap/>
            <w:vAlign w:val="center"/>
          </w:tcPr>
          <w:p>
            <w:pPr>
              <w:adjustRightInd w:val="0"/>
              <w:snapToGrid w:val="0"/>
              <w:jc w:val="center"/>
              <w:rPr>
                <w:rFonts w:eastAsiaTheme="minorEastAsia"/>
                <w:szCs w:val="21"/>
              </w:rPr>
            </w:pPr>
            <w:r>
              <w:rPr>
                <w:rFonts w:eastAsiaTheme="minorEastAsia"/>
                <w:szCs w:val="21"/>
              </w:rPr>
              <w:t>居民</w:t>
            </w:r>
          </w:p>
        </w:tc>
        <w:tc>
          <w:tcPr>
            <w:tcW w:w="1560" w:type="dxa"/>
            <w:noWrap/>
            <w:vAlign w:val="center"/>
          </w:tcPr>
          <w:p>
            <w:pPr>
              <w:adjustRightInd w:val="0"/>
              <w:snapToGrid w:val="0"/>
              <w:jc w:val="center"/>
              <w:rPr>
                <w:rFonts w:eastAsiaTheme="minorEastAsia"/>
                <w:szCs w:val="21"/>
              </w:rPr>
            </w:pPr>
            <w:r>
              <w:rPr>
                <w:rFonts w:eastAsiaTheme="minorEastAsia"/>
                <w:szCs w:val="21"/>
              </w:rPr>
              <w:t>800户，4000人</w:t>
            </w:r>
          </w:p>
        </w:tc>
        <w:tc>
          <w:tcPr>
            <w:tcW w:w="975" w:type="dxa"/>
            <w:vMerge w:val="restart"/>
            <w:noWrap/>
            <w:vAlign w:val="center"/>
          </w:tcPr>
          <w:p>
            <w:pPr>
              <w:adjustRightInd w:val="0"/>
              <w:snapToGrid w:val="0"/>
              <w:jc w:val="center"/>
              <w:rPr>
                <w:rFonts w:eastAsiaTheme="minorEastAsia"/>
                <w:szCs w:val="21"/>
              </w:rPr>
            </w:pPr>
            <w:r>
              <w:rPr>
                <w:rFonts w:eastAsiaTheme="minorEastAsia"/>
                <w:szCs w:val="21"/>
              </w:rPr>
              <w:t>二类区，执行《环境空气质量标准》（GB3095-2012）及修改单二级标准</w:t>
            </w:r>
          </w:p>
        </w:tc>
        <w:tc>
          <w:tcPr>
            <w:tcW w:w="850" w:type="dxa"/>
            <w:noWrap/>
            <w:vAlign w:val="center"/>
          </w:tcPr>
          <w:p>
            <w:pPr>
              <w:adjustRightInd w:val="0"/>
              <w:snapToGrid w:val="0"/>
              <w:jc w:val="center"/>
              <w:rPr>
                <w:rFonts w:eastAsiaTheme="minorEastAsia"/>
                <w:szCs w:val="21"/>
              </w:rPr>
            </w:pPr>
            <w:r>
              <w:rPr>
                <w:rFonts w:eastAsiaTheme="minorEastAsia"/>
                <w:szCs w:val="21"/>
              </w:rPr>
              <w:t>西侧</w:t>
            </w:r>
          </w:p>
        </w:tc>
        <w:tc>
          <w:tcPr>
            <w:tcW w:w="1038" w:type="dxa"/>
            <w:noWrap/>
            <w:vAlign w:val="center"/>
          </w:tcPr>
          <w:p>
            <w:pPr>
              <w:adjustRightInd w:val="0"/>
              <w:snapToGrid w:val="0"/>
              <w:jc w:val="center"/>
              <w:rPr>
                <w:rFonts w:eastAsiaTheme="minorEastAsia"/>
                <w:szCs w:val="21"/>
              </w:rPr>
            </w:pPr>
            <w:r>
              <w:rPr>
                <w:rFonts w:eastAsiaTheme="minorEastAsia"/>
                <w:szCs w:val="21"/>
              </w:rPr>
              <w:t>20-300m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1064" w:type="dxa"/>
            <w:noWrap/>
            <w:vAlign w:val="center"/>
          </w:tcPr>
          <w:p>
            <w:pPr>
              <w:adjustRightInd w:val="0"/>
              <w:snapToGrid w:val="0"/>
              <w:jc w:val="center"/>
              <w:rPr>
                <w:rFonts w:eastAsiaTheme="minorEastAsia"/>
                <w:szCs w:val="21"/>
              </w:rPr>
            </w:pPr>
            <w:r>
              <w:rPr>
                <w:rFonts w:eastAsiaTheme="minorEastAsia"/>
                <w:szCs w:val="21"/>
              </w:rPr>
              <w:t>吴家湾</w:t>
            </w:r>
          </w:p>
        </w:tc>
        <w:tc>
          <w:tcPr>
            <w:tcW w:w="1318" w:type="dxa"/>
            <w:noWrap/>
            <w:vAlign w:val="center"/>
          </w:tcPr>
          <w:p>
            <w:pPr>
              <w:adjustRightInd w:val="0"/>
              <w:snapToGrid w:val="0"/>
              <w:jc w:val="center"/>
              <w:rPr>
                <w:rFonts w:eastAsiaTheme="minorEastAsia"/>
                <w:szCs w:val="21"/>
                <w:u w:val="single"/>
              </w:rPr>
            </w:pPr>
            <w:r>
              <w:rPr>
                <w:rFonts w:eastAsiaTheme="minorEastAsia"/>
                <w:szCs w:val="21"/>
                <w:u w:val="single"/>
              </w:rPr>
              <w:t>112°53'6.079409619072"</w:t>
            </w:r>
          </w:p>
        </w:tc>
        <w:tc>
          <w:tcPr>
            <w:tcW w:w="1417" w:type="dxa"/>
            <w:noWrap/>
            <w:vAlign w:val="center"/>
          </w:tcPr>
          <w:p>
            <w:pPr>
              <w:adjustRightInd w:val="0"/>
              <w:snapToGrid w:val="0"/>
              <w:jc w:val="center"/>
              <w:rPr>
                <w:rFonts w:eastAsiaTheme="minorEastAsia"/>
                <w:szCs w:val="21"/>
                <w:u w:val="single"/>
              </w:rPr>
            </w:pPr>
            <w:r>
              <w:rPr>
                <w:rFonts w:eastAsiaTheme="minorEastAsia"/>
                <w:szCs w:val="21"/>
                <w:u w:val="single"/>
              </w:rPr>
              <w:t>28°40'33.56812174026"</w:t>
            </w:r>
          </w:p>
        </w:tc>
        <w:tc>
          <w:tcPr>
            <w:tcW w:w="567" w:type="dxa"/>
            <w:noWrap/>
            <w:vAlign w:val="center"/>
          </w:tcPr>
          <w:p>
            <w:pPr>
              <w:adjustRightInd w:val="0"/>
              <w:snapToGrid w:val="0"/>
              <w:jc w:val="center"/>
              <w:rPr>
                <w:rFonts w:eastAsiaTheme="minorEastAsia"/>
                <w:szCs w:val="21"/>
              </w:rPr>
            </w:pPr>
            <w:r>
              <w:rPr>
                <w:rFonts w:eastAsiaTheme="minorEastAsia"/>
                <w:szCs w:val="21"/>
              </w:rPr>
              <w:t>居民</w:t>
            </w:r>
          </w:p>
        </w:tc>
        <w:tc>
          <w:tcPr>
            <w:tcW w:w="1560" w:type="dxa"/>
            <w:noWrap/>
            <w:vAlign w:val="center"/>
          </w:tcPr>
          <w:p>
            <w:pPr>
              <w:adjustRightInd w:val="0"/>
              <w:snapToGrid w:val="0"/>
              <w:jc w:val="center"/>
              <w:rPr>
                <w:rFonts w:eastAsiaTheme="minorEastAsia"/>
                <w:szCs w:val="21"/>
              </w:rPr>
            </w:pPr>
            <w:r>
              <w:rPr>
                <w:rFonts w:eastAsiaTheme="minorEastAsia"/>
                <w:szCs w:val="21"/>
              </w:rPr>
              <w:t>80户，350人</w:t>
            </w:r>
          </w:p>
        </w:tc>
        <w:tc>
          <w:tcPr>
            <w:tcW w:w="975" w:type="dxa"/>
            <w:vMerge w:val="continue"/>
            <w:noWrap/>
            <w:vAlign w:val="center"/>
          </w:tcPr>
          <w:p>
            <w:pPr>
              <w:adjustRightInd w:val="0"/>
              <w:snapToGrid w:val="0"/>
              <w:jc w:val="center"/>
              <w:rPr>
                <w:rFonts w:eastAsiaTheme="minorEastAsia"/>
                <w:szCs w:val="21"/>
              </w:rPr>
            </w:pPr>
          </w:p>
        </w:tc>
        <w:tc>
          <w:tcPr>
            <w:tcW w:w="850" w:type="dxa"/>
            <w:noWrap/>
            <w:vAlign w:val="center"/>
          </w:tcPr>
          <w:p>
            <w:pPr>
              <w:adjustRightInd w:val="0"/>
              <w:snapToGrid w:val="0"/>
              <w:jc w:val="center"/>
              <w:rPr>
                <w:rFonts w:eastAsiaTheme="minorEastAsia"/>
                <w:szCs w:val="21"/>
              </w:rPr>
            </w:pPr>
            <w:r>
              <w:rPr>
                <w:rFonts w:eastAsiaTheme="minorEastAsia"/>
                <w:szCs w:val="21"/>
              </w:rPr>
              <w:t>东侧</w:t>
            </w:r>
          </w:p>
        </w:tc>
        <w:tc>
          <w:tcPr>
            <w:tcW w:w="1038" w:type="dxa"/>
            <w:noWrap/>
            <w:vAlign w:val="center"/>
          </w:tcPr>
          <w:p>
            <w:pPr>
              <w:adjustRightInd w:val="0"/>
              <w:snapToGrid w:val="0"/>
              <w:jc w:val="center"/>
              <w:rPr>
                <w:rFonts w:eastAsiaTheme="minorEastAsia"/>
                <w:szCs w:val="21"/>
              </w:rPr>
            </w:pPr>
            <w:r>
              <w:rPr>
                <w:rFonts w:eastAsiaTheme="minorEastAsia"/>
                <w:szCs w:val="21"/>
              </w:rPr>
              <w:t>15-100m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1064" w:type="dxa"/>
            <w:noWrap/>
            <w:vAlign w:val="center"/>
          </w:tcPr>
          <w:p>
            <w:pPr>
              <w:adjustRightInd w:val="0"/>
              <w:snapToGrid w:val="0"/>
              <w:jc w:val="center"/>
              <w:rPr>
                <w:rFonts w:eastAsiaTheme="minorEastAsia"/>
                <w:szCs w:val="21"/>
              </w:rPr>
            </w:pPr>
            <w:r>
              <w:rPr>
                <w:rFonts w:eastAsiaTheme="minorEastAsia"/>
                <w:szCs w:val="21"/>
              </w:rPr>
              <w:t>湘阴县育才幼儿园</w:t>
            </w:r>
          </w:p>
        </w:tc>
        <w:tc>
          <w:tcPr>
            <w:tcW w:w="1318" w:type="dxa"/>
            <w:noWrap/>
            <w:vAlign w:val="center"/>
          </w:tcPr>
          <w:p>
            <w:pPr>
              <w:adjustRightInd w:val="0"/>
              <w:snapToGrid w:val="0"/>
              <w:jc w:val="center"/>
              <w:rPr>
                <w:rFonts w:eastAsiaTheme="minorEastAsia"/>
                <w:szCs w:val="21"/>
                <w:u w:val="single"/>
              </w:rPr>
            </w:pPr>
            <w:r>
              <w:rPr>
                <w:rFonts w:eastAsiaTheme="minorEastAsia"/>
                <w:szCs w:val="21"/>
                <w:u w:val="single"/>
              </w:rPr>
              <w:t>112°53'4.37996198724"</w:t>
            </w:r>
          </w:p>
        </w:tc>
        <w:tc>
          <w:tcPr>
            <w:tcW w:w="1417" w:type="dxa"/>
            <w:noWrap/>
            <w:vAlign w:val="center"/>
          </w:tcPr>
          <w:p>
            <w:pPr>
              <w:adjustRightInd w:val="0"/>
              <w:snapToGrid w:val="0"/>
              <w:jc w:val="center"/>
              <w:rPr>
                <w:rFonts w:eastAsiaTheme="minorEastAsia"/>
                <w:szCs w:val="21"/>
                <w:u w:val="single"/>
              </w:rPr>
            </w:pPr>
            <w:r>
              <w:rPr>
                <w:rFonts w:eastAsiaTheme="minorEastAsia"/>
                <w:szCs w:val="21"/>
                <w:u w:val="single"/>
              </w:rPr>
              <w:t>28°40'33.9069865478052"</w:t>
            </w:r>
          </w:p>
        </w:tc>
        <w:tc>
          <w:tcPr>
            <w:tcW w:w="567" w:type="dxa"/>
            <w:noWrap/>
            <w:vAlign w:val="center"/>
          </w:tcPr>
          <w:p>
            <w:pPr>
              <w:adjustRightInd w:val="0"/>
              <w:snapToGrid w:val="0"/>
              <w:jc w:val="center"/>
              <w:rPr>
                <w:rFonts w:eastAsiaTheme="minorEastAsia"/>
                <w:szCs w:val="21"/>
              </w:rPr>
            </w:pPr>
            <w:r>
              <w:rPr>
                <w:rFonts w:eastAsiaTheme="minorEastAsia"/>
                <w:szCs w:val="21"/>
              </w:rPr>
              <w:t>学校</w:t>
            </w:r>
          </w:p>
        </w:tc>
        <w:tc>
          <w:tcPr>
            <w:tcW w:w="1560" w:type="dxa"/>
            <w:noWrap/>
            <w:vAlign w:val="center"/>
          </w:tcPr>
          <w:p>
            <w:pPr>
              <w:adjustRightInd w:val="0"/>
              <w:snapToGrid w:val="0"/>
              <w:jc w:val="center"/>
              <w:rPr>
                <w:rFonts w:eastAsiaTheme="minorEastAsia"/>
                <w:szCs w:val="21"/>
              </w:rPr>
            </w:pPr>
            <w:r>
              <w:rPr>
                <w:rFonts w:eastAsiaTheme="minorEastAsia"/>
                <w:szCs w:val="21"/>
              </w:rPr>
              <w:t>师生，300人</w:t>
            </w:r>
          </w:p>
        </w:tc>
        <w:tc>
          <w:tcPr>
            <w:tcW w:w="975" w:type="dxa"/>
            <w:vMerge w:val="continue"/>
            <w:noWrap/>
            <w:vAlign w:val="center"/>
          </w:tcPr>
          <w:p>
            <w:pPr>
              <w:adjustRightInd w:val="0"/>
              <w:snapToGrid w:val="0"/>
              <w:jc w:val="center"/>
              <w:rPr>
                <w:rFonts w:eastAsiaTheme="minorEastAsia"/>
                <w:szCs w:val="21"/>
              </w:rPr>
            </w:pPr>
          </w:p>
        </w:tc>
        <w:tc>
          <w:tcPr>
            <w:tcW w:w="850" w:type="dxa"/>
            <w:noWrap/>
            <w:vAlign w:val="center"/>
          </w:tcPr>
          <w:p>
            <w:pPr>
              <w:adjustRightInd w:val="0"/>
              <w:snapToGrid w:val="0"/>
              <w:jc w:val="center"/>
              <w:rPr>
                <w:rFonts w:eastAsiaTheme="minorEastAsia"/>
                <w:szCs w:val="21"/>
              </w:rPr>
            </w:pPr>
            <w:r>
              <w:rPr>
                <w:rFonts w:eastAsiaTheme="minorEastAsia"/>
                <w:szCs w:val="21"/>
              </w:rPr>
              <w:t>东侧</w:t>
            </w:r>
          </w:p>
        </w:tc>
        <w:tc>
          <w:tcPr>
            <w:tcW w:w="1038" w:type="dxa"/>
            <w:noWrap/>
            <w:vAlign w:val="center"/>
          </w:tcPr>
          <w:p>
            <w:pPr>
              <w:adjustRightInd w:val="0"/>
              <w:snapToGrid w:val="0"/>
              <w:jc w:val="center"/>
              <w:rPr>
                <w:rFonts w:eastAsiaTheme="minorEastAsia"/>
                <w:szCs w:val="21"/>
              </w:rPr>
            </w:pPr>
            <w:r>
              <w:rPr>
                <w:rFonts w:eastAsiaTheme="minorEastAsia"/>
                <w:szCs w:val="21"/>
              </w:rPr>
              <w:t>165m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1064" w:type="dxa"/>
            <w:noWrap/>
            <w:vAlign w:val="center"/>
          </w:tcPr>
          <w:p>
            <w:pPr>
              <w:adjustRightInd w:val="0"/>
              <w:snapToGrid w:val="0"/>
              <w:jc w:val="center"/>
              <w:rPr>
                <w:rFonts w:eastAsiaTheme="minorEastAsia"/>
                <w:szCs w:val="21"/>
              </w:rPr>
            </w:pPr>
            <w:r>
              <w:rPr>
                <w:rFonts w:eastAsiaTheme="minorEastAsia"/>
                <w:szCs w:val="21"/>
              </w:rPr>
              <w:t>先锋社区</w:t>
            </w:r>
          </w:p>
        </w:tc>
        <w:tc>
          <w:tcPr>
            <w:tcW w:w="1318" w:type="dxa"/>
            <w:noWrap/>
            <w:vAlign w:val="center"/>
          </w:tcPr>
          <w:p>
            <w:pPr>
              <w:adjustRightInd w:val="0"/>
              <w:snapToGrid w:val="0"/>
              <w:jc w:val="center"/>
              <w:rPr>
                <w:rFonts w:eastAsiaTheme="minorEastAsia"/>
                <w:szCs w:val="21"/>
                <w:u w:val="single"/>
              </w:rPr>
            </w:pPr>
            <w:r>
              <w:rPr>
                <w:rFonts w:eastAsiaTheme="minorEastAsia"/>
                <w:szCs w:val="21"/>
                <w:u w:val="single"/>
              </w:rPr>
              <w:t>112°53'0.672076245048"</w:t>
            </w:r>
          </w:p>
        </w:tc>
        <w:tc>
          <w:tcPr>
            <w:tcW w:w="1417" w:type="dxa"/>
            <w:noWrap/>
            <w:vAlign w:val="center"/>
          </w:tcPr>
          <w:p>
            <w:pPr>
              <w:adjustRightInd w:val="0"/>
              <w:snapToGrid w:val="0"/>
              <w:jc w:val="center"/>
              <w:rPr>
                <w:rFonts w:eastAsiaTheme="minorEastAsia"/>
                <w:szCs w:val="21"/>
                <w:u w:val="single"/>
              </w:rPr>
            </w:pPr>
            <w:r>
              <w:rPr>
                <w:rFonts w:eastAsiaTheme="minorEastAsia"/>
                <w:szCs w:val="21"/>
                <w:u w:val="single"/>
              </w:rPr>
              <w:t>28°40'35.669078634108"</w:t>
            </w:r>
          </w:p>
        </w:tc>
        <w:tc>
          <w:tcPr>
            <w:tcW w:w="567" w:type="dxa"/>
            <w:noWrap/>
            <w:vAlign w:val="center"/>
          </w:tcPr>
          <w:p>
            <w:pPr>
              <w:adjustRightInd w:val="0"/>
              <w:snapToGrid w:val="0"/>
              <w:jc w:val="center"/>
              <w:rPr>
                <w:rFonts w:eastAsiaTheme="minorEastAsia"/>
                <w:szCs w:val="21"/>
              </w:rPr>
            </w:pPr>
            <w:r>
              <w:rPr>
                <w:rFonts w:eastAsiaTheme="minorEastAsia"/>
                <w:szCs w:val="21"/>
              </w:rPr>
              <w:t>居民</w:t>
            </w:r>
          </w:p>
        </w:tc>
        <w:tc>
          <w:tcPr>
            <w:tcW w:w="1560" w:type="dxa"/>
            <w:noWrap/>
            <w:vAlign w:val="center"/>
          </w:tcPr>
          <w:p>
            <w:pPr>
              <w:adjustRightInd w:val="0"/>
              <w:snapToGrid w:val="0"/>
              <w:jc w:val="center"/>
              <w:rPr>
                <w:rFonts w:eastAsiaTheme="minorEastAsia"/>
                <w:szCs w:val="21"/>
              </w:rPr>
            </w:pPr>
            <w:r>
              <w:rPr>
                <w:rFonts w:eastAsiaTheme="minorEastAsia"/>
                <w:szCs w:val="21"/>
              </w:rPr>
              <w:t>200户，1000人</w:t>
            </w:r>
          </w:p>
        </w:tc>
        <w:tc>
          <w:tcPr>
            <w:tcW w:w="975" w:type="dxa"/>
            <w:vMerge w:val="continue"/>
            <w:noWrap/>
            <w:vAlign w:val="center"/>
          </w:tcPr>
          <w:p>
            <w:pPr>
              <w:adjustRightInd w:val="0"/>
              <w:snapToGrid w:val="0"/>
              <w:jc w:val="center"/>
              <w:rPr>
                <w:rFonts w:eastAsiaTheme="minorEastAsia"/>
                <w:szCs w:val="21"/>
              </w:rPr>
            </w:pPr>
          </w:p>
        </w:tc>
        <w:tc>
          <w:tcPr>
            <w:tcW w:w="850" w:type="dxa"/>
            <w:noWrap/>
            <w:vAlign w:val="center"/>
          </w:tcPr>
          <w:p>
            <w:pPr>
              <w:adjustRightInd w:val="0"/>
              <w:snapToGrid w:val="0"/>
              <w:jc w:val="center"/>
              <w:rPr>
                <w:rFonts w:eastAsiaTheme="minorEastAsia"/>
                <w:szCs w:val="21"/>
              </w:rPr>
            </w:pPr>
            <w:r>
              <w:rPr>
                <w:rFonts w:eastAsiaTheme="minorEastAsia"/>
                <w:szCs w:val="21"/>
              </w:rPr>
              <w:t>东侧</w:t>
            </w:r>
          </w:p>
        </w:tc>
        <w:tc>
          <w:tcPr>
            <w:tcW w:w="1038" w:type="dxa"/>
            <w:noWrap/>
            <w:vAlign w:val="center"/>
          </w:tcPr>
          <w:p>
            <w:pPr>
              <w:adjustRightInd w:val="0"/>
              <w:snapToGrid w:val="0"/>
              <w:jc w:val="center"/>
              <w:rPr>
                <w:rFonts w:eastAsiaTheme="minorEastAsia"/>
                <w:szCs w:val="21"/>
              </w:rPr>
            </w:pPr>
            <w:r>
              <w:rPr>
                <w:rFonts w:eastAsiaTheme="minorEastAsia"/>
                <w:szCs w:val="21"/>
              </w:rPr>
              <w:t>100-300m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1064" w:type="dxa"/>
            <w:noWrap/>
            <w:vAlign w:val="center"/>
          </w:tcPr>
          <w:p>
            <w:pPr>
              <w:adjustRightInd w:val="0"/>
              <w:snapToGrid w:val="0"/>
              <w:jc w:val="center"/>
              <w:rPr>
                <w:rFonts w:eastAsiaTheme="minorEastAsia"/>
                <w:szCs w:val="21"/>
              </w:rPr>
            </w:pPr>
            <w:r>
              <w:rPr>
                <w:rFonts w:eastAsiaTheme="minorEastAsia"/>
                <w:szCs w:val="21"/>
              </w:rPr>
              <w:t>湘阴县左宗棠中学</w:t>
            </w:r>
          </w:p>
        </w:tc>
        <w:tc>
          <w:tcPr>
            <w:tcW w:w="1318" w:type="dxa"/>
            <w:noWrap/>
            <w:vAlign w:val="center"/>
          </w:tcPr>
          <w:p>
            <w:pPr>
              <w:adjustRightInd w:val="0"/>
              <w:snapToGrid w:val="0"/>
              <w:jc w:val="center"/>
              <w:rPr>
                <w:rFonts w:eastAsiaTheme="minorEastAsia"/>
                <w:szCs w:val="21"/>
                <w:u w:val="single"/>
              </w:rPr>
            </w:pPr>
            <w:r>
              <w:rPr>
                <w:rFonts w:eastAsiaTheme="minorEastAsia"/>
                <w:szCs w:val="21"/>
                <w:u w:val="single"/>
              </w:rPr>
              <w:t>112°53'2.13978101798376"</w:t>
            </w:r>
          </w:p>
        </w:tc>
        <w:tc>
          <w:tcPr>
            <w:tcW w:w="1417" w:type="dxa"/>
            <w:noWrap/>
            <w:vAlign w:val="center"/>
          </w:tcPr>
          <w:p>
            <w:pPr>
              <w:adjustRightInd w:val="0"/>
              <w:snapToGrid w:val="0"/>
              <w:jc w:val="center"/>
              <w:rPr>
                <w:rFonts w:eastAsiaTheme="minorEastAsia"/>
                <w:szCs w:val="21"/>
                <w:u w:val="single"/>
              </w:rPr>
            </w:pPr>
            <w:r>
              <w:rPr>
                <w:rFonts w:eastAsiaTheme="minorEastAsia"/>
                <w:szCs w:val="21"/>
                <w:u w:val="single"/>
              </w:rPr>
              <w:t>28°40'39.1254661197012"</w:t>
            </w:r>
          </w:p>
        </w:tc>
        <w:tc>
          <w:tcPr>
            <w:tcW w:w="567" w:type="dxa"/>
            <w:noWrap/>
            <w:vAlign w:val="center"/>
          </w:tcPr>
          <w:p>
            <w:pPr>
              <w:adjustRightInd w:val="0"/>
              <w:snapToGrid w:val="0"/>
              <w:jc w:val="center"/>
              <w:rPr>
                <w:rFonts w:eastAsiaTheme="minorEastAsia"/>
                <w:szCs w:val="21"/>
              </w:rPr>
            </w:pPr>
            <w:r>
              <w:rPr>
                <w:rFonts w:eastAsiaTheme="minorEastAsia"/>
                <w:szCs w:val="21"/>
              </w:rPr>
              <w:t>学校</w:t>
            </w:r>
          </w:p>
        </w:tc>
        <w:tc>
          <w:tcPr>
            <w:tcW w:w="1560" w:type="dxa"/>
            <w:noWrap/>
            <w:vAlign w:val="center"/>
          </w:tcPr>
          <w:p>
            <w:pPr>
              <w:adjustRightInd w:val="0"/>
              <w:snapToGrid w:val="0"/>
              <w:jc w:val="center"/>
              <w:rPr>
                <w:rFonts w:eastAsiaTheme="minorEastAsia"/>
                <w:szCs w:val="21"/>
              </w:rPr>
            </w:pPr>
            <w:r>
              <w:rPr>
                <w:rFonts w:eastAsiaTheme="minorEastAsia"/>
                <w:szCs w:val="21"/>
              </w:rPr>
              <w:t>师生，1000人</w:t>
            </w:r>
          </w:p>
        </w:tc>
        <w:tc>
          <w:tcPr>
            <w:tcW w:w="975" w:type="dxa"/>
            <w:vMerge w:val="continue"/>
            <w:noWrap/>
            <w:vAlign w:val="center"/>
          </w:tcPr>
          <w:p>
            <w:pPr>
              <w:adjustRightInd w:val="0"/>
              <w:snapToGrid w:val="0"/>
              <w:jc w:val="center"/>
              <w:rPr>
                <w:rFonts w:eastAsiaTheme="minorEastAsia"/>
                <w:szCs w:val="21"/>
              </w:rPr>
            </w:pPr>
          </w:p>
        </w:tc>
        <w:tc>
          <w:tcPr>
            <w:tcW w:w="850" w:type="dxa"/>
            <w:noWrap/>
            <w:vAlign w:val="center"/>
          </w:tcPr>
          <w:p>
            <w:pPr>
              <w:adjustRightInd w:val="0"/>
              <w:snapToGrid w:val="0"/>
              <w:jc w:val="center"/>
              <w:rPr>
                <w:rFonts w:eastAsiaTheme="minorEastAsia"/>
                <w:szCs w:val="21"/>
              </w:rPr>
            </w:pPr>
            <w:r>
              <w:rPr>
                <w:rFonts w:eastAsiaTheme="minorEastAsia"/>
                <w:szCs w:val="21"/>
              </w:rPr>
              <w:t>南侧</w:t>
            </w:r>
          </w:p>
        </w:tc>
        <w:tc>
          <w:tcPr>
            <w:tcW w:w="1038" w:type="dxa"/>
            <w:noWrap/>
            <w:vAlign w:val="center"/>
          </w:tcPr>
          <w:p>
            <w:pPr>
              <w:adjustRightInd w:val="0"/>
              <w:snapToGrid w:val="0"/>
              <w:jc w:val="center"/>
              <w:rPr>
                <w:rFonts w:eastAsiaTheme="minorEastAsia"/>
                <w:szCs w:val="21"/>
              </w:rPr>
            </w:pPr>
            <w:r>
              <w:rPr>
                <w:rFonts w:eastAsiaTheme="minorEastAsia"/>
                <w:szCs w:val="21"/>
              </w:rPr>
              <w:t>180m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1064" w:type="dxa"/>
            <w:noWrap/>
            <w:vAlign w:val="center"/>
          </w:tcPr>
          <w:p>
            <w:pPr>
              <w:adjustRightInd w:val="0"/>
              <w:snapToGrid w:val="0"/>
              <w:jc w:val="center"/>
              <w:rPr>
                <w:rFonts w:eastAsiaTheme="minorEastAsia"/>
                <w:szCs w:val="21"/>
              </w:rPr>
            </w:pPr>
            <w:r>
              <w:rPr>
                <w:rFonts w:eastAsiaTheme="minorEastAsia"/>
                <w:szCs w:val="21"/>
              </w:rPr>
              <w:t>茵草小区</w:t>
            </w:r>
          </w:p>
        </w:tc>
        <w:tc>
          <w:tcPr>
            <w:tcW w:w="1318" w:type="dxa"/>
            <w:noWrap/>
            <w:vAlign w:val="center"/>
          </w:tcPr>
          <w:p>
            <w:pPr>
              <w:adjustRightInd w:val="0"/>
              <w:snapToGrid w:val="0"/>
              <w:jc w:val="center"/>
              <w:rPr>
                <w:rFonts w:eastAsiaTheme="minorEastAsia"/>
                <w:szCs w:val="21"/>
                <w:u w:val="single"/>
              </w:rPr>
            </w:pPr>
            <w:r>
              <w:rPr>
                <w:rFonts w:eastAsiaTheme="minorEastAsia"/>
                <w:szCs w:val="21"/>
                <w:u w:val="single"/>
              </w:rPr>
              <w:t>112°52'58.509142895424"</w:t>
            </w:r>
          </w:p>
        </w:tc>
        <w:tc>
          <w:tcPr>
            <w:tcW w:w="1417" w:type="dxa"/>
            <w:noWrap/>
            <w:vAlign w:val="center"/>
          </w:tcPr>
          <w:p>
            <w:pPr>
              <w:adjustRightInd w:val="0"/>
              <w:snapToGrid w:val="0"/>
              <w:jc w:val="center"/>
              <w:rPr>
                <w:rFonts w:eastAsiaTheme="minorEastAsia"/>
                <w:szCs w:val="21"/>
                <w:u w:val="single"/>
              </w:rPr>
            </w:pPr>
            <w:r>
              <w:rPr>
                <w:rFonts w:eastAsiaTheme="minorEastAsia"/>
                <w:szCs w:val="21"/>
                <w:u w:val="single"/>
              </w:rPr>
              <w:t>28°40'36.75343890288"</w:t>
            </w:r>
          </w:p>
        </w:tc>
        <w:tc>
          <w:tcPr>
            <w:tcW w:w="567" w:type="dxa"/>
            <w:noWrap/>
            <w:vAlign w:val="center"/>
          </w:tcPr>
          <w:p>
            <w:pPr>
              <w:adjustRightInd w:val="0"/>
              <w:snapToGrid w:val="0"/>
              <w:jc w:val="center"/>
              <w:rPr>
                <w:rFonts w:eastAsiaTheme="minorEastAsia"/>
                <w:szCs w:val="21"/>
              </w:rPr>
            </w:pPr>
            <w:r>
              <w:rPr>
                <w:rFonts w:eastAsiaTheme="minorEastAsia"/>
                <w:szCs w:val="21"/>
              </w:rPr>
              <w:t>居民</w:t>
            </w:r>
          </w:p>
        </w:tc>
        <w:tc>
          <w:tcPr>
            <w:tcW w:w="1560" w:type="dxa"/>
            <w:noWrap/>
            <w:vAlign w:val="center"/>
          </w:tcPr>
          <w:p>
            <w:pPr>
              <w:adjustRightInd w:val="0"/>
              <w:snapToGrid w:val="0"/>
              <w:jc w:val="center"/>
              <w:rPr>
                <w:rFonts w:eastAsiaTheme="minorEastAsia"/>
                <w:szCs w:val="21"/>
              </w:rPr>
            </w:pPr>
            <w:r>
              <w:rPr>
                <w:rFonts w:eastAsiaTheme="minorEastAsia"/>
                <w:szCs w:val="21"/>
              </w:rPr>
              <w:t>120户，600人</w:t>
            </w:r>
          </w:p>
        </w:tc>
        <w:tc>
          <w:tcPr>
            <w:tcW w:w="975" w:type="dxa"/>
            <w:vMerge w:val="continue"/>
            <w:noWrap/>
            <w:vAlign w:val="center"/>
          </w:tcPr>
          <w:p>
            <w:pPr>
              <w:adjustRightInd w:val="0"/>
              <w:snapToGrid w:val="0"/>
              <w:jc w:val="center"/>
              <w:rPr>
                <w:rFonts w:eastAsiaTheme="minorEastAsia"/>
                <w:szCs w:val="21"/>
              </w:rPr>
            </w:pPr>
          </w:p>
        </w:tc>
        <w:tc>
          <w:tcPr>
            <w:tcW w:w="850" w:type="dxa"/>
            <w:noWrap/>
            <w:vAlign w:val="center"/>
          </w:tcPr>
          <w:p>
            <w:pPr>
              <w:adjustRightInd w:val="0"/>
              <w:snapToGrid w:val="0"/>
              <w:jc w:val="center"/>
              <w:rPr>
                <w:rFonts w:eastAsiaTheme="minorEastAsia"/>
                <w:szCs w:val="21"/>
              </w:rPr>
            </w:pPr>
            <w:r>
              <w:rPr>
                <w:rFonts w:eastAsiaTheme="minorEastAsia"/>
                <w:szCs w:val="21"/>
              </w:rPr>
              <w:t>南侧</w:t>
            </w:r>
          </w:p>
        </w:tc>
        <w:tc>
          <w:tcPr>
            <w:tcW w:w="1038" w:type="dxa"/>
            <w:noWrap/>
            <w:vAlign w:val="center"/>
          </w:tcPr>
          <w:p>
            <w:pPr>
              <w:adjustRightInd w:val="0"/>
              <w:snapToGrid w:val="0"/>
              <w:jc w:val="center"/>
              <w:rPr>
                <w:rFonts w:eastAsiaTheme="minorEastAsia"/>
                <w:szCs w:val="21"/>
              </w:rPr>
            </w:pPr>
            <w:r>
              <w:rPr>
                <w:rFonts w:eastAsiaTheme="minorEastAsia"/>
                <w:szCs w:val="21"/>
              </w:rPr>
              <w:t>180-300m</w:t>
            </w:r>
          </w:p>
        </w:tc>
      </w:tr>
    </w:tbl>
    <w:p>
      <w:pPr>
        <w:adjustRightInd w:val="0"/>
        <w:snapToGrid w:val="0"/>
        <w:spacing w:line="360" w:lineRule="auto"/>
        <w:jc w:val="center"/>
        <w:rPr>
          <w:rFonts w:eastAsiaTheme="minorEastAsia"/>
          <w:b/>
          <w:sz w:val="24"/>
        </w:rPr>
      </w:pPr>
      <w:r>
        <w:rPr>
          <w:rFonts w:eastAsiaTheme="minorEastAsia"/>
          <w:b/>
          <w:sz w:val="24"/>
        </w:rPr>
        <w:t>表2.5-2  声环境保护目标一览表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4" w:type="dxa"/>
          <w:bottom w:w="0" w:type="dxa"/>
          <w:right w:w="14" w:type="dxa"/>
        </w:tblCellMar>
      </w:tblPr>
      <w:tblGrid>
        <w:gridCol w:w="606"/>
        <w:gridCol w:w="1900"/>
        <w:gridCol w:w="1843"/>
        <w:gridCol w:w="2410"/>
        <w:gridCol w:w="20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470" w:hRule="atLeast"/>
          <w:tblHeader/>
          <w:jc w:val="center"/>
        </w:trPr>
        <w:tc>
          <w:tcPr>
            <w:tcW w:w="606" w:type="dxa"/>
            <w:vAlign w:val="center"/>
          </w:tcPr>
          <w:p>
            <w:pPr>
              <w:adjustRightInd w:val="0"/>
              <w:snapToGrid w:val="0"/>
              <w:jc w:val="center"/>
              <w:rPr>
                <w:rFonts w:eastAsiaTheme="minorEastAsia"/>
                <w:b/>
                <w:szCs w:val="21"/>
              </w:rPr>
            </w:pPr>
            <w:r>
              <w:rPr>
                <w:rFonts w:eastAsiaTheme="minorEastAsia"/>
                <w:b/>
                <w:szCs w:val="21"/>
              </w:rPr>
              <w:t>项目</w:t>
            </w:r>
          </w:p>
        </w:tc>
        <w:tc>
          <w:tcPr>
            <w:tcW w:w="1900" w:type="dxa"/>
            <w:vAlign w:val="center"/>
          </w:tcPr>
          <w:p>
            <w:pPr>
              <w:adjustRightInd w:val="0"/>
              <w:snapToGrid w:val="0"/>
              <w:jc w:val="center"/>
              <w:rPr>
                <w:rFonts w:eastAsiaTheme="minorEastAsia"/>
                <w:b/>
                <w:szCs w:val="21"/>
              </w:rPr>
            </w:pPr>
            <w:r>
              <w:rPr>
                <w:rFonts w:eastAsiaTheme="minorEastAsia"/>
                <w:b/>
                <w:szCs w:val="21"/>
              </w:rPr>
              <w:t>目标名称</w:t>
            </w:r>
          </w:p>
        </w:tc>
        <w:tc>
          <w:tcPr>
            <w:tcW w:w="1843" w:type="dxa"/>
            <w:vAlign w:val="center"/>
          </w:tcPr>
          <w:p>
            <w:pPr>
              <w:adjustRightInd w:val="0"/>
              <w:snapToGrid w:val="0"/>
              <w:jc w:val="center"/>
              <w:rPr>
                <w:rFonts w:eastAsiaTheme="minorEastAsia"/>
                <w:b/>
                <w:szCs w:val="21"/>
              </w:rPr>
            </w:pPr>
            <w:r>
              <w:rPr>
                <w:rFonts w:eastAsiaTheme="minorEastAsia"/>
                <w:b/>
                <w:szCs w:val="21"/>
              </w:rPr>
              <w:t>规模</w:t>
            </w:r>
          </w:p>
        </w:tc>
        <w:tc>
          <w:tcPr>
            <w:tcW w:w="2410" w:type="dxa"/>
            <w:vAlign w:val="center"/>
          </w:tcPr>
          <w:p>
            <w:pPr>
              <w:adjustRightInd w:val="0"/>
              <w:snapToGrid w:val="0"/>
              <w:jc w:val="center"/>
              <w:rPr>
                <w:rFonts w:eastAsiaTheme="minorEastAsia"/>
                <w:b/>
                <w:szCs w:val="21"/>
              </w:rPr>
            </w:pPr>
            <w:r>
              <w:rPr>
                <w:rFonts w:eastAsiaTheme="minorEastAsia"/>
                <w:b/>
                <w:szCs w:val="21"/>
              </w:rPr>
              <w:t>相对项目厂址方位及距离</w:t>
            </w:r>
          </w:p>
        </w:tc>
        <w:tc>
          <w:tcPr>
            <w:tcW w:w="2030" w:type="dxa"/>
            <w:vAlign w:val="center"/>
          </w:tcPr>
          <w:p>
            <w:pPr>
              <w:adjustRightInd w:val="0"/>
              <w:snapToGrid w:val="0"/>
              <w:jc w:val="center"/>
              <w:rPr>
                <w:rFonts w:eastAsiaTheme="minorEastAsia"/>
                <w:b/>
                <w:szCs w:val="21"/>
              </w:rPr>
            </w:pPr>
            <w:r>
              <w:rPr>
                <w:rFonts w:eastAsiaTheme="minorEastAsia"/>
                <w:b/>
                <w:szCs w:val="21"/>
              </w:rPr>
              <w:t>环境功能及保护级别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606" w:type="dxa"/>
            <w:vMerge w:val="restart"/>
            <w:vAlign w:val="center"/>
          </w:tcPr>
          <w:p>
            <w:pPr>
              <w:adjustRightInd w:val="0"/>
              <w:snapToGrid w:val="0"/>
              <w:jc w:val="center"/>
              <w:rPr>
                <w:rFonts w:eastAsiaTheme="minorEastAsia"/>
                <w:szCs w:val="21"/>
              </w:rPr>
            </w:pPr>
            <w:r>
              <w:rPr>
                <w:rFonts w:eastAsiaTheme="minorEastAsia"/>
                <w:szCs w:val="21"/>
              </w:rPr>
              <w:t>声环境</w:t>
            </w:r>
          </w:p>
        </w:tc>
        <w:tc>
          <w:tcPr>
            <w:tcW w:w="1900" w:type="dxa"/>
            <w:vAlign w:val="center"/>
          </w:tcPr>
          <w:p>
            <w:pPr>
              <w:adjustRightInd w:val="0"/>
              <w:snapToGrid w:val="0"/>
              <w:jc w:val="center"/>
              <w:rPr>
                <w:rFonts w:eastAsiaTheme="minorEastAsia"/>
                <w:szCs w:val="21"/>
              </w:rPr>
            </w:pPr>
            <w:r>
              <w:rPr>
                <w:rFonts w:eastAsiaTheme="minorEastAsia"/>
                <w:szCs w:val="21"/>
              </w:rPr>
              <w:t>滨江茗园</w:t>
            </w:r>
          </w:p>
        </w:tc>
        <w:tc>
          <w:tcPr>
            <w:tcW w:w="1843" w:type="dxa"/>
            <w:vAlign w:val="center"/>
          </w:tcPr>
          <w:p>
            <w:pPr>
              <w:adjustRightInd w:val="0"/>
              <w:snapToGrid w:val="0"/>
              <w:jc w:val="center"/>
              <w:rPr>
                <w:rFonts w:eastAsiaTheme="minorEastAsia"/>
                <w:szCs w:val="21"/>
              </w:rPr>
            </w:pPr>
            <w:r>
              <w:rPr>
                <w:rFonts w:eastAsiaTheme="minorEastAsia"/>
                <w:szCs w:val="21"/>
              </w:rPr>
              <w:t>800户，4000人</w:t>
            </w:r>
          </w:p>
        </w:tc>
        <w:tc>
          <w:tcPr>
            <w:tcW w:w="2410" w:type="dxa"/>
            <w:vAlign w:val="center"/>
          </w:tcPr>
          <w:p>
            <w:pPr>
              <w:adjustRightInd w:val="0"/>
              <w:snapToGrid w:val="0"/>
              <w:jc w:val="center"/>
              <w:rPr>
                <w:rFonts w:eastAsiaTheme="minorEastAsia"/>
                <w:szCs w:val="21"/>
              </w:rPr>
            </w:pPr>
            <w:r>
              <w:rPr>
                <w:rFonts w:eastAsiaTheme="minorEastAsia"/>
                <w:szCs w:val="21"/>
              </w:rPr>
              <w:t>西侧，20-200m</w:t>
            </w:r>
          </w:p>
        </w:tc>
        <w:tc>
          <w:tcPr>
            <w:tcW w:w="2030" w:type="dxa"/>
            <w:vMerge w:val="restart"/>
            <w:vAlign w:val="center"/>
          </w:tcPr>
          <w:p>
            <w:pPr>
              <w:adjustRightInd w:val="0"/>
              <w:snapToGrid w:val="0"/>
              <w:jc w:val="center"/>
              <w:rPr>
                <w:rFonts w:eastAsiaTheme="minorEastAsia"/>
                <w:szCs w:val="21"/>
              </w:rPr>
            </w:pPr>
            <w:r>
              <w:rPr>
                <w:rFonts w:eastAsiaTheme="minorEastAsia"/>
                <w:szCs w:val="21"/>
              </w:rPr>
              <w:t>《声环境质量标准》</w:t>
            </w:r>
          </w:p>
          <w:p>
            <w:pPr>
              <w:adjustRightInd w:val="0"/>
              <w:snapToGrid w:val="0"/>
              <w:jc w:val="center"/>
              <w:rPr>
                <w:rFonts w:eastAsiaTheme="minorEastAsia"/>
                <w:szCs w:val="21"/>
              </w:rPr>
            </w:pPr>
            <w:r>
              <w:rPr>
                <w:rFonts w:eastAsiaTheme="minorEastAsia"/>
                <w:szCs w:val="21"/>
              </w:rPr>
              <w:t>GB3096-2008中2类标准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606" w:type="dxa"/>
            <w:vMerge w:val="continue"/>
            <w:vAlign w:val="center"/>
          </w:tcPr>
          <w:p>
            <w:pPr>
              <w:adjustRightInd w:val="0"/>
              <w:snapToGrid w:val="0"/>
              <w:jc w:val="center"/>
              <w:rPr>
                <w:rFonts w:eastAsiaTheme="minorEastAsia"/>
                <w:szCs w:val="21"/>
              </w:rPr>
            </w:pPr>
          </w:p>
        </w:tc>
        <w:tc>
          <w:tcPr>
            <w:tcW w:w="1900" w:type="dxa"/>
            <w:vAlign w:val="center"/>
          </w:tcPr>
          <w:p>
            <w:pPr>
              <w:adjustRightInd w:val="0"/>
              <w:snapToGrid w:val="0"/>
              <w:jc w:val="center"/>
              <w:rPr>
                <w:rFonts w:eastAsiaTheme="minorEastAsia"/>
                <w:szCs w:val="21"/>
              </w:rPr>
            </w:pPr>
            <w:r>
              <w:rPr>
                <w:rFonts w:eastAsiaTheme="minorEastAsia"/>
                <w:szCs w:val="21"/>
              </w:rPr>
              <w:t>吴家湾</w:t>
            </w:r>
          </w:p>
        </w:tc>
        <w:tc>
          <w:tcPr>
            <w:tcW w:w="1843" w:type="dxa"/>
            <w:vAlign w:val="center"/>
          </w:tcPr>
          <w:p>
            <w:pPr>
              <w:adjustRightInd w:val="0"/>
              <w:snapToGrid w:val="0"/>
              <w:jc w:val="center"/>
              <w:rPr>
                <w:rFonts w:eastAsiaTheme="minorEastAsia"/>
                <w:szCs w:val="21"/>
              </w:rPr>
            </w:pPr>
            <w:r>
              <w:rPr>
                <w:rFonts w:eastAsiaTheme="minorEastAsia"/>
                <w:szCs w:val="21"/>
              </w:rPr>
              <w:t>80户，350人</w:t>
            </w:r>
          </w:p>
        </w:tc>
        <w:tc>
          <w:tcPr>
            <w:tcW w:w="2410" w:type="dxa"/>
            <w:vAlign w:val="center"/>
          </w:tcPr>
          <w:p>
            <w:pPr>
              <w:adjustRightInd w:val="0"/>
              <w:snapToGrid w:val="0"/>
              <w:jc w:val="center"/>
              <w:rPr>
                <w:rFonts w:eastAsiaTheme="minorEastAsia"/>
                <w:szCs w:val="21"/>
              </w:rPr>
            </w:pPr>
            <w:r>
              <w:rPr>
                <w:rFonts w:eastAsiaTheme="minorEastAsia"/>
                <w:szCs w:val="21"/>
              </w:rPr>
              <w:t>东侧，15-200m</w:t>
            </w:r>
          </w:p>
        </w:tc>
        <w:tc>
          <w:tcPr>
            <w:tcW w:w="2030" w:type="dxa"/>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606" w:type="dxa"/>
            <w:vMerge w:val="continue"/>
            <w:vAlign w:val="center"/>
          </w:tcPr>
          <w:p>
            <w:pPr>
              <w:adjustRightInd w:val="0"/>
              <w:snapToGrid w:val="0"/>
              <w:jc w:val="center"/>
              <w:rPr>
                <w:rFonts w:eastAsiaTheme="minorEastAsia"/>
                <w:szCs w:val="21"/>
              </w:rPr>
            </w:pPr>
          </w:p>
        </w:tc>
        <w:tc>
          <w:tcPr>
            <w:tcW w:w="1900" w:type="dxa"/>
            <w:vAlign w:val="center"/>
          </w:tcPr>
          <w:p>
            <w:pPr>
              <w:adjustRightInd w:val="0"/>
              <w:snapToGrid w:val="0"/>
              <w:jc w:val="center"/>
              <w:rPr>
                <w:rFonts w:eastAsiaTheme="minorEastAsia"/>
                <w:szCs w:val="21"/>
              </w:rPr>
            </w:pPr>
            <w:r>
              <w:rPr>
                <w:rFonts w:eastAsiaTheme="minorEastAsia"/>
                <w:szCs w:val="21"/>
              </w:rPr>
              <w:t>湘阴县育才幼儿园</w:t>
            </w:r>
          </w:p>
        </w:tc>
        <w:tc>
          <w:tcPr>
            <w:tcW w:w="1843" w:type="dxa"/>
            <w:vAlign w:val="center"/>
          </w:tcPr>
          <w:p>
            <w:pPr>
              <w:adjustRightInd w:val="0"/>
              <w:snapToGrid w:val="0"/>
              <w:jc w:val="center"/>
              <w:rPr>
                <w:rFonts w:eastAsiaTheme="minorEastAsia"/>
                <w:szCs w:val="21"/>
              </w:rPr>
            </w:pPr>
            <w:r>
              <w:rPr>
                <w:rFonts w:eastAsiaTheme="minorEastAsia"/>
                <w:szCs w:val="21"/>
              </w:rPr>
              <w:t>师生，300人</w:t>
            </w:r>
          </w:p>
        </w:tc>
        <w:tc>
          <w:tcPr>
            <w:tcW w:w="2410" w:type="dxa"/>
            <w:vAlign w:val="center"/>
          </w:tcPr>
          <w:p>
            <w:pPr>
              <w:adjustRightInd w:val="0"/>
              <w:snapToGrid w:val="0"/>
              <w:jc w:val="center"/>
              <w:rPr>
                <w:rFonts w:eastAsiaTheme="minorEastAsia"/>
                <w:szCs w:val="21"/>
              </w:rPr>
            </w:pPr>
            <w:r>
              <w:rPr>
                <w:rFonts w:eastAsiaTheme="minorEastAsia"/>
                <w:szCs w:val="21"/>
              </w:rPr>
              <w:t>东侧，165m</w:t>
            </w:r>
          </w:p>
        </w:tc>
        <w:tc>
          <w:tcPr>
            <w:tcW w:w="2030" w:type="dxa"/>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606" w:type="dxa"/>
            <w:vMerge w:val="continue"/>
            <w:vAlign w:val="center"/>
          </w:tcPr>
          <w:p>
            <w:pPr>
              <w:adjustRightInd w:val="0"/>
              <w:snapToGrid w:val="0"/>
              <w:jc w:val="center"/>
              <w:rPr>
                <w:rFonts w:eastAsiaTheme="minorEastAsia"/>
                <w:szCs w:val="21"/>
              </w:rPr>
            </w:pPr>
          </w:p>
        </w:tc>
        <w:tc>
          <w:tcPr>
            <w:tcW w:w="1900" w:type="dxa"/>
            <w:vAlign w:val="center"/>
          </w:tcPr>
          <w:p>
            <w:pPr>
              <w:adjustRightInd w:val="0"/>
              <w:snapToGrid w:val="0"/>
              <w:jc w:val="center"/>
              <w:rPr>
                <w:rFonts w:eastAsiaTheme="minorEastAsia"/>
                <w:szCs w:val="21"/>
              </w:rPr>
            </w:pPr>
            <w:r>
              <w:rPr>
                <w:rFonts w:eastAsiaTheme="minorEastAsia"/>
                <w:szCs w:val="21"/>
              </w:rPr>
              <w:t>先锋社区</w:t>
            </w:r>
          </w:p>
        </w:tc>
        <w:tc>
          <w:tcPr>
            <w:tcW w:w="1843" w:type="dxa"/>
            <w:vAlign w:val="center"/>
          </w:tcPr>
          <w:p>
            <w:pPr>
              <w:adjustRightInd w:val="0"/>
              <w:snapToGrid w:val="0"/>
              <w:jc w:val="center"/>
              <w:rPr>
                <w:rFonts w:eastAsiaTheme="minorEastAsia"/>
                <w:szCs w:val="21"/>
              </w:rPr>
            </w:pPr>
            <w:r>
              <w:rPr>
                <w:rFonts w:eastAsiaTheme="minorEastAsia"/>
                <w:szCs w:val="21"/>
              </w:rPr>
              <w:t>200户，1000人</w:t>
            </w:r>
          </w:p>
        </w:tc>
        <w:tc>
          <w:tcPr>
            <w:tcW w:w="2410" w:type="dxa"/>
            <w:vAlign w:val="center"/>
          </w:tcPr>
          <w:p>
            <w:pPr>
              <w:adjustRightInd w:val="0"/>
              <w:snapToGrid w:val="0"/>
              <w:jc w:val="center"/>
              <w:rPr>
                <w:rFonts w:eastAsiaTheme="minorEastAsia"/>
                <w:szCs w:val="21"/>
              </w:rPr>
            </w:pPr>
            <w:r>
              <w:rPr>
                <w:rFonts w:eastAsiaTheme="minorEastAsia"/>
                <w:szCs w:val="21"/>
              </w:rPr>
              <w:t>东侧，100-200m</w:t>
            </w:r>
          </w:p>
        </w:tc>
        <w:tc>
          <w:tcPr>
            <w:tcW w:w="2030" w:type="dxa"/>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606" w:type="dxa"/>
            <w:vMerge w:val="continue"/>
            <w:vAlign w:val="center"/>
          </w:tcPr>
          <w:p>
            <w:pPr>
              <w:adjustRightInd w:val="0"/>
              <w:snapToGrid w:val="0"/>
              <w:jc w:val="center"/>
              <w:rPr>
                <w:rFonts w:eastAsiaTheme="minorEastAsia"/>
                <w:szCs w:val="21"/>
              </w:rPr>
            </w:pPr>
          </w:p>
        </w:tc>
        <w:tc>
          <w:tcPr>
            <w:tcW w:w="1900" w:type="dxa"/>
            <w:vAlign w:val="center"/>
          </w:tcPr>
          <w:p>
            <w:pPr>
              <w:adjustRightInd w:val="0"/>
              <w:snapToGrid w:val="0"/>
              <w:jc w:val="center"/>
              <w:rPr>
                <w:rFonts w:eastAsiaTheme="minorEastAsia"/>
                <w:szCs w:val="21"/>
              </w:rPr>
            </w:pPr>
            <w:r>
              <w:rPr>
                <w:rFonts w:eastAsiaTheme="minorEastAsia"/>
                <w:szCs w:val="21"/>
              </w:rPr>
              <w:t>湘阴县左宗棠中学</w:t>
            </w:r>
          </w:p>
        </w:tc>
        <w:tc>
          <w:tcPr>
            <w:tcW w:w="1843" w:type="dxa"/>
            <w:vAlign w:val="center"/>
          </w:tcPr>
          <w:p>
            <w:pPr>
              <w:adjustRightInd w:val="0"/>
              <w:snapToGrid w:val="0"/>
              <w:jc w:val="center"/>
              <w:rPr>
                <w:rFonts w:eastAsiaTheme="minorEastAsia"/>
                <w:szCs w:val="21"/>
              </w:rPr>
            </w:pPr>
            <w:r>
              <w:rPr>
                <w:rFonts w:eastAsiaTheme="minorEastAsia"/>
                <w:szCs w:val="21"/>
              </w:rPr>
              <w:t>师生，1000人</w:t>
            </w:r>
          </w:p>
        </w:tc>
        <w:tc>
          <w:tcPr>
            <w:tcW w:w="2410" w:type="dxa"/>
            <w:vAlign w:val="center"/>
          </w:tcPr>
          <w:p>
            <w:pPr>
              <w:adjustRightInd w:val="0"/>
              <w:snapToGrid w:val="0"/>
              <w:jc w:val="center"/>
              <w:rPr>
                <w:rFonts w:eastAsiaTheme="minorEastAsia"/>
                <w:szCs w:val="21"/>
              </w:rPr>
            </w:pPr>
            <w:r>
              <w:rPr>
                <w:rFonts w:eastAsiaTheme="minorEastAsia"/>
                <w:szCs w:val="21"/>
              </w:rPr>
              <w:t>南侧，180m</w:t>
            </w:r>
          </w:p>
        </w:tc>
        <w:tc>
          <w:tcPr>
            <w:tcW w:w="2030" w:type="dxa"/>
            <w:vMerge w:val="continue"/>
            <w:vAlign w:val="center"/>
          </w:tcPr>
          <w:p>
            <w:pPr>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606" w:type="dxa"/>
            <w:vMerge w:val="continue"/>
            <w:vAlign w:val="center"/>
          </w:tcPr>
          <w:p>
            <w:pPr>
              <w:adjustRightInd w:val="0"/>
              <w:snapToGrid w:val="0"/>
              <w:jc w:val="center"/>
              <w:rPr>
                <w:rFonts w:eastAsiaTheme="minorEastAsia"/>
                <w:szCs w:val="21"/>
              </w:rPr>
            </w:pPr>
          </w:p>
        </w:tc>
        <w:tc>
          <w:tcPr>
            <w:tcW w:w="1900" w:type="dxa"/>
            <w:vAlign w:val="center"/>
          </w:tcPr>
          <w:p>
            <w:pPr>
              <w:adjustRightInd w:val="0"/>
              <w:snapToGrid w:val="0"/>
              <w:jc w:val="center"/>
              <w:rPr>
                <w:rFonts w:eastAsiaTheme="minorEastAsia"/>
                <w:szCs w:val="21"/>
              </w:rPr>
            </w:pPr>
            <w:r>
              <w:rPr>
                <w:rFonts w:eastAsiaTheme="minorEastAsia"/>
                <w:szCs w:val="21"/>
              </w:rPr>
              <w:t>茵草小区</w:t>
            </w:r>
          </w:p>
        </w:tc>
        <w:tc>
          <w:tcPr>
            <w:tcW w:w="1843" w:type="dxa"/>
            <w:vAlign w:val="center"/>
          </w:tcPr>
          <w:p>
            <w:pPr>
              <w:adjustRightInd w:val="0"/>
              <w:snapToGrid w:val="0"/>
              <w:jc w:val="center"/>
              <w:rPr>
                <w:rFonts w:eastAsiaTheme="minorEastAsia"/>
                <w:szCs w:val="21"/>
              </w:rPr>
            </w:pPr>
            <w:r>
              <w:rPr>
                <w:rFonts w:eastAsiaTheme="minorEastAsia"/>
                <w:szCs w:val="21"/>
              </w:rPr>
              <w:t>120户，600人</w:t>
            </w:r>
          </w:p>
        </w:tc>
        <w:tc>
          <w:tcPr>
            <w:tcW w:w="2410" w:type="dxa"/>
            <w:vAlign w:val="center"/>
          </w:tcPr>
          <w:p>
            <w:pPr>
              <w:adjustRightInd w:val="0"/>
              <w:snapToGrid w:val="0"/>
              <w:jc w:val="center"/>
              <w:rPr>
                <w:rFonts w:eastAsiaTheme="minorEastAsia"/>
                <w:szCs w:val="21"/>
              </w:rPr>
            </w:pPr>
            <w:r>
              <w:rPr>
                <w:rFonts w:eastAsiaTheme="minorEastAsia"/>
                <w:szCs w:val="21"/>
              </w:rPr>
              <w:t>南侧，180-200m</w:t>
            </w:r>
          </w:p>
        </w:tc>
        <w:tc>
          <w:tcPr>
            <w:tcW w:w="2030" w:type="dxa"/>
            <w:vMerge w:val="continue"/>
            <w:vAlign w:val="center"/>
          </w:tcPr>
          <w:p>
            <w:pPr>
              <w:adjustRightInd w:val="0"/>
              <w:snapToGrid w:val="0"/>
              <w:jc w:val="center"/>
              <w:rPr>
                <w:rFonts w:eastAsiaTheme="minorEastAsia"/>
                <w:szCs w:val="21"/>
              </w:rPr>
            </w:pPr>
          </w:p>
        </w:tc>
      </w:tr>
    </w:tbl>
    <w:p>
      <w:pPr>
        <w:snapToGrid w:val="0"/>
        <w:spacing w:line="360" w:lineRule="auto"/>
        <w:jc w:val="center"/>
        <w:rPr>
          <w:rFonts w:eastAsiaTheme="minorEastAsia"/>
          <w:b/>
          <w:sz w:val="24"/>
        </w:rPr>
      </w:pPr>
      <w:r>
        <w:rPr>
          <w:rFonts w:eastAsiaTheme="minorEastAsia"/>
          <w:b/>
          <w:sz w:val="24"/>
        </w:rPr>
        <w:t>表2.5-3  地表水环境保护目标一览表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4" w:type="dxa"/>
          <w:bottom w:w="0" w:type="dxa"/>
          <w:right w:w="14" w:type="dxa"/>
        </w:tblCellMar>
      </w:tblPr>
      <w:tblGrid>
        <w:gridCol w:w="463"/>
        <w:gridCol w:w="768"/>
        <w:gridCol w:w="1417"/>
        <w:gridCol w:w="709"/>
        <w:gridCol w:w="850"/>
        <w:gridCol w:w="1560"/>
        <w:gridCol w:w="1417"/>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tblHeader/>
          <w:jc w:val="center"/>
        </w:trPr>
        <w:tc>
          <w:tcPr>
            <w:tcW w:w="463" w:type="dxa"/>
            <w:vAlign w:val="center"/>
          </w:tcPr>
          <w:p>
            <w:pPr>
              <w:adjustRightInd w:val="0"/>
              <w:snapToGrid w:val="0"/>
              <w:jc w:val="center"/>
              <w:rPr>
                <w:rFonts w:eastAsiaTheme="minorEastAsia"/>
                <w:b/>
                <w:szCs w:val="21"/>
                <w:u w:val="single"/>
              </w:rPr>
            </w:pPr>
            <w:r>
              <w:rPr>
                <w:rFonts w:eastAsiaTheme="minorEastAsia"/>
                <w:b/>
                <w:szCs w:val="21"/>
                <w:u w:val="single"/>
              </w:rPr>
              <w:t>项目</w:t>
            </w:r>
          </w:p>
        </w:tc>
        <w:tc>
          <w:tcPr>
            <w:tcW w:w="768" w:type="dxa"/>
            <w:vAlign w:val="center"/>
          </w:tcPr>
          <w:p>
            <w:pPr>
              <w:adjustRightInd w:val="0"/>
              <w:snapToGrid w:val="0"/>
              <w:jc w:val="center"/>
              <w:rPr>
                <w:rFonts w:eastAsiaTheme="minorEastAsia"/>
                <w:b/>
                <w:szCs w:val="21"/>
                <w:u w:val="single"/>
              </w:rPr>
            </w:pPr>
            <w:r>
              <w:rPr>
                <w:rFonts w:eastAsiaTheme="minorEastAsia"/>
                <w:b/>
                <w:szCs w:val="21"/>
                <w:u w:val="single"/>
              </w:rPr>
              <w:t>目标名称</w:t>
            </w:r>
          </w:p>
        </w:tc>
        <w:tc>
          <w:tcPr>
            <w:tcW w:w="1417" w:type="dxa"/>
            <w:vAlign w:val="center"/>
          </w:tcPr>
          <w:p>
            <w:pPr>
              <w:adjustRightInd w:val="0"/>
              <w:snapToGrid w:val="0"/>
              <w:jc w:val="center"/>
              <w:rPr>
                <w:rFonts w:eastAsiaTheme="minorEastAsia"/>
                <w:b/>
                <w:szCs w:val="21"/>
                <w:u w:val="single"/>
              </w:rPr>
            </w:pPr>
            <w:r>
              <w:rPr>
                <w:rFonts w:eastAsiaTheme="minorEastAsia"/>
                <w:b/>
                <w:szCs w:val="21"/>
                <w:u w:val="single"/>
              </w:rPr>
              <w:t>坐标</w:t>
            </w:r>
          </w:p>
        </w:tc>
        <w:tc>
          <w:tcPr>
            <w:tcW w:w="709" w:type="dxa"/>
            <w:vAlign w:val="center"/>
          </w:tcPr>
          <w:p>
            <w:pPr>
              <w:adjustRightInd w:val="0"/>
              <w:snapToGrid w:val="0"/>
              <w:jc w:val="center"/>
              <w:rPr>
                <w:rFonts w:eastAsiaTheme="minorEastAsia"/>
                <w:b/>
                <w:szCs w:val="21"/>
                <w:u w:val="single"/>
              </w:rPr>
            </w:pPr>
            <w:r>
              <w:rPr>
                <w:rFonts w:eastAsiaTheme="minorEastAsia"/>
                <w:b/>
                <w:szCs w:val="21"/>
                <w:u w:val="single"/>
              </w:rPr>
              <w:t>高差</w:t>
            </w:r>
          </w:p>
          <w:p>
            <w:pPr>
              <w:adjustRightInd w:val="0"/>
              <w:snapToGrid w:val="0"/>
              <w:jc w:val="center"/>
              <w:rPr>
                <w:rFonts w:eastAsiaTheme="minorEastAsia"/>
                <w:b/>
                <w:szCs w:val="21"/>
                <w:u w:val="single"/>
              </w:rPr>
            </w:pPr>
            <w:r>
              <w:rPr>
                <w:rFonts w:eastAsiaTheme="minorEastAsia"/>
                <w:b/>
                <w:szCs w:val="21"/>
                <w:u w:val="single"/>
              </w:rPr>
              <w:t>(m)</w:t>
            </w:r>
          </w:p>
        </w:tc>
        <w:tc>
          <w:tcPr>
            <w:tcW w:w="850" w:type="dxa"/>
            <w:vAlign w:val="center"/>
          </w:tcPr>
          <w:p>
            <w:pPr>
              <w:adjustRightInd w:val="0"/>
              <w:snapToGrid w:val="0"/>
              <w:jc w:val="center"/>
              <w:rPr>
                <w:rFonts w:eastAsiaTheme="minorEastAsia"/>
                <w:b/>
                <w:szCs w:val="21"/>
                <w:u w:val="single"/>
              </w:rPr>
            </w:pPr>
            <w:r>
              <w:rPr>
                <w:rFonts w:eastAsiaTheme="minorEastAsia"/>
                <w:b/>
                <w:szCs w:val="21"/>
                <w:u w:val="single"/>
              </w:rPr>
              <w:t>规模</w:t>
            </w:r>
          </w:p>
        </w:tc>
        <w:tc>
          <w:tcPr>
            <w:tcW w:w="1560" w:type="dxa"/>
            <w:vAlign w:val="center"/>
          </w:tcPr>
          <w:p>
            <w:pPr>
              <w:adjustRightInd w:val="0"/>
              <w:snapToGrid w:val="0"/>
              <w:jc w:val="center"/>
              <w:rPr>
                <w:rFonts w:eastAsiaTheme="minorEastAsia"/>
                <w:b/>
                <w:szCs w:val="21"/>
                <w:u w:val="single"/>
              </w:rPr>
            </w:pPr>
            <w:r>
              <w:rPr>
                <w:rFonts w:eastAsiaTheme="minorEastAsia"/>
                <w:b/>
                <w:szCs w:val="21"/>
                <w:u w:val="single"/>
              </w:rPr>
              <w:t>相对项目厂址方位及厂界距离</w:t>
            </w:r>
          </w:p>
        </w:tc>
        <w:tc>
          <w:tcPr>
            <w:tcW w:w="1417" w:type="dxa"/>
            <w:vAlign w:val="center"/>
          </w:tcPr>
          <w:p>
            <w:pPr>
              <w:adjustRightInd w:val="0"/>
              <w:snapToGrid w:val="0"/>
              <w:jc w:val="center"/>
              <w:rPr>
                <w:rFonts w:eastAsiaTheme="minorEastAsia"/>
                <w:b/>
                <w:szCs w:val="21"/>
                <w:u w:val="single"/>
              </w:rPr>
            </w:pPr>
            <w:r>
              <w:rPr>
                <w:rFonts w:eastAsiaTheme="minorEastAsia"/>
                <w:b/>
                <w:szCs w:val="21"/>
                <w:u w:val="single"/>
              </w:rPr>
              <w:t>环境功能及保护级别</w:t>
            </w:r>
          </w:p>
        </w:tc>
        <w:tc>
          <w:tcPr>
            <w:tcW w:w="1605" w:type="dxa"/>
            <w:vAlign w:val="center"/>
          </w:tcPr>
          <w:p>
            <w:pPr>
              <w:adjustRightInd w:val="0"/>
              <w:snapToGrid w:val="0"/>
              <w:jc w:val="center"/>
              <w:rPr>
                <w:rFonts w:eastAsiaTheme="minorEastAsia"/>
                <w:b/>
                <w:szCs w:val="21"/>
                <w:u w:val="single"/>
              </w:rPr>
            </w:pPr>
            <w:r>
              <w:rPr>
                <w:rFonts w:eastAsiaTheme="minorEastAsia"/>
                <w:b/>
                <w:szCs w:val="21"/>
                <w:u w:val="single"/>
              </w:rPr>
              <w:t>与建设项目水力联系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463" w:type="dxa"/>
            <w:vMerge w:val="restart"/>
            <w:vAlign w:val="center"/>
          </w:tcPr>
          <w:p>
            <w:pPr>
              <w:adjustRightInd w:val="0"/>
              <w:snapToGrid w:val="0"/>
              <w:jc w:val="center"/>
              <w:rPr>
                <w:rFonts w:eastAsiaTheme="minorEastAsia"/>
                <w:szCs w:val="21"/>
                <w:u w:val="single"/>
              </w:rPr>
            </w:pPr>
            <w:r>
              <w:rPr>
                <w:rFonts w:eastAsiaTheme="minorEastAsia"/>
                <w:szCs w:val="21"/>
                <w:u w:val="single"/>
              </w:rPr>
              <w:t>地表水</w:t>
            </w:r>
          </w:p>
        </w:tc>
        <w:tc>
          <w:tcPr>
            <w:tcW w:w="768"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eastAsiaTheme="minorEastAsia"/>
                <w:snapToGrid w:val="0"/>
                <w:kern w:val="0"/>
                <w:szCs w:val="21"/>
                <w:u w:val="single"/>
              </w:rPr>
              <w:t>白水江</w:t>
            </w:r>
          </w:p>
        </w:tc>
        <w:tc>
          <w:tcPr>
            <w:tcW w:w="1417" w:type="dxa"/>
            <w:vAlign w:val="center"/>
          </w:tcPr>
          <w:p>
            <w:pPr>
              <w:adjustRightInd w:val="0"/>
              <w:snapToGrid w:val="0"/>
              <w:jc w:val="center"/>
              <w:rPr>
                <w:rFonts w:eastAsiaTheme="minorEastAsia"/>
                <w:szCs w:val="21"/>
                <w:u w:val="single"/>
              </w:rPr>
            </w:pPr>
            <w:r>
              <w:rPr>
                <w:rFonts w:eastAsiaTheme="minorEastAsia"/>
                <w:szCs w:val="21"/>
                <w:u w:val="single"/>
              </w:rPr>
              <w:t>东经113° 3'57"</w:t>
            </w:r>
          </w:p>
          <w:p>
            <w:pPr>
              <w:adjustRightInd w:val="0"/>
              <w:snapToGrid w:val="0"/>
              <w:jc w:val="center"/>
              <w:rPr>
                <w:rFonts w:eastAsiaTheme="minorEastAsia"/>
                <w:szCs w:val="21"/>
                <w:u w:val="single"/>
              </w:rPr>
            </w:pPr>
            <w:r>
              <w:rPr>
                <w:rFonts w:eastAsiaTheme="minorEastAsia"/>
                <w:szCs w:val="21"/>
                <w:u w:val="single"/>
              </w:rPr>
              <w:t xml:space="preserve">北纬28°50'2" </w:t>
            </w:r>
          </w:p>
        </w:tc>
        <w:tc>
          <w:tcPr>
            <w:tcW w:w="709" w:type="dxa"/>
            <w:vAlign w:val="center"/>
          </w:tcPr>
          <w:p>
            <w:pPr>
              <w:adjustRightInd w:val="0"/>
              <w:snapToGrid w:val="0"/>
              <w:jc w:val="center"/>
              <w:rPr>
                <w:rFonts w:eastAsiaTheme="minorEastAsia"/>
                <w:szCs w:val="21"/>
                <w:u w:val="single"/>
              </w:rPr>
            </w:pPr>
            <w:r>
              <w:rPr>
                <w:rFonts w:eastAsiaTheme="minorEastAsia"/>
                <w:szCs w:val="21"/>
                <w:u w:val="single"/>
              </w:rPr>
              <w:t>0</w:t>
            </w:r>
          </w:p>
        </w:tc>
        <w:tc>
          <w:tcPr>
            <w:tcW w:w="850"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hint="eastAsia" w:eastAsiaTheme="minorEastAsia"/>
                <w:snapToGrid w:val="0"/>
                <w:kern w:val="0"/>
                <w:szCs w:val="21"/>
                <w:u w:val="single"/>
              </w:rPr>
              <w:t>中</w:t>
            </w:r>
            <w:r>
              <w:rPr>
                <w:rFonts w:eastAsiaTheme="minorEastAsia"/>
                <w:snapToGrid w:val="0"/>
                <w:kern w:val="0"/>
                <w:szCs w:val="21"/>
                <w:u w:val="single"/>
              </w:rPr>
              <w:t>河</w:t>
            </w:r>
          </w:p>
        </w:tc>
        <w:tc>
          <w:tcPr>
            <w:tcW w:w="1560"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eastAsiaTheme="minorEastAsia"/>
                <w:snapToGrid w:val="0"/>
                <w:kern w:val="0"/>
                <w:szCs w:val="21"/>
                <w:u w:val="single"/>
              </w:rPr>
              <w:t>南侧1.78km</w:t>
            </w:r>
          </w:p>
        </w:tc>
        <w:tc>
          <w:tcPr>
            <w:tcW w:w="1417" w:type="dxa"/>
            <w:vMerge w:val="restart"/>
            <w:vAlign w:val="center"/>
          </w:tcPr>
          <w:p>
            <w:pPr>
              <w:adjustRightInd w:val="0"/>
              <w:snapToGrid w:val="0"/>
              <w:jc w:val="center"/>
              <w:rPr>
                <w:rFonts w:eastAsiaTheme="minorEastAsia"/>
                <w:szCs w:val="21"/>
                <w:u w:val="single"/>
              </w:rPr>
            </w:pPr>
            <w:r>
              <w:rPr>
                <w:rFonts w:eastAsiaTheme="minorEastAsia"/>
                <w:szCs w:val="21"/>
                <w:u w:val="single"/>
              </w:rPr>
              <w:t>渔业用水，《地表水环境质量标准（GB3838-2002）》中Ⅲ类标准</w:t>
            </w:r>
          </w:p>
        </w:tc>
        <w:tc>
          <w:tcPr>
            <w:tcW w:w="1605" w:type="dxa"/>
            <w:vAlign w:val="center"/>
          </w:tcPr>
          <w:p>
            <w:pPr>
              <w:adjustRightInd w:val="0"/>
              <w:snapToGrid w:val="0"/>
              <w:jc w:val="center"/>
              <w:rPr>
                <w:rFonts w:eastAsiaTheme="minorEastAsia"/>
                <w:szCs w:val="21"/>
                <w:u w:val="single"/>
              </w:rPr>
            </w:pPr>
            <w:r>
              <w:rPr>
                <w:rFonts w:eastAsiaTheme="minorEastAsia"/>
                <w:snapToGrid w:val="0"/>
                <w:kern w:val="0"/>
                <w:szCs w:val="21"/>
                <w:u w:val="single"/>
              </w:rPr>
              <w:t>无直接水力联系，湘阴县第一污水处理厂的受纳水体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463" w:type="dxa"/>
            <w:vMerge w:val="continue"/>
            <w:vAlign w:val="center"/>
          </w:tcPr>
          <w:p>
            <w:pPr>
              <w:adjustRightInd w:val="0"/>
              <w:snapToGrid w:val="0"/>
              <w:jc w:val="center"/>
              <w:rPr>
                <w:rFonts w:eastAsiaTheme="minorEastAsia"/>
                <w:szCs w:val="21"/>
                <w:u w:val="single"/>
              </w:rPr>
            </w:pPr>
          </w:p>
        </w:tc>
        <w:tc>
          <w:tcPr>
            <w:tcW w:w="768"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hint="eastAsia" w:eastAsiaTheme="minorEastAsia"/>
                <w:snapToGrid w:val="0"/>
                <w:kern w:val="0"/>
                <w:szCs w:val="21"/>
                <w:u w:val="single"/>
              </w:rPr>
              <w:t>东湖</w:t>
            </w:r>
          </w:p>
        </w:tc>
        <w:tc>
          <w:tcPr>
            <w:tcW w:w="1417" w:type="dxa"/>
            <w:vAlign w:val="center"/>
          </w:tcPr>
          <w:p>
            <w:pPr>
              <w:adjustRightInd w:val="0"/>
              <w:snapToGrid w:val="0"/>
              <w:jc w:val="center"/>
              <w:rPr>
                <w:rFonts w:eastAsiaTheme="minorEastAsia"/>
                <w:szCs w:val="21"/>
                <w:u w:val="single"/>
              </w:rPr>
            </w:pPr>
            <w:r>
              <w:rPr>
                <w:rFonts w:eastAsiaTheme="minorEastAsia"/>
                <w:szCs w:val="21"/>
                <w:u w:val="single"/>
              </w:rPr>
              <w:t xml:space="preserve">东经113° </w:t>
            </w:r>
            <w:r>
              <w:rPr>
                <w:rFonts w:hint="eastAsia" w:eastAsiaTheme="minorEastAsia"/>
                <w:szCs w:val="21"/>
                <w:u w:val="single"/>
              </w:rPr>
              <w:t>2</w:t>
            </w:r>
            <w:r>
              <w:rPr>
                <w:rFonts w:eastAsiaTheme="minorEastAsia"/>
                <w:szCs w:val="21"/>
                <w:u w:val="single"/>
              </w:rPr>
              <w:t>'</w:t>
            </w:r>
            <w:r>
              <w:rPr>
                <w:rFonts w:hint="eastAsia" w:eastAsiaTheme="minorEastAsia"/>
                <w:szCs w:val="21"/>
                <w:u w:val="single"/>
              </w:rPr>
              <w:t>4</w:t>
            </w:r>
            <w:r>
              <w:rPr>
                <w:rFonts w:eastAsiaTheme="minorEastAsia"/>
                <w:szCs w:val="21"/>
                <w:u w:val="single"/>
              </w:rPr>
              <w:t>7"</w:t>
            </w:r>
          </w:p>
          <w:p>
            <w:pPr>
              <w:adjustRightInd w:val="0"/>
              <w:snapToGrid w:val="0"/>
              <w:jc w:val="center"/>
              <w:rPr>
                <w:rFonts w:eastAsiaTheme="minorEastAsia"/>
                <w:szCs w:val="21"/>
                <w:u w:val="single"/>
              </w:rPr>
            </w:pPr>
            <w:r>
              <w:rPr>
                <w:rFonts w:eastAsiaTheme="minorEastAsia"/>
                <w:szCs w:val="21"/>
                <w:u w:val="single"/>
              </w:rPr>
              <w:t>北纬28°50'</w:t>
            </w:r>
            <w:r>
              <w:rPr>
                <w:rFonts w:hint="eastAsia" w:eastAsiaTheme="minorEastAsia"/>
                <w:szCs w:val="21"/>
                <w:u w:val="single"/>
              </w:rPr>
              <w:t>4</w:t>
            </w:r>
            <w:r>
              <w:rPr>
                <w:rFonts w:eastAsiaTheme="minorEastAsia"/>
                <w:szCs w:val="21"/>
                <w:u w:val="single"/>
              </w:rPr>
              <w:t xml:space="preserve">" </w:t>
            </w:r>
          </w:p>
        </w:tc>
        <w:tc>
          <w:tcPr>
            <w:tcW w:w="709" w:type="dxa"/>
            <w:vAlign w:val="center"/>
          </w:tcPr>
          <w:p>
            <w:pPr>
              <w:adjustRightInd w:val="0"/>
              <w:snapToGrid w:val="0"/>
              <w:jc w:val="center"/>
              <w:rPr>
                <w:rFonts w:eastAsiaTheme="minorEastAsia"/>
                <w:szCs w:val="21"/>
                <w:u w:val="single"/>
              </w:rPr>
            </w:pPr>
            <w:r>
              <w:rPr>
                <w:rFonts w:hint="eastAsia" w:eastAsiaTheme="minorEastAsia"/>
                <w:szCs w:val="21"/>
                <w:u w:val="single"/>
              </w:rPr>
              <w:t>0</w:t>
            </w:r>
          </w:p>
        </w:tc>
        <w:tc>
          <w:tcPr>
            <w:tcW w:w="850"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hint="eastAsia" w:eastAsiaTheme="minorEastAsia"/>
                <w:snapToGrid w:val="0"/>
                <w:kern w:val="0"/>
                <w:szCs w:val="21"/>
                <w:u w:val="single"/>
              </w:rPr>
              <w:t>湖</w:t>
            </w:r>
          </w:p>
        </w:tc>
        <w:tc>
          <w:tcPr>
            <w:tcW w:w="1560"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hint="eastAsia" w:eastAsiaTheme="minorEastAsia"/>
                <w:snapToGrid w:val="0"/>
                <w:kern w:val="0"/>
                <w:szCs w:val="21"/>
                <w:u w:val="single"/>
              </w:rPr>
              <w:t>南侧0.82km</w:t>
            </w:r>
          </w:p>
        </w:tc>
        <w:tc>
          <w:tcPr>
            <w:tcW w:w="1417" w:type="dxa"/>
            <w:vMerge w:val="continue"/>
            <w:vAlign w:val="center"/>
          </w:tcPr>
          <w:p>
            <w:pPr>
              <w:adjustRightInd w:val="0"/>
              <w:snapToGrid w:val="0"/>
              <w:jc w:val="center"/>
              <w:rPr>
                <w:rFonts w:eastAsiaTheme="minorEastAsia"/>
                <w:szCs w:val="21"/>
                <w:u w:val="single"/>
              </w:rPr>
            </w:pPr>
          </w:p>
        </w:tc>
        <w:tc>
          <w:tcPr>
            <w:tcW w:w="1605" w:type="dxa"/>
            <w:vAlign w:val="center"/>
          </w:tcPr>
          <w:p>
            <w:pPr>
              <w:adjustRightInd w:val="0"/>
              <w:snapToGrid w:val="0"/>
              <w:jc w:val="center"/>
              <w:rPr>
                <w:rFonts w:eastAsiaTheme="minorEastAsia"/>
                <w:snapToGrid w:val="0"/>
                <w:kern w:val="0"/>
                <w:szCs w:val="21"/>
                <w:u w:val="single"/>
              </w:rPr>
            </w:pPr>
            <w:r>
              <w:rPr>
                <w:rFonts w:hint="eastAsia" w:eastAsiaTheme="minorEastAsia"/>
                <w:snapToGrid w:val="0"/>
                <w:kern w:val="0"/>
                <w:szCs w:val="21"/>
                <w:u w:val="single"/>
              </w:rPr>
              <w:t>雨水受纳水体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4" w:type="dxa"/>
            <w:bottom w:w="0" w:type="dxa"/>
            <w:right w:w="14" w:type="dxa"/>
          </w:tblCellMar>
        </w:tblPrEx>
        <w:trPr>
          <w:trHeight w:val="397" w:hRule="atLeast"/>
          <w:jc w:val="center"/>
        </w:trPr>
        <w:tc>
          <w:tcPr>
            <w:tcW w:w="463" w:type="dxa"/>
            <w:vMerge w:val="continue"/>
            <w:vAlign w:val="center"/>
          </w:tcPr>
          <w:p>
            <w:pPr>
              <w:adjustRightInd w:val="0"/>
              <w:snapToGrid w:val="0"/>
              <w:jc w:val="center"/>
              <w:rPr>
                <w:rFonts w:eastAsiaTheme="minorEastAsia"/>
                <w:szCs w:val="21"/>
                <w:u w:val="single"/>
              </w:rPr>
            </w:pPr>
          </w:p>
        </w:tc>
        <w:tc>
          <w:tcPr>
            <w:tcW w:w="768"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eastAsiaTheme="minorEastAsia"/>
                <w:snapToGrid w:val="0"/>
                <w:kern w:val="0"/>
                <w:szCs w:val="21"/>
                <w:u w:val="single"/>
              </w:rPr>
              <w:t>湘江</w:t>
            </w:r>
          </w:p>
        </w:tc>
        <w:tc>
          <w:tcPr>
            <w:tcW w:w="1417" w:type="dxa"/>
            <w:vAlign w:val="center"/>
          </w:tcPr>
          <w:p>
            <w:pPr>
              <w:adjustRightInd w:val="0"/>
              <w:snapToGrid w:val="0"/>
              <w:jc w:val="center"/>
              <w:rPr>
                <w:rFonts w:eastAsiaTheme="minorEastAsia"/>
                <w:szCs w:val="21"/>
                <w:u w:val="single"/>
              </w:rPr>
            </w:pPr>
            <w:r>
              <w:rPr>
                <w:rFonts w:eastAsiaTheme="minorEastAsia"/>
                <w:szCs w:val="21"/>
                <w:u w:val="single"/>
              </w:rPr>
              <w:t>东经113° 4'8"</w:t>
            </w:r>
          </w:p>
          <w:p>
            <w:pPr>
              <w:adjustRightInd w:val="0"/>
              <w:snapToGrid w:val="0"/>
              <w:jc w:val="center"/>
              <w:rPr>
                <w:rFonts w:eastAsiaTheme="minorEastAsia"/>
                <w:szCs w:val="21"/>
                <w:u w:val="single"/>
              </w:rPr>
            </w:pPr>
            <w:r>
              <w:rPr>
                <w:rFonts w:eastAsiaTheme="minorEastAsia"/>
                <w:szCs w:val="21"/>
                <w:u w:val="single"/>
              </w:rPr>
              <w:t>北纬28°50'10"</w:t>
            </w:r>
          </w:p>
        </w:tc>
        <w:tc>
          <w:tcPr>
            <w:tcW w:w="709" w:type="dxa"/>
            <w:vAlign w:val="center"/>
          </w:tcPr>
          <w:p>
            <w:pPr>
              <w:adjustRightInd w:val="0"/>
              <w:snapToGrid w:val="0"/>
              <w:jc w:val="center"/>
              <w:rPr>
                <w:rFonts w:eastAsiaTheme="minorEastAsia"/>
                <w:szCs w:val="21"/>
                <w:u w:val="single"/>
              </w:rPr>
            </w:pPr>
            <w:r>
              <w:rPr>
                <w:rFonts w:eastAsiaTheme="minorEastAsia"/>
                <w:szCs w:val="21"/>
                <w:u w:val="single"/>
              </w:rPr>
              <w:t>0</w:t>
            </w:r>
          </w:p>
        </w:tc>
        <w:tc>
          <w:tcPr>
            <w:tcW w:w="850"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hint="eastAsia" w:eastAsiaTheme="minorEastAsia"/>
                <w:snapToGrid w:val="0"/>
                <w:kern w:val="0"/>
                <w:szCs w:val="21"/>
                <w:u w:val="single"/>
              </w:rPr>
              <w:t>大河</w:t>
            </w:r>
          </w:p>
        </w:tc>
        <w:tc>
          <w:tcPr>
            <w:tcW w:w="1560" w:type="dxa"/>
            <w:vAlign w:val="center"/>
          </w:tcPr>
          <w:p>
            <w:pPr>
              <w:autoSpaceDE w:val="0"/>
              <w:autoSpaceDN w:val="0"/>
              <w:adjustRightInd w:val="0"/>
              <w:snapToGrid w:val="0"/>
              <w:jc w:val="center"/>
              <w:textAlignment w:val="baseline"/>
              <w:rPr>
                <w:rFonts w:eastAsiaTheme="minorEastAsia"/>
                <w:snapToGrid w:val="0"/>
                <w:kern w:val="0"/>
                <w:szCs w:val="21"/>
                <w:u w:val="single"/>
              </w:rPr>
            </w:pPr>
            <w:r>
              <w:rPr>
                <w:rFonts w:eastAsiaTheme="minorEastAsia"/>
                <w:snapToGrid w:val="0"/>
                <w:kern w:val="0"/>
                <w:szCs w:val="21"/>
                <w:u w:val="single"/>
              </w:rPr>
              <w:t>西侧0.342km</w:t>
            </w:r>
          </w:p>
        </w:tc>
        <w:tc>
          <w:tcPr>
            <w:tcW w:w="1417" w:type="dxa"/>
            <w:vMerge w:val="continue"/>
            <w:vAlign w:val="center"/>
          </w:tcPr>
          <w:p>
            <w:pPr>
              <w:adjustRightInd w:val="0"/>
              <w:snapToGrid w:val="0"/>
              <w:jc w:val="center"/>
              <w:rPr>
                <w:rFonts w:eastAsiaTheme="minorEastAsia"/>
                <w:szCs w:val="21"/>
                <w:u w:val="single"/>
              </w:rPr>
            </w:pPr>
          </w:p>
        </w:tc>
        <w:tc>
          <w:tcPr>
            <w:tcW w:w="1605" w:type="dxa"/>
            <w:vAlign w:val="center"/>
          </w:tcPr>
          <w:p>
            <w:pPr>
              <w:adjustRightInd w:val="0"/>
              <w:snapToGrid w:val="0"/>
              <w:jc w:val="center"/>
              <w:rPr>
                <w:rFonts w:eastAsiaTheme="minorEastAsia"/>
                <w:szCs w:val="21"/>
                <w:u w:val="single"/>
              </w:rPr>
            </w:pPr>
            <w:r>
              <w:rPr>
                <w:rFonts w:eastAsiaTheme="minorEastAsia"/>
                <w:snapToGrid w:val="0"/>
                <w:kern w:val="0"/>
                <w:szCs w:val="21"/>
                <w:u w:val="single"/>
              </w:rPr>
              <w:t>湘阴县第一污水处理厂的</w:t>
            </w:r>
            <w:r>
              <w:rPr>
                <w:rFonts w:hint="eastAsia" w:eastAsiaTheme="minorEastAsia"/>
                <w:snapToGrid w:val="0"/>
                <w:kern w:val="0"/>
                <w:szCs w:val="21"/>
                <w:u w:val="single"/>
              </w:rPr>
              <w:t>尾水</w:t>
            </w:r>
            <w:r>
              <w:rPr>
                <w:rFonts w:eastAsiaTheme="minorEastAsia"/>
                <w:szCs w:val="21"/>
                <w:u w:val="single"/>
              </w:rPr>
              <w:t>最终进入湘江</w:t>
            </w:r>
          </w:p>
        </w:tc>
      </w:tr>
    </w:tbl>
    <w:p>
      <w:pPr>
        <w:snapToGrid w:val="0"/>
        <w:spacing w:line="360" w:lineRule="auto"/>
        <w:jc w:val="center"/>
        <w:rPr>
          <w:rFonts w:eastAsiaTheme="minorEastAsia"/>
          <w:b/>
          <w:sz w:val="24"/>
        </w:rPr>
      </w:pPr>
      <w:r>
        <w:rPr>
          <w:rFonts w:eastAsiaTheme="minorEastAsia"/>
          <w:b/>
          <w:sz w:val="24"/>
        </w:rPr>
        <w:t>表2.5-4  生态环境保护目标一览表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74"/>
        <w:gridCol w:w="1559"/>
        <w:gridCol w:w="1575"/>
        <w:gridCol w:w="2275"/>
        <w:gridCol w:w="2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utoSpaceDE w:val="0"/>
              <w:autoSpaceDN w:val="0"/>
              <w:adjustRightInd w:val="0"/>
              <w:snapToGrid w:val="0"/>
              <w:jc w:val="center"/>
              <w:textAlignment w:val="baseline"/>
              <w:rPr>
                <w:rFonts w:eastAsiaTheme="minorEastAsia"/>
                <w:b/>
                <w:snapToGrid w:val="0"/>
                <w:kern w:val="0"/>
                <w:szCs w:val="21"/>
              </w:rPr>
            </w:pPr>
            <w:r>
              <w:rPr>
                <w:rFonts w:eastAsiaTheme="minorEastAsia"/>
                <w:b/>
                <w:snapToGrid w:val="0"/>
                <w:kern w:val="0"/>
                <w:szCs w:val="21"/>
              </w:rPr>
              <w:t>类别</w:t>
            </w:r>
          </w:p>
        </w:tc>
        <w:tc>
          <w:tcPr>
            <w:tcW w:w="887" w:type="pct"/>
            <w:vAlign w:val="center"/>
          </w:tcPr>
          <w:p>
            <w:pPr>
              <w:autoSpaceDE w:val="0"/>
              <w:autoSpaceDN w:val="0"/>
              <w:adjustRightInd w:val="0"/>
              <w:snapToGrid w:val="0"/>
              <w:jc w:val="center"/>
              <w:textAlignment w:val="baseline"/>
              <w:rPr>
                <w:rFonts w:eastAsiaTheme="minorEastAsia"/>
                <w:b/>
                <w:snapToGrid w:val="0"/>
                <w:kern w:val="0"/>
                <w:szCs w:val="21"/>
              </w:rPr>
            </w:pPr>
            <w:r>
              <w:rPr>
                <w:rFonts w:eastAsiaTheme="minorEastAsia"/>
                <w:b/>
                <w:snapToGrid w:val="0"/>
                <w:kern w:val="0"/>
                <w:szCs w:val="21"/>
              </w:rPr>
              <w:t>保护目标</w:t>
            </w:r>
          </w:p>
        </w:tc>
        <w:tc>
          <w:tcPr>
            <w:tcW w:w="896" w:type="pct"/>
            <w:vAlign w:val="center"/>
          </w:tcPr>
          <w:p>
            <w:pPr>
              <w:autoSpaceDE w:val="0"/>
              <w:autoSpaceDN w:val="0"/>
              <w:adjustRightInd w:val="0"/>
              <w:snapToGrid w:val="0"/>
              <w:jc w:val="center"/>
              <w:textAlignment w:val="baseline"/>
              <w:rPr>
                <w:rFonts w:eastAsiaTheme="minorEastAsia"/>
                <w:b/>
                <w:snapToGrid w:val="0"/>
                <w:kern w:val="0"/>
                <w:szCs w:val="21"/>
              </w:rPr>
            </w:pPr>
            <w:r>
              <w:rPr>
                <w:rFonts w:eastAsiaTheme="minorEastAsia"/>
                <w:b/>
                <w:snapToGrid w:val="0"/>
                <w:kern w:val="0"/>
                <w:szCs w:val="21"/>
              </w:rPr>
              <w:t>相对项目厂址及距离</w:t>
            </w:r>
          </w:p>
        </w:tc>
        <w:tc>
          <w:tcPr>
            <w:tcW w:w="1294" w:type="pct"/>
            <w:vAlign w:val="center"/>
          </w:tcPr>
          <w:p>
            <w:pPr>
              <w:autoSpaceDE w:val="0"/>
              <w:autoSpaceDN w:val="0"/>
              <w:adjustRightInd w:val="0"/>
              <w:snapToGrid w:val="0"/>
              <w:jc w:val="center"/>
              <w:textAlignment w:val="baseline"/>
              <w:rPr>
                <w:rFonts w:eastAsiaTheme="minorEastAsia"/>
                <w:b/>
                <w:snapToGrid w:val="0"/>
                <w:kern w:val="0"/>
                <w:szCs w:val="21"/>
              </w:rPr>
            </w:pPr>
            <w:r>
              <w:rPr>
                <w:rFonts w:eastAsiaTheme="minorEastAsia"/>
                <w:b/>
                <w:snapToGrid w:val="0"/>
                <w:kern w:val="0"/>
                <w:szCs w:val="21"/>
              </w:rPr>
              <w:t>功能与规模</w:t>
            </w:r>
          </w:p>
        </w:tc>
        <w:tc>
          <w:tcPr>
            <w:tcW w:w="1141" w:type="pct"/>
            <w:vAlign w:val="center"/>
          </w:tcPr>
          <w:p>
            <w:pPr>
              <w:autoSpaceDE w:val="0"/>
              <w:autoSpaceDN w:val="0"/>
              <w:adjustRightInd w:val="0"/>
              <w:snapToGrid w:val="0"/>
              <w:jc w:val="center"/>
              <w:textAlignment w:val="baseline"/>
              <w:rPr>
                <w:rFonts w:eastAsiaTheme="minorEastAsia"/>
                <w:b/>
                <w:snapToGrid w:val="0"/>
                <w:kern w:val="0"/>
                <w:szCs w:val="21"/>
              </w:rPr>
            </w:pPr>
            <w:r>
              <w:rPr>
                <w:rFonts w:eastAsiaTheme="minorEastAsia"/>
                <w:b/>
                <w:snapToGrid w:val="0"/>
                <w:kern w:val="0"/>
                <w:szCs w:val="21"/>
              </w:rPr>
              <w:t>环境保护功能类别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82" w:type="pct"/>
            <w:vAlign w:val="center"/>
          </w:tcPr>
          <w:p>
            <w:pPr>
              <w:autoSpaceDE w:val="0"/>
              <w:autoSpaceDN w:val="0"/>
              <w:adjustRightInd w:val="0"/>
              <w:snapToGrid w:val="0"/>
              <w:jc w:val="center"/>
              <w:textAlignment w:val="baseline"/>
              <w:rPr>
                <w:rFonts w:eastAsiaTheme="minorEastAsia"/>
                <w:snapToGrid w:val="0"/>
                <w:kern w:val="0"/>
                <w:szCs w:val="21"/>
              </w:rPr>
            </w:pPr>
            <w:r>
              <w:rPr>
                <w:rFonts w:eastAsiaTheme="minorEastAsia"/>
                <w:snapToGrid w:val="0"/>
                <w:kern w:val="0"/>
                <w:szCs w:val="21"/>
              </w:rPr>
              <w:t>生态环境</w:t>
            </w:r>
          </w:p>
        </w:tc>
        <w:tc>
          <w:tcPr>
            <w:tcW w:w="887" w:type="pct"/>
            <w:vAlign w:val="center"/>
          </w:tcPr>
          <w:p>
            <w:pPr>
              <w:autoSpaceDE w:val="0"/>
              <w:autoSpaceDN w:val="0"/>
              <w:adjustRightInd w:val="0"/>
              <w:snapToGrid w:val="0"/>
              <w:jc w:val="center"/>
              <w:textAlignment w:val="baseline"/>
              <w:rPr>
                <w:rFonts w:eastAsiaTheme="minorEastAsia"/>
                <w:snapToGrid w:val="0"/>
                <w:kern w:val="0"/>
                <w:szCs w:val="21"/>
              </w:rPr>
            </w:pPr>
            <w:r>
              <w:rPr>
                <w:rFonts w:eastAsiaTheme="minorEastAsia"/>
                <w:snapToGrid w:val="0"/>
                <w:kern w:val="0"/>
                <w:szCs w:val="21"/>
              </w:rPr>
              <w:t>周边绿化、植被</w:t>
            </w:r>
          </w:p>
        </w:tc>
        <w:tc>
          <w:tcPr>
            <w:tcW w:w="896" w:type="pct"/>
            <w:vAlign w:val="center"/>
          </w:tcPr>
          <w:p>
            <w:pPr>
              <w:autoSpaceDE w:val="0"/>
              <w:autoSpaceDN w:val="0"/>
              <w:adjustRightInd w:val="0"/>
              <w:snapToGrid w:val="0"/>
              <w:jc w:val="center"/>
              <w:textAlignment w:val="baseline"/>
              <w:rPr>
                <w:rFonts w:eastAsiaTheme="minorEastAsia"/>
                <w:snapToGrid w:val="0"/>
                <w:kern w:val="0"/>
                <w:szCs w:val="21"/>
              </w:rPr>
            </w:pPr>
            <w:r>
              <w:rPr>
                <w:rFonts w:eastAsiaTheme="minorEastAsia"/>
                <w:snapToGrid w:val="0"/>
                <w:kern w:val="0"/>
                <w:szCs w:val="21"/>
              </w:rPr>
              <w:t>本项目周边200m范围内</w:t>
            </w:r>
          </w:p>
        </w:tc>
        <w:tc>
          <w:tcPr>
            <w:tcW w:w="1294" w:type="pct"/>
            <w:vAlign w:val="center"/>
          </w:tcPr>
          <w:p>
            <w:pPr>
              <w:autoSpaceDE w:val="0"/>
              <w:autoSpaceDN w:val="0"/>
              <w:adjustRightInd w:val="0"/>
              <w:snapToGrid w:val="0"/>
              <w:jc w:val="center"/>
              <w:textAlignment w:val="baseline"/>
              <w:rPr>
                <w:rFonts w:eastAsiaTheme="minorEastAsia"/>
                <w:snapToGrid w:val="0"/>
                <w:kern w:val="0"/>
                <w:szCs w:val="21"/>
              </w:rPr>
            </w:pPr>
            <w:r>
              <w:rPr>
                <w:rFonts w:eastAsiaTheme="minorEastAsia"/>
                <w:snapToGrid w:val="0"/>
                <w:kern w:val="0"/>
                <w:szCs w:val="21"/>
              </w:rPr>
              <w:t>无需要特殊保护物种</w:t>
            </w:r>
          </w:p>
        </w:tc>
        <w:tc>
          <w:tcPr>
            <w:tcW w:w="1141" w:type="pct"/>
            <w:vAlign w:val="center"/>
          </w:tcPr>
          <w:p>
            <w:pPr>
              <w:autoSpaceDE w:val="0"/>
              <w:autoSpaceDN w:val="0"/>
              <w:adjustRightInd w:val="0"/>
              <w:snapToGrid w:val="0"/>
              <w:jc w:val="center"/>
              <w:textAlignment w:val="baseline"/>
              <w:rPr>
                <w:rFonts w:eastAsiaTheme="minorEastAsia"/>
                <w:snapToGrid w:val="0"/>
                <w:kern w:val="0"/>
                <w:szCs w:val="21"/>
              </w:rPr>
            </w:pPr>
            <w:r>
              <w:rPr>
                <w:rFonts w:eastAsiaTheme="minorEastAsia"/>
                <w:snapToGrid w:val="0"/>
                <w:kern w:val="0"/>
                <w:szCs w:val="21"/>
              </w:rPr>
              <w:t>一般生态区</w:t>
            </w:r>
          </w:p>
        </w:tc>
      </w:tr>
    </w:tbl>
    <w:p>
      <w:pPr>
        <w:pStyle w:val="740"/>
        <w:numPr>
          <w:ilvl w:val="0"/>
          <w:numId w:val="1"/>
        </w:numPr>
        <w:tabs>
          <w:tab w:val="clear" w:pos="432"/>
        </w:tabs>
        <w:ind w:left="425" w:hanging="425"/>
        <w:rPr>
          <w:rFonts w:hAnsi="Times New Roman" w:eastAsiaTheme="minorEastAsia"/>
          <w:color w:val="FF0000"/>
        </w:rPr>
        <w:sectPr>
          <w:footerReference r:id="rId11" w:type="default"/>
          <w:pgSz w:w="11907" w:h="16840"/>
          <w:pgMar w:top="1418" w:right="1304" w:bottom="1418" w:left="1474" w:header="851" w:footer="992" w:gutter="0"/>
          <w:cols w:space="720" w:num="1"/>
          <w:docGrid w:linePitch="312" w:charSpace="0"/>
        </w:sectPr>
      </w:pPr>
      <w:bookmarkStart w:id="61" w:name="_Toc299451772"/>
      <w:bookmarkStart w:id="62" w:name="_Toc299451006"/>
      <w:bookmarkStart w:id="63" w:name="_Toc299451567"/>
      <w:bookmarkStart w:id="64" w:name="_Toc299450806"/>
      <w:bookmarkStart w:id="65" w:name="_Toc299450906"/>
    </w:p>
    <w:p>
      <w:pPr>
        <w:pStyle w:val="2"/>
        <w:spacing w:after="0" w:line="480" w:lineRule="auto"/>
        <w:jc w:val="center"/>
        <w:rPr>
          <w:rFonts w:ascii="Times New Roman" w:eastAsiaTheme="minorEastAsia"/>
          <w:b/>
          <w:bCs/>
          <w:sz w:val="36"/>
          <w:szCs w:val="36"/>
          <w:lang w:val="zh-CN"/>
        </w:rPr>
      </w:pPr>
      <w:bookmarkStart w:id="66" w:name="_Toc61026590"/>
      <w:r>
        <w:rPr>
          <w:rFonts w:ascii="Times New Roman" w:eastAsiaTheme="minorEastAsia"/>
          <w:b/>
          <w:bCs/>
          <w:sz w:val="36"/>
          <w:szCs w:val="36"/>
          <w:lang w:val="zh-CN"/>
        </w:rPr>
        <w:t>3 现有项目概况</w:t>
      </w:r>
      <w:bookmarkEnd w:id="66"/>
    </w:p>
    <w:p>
      <w:pPr>
        <w:pStyle w:val="3"/>
        <w:snapToGrid w:val="0"/>
        <w:spacing w:before="0" w:after="0" w:line="360" w:lineRule="auto"/>
        <w:rPr>
          <w:rFonts w:ascii="Times New Roman" w:hAnsi="Times New Roman" w:eastAsiaTheme="minorEastAsia"/>
          <w:sz w:val="28"/>
          <w:lang w:val="zh-CN"/>
        </w:rPr>
      </w:pPr>
      <w:bookmarkStart w:id="67" w:name="_Toc61026591"/>
      <w:r>
        <w:rPr>
          <w:rFonts w:ascii="Times New Roman" w:hAnsi="Times New Roman" w:eastAsiaTheme="minorEastAsia"/>
          <w:sz w:val="28"/>
          <w:lang w:val="zh-CN"/>
        </w:rPr>
        <w:t>3.1 现有项目基本情况</w:t>
      </w:r>
      <w:bookmarkEnd w:id="67"/>
    </w:p>
    <w:p>
      <w:pPr>
        <w:pStyle w:val="4"/>
        <w:snapToGrid w:val="0"/>
        <w:spacing w:before="0" w:after="0" w:line="360" w:lineRule="auto"/>
        <w:rPr>
          <w:rFonts w:eastAsiaTheme="minorEastAsia"/>
          <w:sz w:val="28"/>
          <w:lang w:val="zh-CN"/>
        </w:rPr>
      </w:pPr>
      <w:r>
        <w:rPr>
          <w:rFonts w:eastAsiaTheme="minorEastAsia"/>
          <w:kern w:val="0"/>
          <w:sz w:val="24"/>
        </w:rPr>
        <w:t>3.1.1 现有项目基本情况</w:t>
      </w:r>
    </w:p>
    <w:p>
      <w:pPr>
        <w:pStyle w:val="818"/>
        <w:wordWrap/>
        <w:snapToGrid w:val="0"/>
        <w:ind w:firstLine="480"/>
        <w:rPr>
          <w:rFonts w:hAnsi="Times New Roman" w:eastAsiaTheme="minorEastAsia"/>
          <w:b w:val="0"/>
          <w:color w:val="auto"/>
        </w:rPr>
      </w:pPr>
      <w:r>
        <w:rPr>
          <w:rFonts w:hAnsi="Times New Roman" w:eastAsiaTheme="minorEastAsia"/>
          <w:b w:val="0"/>
          <w:color w:val="auto"/>
        </w:rPr>
        <w:t>湘阴县中医医院创建于1953年，是一所集医疗、预防、康复、保健为一体的综合性二级甲等医院,是“湘中医”医疗联盟成员单位之一，国家中医药管理局远程教学医院，湖南省中医研究院附属医院的联盟医院，也是湖南省中医类别全科助理医生培训基地，湖南省中医药大学毕业生实习基地，湖南省中医附一医院定点指导医院，中南大学湘雅医院、湖南省中医附一及湖南省人民医院远程教学和远程会诊单位。</w:t>
      </w:r>
    </w:p>
    <w:p>
      <w:pPr>
        <w:pStyle w:val="818"/>
        <w:wordWrap/>
        <w:snapToGrid w:val="0"/>
        <w:ind w:firstLine="480"/>
        <w:rPr>
          <w:rFonts w:hAnsi="Times New Roman" w:eastAsiaTheme="minorEastAsia"/>
          <w:b w:val="0"/>
          <w:color w:val="auto"/>
        </w:rPr>
      </w:pPr>
      <w:r>
        <w:rPr>
          <w:rFonts w:hAnsi="Times New Roman" w:eastAsiaTheme="minorEastAsia"/>
          <w:b w:val="0"/>
          <w:color w:val="auto"/>
        </w:rPr>
        <w:t>医院现有建筑面积20000㎡，开放编制床位300余张，在职员工288人，其中高级专业技术人员18人，中级专业技术人员80人，医院配备了16排螺旋CT机、DR、飞利浦EPIQ5最新版二维、四维彩色B超机、24小时心电动态、微生物检查、化学化光、日本奥林巴斯电子胃镜、电子肠镜、腔镜、意大利进口TCL全新介入诊疗设备、自动生化血液分析仪、三维立体牵引床、麻醉呼吸机、高压氧舱、有创呼吸机等大型先进医疗设备，开设有急诊科、中西医内科、外科、妇产科、国医堂、治未病科、肿瘤科、肾病科、康复科、口腔科、眼耳鼻喉科、皮肤科、肛肠科、骨伤科、介入科、血液透析室等临床科室和特色专科，其中康复科、肾病科为国家级重点专科，肿瘤科为市级重点特色专科，治未病科下设一站式健康管理中心，能极大地满足临床各方面的需求。</w:t>
      </w:r>
    </w:p>
    <w:p>
      <w:pPr>
        <w:pStyle w:val="4"/>
        <w:snapToGrid w:val="0"/>
        <w:spacing w:before="0" w:after="0" w:line="360" w:lineRule="auto"/>
        <w:rPr>
          <w:rFonts w:eastAsiaTheme="minorEastAsia"/>
          <w:kern w:val="0"/>
          <w:sz w:val="24"/>
        </w:rPr>
      </w:pPr>
      <w:r>
        <w:rPr>
          <w:rFonts w:eastAsiaTheme="minorEastAsia"/>
          <w:kern w:val="0"/>
          <w:sz w:val="24"/>
        </w:rPr>
        <w:t>3.1.2 现有项目主要建设内容及规模</w:t>
      </w:r>
    </w:p>
    <w:p>
      <w:pPr>
        <w:snapToGrid w:val="0"/>
        <w:spacing w:line="360" w:lineRule="auto"/>
        <w:ind w:firstLine="480" w:firstLineChars="200"/>
        <w:rPr>
          <w:rFonts w:eastAsiaTheme="minorEastAsia"/>
          <w:bCs/>
          <w:sz w:val="24"/>
        </w:rPr>
      </w:pPr>
      <w:r>
        <w:rPr>
          <w:rFonts w:eastAsiaTheme="minorEastAsia"/>
          <w:bCs/>
          <w:sz w:val="24"/>
        </w:rPr>
        <w:t>湘阴县中医院占地面积4000m</w:t>
      </w:r>
      <w:r>
        <w:rPr>
          <w:rFonts w:eastAsiaTheme="minorEastAsia"/>
          <w:bCs/>
          <w:sz w:val="24"/>
          <w:vertAlign w:val="superscript"/>
        </w:rPr>
        <w:t>2</w:t>
      </w:r>
      <w:r>
        <w:rPr>
          <w:rFonts w:eastAsiaTheme="minorEastAsia"/>
          <w:bCs/>
          <w:sz w:val="24"/>
        </w:rPr>
        <w:t>，总建筑面积14000m</w:t>
      </w:r>
      <w:r>
        <w:rPr>
          <w:rFonts w:eastAsiaTheme="minorEastAsia"/>
          <w:bCs/>
          <w:sz w:val="24"/>
          <w:vertAlign w:val="superscript"/>
        </w:rPr>
        <w:t>2</w:t>
      </w:r>
      <w:r>
        <w:rPr>
          <w:rFonts w:eastAsiaTheme="minorEastAsia"/>
          <w:bCs/>
          <w:sz w:val="24"/>
        </w:rPr>
        <w:t>；主要建设工程组成见表3.1-1，科室设置情况表见表3.1-2，3.1-3主要经济技术指标见表2.2-4。</w:t>
      </w:r>
    </w:p>
    <w:p>
      <w:pPr>
        <w:adjustRightInd w:val="0"/>
        <w:snapToGrid w:val="0"/>
        <w:spacing w:line="360" w:lineRule="auto"/>
        <w:jc w:val="center"/>
        <w:rPr>
          <w:b/>
          <w:sz w:val="24"/>
        </w:rPr>
      </w:pPr>
      <w:r>
        <w:rPr>
          <w:b/>
          <w:sz w:val="24"/>
        </w:rPr>
        <w:t>表3.1-1   医院主要建筑内容一览表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74"/>
        <w:gridCol w:w="1901"/>
        <w:gridCol w:w="40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48" w:type="dxa"/>
            <w:shd w:val="clear" w:color="auto" w:fill="auto"/>
            <w:vAlign w:val="center"/>
          </w:tcPr>
          <w:p>
            <w:pPr>
              <w:tabs>
                <w:tab w:val="left" w:pos="426"/>
              </w:tabs>
              <w:snapToGrid w:val="0"/>
              <w:spacing w:line="300" w:lineRule="exact"/>
              <w:ind w:left="-153" w:leftChars="-73" w:right="-218" w:rightChars="-104"/>
              <w:jc w:val="center"/>
              <w:rPr>
                <w:b/>
                <w:bCs/>
                <w:color w:val="000000"/>
                <w:szCs w:val="21"/>
              </w:rPr>
            </w:pPr>
            <w:r>
              <w:rPr>
                <w:b/>
                <w:bCs/>
                <w:color w:val="000000"/>
                <w:szCs w:val="21"/>
              </w:rPr>
              <w:t>名称</w:t>
            </w:r>
          </w:p>
        </w:tc>
        <w:tc>
          <w:tcPr>
            <w:tcW w:w="1620" w:type="dxa"/>
            <w:shd w:val="clear" w:color="auto" w:fill="auto"/>
            <w:vAlign w:val="center"/>
          </w:tcPr>
          <w:p>
            <w:pPr>
              <w:tabs>
                <w:tab w:val="left" w:pos="426"/>
              </w:tabs>
              <w:snapToGrid w:val="0"/>
              <w:spacing w:line="300" w:lineRule="exact"/>
              <w:ind w:left="-153" w:leftChars="-73" w:right="-218" w:rightChars="-104"/>
              <w:jc w:val="center"/>
              <w:rPr>
                <w:b/>
                <w:bCs/>
                <w:color w:val="000000"/>
                <w:szCs w:val="21"/>
              </w:rPr>
            </w:pPr>
            <w:r>
              <w:rPr>
                <w:b/>
                <w:bCs/>
                <w:color w:val="000000"/>
                <w:szCs w:val="21"/>
              </w:rPr>
              <w:t>面积㎡</w:t>
            </w:r>
          </w:p>
        </w:tc>
        <w:tc>
          <w:tcPr>
            <w:tcW w:w="3420" w:type="dxa"/>
            <w:shd w:val="clear" w:color="auto" w:fill="auto"/>
            <w:vAlign w:val="center"/>
          </w:tcPr>
          <w:p>
            <w:pPr>
              <w:tabs>
                <w:tab w:val="left" w:pos="426"/>
              </w:tabs>
              <w:snapToGrid w:val="0"/>
              <w:spacing w:line="300" w:lineRule="exact"/>
              <w:ind w:left="-153" w:leftChars="-73" w:right="-218" w:rightChars="-104"/>
              <w:jc w:val="center"/>
              <w:rPr>
                <w:b/>
                <w:bCs/>
                <w:color w:val="000000"/>
                <w:szCs w:val="21"/>
              </w:rPr>
            </w:pPr>
            <w:r>
              <w:rPr>
                <w:b/>
                <w:bCs/>
                <w:color w:val="000000"/>
                <w:szCs w:val="21"/>
              </w:rPr>
              <w:t>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48"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办公楼</w:t>
            </w:r>
          </w:p>
        </w:tc>
        <w:tc>
          <w:tcPr>
            <w:tcW w:w="16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1000</w:t>
            </w:r>
          </w:p>
        </w:tc>
        <w:tc>
          <w:tcPr>
            <w:tcW w:w="34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医院东北部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48"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住院楼</w:t>
            </w:r>
          </w:p>
        </w:tc>
        <w:tc>
          <w:tcPr>
            <w:tcW w:w="16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3500</w:t>
            </w:r>
          </w:p>
        </w:tc>
        <w:tc>
          <w:tcPr>
            <w:tcW w:w="34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医院北部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48"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门诊、急诊、医技室</w:t>
            </w:r>
          </w:p>
        </w:tc>
        <w:tc>
          <w:tcPr>
            <w:tcW w:w="16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4500</w:t>
            </w:r>
          </w:p>
        </w:tc>
        <w:tc>
          <w:tcPr>
            <w:tcW w:w="34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医院南部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48"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医技楼</w:t>
            </w:r>
          </w:p>
        </w:tc>
        <w:tc>
          <w:tcPr>
            <w:tcW w:w="16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5000</w:t>
            </w:r>
          </w:p>
        </w:tc>
        <w:tc>
          <w:tcPr>
            <w:tcW w:w="34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医院南部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48"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合计</w:t>
            </w:r>
          </w:p>
        </w:tc>
        <w:tc>
          <w:tcPr>
            <w:tcW w:w="16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r>
              <w:rPr>
                <w:color w:val="000000"/>
                <w:szCs w:val="21"/>
              </w:rPr>
              <w:t>14000</w:t>
            </w:r>
          </w:p>
        </w:tc>
        <w:tc>
          <w:tcPr>
            <w:tcW w:w="3420" w:type="dxa"/>
            <w:shd w:val="clear" w:color="auto" w:fill="auto"/>
            <w:vAlign w:val="center"/>
          </w:tcPr>
          <w:p>
            <w:pPr>
              <w:tabs>
                <w:tab w:val="left" w:pos="426"/>
              </w:tabs>
              <w:snapToGrid w:val="0"/>
              <w:spacing w:line="300" w:lineRule="exact"/>
              <w:ind w:left="-153" w:leftChars="-73" w:right="-218" w:rightChars="-104"/>
              <w:jc w:val="center"/>
              <w:rPr>
                <w:color w:val="000000"/>
                <w:szCs w:val="21"/>
              </w:rPr>
            </w:pPr>
          </w:p>
        </w:tc>
      </w:tr>
    </w:tbl>
    <w:p>
      <w:pPr>
        <w:adjustRightInd w:val="0"/>
        <w:snapToGrid w:val="0"/>
        <w:spacing w:line="360" w:lineRule="auto"/>
        <w:jc w:val="center"/>
        <w:rPr>
          <w:b/>
          <w:color w:val="000000"/>
          <w:sz w:val="24"/>
        </w:rPr>
      </w:pPr>
      <w:r>
        <w:rPr>
          <w:b/>
          <w:sz w:val="24"/>
        </w:rPr>
        <w:t>表3.1-2  医技楼科室设置情况表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273"/>
        <w:gridCol w:w="66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2" w:type="dxa"/>
            <w:vAlign w:val="center"/>
          </w:tcPr>
          <w:p>
            <w:pPr>
              <w:adjustRightInd w:val="0"/>
              <w:snapToGrid w:val="0"/>
              <w:jc w:val="center"/>
              <w:rPr>
                <w:b/>
                <w:bCs/>
                <w:color w:val="000000"/>
              </w:rPr>
            </w:pPr>
            <w:r>
              <w:rPr>
                <w:b/>
                <w:bCs/>
                <w:color w:val="000000"/>
              </w:rPr>
              <w:t>序号</w:t>
            </w:r>
          </w:p>
        </w:tc>
        <w:tc>
          <w:tcPr>
            <w:tcW w:w="1263" w:type="dxa"/>
            <w:vAlign w:val="center"/>
          </w:tcPr>
          <w:p>
            <w:pPr>
              <w:adjustRightInd w:val="0"/>
              <w:snapToGrid w:val="0"/>
              <w:jc w:val="center"/>
              <w:rPr>
                <w:b/>
                <w:bCs/>
                <w:color w:val="000000"/>
              </w:rPr>
            </w:pPr>
            <w:r>
              <w:rPr>
                <w:b/>
                <w:bCs/>
                <w:color w:val="000000"/>
              </w:rPr>
              <w:t>楼层</w:t>
            </w:r>
          </w:p>
        </w:tc>
        <w:tc>
          <w:tcPr>
            <w:tcW w:w="6625" w:type="dxa"/>
            <w:vAlign w:val="center"/>
          </w:tcPr>
          <w:p>
            <w:pPr>
              <w:adjustRightInd w:val="0"/>
              <w:snapToGrid w:val="0"/>
              <w:jc w:val="center"/>
              <w:rPr>
                <w:b/>
                <w:bCs/>
                <w:color w:val="000000"/>
              </w:rPr>
            </w:pPr>
            <w:r>
              <w:rPr>
                <w:b/>
                <w:bCs/>
                <w:color w:val="000000"/>
              </w:rPr>
              <w:t>科室分布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2" w:type="dxa"/>
            <w:vAlign w:val="center"/>
          </w:tcPr>
          <w:p>
            <w:pPr>
              <w:adjustRightInd w:val="0"/>
              <w:snapToGrid w:val="0"/>
              <w:jc w:val="center"/>
              <w:rPr>
                <w:color w:val="000000"/>
              </w:rPr>
            </w:pPr>
            <w:r>
              <w:rPr>
                <w:color w:val="000000"/>
              </w:rPr>
              <w:t>1</w:t>
            </w:r>
          </w:p>
        </w:tc>
        <w:tc>
          <w:tcPr>
            <w:tcW w:w="1263" w:type="dxa"/>
            <w:vAlign w:val="center"/>
          </w:tcPr>
          <w:p>
            <w:pPr>
              <w:adjustRightInd w:val="0"/>
              <w:snapToGrid w:val="0"/>
              <w:jc w:val="center"/>
              <w:rPr>
                <w:color w:val="000000"/>
              </w:rPr>
            </w:pPr>
            <w:r>
              <w:rPr>
                <w:color w:val="000000"/>
              </w:rPr>
              <w:t>一层</w:t>
            </w:r>
          </w:p>
        </w:tc>
        <w:tc>
          <w:tcPr>
            <w:tcW w:w="6625" w:type="dxa"/>
            <w:vAlign w:val="center"/>
          </w:tcPr>
          <w:p>
            <w:pPr>
              <w:widowControl/>
              <w:adjustRightInd w:val="0"/>
              <w:snapToGrid w:val="0"/>
              <w:jc w:val="center"/>
              <w:textAlignment w:val="center"/>
              <w:rPr>
                <w:color w:val="000000"/>
              </w:rPr>
            </w:pPr>
            <w:r>
              <w:rPr>
                <w:color w:val="000000"/>
              </w:rPr>
              <w:t>食堂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32" w:type="dxa"/>
            <w:vAlign w:val="center"/>
          </w:tcPr>
          <w:p>
            <w:pPr>
              <w:adjustRightInd w:val="0"/>
              <w:snapToGrid w:val="0"/>
              <w:jc w:val="center"/>
              <w:rPr>
                <w:color w:val="000000"/>
              </w:rPr>
            </w:pPr>
            <w:r>
              <w:rPr>
                <w:color w:val="000000"/>
              </w:rPr>
              <w:t>2</w:t>
            </w:r>
          </w:p>
        </w:tc>
        <w:tc>
          <w:tcPr>
            <w:tcW w:w="1263" w:type="dxa"/>
            <w:vAlign w:val="center"/>
          </w:tcPr>
          <w:p>
            <w:pPr>
              <w:adjustRightInd w:val="0"/>
              <w:snapToGrid w:val="0"/>
              <w:jc w:val="center"/>
              <w:rPr>
                <w:color w:val="000000"/>
              </w:rPr>
            </w:pPr>
            <w:r>
              <w:rPr>
                <w:color w:val="000000"/>
              </w:rPr>
              <w:t>二层</w:t>
            </w:r>
          </w:p>
        </w:tc>
        <w:tc>
          <w:tcPr>
            <w:tcW w:w="6625" w:type="dxa"/>
            <w:vAlign w:val="center"/>
          </w:tcPr>
          <w:p>
            <w:pPr>
              <w:widowControl/>
              <w:adjustRightInd w:val="0"/>
              <w:snapToGrid w:val="0"/>
              <w:jc w:val="center"/>
              <w:textAlignment w:val="center"/>
              <w:rPr>
                <w:color w:val="000000"/>
              </w:rPr>
            </w:pPr>
            <w:r>
              <w:rPr>
                <w:color w:val="000000"/>
              </w:rPr>
              <w:t>国医堂（中医门诊）、体检科、煎药室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2" w:type="dxa"/>
            <w:vAlign w:val="center"/>
          </w:tcPr>
          <w:p>
            <w:pPr>
              <w:adjustRightInd w:val="0"/>
              <w:snapToGrid w:val="0"/>
              <w:jc w:val="center"/>
              <w:rPr>
                <w:color w:val="000000"/>
              </w:rPr>
            </w:pPr>
            <w:r>
              <w:rPr>
                <w:color w:val="000000"/>
              </w:rPr>
              <w:t>3</w:t>
            </w:r>
          </w:p>
        </w:tc>
        <w:tc>
          <w:tcPr>
            <w:tcW w:w="1263" w:type="dxa"/>
            <w:vAlign w:val="center"/>
          </w:tcPr>
          <w:p>
            <w:pPr>
              <w:adjustRightInd w:val="0"/>
              <w:snapToGrid w:val="0"/>
              <w:jc w:val="center"/>
              <w:rPr>
                <w:color w:val="000000"/>
              </w:rPr>
            </w:pPr>
            <w:r>
              <w:rPr>
                <w:color w:val="000000"/>
              </w:rPr>
              <w:t>三层</w:t>
            </w:r>
          </w:p>
        </w:tc>
        <w:tc>
          <w:tcPr>
            <w:tcW w:w="6625" w:type="dxa"/>
            <w:vAlign w:val="center"/>
          </w:tcPr>
          <w:p>
            <w:pPr>
              <w:widowControl/>
              <w:adjustRightInd w:val="0"/>
              <w:snapToGrid w:val="0"/>
              <w:jc w:val="center"/>
              <w:textAlignment w:val="center"/>
              <w:rPr>
                <w:color w:val="000000"/>
              </w:rPr>
            </w:pPr>
            <w:r>
              <w:rPr>
                <w:color w:val="000000"/>
              </w:rPr>
              <w:t>疾病科、住院部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2" w:type="dxa"/>
            <w:vAlign w:val="center"/>
          </w:tcPr>
          <w:p>
            <w:pPr>
              <w:adjustRightInd w:val="0"/>
              <w:snapToGrid w:val="0"/>
              <w:jc w:val="center"/>
              <w:rPr>
                <w:color w:val="000000"/>
              </w:rPr>
            </w:pPr>
            <w:r>
              <w:rPr>
                <w:color w:val="000000"/>
              </w:rPr>
              <w:t>4</w:t>
            </w:r>
          </w:p>
        </w:tc>
        <w:tc>
          <w:tcPr>
            <w:tcW w:w="1263" w:type="dxa"/>
            <w:vAlign w:val="center"/>
          </w:tcPr>
          <w:p>
            <w:pPr>
              <w:adjustRightInd w:val="0"/>
              <w:snapToGrid w:val="0"/>
              <w:jc w:val="center"/>
              <w:rPr>
                <w:color w:val="000000"/>
              </w:rPr>
            </w:pPr>
            <w:r>
              <w:rPr>
                <w:color w:val="000000"/>
              </w:rPr>
              <w:t>四层</w:t>
            </w:r>
          </w:p>
        </w:tc>
        <w:tc>
          <w:tcPr>
            <w:tcW w:w="6625" w:type="dxa"/>
            <w:vAlign w:val="center"/>
          </w:tcPr>
          <w:p>
            <w:pPr>
              <w:widowControl/>
              <w:adjustRightInd w:val="0"/>
              <w:snapToGrid w:val="0"/>
              <w:jc w:val="center"/>
              <w:textAlignment w:val="center"/>
              <w:rPr>
                <w:color w:val="000000"/>
                <w:u w:val="single"/>
              </w:rPr>
            </w:pPr>
            <w:r>
              <w:rPr>
                <w:color w:val="000000"/>
                <w:u w:val="single"/>
              </w:rPr>
              <w:t>康</w:t>
            </w:r>
            <w:r>
              <w:rPr>
                <w:rFonts w:hint="eastAsia"/>
                <w:color w:val="000000"/>
                <w:u w:val="single"/>
              </w:rPr>
              <w:t>养</w:t>
            </w:r>
            <w:r>
              <w:rPr>
                <w:color w:val="000000"/>
                <w:u w:val="single"/>
              </w:rPr>
              <w:t>科、住院部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2" w:type="dxa"/>
            <w:vAlign w:val="center"/>
          </w:tcPr>
          <w:p>
            <w:pPr>
              <w:adjustRightInd w:val="0"/>
              <w:snapToGrid w:val="0"/>
              <w:jc w:val="center"/>
              <w:rPr>
                <w:color w:val="000000"/>
              </w:rPr>
            </w:pPr>
            <w:r>
              <w:rPr>
                <w:color w:val="000000"/>
              </w:rPr>
              <w:t>5</w:t>
            </w:r>
          </w:p>
        </w:tc>
        <w:tc>
          <w:tcPr>
            <w:tcW w:w="1263" w:type="dxa"/>
            <w:vAlign w:val="center"/>
          </w:tcPr>
          <w:p>
            <w:pPr>
              <w:adjustRightInd w:val="0"/>
              <w:snapToGrid w:val="0"/>
              <w:jc w:val="center"/>
              <w:rPr>
                <w:color w:val="000000"/>
              </w:rPr>
            </w:pPr>
            <w:r>
              <w:rPr>
                <w:color w:val="000000"/>
              </w:rPr>
              <w:t>五层</w:t>
            </w:r>
          </w:p>
        </w:tc>
        <w:tc>
          <w:tcPr>
            <w:tcW w:w="6625" w:type="dxa"/>
            <w:vAlign w:val="center"/>
          </w:tcPr>
          <w:p>
            <w:pPr>
              <w:widowControl/>
              <w:adjustRightInd w:val="0"/>
              <w:snapToGrid w:val="0"/>
              <w:jc w:val="center"/>
              <w:textAlignment w:val="center"/>
              <w:rPr>
                <w:color w:val="000000"/>
              </w:rPr>
            </w:pPr>
            <w:r>
              <w:rPr>
                <w:color w:val="000000"/>
              </w:rPr>
              <w:t>胃病科、住院部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2" w:type="dxa"/>
            <w:vAlign w:val="center"/>
          </w:tcPr>
          <w:p>
            <w:pPr>
              <w:adjustRightInd w:val="0"/>
              <w:snapToGrid w:val="0"/>
              <w:jc w:val="center"/>
              <w:rPr>
                <w:color w:val="000000"/>
              </w:rPr>
            </w:pPr>
            <w:r>
              <w:rPr>
                <w:color w:val="000000"/>
              </w:rPr>
              <w:t>6</w:t>
            </w:r>
          </w:p>
        </w:tc>
        <w:tc>
          <w:tcPr>
            <w:tcW w:w="1263" w:type="dxa"/>
            <w:vAlign w:val="center"/>
          </w:tcPr>
          <w:p>
            <w:pPr>
              <w:adjustRightInd w:val="0"/>
              <w:snapToGrid w:val="0"/>
              <w:jc w:val="center"/>
              <w:rPr>
                <w:color w:val="000000"/>
              </w:rPr>
            </w:pPr>
            <w:r>
              <w:rPr>
                <w:color w:val="000000"/>
              </w:rPr>
              <w:t>六层</w:t>
            </w:r>
          </w:p>
        </w:tc>
        <w:tc>
          <w:tcPr>
            <w:tcW w:w="6625" w:type="dxa"/>
            <w:vAlign w:val="center"/>
          </w:tcPr>
          <w:p>
            <w:pPr>
              <w:widowControl/>
              <w:adjustRightInd w:val="0"/>
              <w:snapToGrid w:val="0"/>
              <w:jc w:val="center"/>
              <w:textAlignment w:val="center"/>
              <w:rPr>
                <w:color w:val="000000"/>
                <w:kern w:val="0"/>
                <w:szCs w:val="21"/>
              </w:rPr>
            </w:pPr>
            <w:r>
              <w:rPr>
                <w:color w:val="000000"/>
                <w:kern w:val="0"/>
                <w:szCs w:val="21"/>
              </w:rPr>
              <w:t>血透室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2" w:type="dxa"/>
            <w:vAlign w:val="center"/>
          </w:tcPr>
          <w:p>
            <w:pPr>
              <w:adjustRightInd w:val="0"/>
              <w:snapToGrid w:val="0"/>
              <w:jc w:val="center"/>
              <w:rPr>
                <w:color w:val="000000"/>
              </w:rPr>
            </w:pPr>
            <w:r>
              <w:rPr>
                <w:color w:val="000000"/>
              </w:rPr>
              <w:t>7</w:t>
            </w:r>
          </w:p>
        </w:tc>
        <w:tc>
          <w:tcPr>
            <w:tcW w:w="1263" w:type="dxa"/>
            <w:vAlign w:val="center"/>
          </w:tcPr>
          <w:p>
            <w:pPr>
              <w:adjustRightInd w:val="0"/>
              <w:snapToGrid w:val="0"/>
              <w:jc w:val="center"/>
              <w:rPr>
                <w:color w:val="000000"/>
              </w:rPr>
            </w:pPr>
            <w:r>
              <w:rPr>
                <w:color w:val="000000"/>
              </w:rPr>
              <w:t>七层</w:t>
            </w:r>
          </w:p>
        </w:tc>
        <w:tc>
          <w:tcPr>
            <w:tcW w:w="6625" w:type="dxa"/>
            <w:vAlign w:val="center"/>
          </w:tcPr>
          <w:p>
            <w:pPr>
              <w:widowControl/>
              <w:adjustRightInd w:val="0"/>
              <w:snapToGrid w:val="0"/>
              <w:jc w:val="center"/>
              <w:textAlignment w:val="center"/>
              <w:rPr>
                <w:color w:val="000000"/>
                <w:kern w:val="0"/>
                <w:szCs w:val="21"/>
              </w:rPr>
            </w:pPr>
            <w:r>
              <w:rPr>
                <w:color w:val="000000"/>
                <w:kern w:val="0"/>
                <w:szCs w:val="21"/>
              </w:rPr>
              <w:t>康复科门诊</w:t>
            </w:r>
          </w:p>
        </w:tc>
      </w:tr>
    </w:tbl>
    <w:p>
      <w:pPr>
        <w:adjustRightInd w:val="0"/>
        <w:snapToGrid w:val="0"/>
        <w:spacing w:line="360" w:lineRule="auto"/>
        <w:jc w:val="center"/>
        <w:rPr>
          <w:b/>
          <w:sz w:val="24"/>
        </w:rPr>
      </w:pPr>
      <w:r>
        <w:rPr>
          <w:b/>
          <w:sz w:val="24"/>
        </w:rPr>
        <w:t>表3.1-3  住院楼科室设置情况表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273"/>
        <w:gridCol w:w="66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b/>
                <w:bCs/>
                <w:color w:val="000000"/>
              </w:rPr>
            </w:pPr>
            <w:r>
              <w:rPr>
                <w:b/>
                <w:bCs/>
                <w:color w:val="000000"/>
              </w:rPr>
              <w:t>序号</w:t>
            </w:r>
          </w:p>
        </w:tc>
        <w:tc>
          <w:tcPr>
            <w:tcW w:w="1273" w:type="dxa"/>
            <w:vAlign w:val="center"/>
          </w:tcPr>
          <w:p>
            <w:pPr>
              <w:adjustRightInd w:val="0"/>
              <w:snapToGrid w:val="0"/>
              <w:jc w:val="center"/>
              <w:rPr>
                <w:b/>
                <w:bCs/>
                <w:color w:val="000000"/>
              </w:rPr>
            </w:pPr>
            <w:r>
              <w:rPr>
                <w:b/>
                <w:bCs/>
                <w:color w:val="000000"/>
              </w:rPr>
              <w:t>楼层</w:t>
            </w:r>
          </w:p>
        </w:tc>
        <w:tc>
          <w:tcPr>
            <w:tcW w:w="6677" w:type="dxa"/>
            <w:vAlign w:val="center"/>
          </w:tcPr>
          <w:p>
            <w:pPr>
              <w:adjustRightInd w:val="0"/>
              <w:snapToGrid w:val="0"/>
              <w:jc w:val="center"/>
              <w:rPr>
                <w:b/>
                <w:bCs/>
                <w:color w:val="000000"/>
              </w:rPr>
            </w:pPr>
            <w:r>
              <w:rPr>
                <w:b/>
                <w:bCs/>
                <w:color w:val="000000"/>
              </w:rPr>
              <w:t>科室分布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color w:val="000000"/>
              </w:rPr>
            </w:pPr>
            <w:r>
              <w:rPr>
                <w:color w:val="000000"/>
              </w:rPr>
              <w:t>1</w:t>
            </w:r>
          </w:p>
        </w:tc>
        <w:tc>
          <w:tcPr>
            <w:tcW w:w="1273" w:type="dxa"/>
            <w:vAlign w:val="center"/>
          </w:tcPr>
          <w:p>
            <w:pPr>
              <w:adjustRightInd w:val="0"/>
              <w:snapToGrid w:val="0"/>
              <w:jc w:val="center"/>
              <w:rPr>
                <w:color w:val="000000"/>
              </w:rPr>
            </w:pPr>
            <w:r>
              <w:rPr>
                <w:color w:val="000000"/>
              </w:rPr>
              <w:t>一层</w:t>
            </w:r>
          </w:p>
        </w:tc>
        <w:tc>
          <w:tcPr>
            <w:tcW w:w="6677" w:type="dxa"/>
            <w:vAlign w:val="center"/>
          </w:tcPr>
          <w:p>
            <w:pPr>
              <w:widowControl/>
              <w:adjustRightInd w:val="0"/>
              <w:snapToGrid w:val="0"/>
              <w:jc w:val="center"/>
              <w:textAlignment w:val="center"/>
              <w:rPr>
                <w:color w:val="000000"/>
              </w:rPr>
            </w:pPr>
            <w:r>
              <w:rPr>
                <w:color w:val="000000"/>
              </w:rPr>
              <w:t>药房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color w:val="000000"/>
              </w:rPr>
            </w:pPr>
            <w:r>
              <w:rPr>
                <w:color w:val="000000"/>
              </w:rPr>
              <w:t>2</w:t>
            </w:r>
          </w:p>
        </w:tc>
        <w:tc>
          <w:tcPr>
            <w:tcW w:w="1273" w:type="dxa"/>
            <w:vAlign w:val="center"/>
          </w:tcPr>
          <w:p>
            <w:pPr>
              <w:adjustRightInd w:val="0"/>
              <w:snapToGrid w:val="0"/>
              <w:jc w:val="center"/>
              <w:rPr>
                <w:color w:val="000000"/>
              </w:rPr>
            </w:pPr>
            <w:r>
              <w:rPr>
                <w:color w:val="000000"/>
              </w:rPr>
              <w:t>二层</w:t>
            </w:r>
          </w:p>
        </w:tc>
        <w:tc>
          <w:tcPr>
            <w:tcW w:w="6677" w:type="dxa"/>
            <w:vAlign w:val="center"/>
          </w:tcPr>
          <w:p>
            <w:pPr>
              <w:widowControl/>
              <w:adjustRightInd w:val="0"/>
              <w:snapToGrid w:val="0"/>
              <w:jc w:val="center"/>
              <w:textAlignment w:val="center"/>
              <w:rPr>
                <w:color w:val="000000"/>
              </w:rPr>
            </w:pPr>
            <w:r>
              <w:rPr>
                <w:color w:val="000000"/>
              </w:rPr>
              <w:t>门诊、妇产科、住院部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color w:val="000000"/>
              </w:rPr>
            </w:pPr>
            <w:r>
              <w:rPr>
                <w:color w:val="000000"/>
              </w:rPr>
              <w:t>3</w:t>
            </w:r>
          </w:p>
        </w:tc>
        <w:tc>
          <w:tcPr>
            <w:tcW w:w="1273" w:type="dxa"/>
            <w:vAlign w:val="center"/>
          </w:tcPr>
          <w:p>
            <w:pPr>
              <w:adjustRightInd w:val="0"/>
              <w:snapToGrid w:val="0"/>
              <w:jc w:val="center"/>
              <w:rPr>
                <w:color w:val="000000"/>
              </w:rPr>
            </w:pPr>
            <w:r>
              <w:rPr>
                <w:color w:val="000000"/>
              </w:rPr>
              <w:t>三层</w:t>
            </w:r>
          </w:p>
        </w:tc>
        <w:tc>
          <w:tcPr>
            <w:tcW w:w="6677" w:type="dxa"/>
            <w:vAlign w:val="center"/>
          </w:tcPr>
          <w:p>
            <w:pPr>
              <w:widowControl/>
              <w:adjustRightInd w:val="0"/>
              <w:snapToGrid w:val="0"/>
              <w:jc w:val="center"/>
              <w:textAlignment w:val="center"/>
              <w:rPr>
                <w:color w:val="000000"/>
              </w:rPr>
            </w:pPr>
            <w:r>
              <w:rPr>
                <w:color w:val="000000"/>
              </w:rPr>
              <w:t>外科、功能科、住院部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color w:val="000000"/>
              </w:rPr>
            </w:pPr>
            <w:r>
              <w:rPr>
                <w:color w:val="000000"/>
              </w:rPr>
              <w:t>4</w:t>
            </w:r>
          </w:p>
        </w:tc>
        <w:tc>
          <w:tcPr>
            <w:tcW w:w="1273" w:type="dxa"/>
            <w:vAlign w:val="center"/>
          </w:tcPr>
          <w:p>
            <w:pPr>
              <w:adjustRightInd w:val="0"/>
              <w:snapToGrid w:val="0"/>
              <w:jc w:val="center"/>
              <w:rPr>
                <w:color w:val="000000"/>
              </w:rPr>
            </w:pPr>
            <w:r>
              <w:rPr>
                <w:color w:val="000000"/>
              </w:rPr>
              <w:t>四层</w:t>
            </w:r>
          </w:p>
        </w:tc>
        <w:tc>
          <w:tcPr>
            <w:tcW w:w="6677" w:type="dxa"/>
            <w:vAlign w:val="center"/>
          </w:tcPr>
          <w:p>
            <w:pPr>
              <w:widowControl/>
              <w:adjustRightInd w:val="0"/>
              <w:snapToGrid w:val="0"/>
              <w:jc w:val="center"/>
              <w:textAlignment w:val="center"/>
              <w:rPr>
                <w:color w:val="000000"/>
              </w:rPr>
            </w:pPr>
            <w:r>
              <w:rPr>
                <w:color w:val="000000"/>
              </w:rPr>
              <w:t>内科、口腔科、胃镜室、五官科、碎石科、住院部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color w:val="000000"/>
              </w:rPr>
            </w:pPr>
            <w:r>
              <w:rPr>
                <w:color w:val="000000"/>
              </w:rPr>
              <w:t>5</w:t>
            </w:r>
          </w:p>
        </w:tc>
        <w:tc>
          <w:tcPr>
            <w:tcW w:w="1273" w:type="dxa"/>
            <w:vAlign w:val="center"/>
          </w:tcPr>
          <w:p>
            <w:pPr>
              <w:adjustRightInd w:val="0"/>
              <w:snapToGrid w:val="0"/>
              <w:jc w:val="center"/>
              <w:rPr>
                <w:color w:val="000000"/>
              </w:rPr>
            </w:pPr>
            <w:r>
              <w:rPr>
                <w:color w:val="000000"/>
              </w:rPr>
              <w:t>五层</w:t>
            </w:r>
          </w:p>
        </w:tc>
        <w:tc>
          <w:tcPr>
            <w:tcW w:w="6677" w:type="dxa"/>
            <w:vAlign w:val="center"/>
          </w:tcPr>
          <w:p>
            <w:pPr>
              <w:widowControl/>
              <w:adjustRightInd w:val="0"/>
              <w:snapToGrid w:val="0"/>
              <w:jc w:val="center"/>
              <w:textAlignment w:val="center"/>
              <w:rPr>
                <w:color w:val="000000"/>
              </w:rPr>
            </w:pPr>
            <w:r>
              <w:rPr>
                <w:color w:val="000000"/>
              </w:rPr>
              <w:t>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color w:val="000000"/>
              </w:rPr>
            </w:pPr>
            <w:r>
              <w:rPr>
                <w:color w:val="000000"/>
              </w:rPr>
              <w:t>6</w:t>
            </w:r>
          </w:p>
        </w:tc>
        <w:tc>
          <w:tcPr>
            <w:tcW w:w="1273" w:type="dxa"/>
            <w:vAlign w:val="center"/>
          </w:tcPr>
          <w:p>
            <w:pPr>
              <w:adjustRightInd w:val="0"/>
              <w:snapToGrid w:val="0"/>
              <w:jc w:val="center"/>
              <w:rPr>
                <w:color w:val="000000"/>
              </w:rPr>
            </w:pPr>
            <w:r>
              <w:rPr>
                <w:color w:val="000000"/>
              </w:rPr>
              <w:t>六层</w:t>
            </w:r>
          </w:p>
        </w:tc>
        <w:tc>
          <w:tcPr>
            <w:tcW w:w="6677" w:type="dxa"/>
            <w:vAlign w:val="center"/>
          </w:tcPr>
          <w:p>
            <w:pPr>
              <w:widowControl/>
              <w:adjustRightInd w:val="0"/>
              <w:snapToGrid w:val="0"/>
              <w:jc w:val="center"/>
              <w:textAlignment w:val="center"/>
              <w:rPr>
                <w:color w:val="000000"/>
                <w:kern w:val="0"/>
                <w:szCs w:val="21"/>
              </w:rPr>
            </w:pPr>
            <w:r>
              <w:rPr>
                <w:color w:val="000000"/>
                <w:kern w:val="0"/>
                <w:szCs w:val="21"/>
              </w:rPr>
              <w:t>会议室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9" w:type="dxa"/>
            <w:vAlign w:val="center"/>
          </w:tcPr>
          <w:p>
            <w:pPr>
              <w:adjustRightInd w:val="0"/>
              <w:snapToGrid w:val="0"/>
              <w:jc w:val="center"/>
              <w:rPr>
                <w:color w:val="000000"/>
              </w:rPr>
            </w:pPr>
            <w:r>
              <w:rPr>
                <w:color w:val="000000"/>
              </w:rPr>
              <w:t>7</w:t>
            </w:r>
          </w:p>
        </w:tc>
        <w:tc>
          <w:tcPr>
            <w:tcW w:w="1273" w:type="dxa"/>
            <w:vAlign w:val="center"/>
          </w:tcPr>
          <w:p>
            <w:pPr>
              <w:adjustRightInd w:val="0"/>
              <w:snapToGrid w:val="0"/>
              <w:jc w:val="center"/>
              <w:rPr>
                <w:color w:val="000000"/>
              </w:rPr>
            </w:pPr>
            <w:r>
              <w:rPr>
                <w:color w:val="000000"/>
              </w:rPr>
              <w:t>七层</w:t>
            </w:r>
          </w:p>
        </w:tc>
        <w:tc>
          <w:tcPr>
            <w:tcW w:w="6677" w:type="dxa"/>
            <w:vAlign w:val="center"/>
          </w:tcPr>
          <w:p>
            <w:pPr>
              <w:widowControl/>
              <w:adjustRightInd w:val="0"/>
              <w:snapToGrid w:val="0"/>
              <w:jc w:val="center"/>
              <w:textAlignment w:val="center"/>
              <w:rPr>
                <w:color w:val="000000"/>
                <w:kern w:val="0"/>
                <w:szCs w:val="21"/>
              </w:rPr>
            </w:pPr>
            <w:r>
              <w:rPr>
                <w:color w:val="000000"/>
                <w:kern w:val="0"/>
                <w:szCs w:val="21"/>
              </w:rPr>
              <w:t>手术室</w:t>
            </w:r>
          </w:p>
        </w:tc>
      </w:tr>
    </w:tbl>
    <w:p>
      <w:pPr>
        <w:adjustRightInd w:val="0"/>
        <w:snapToGrid w:val="0"/>
        <w:spacing w:line="360" w:lineRule="auto"/>
        <w:jc w:val="center"/>
        <w:rPr>
          <w:b/>
          <w:sz w:val="24"/>
        </w:rPr>
      </w:pPr>
      <w:r>
        <w:rPr>
          <w:b/>
          <w:sz w:val="24"/>
        </w:rPr>
        <w:t>3.1-4现有项目环保设备</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315"/>
        <w:gridCol w:w="67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75" w:type="dxa"/>
            <w:vAlign w:val="center"/>
          </w:tcPr>
          <w:p>
            <w:pPr>
              <w:snapToGrid w:val="0"/>
              <w:jc w:val="center"/>
              <w:rPr>
                <w:rFonts w:eastAsiaTheme="minorEastAsia"/>
                <w:b/>
                <w:szCs w:val="21"/>
              </w:rPr>
            </w:pPr>
            <w:r>
              <w:rPr>
                <w:rFonts w:eastAsiaTheme="minorEastAsia"/>
                <w:b/>
                <w:szCs w:val="21"/>
              </w:rPr>
              <w:t>工程分类</w:t>
            </w:r>
          </w:p>
        </w:tc>
        <w:tc>
          <w:tcPr>
            <w:tcW w:w="7853" w:type="dxa"/>
            <w:gridSpan w:val="2"/>
            <w:vAlign w:val="center"/>
          </w:tcPr>
          <w:p>
            <w:pPr>
              <w:snapToGrid w:val="0"/>
              <w:jc w:val="center"/>
              <w:rPr>
                <w:rFonts w:eastAsiaTheme="minorEastAsia"/>
                <w:b/>
                <w:szCs w:val="21"/>
              </w:rPr>
            </w:pPr>
            <w:r>
              <w:rPr>
                <w:rFonts w:eastAsiaTheme="minorEastAsia"/>
                <w:b/>
                <w:szCs w:val="21"/>
              </w:rPr>
              <w:t>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Merge w:val="restart"/>
            <w:vAlign w:val="center"/>
          </w:tcPr>
          <w:p>
            <w:pPr>
              <w:snapToGrid w:val="0"/>
              <w:jc w:val="center"/>
              <w:rPr>
                <w:rFonts w:eastAsiaTheme="minorEastAsia"/>
                <w:szCs w:val="21"/>
              </w:rPr>
            </w:pPr>
            <w:r>
              <w:rPr>
                <w:rFonts w:eastAsiaTheme="minorEastAsia"/>
                <w:szCs w:val="21"/>
              </w:rPr>
              <w:t>环保工程</w:t>
            </w:r>
          </w:p>
        </w:tc>
        <w:tc>
          <w:tcPr>
            <w:tcW w:w="1276" w:type="dxa"/>
            <w:tcBorders>
              <w:right w:val="single" w:color="auto" w:sz="4" w:space="0"/>
            </w:tcBorders>
            <w:vAlign w:val="center"/>
          </w:tcPr>
          <w:p>
            <w:pPr>
              <w:snapToGrid w:val="0"/>
              <w:jc w:val="center"/>
              <w:rPr>
                <w:rFonts w:eastAsiaTheme="minorEastAsia"/>
                <w:szCs w:val="21"/>
              </w:rPr>
            </w:pPr>
            <w:r>
              <w:rPr>
                <w:rFonts w:eastAsiaTheme="minorEastAsia"/>
                <w:szCs w:val="21"/>
              </w:rPr>
              <w:t>污水处理站</w:t>
            </w:r>
          </w:p>
        </w:tc>
        <w:tc>
          <w:tcPr>
            <w:tcW w:w="6577" w:type="dxa"/>
            <w:tcBorders>
              <w:left w:val="single" w:color="auto" w:sz="4" w:space="0"/>
            </w:tcBorders>
            <w:vAlign w:val="center"/>
          </w:tcPr>
          <w:p>
            <w:pPr>
              <w:snapToGrid w:val="0"/>
              <w:jc w:val="center"/>
              <w:rPr>
                <w:rFonts w:eastAsiaTheme="minorEastAsia"/>
                <w:szCs w:val="21"/>
              </w:rPr>
            </w:pPr>
            <w:r>
              <w:rPr>
                <w:rFonts w:eastAsiaTheme="minorEastAsia"/>
                <w:szCs w:val="21"/>
              </w:rPr>
              <w:t>现湘阴县中医院污水处理站位于于医院东南角落处，与住院大楼有10m的间隔。</w:t>
            </w:r>
          </w:p>
          <w:p>
            <w:pPr>
              <w:snapToGrid w:val="0"/>
              <w:jc w:val="center"/>
              <w:rPr>
                <w:rFonts w:eastAsiaTheme="minorEastAsia"/>
                <w:szCs w:val="21"/>
              </w:rPr>
            </w:pPr>
            <w:r>
              <w:rPr>
                <w:rFonts w:eastAsiaTheme="minorEastAsia"/>
                <w:szCs w:val="21"/>
              </w:rPr>
              <w:t>污水处理站设计规模为100t/d，工艺流程为：化粪池出水→格栅井→调节池→水解酸化池→接触氧化池→二沉池→二氧化氯接触消毒。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napToGrid w:val="0"/>
              <w:jc w:val="center"/>
              <w:rPr>
                <w:rFonts w:eastAsiaTheme="minorEastAsia"/>
                <w:szCs w:val="21"/>
              </w:rPr>
            </w:pPr>
          </w:p>
        </w:tc>
        <w:tc>
          <w:tcPr>
            <w:tcW w:w="1276" w:type="dxa"/>
            <w:tcBorders>
              <w:right w:val="single" w:color="auto" w:sz="4" w:space="0"/>
            </w:tcBorders>
            <w:vAlign w:val="center"/>
          </w:tcPr>
          <w:p>
            <w:pPr>
              <w:snapToGrid w:val="0"/>
              <w:jc w:val="center"/>
              <w:rPr>
                <w:rFonts w:eastAsiaTheme="minorEastAsia"/>
                <w:szCs w:val="21"/>
              </w:rPr>
            </w:pPr>
            <w:r>
              <w:rPr>
                <w:rFonts w:eastAsiaTheme="minorEastAsia"/>
                <w:szCs w:val="21"/>
              </w:rPr>
              <w:t>医疗废物暂存间</w:t>
            </w:r>
          </w:p>
        </w:tc>
        <w:tc>
          <w:tcPr>
            <w:tcW w:w="6577" w:type="dxa"/>
            <w:tcBorders>
              <w:left w:val="single" w:color="auto" w:sz="4" w:space="0"/>
            </w:tcBorders>
            <w:vAlign w:val="center"/>
          </w:tcPr>
          <w:p>
            <w:pPr>
              <w:snapToGrid w:val="0"/>
              <w:jc w:val="center"/>
              <w:rPr>
                <w:rFonts w:eastAsiaTheme="minorEastAsia"/>
                <w:szCs w:val="21"/>
              </w:rPr>
            </w:pPr>
            <w:r>
              <w:rPr>
                <w:rFonts w:eastAsiaTheme="minorEastAsia"/>
                <w:szCs w:val="21"/>
              </w:rPr>
              <w:t>设置有一座约50m</w:t>
            </w:r>
            <w:r>
              <w:rPr>
                <w:rFonts w:eastAsiaTheme="minorEastAsia"/>
                <w:szCs w:val="21"/>
                <w:vertAlign w:val="superscript"/>
              </w:rPr>
              <w:t>2</w:t>
            </w:r>
            <w:r>
              <w:rPr>
                <w:rFonts w:eastAsiaTheme="minorEastAsia"/>
                <w:szCs w:val="21"/>
              </w:rPr>
              <w:t>的医疗废物暂存间，位于现有医院东北部。由湘阴县卫生局指定的岳阳市方向固废安全处置中心定期收集处置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Merge w:val="continue"/>
            <w:vAlign w:val="center"/>
          </w:tcPr>
          <w:p>
            <w:pPr>
              <w:snapToGrid w:val="0"/>
              <w:jc w:val="center"/>
              <w:rPr>
                <w:rFonts w:eastAsiaTheme="minorEastAsia"/>
                <w:szCs w:val="21"/>
              </w:rPr>
            </w:pPr>
          </w:p>
        </w:tc>
        <w:tc>
          <w:tcPr>
            <w:tcW w:w="1276" w:type="dxa"/>
            <w:tcBorders>
              <w:right w:val="single" w:color="auto" w:sz="4" w:space="0"/>
            </w:tcBorders>
            <w:vAlign w:val="center"/>
          </w:tcPr>
          <w:p>
            <w:pPr>
              <w:snapToGrid w:val="0"/>
              <w:jc w:val="center"/>
              <w:rPr>
                <w:rFonts w:eastAsiaTheme="minorEastAsia"/>
                <w:szCs w:val="21"/>
              </w:rPr>
            </w:pPr>
            <w:r>
              <w:rPr>
                <w:rFonts w:eastAsiaTheme="minorEastAsia"/>
                <w:szCs w:val="21"/>
              </w:rPr>
              <w:t>生活垃圾暂存间</w:t>
            </w:r>
          </w:p>
        </w:tc>
        <w:tc>
          <w:tcPr>
            <w:tcW w:w="6577" w:type="dxa"/>
            <w:tcBorders>
              <w:left w:val="single" w:color="auto" w:sz="4" w:space="0"/>
            </w:tcBorders>
            <w:vAlign w:val="center"/>
          </w:tcPr>
          <w:p>
            <w:pPr>
              <w:snapToGrid w:val="0"/>
              <w:jc w:val="center"/>
              <w:rPr>
                <w:rFonts w:eastAsiaTheme="minorEastAsia"/>
                <w:szCs w:val="21"/>
              </w:rPr>
            </w:pPr>
            <w:r>
              <w:rPr>
                <w:rFonts w:eastAsiaTheme="minorEastAsia"/>
                <w:szCs w:val="21"/>
              </w:rPr>
              <w:t>设置有一座约100m</w:t>
            </w:r>
            <w:r>
              <w:rPr>
                <w:rFonts w:eastAsiaTheme="minorEastAsia"/>
                <w:szCs w:val="21"/>
                <w:vertAlign w:val="superscript"/>
              </w:rPr>
              <w:t>2</w:t>
            </w:r>
            <w:r>
              <w:rPr>
                <w:rFonts w:eastAsiaTheme="minorEastAsia"/>
                <w:szCs w:val="21"/>
              </w:rPr>
              <w:t>的生活垃圾暂存间，位于现有医院东北部。暂存后交由环卫部分清运</w:t>
            </w:r>
          </w:p>
        </w:tc>
      </w:tr>
    </w:tbl>
    <w:p>
      <w:pPr>
        <w:pStyle w:val="45"/>
        <w:snapToGrid w:val="0"/>
        <w:spacing w:line="360" w:lineRule="auto"/>
        <w:ind w:left="0" w:leftChars="0" w:firstLine="480" w:firstLineChars="200"/>
        <w:rPr>
          <w:rFonts w:eastAsiaTheme="minorEastAsia"/>
          <w:sz w:val="24"/>
        </w:rPr>
      </w:pPr>
      <w:r>
        <w:rPr>
          <w:rFonts w:eastAsiaTheme="minorEastAsia"/>
          <w:sz w:val="24"/>
        </w:rPr>
        <w:t>本项目具体技术经济指标一览表2.2-4。</w:t>
      </w:r>
    </w:p>
    <w:p>
      <w:pPr>
        <w:pStyle w:val="45"/>
        <w:snapToGrid w:val="0"/>
        <w:spacing w:line="360" w:lineRule="auto"/>
        <w:ind w:left="0" w:leftChars="0"/>
        <w:jc w:val="center"/>
        <w:rPr>
          <w:rFonts w:eastAsiaTheme="minorEastAsia"/>
          <w:b/>
          <w:bCs/>
          <w:sz w:val="24"/>
        </w:rPr>
      </w:pPr>
      <w:r>
        <w:rPr>
          <w:rFonts w:eastAsiaTheme="minorEastAsia"/>
          <w:b/>
          <w:bCs/>
          <w:sz w:val="24"/>
        </w:rPr>
        <w:t>表3.1-4  项目技术经济指标一览表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6"/>
        <w:gridCol w:w="3479"/>
        <w:gridCol w:w="1574"/>
        <w:gridCol w:w="28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6" w:type="dxa"/>
            <w:vAlign w:val="center"/>
          </w:tcPr>
          <w:p>
            <w:pPr>
              <w:snapToGrid w:val="0"/>
              <w:jc w:val="center"/>
              <w:rPr>
                <w:b/>
                <w:bCs/>
                <w:sz w:val="24"/>
              </w:rPr>
            </w:pPr>
            <w:r>
              <w:rPr>
                <w:b/>
                <w:bCs/>
                <w:kern w:val="0"/>
                <w:szCs w:val="21"/>
              </w:rPr>
              <w:t>序号</w:t>
            </w:r>
          </w:p>
        </w:tc>
        <w:tc>
          <w:tcPr>
            <w:tcW w:w="3479" w:type="dxa"/>
            <w:vAlign w:val="center"/>
          </w:tcPr>
          <w:p>
            <w:pPr>
              <w:snapToGrid w:val="0"/>
              <w:jc w:val="center"/>
              <w:rPr>
                <w:b/>
                <w:bCs/>
                <w:sz w:val="24"/>
              </w:rPr>
            </w:pPr>
            <w:r>
              <w:rPr>
                <w:b/>
                <w:bCs/>
                <w:kern w:val="0"/>
                <w:szCs w:val="21"/>
              </w:rPr>
              <w:t>指标</w:t>
            </w:r>
          </w:p>
        </w:tc>
        <w:tc>
          <w:tcPr>
            <w:tcW w:w="1574" w:type="dxa"/>
            <w:vAlign w:val="center"/>
          </w:tcPr>
          <w:p>
            <w:pPr>
              <w:snapToGrid w:val="0"/>
              <w:jc w:val="center"/>
              <w:rPr>
                <w:b/>
                <w:bCs/>
                <w:sz w:val="24"/>
              </w:rPr>
            </w:pPr>
            <w:r>
              <w:rPr>
                <w:b/>
                <w:bCs/>
                <w:kern w:val="0"/>
                <w:szCs w:val="21"/>
              </w:rPr>
              <w:t>名称单位</w:t>
            </w:r>
          </w:p>
        </w:tc>
        <w:tc>
          <w:tcPr>
            <w:tcW w:w="2880" w:type="dxa"/>
            <w:vAlign w:val="center"/>
          </w:tcPr>
          <w:p>
            <w:pPr>
              <w:snapToGrid w:val="0"/>
              <w:jc w:val="center"/>
              <w:rPr>
                <w:b/>
                <w:bCs/>
                <w:sz w:val="24"/>
              </w:rPr>
            </w:pPr>
            <w:r>
              <w:rPr>
                <w:b/>
                <w:bCs/>
                <w:kern w:val="0"/>
                <w:szCs w:val="21"/>
              </w:rPr>
              <w:t>项目指标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6" w:type="dxa"/>
            <w:vAlign w:val="center"/>
          </w:tcPr>
          <w:p>
            <w:pPr>
              <w:snapToGrid w:val="0"/>
              <w:jc w:val="center"/>
              <w:rPr>
                <w:b/>
                <w:sz w:val="24"/>
              </w:rPr>
            </w:pPr>
            <w:r>
              <w:rPr>
                <w:kern w:val="0"/>
                <w:szCs w:val="21"/>
              </w:rPr>
              <w:t>1</w:t>
            </w:r>
          </w:p>
        </w:tc>
        <w:tc>
          <w:tcPr>
            <w:tcW w:w="3479" w:type="dxa"/>
            <w:vAlign w:val="center"/>
          </w:tcPr>
          <w:p>
            <w:pPr>
              <w:snapToGrid w:val="0"/>
              <w:jc w:val="center"/>
              <w:rPr>
                <w:kern w:val="0"/>
                <w:szCs w:val="21"/>
              </w:rPr>
            </w:pPr>
            <w:r>
              <w:rPr>
                <w:kern w:val="0"/>
                <w:szCs w:val="21"/>
              </w:rPr>
              <w:t>床位数</w:t>
            </w:r>
          </w:p>
        </w:tc>
        <w:tc>
          <w:tcPr>
            <w:tcW w:w="1574" w:type="dxa"/>
            <w:vAlign w:val="center"/>
          </w:tcPr>
          <w:p>
            <w:pPr>
              <w:snapToGrid w:val="0"/>
              <w:jc w:val="center"/>
              <w:rPr>
                <w:b/>
                <w:sz w:val="24"/>
              </w:rPr>
            </w:pPr>
            <w:r>
              <w:rPr>
                <w:kern w:val="0"/>
                <w:szCs w:val="21"/>
              </w:rPr>
              <w:t>张</w:t>
            </w:r>
          </w:p>
        </w:tc>
        <w:tc>
          <w:tcPr>
            <w:tcW w:w="2880" w:type="dxa"/>
            <w:vAlign w:val="center"/>
          </w:tcPr>
          <w:p>
            <w:pPr>
              <w:snapToGrid w:val="0"/>
              <w:jc w:val="center"/>
              <w:rPr>
                <w:szCs w:val="21"/>
              </w:rPr>
            </w:pPr>
            <w:r>
              <w:rPr>
                <w:rFonts w:hint="eastAsia"/>
                <w:szCs w:val="21"/>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6" w:type="dxa"/>
            <w:vAlign w:val="center"/>
          </w:tcPr>
          <w:p>
            <w:pPr>
              <w:snapToGrid w:val="0"/>
              <w:jc w:val="center"/>
              <w:rPr>
                <w:kern w:val="0"/>
                <w:szCs w:val="21"/>
              </w:rPr>
            </w:pPr>
            <w:r>
              <w:rPr>
                <w:kern w:val="0"/>
                <w:szCs w:val="21"/>
              </w:rPr>
              <w:t>2</w:t>
            </w:r>
          </w:p>
        </w:tc>
        <w:tc>
          <w:tcPr>
            <w:tcW w:w="3479" w:type="dxa"/>
            <w:vAlign w:val="center"/>
          </w:tcPr>
          <w:p>
            <w:pPr>
              <w:snapToGrid w:val="0"/>
              <w:jc w:val="center"/>
              <w:rPr>
                <w:kern w:val="0"/>
                <w:szCs w:val="21"/>
              </w:rPr>
            </w:pPr>
            <w:r>
              <w:rPr>
                <w:kern w:val="0"/>
                <w:szCs w:val="21"/>
              </w:rPr>
              <w:t>年工作日</w:t>
            </w:r>
          </w:p>
        </w:tc>
        <w:tc>
          <w:tcPr>
            <w:tcW w:w="1574" w:type="dxa"/>
            <w:vAlign w:val="center"/>
          </w:tcPr>
          <w:p>
            <w:pPr>
              <w:snapToGrid w:val="0"/>
              <w:jc w:val="center"/>
              <w:rPr>
                <w:b/>
                <w:sz w:val="24"/>
              </w:rPr>
            </w:pPr>
            <w:r>
              <w:rPr>
                <w:kern w:val="0"/>
                <w:szCs w:val="21"/>
              </w:rPr>
              <w:t>日</w:t>
            </w:r>
          </w:p>
        </w:tc>
        <w:tc>
          <w:tcPr>
            <w:tcW w:w="2880" w:type="dxa"/>
            <w:vAlign w:val="center"/>
          </w:tcPr>
          <w:p>
            <w:pPr>
              <w:snapToGrid w:val="0"/>
              <w:jc w:val="center"/>
              <w:rPr>
                <w:b/>
                <w:sz w:val="24"/>
              </w:rPr>
            </w:pPr>
            <w:r>
              <w:rPr>
                <w:kern w:val="0"/>
                <w:szCs w:val="21"/>
              </w:rPr>
              <w:t>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6" w:type="dxa"/>
            <w:vAlign w:val="center"/>
          </w:tcPr>
          <w:p>
            <w:pPr>
              <w:snapToGrid w:val="0"/>
              <w:jc w:val="center"/>
              <w:rPr>
                <w:kern w:val="0"/>
                <w:szCs w:val="21"/>
              </w:rPr>
            </w:pPr>
            <w:r>
              <w:rPr>
                <w:kern w:val="0"/>
                <w:szCs w:val="21"/>
              </w:rPr>
              <w:t>3</w:t>
            </w:r>
          </w:p>
        </w:tc>
        <w:tc>
          <w:tcPr>
            <w:tcW w:w="3479" w:type="dxa"/>
            <w:vAlign w:val="center"/>
          </w:tcPr>
          <w:p>
            <w:pPr>
              <w:snapToGrid w:val="0"/>
              <w:jc w:val="center"/>
              <w:rPr>
                <w:kern w:val="0"/>
                <w:szCs w:val="21"/>
              </w:rPr>
            </w:pPr>
            <w:r>
              <w:rPr>
                <w:kern w:val="0"/>
                <w:szCs w:val="21"/>
              </w:rPr>
              <w:t>总建筑面积</w:t>
            </w:r>
          </w:p>
        </w:tc>
        <w:tc>
          <w:tcPr>
            <w:tcW w:w="1574" w:type="dxa"/>
            <w:vAlign w:val="center"/>
          </w:tcPr>
          <w:p>
            <w:pPr>
              <w:snapToGrid w:val="0"/>
              <w:jc w:val="center"/>
              <w:rPr>
                <w:b/>
                <w:sz w:val="24"/>
              </w:rPr>
            </w:pPr>
            <w:r>
              <w:rPr>
                <w:kern w:val="0"/>
                <w:szCs w:val="21"/>
              </w:rPr>
              <w:t>m</w:t>
            </w:r>
            <w:r>
              <w:rPr>
                <w:kern w:val="0"/>
                <w:szCs w:val="21"/>
                <w:vertAlign w:val="superscript"/>
              </w:rPr>
              <w:t>2</w:t>
            </w:r>
          </w:p>
        </w:tc>
        <w:tc>
          <w:tcPr>
            <w:tcW w:w="2880" w:type="dxa"/>
            <w:vAlign w:val="center"/>
          </w:tcPr>
          <w:p>
            <w:pPr>
              <w:snapToGrid w:val="0"/>
              <w:jc w:val="center"/>
              <w:rPr>
                <w:kern w:val="0"/>
                <w:szCs w:val="21"/>
              </w:rPr>
            </w:pPr>
            <w:r>
              <w:rPr>
                <w:kern w:val="0"/>
                <w:szCs w:val="21"/>
              </w:rPr>
              <w:t>14000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56" w:type="dxa"/>
            <w:vAlign w:val="center"/>
          </w:tcPr>
          <w:p>
            <w:pPr>
              <w:snapToGrid w:val="0"/>
              <w:jc w:val="center"/>
              <w:rPr>
                <w:kern w:val="0"/>
                <w:szCs w:val="21"/>
              </w:rPr>
            </w:pPr>
            <w:r>
              <w:rPr>
                <w:kern w:val="0"/>
                <w:szCs w:val="21"/>
              </w:rPr>
              <w:t>4</w:t>
            </w:r>
          </w:p>
        </w:tc>
        <w:tc>
          <w:tcPr>
            <w:tcW w:w="3479" w:type="dxa"/>
            <w:vAlign w:val="center"/>
          </w:tcPr>
          <w:p>
            <w:pPr>
              <w:snapToGrid w:val="0"/>
              <w:jc w:val="center"/>
              <w:rPr>
                <w:kern w:val="0"/>
                <w:szCs w:val="21"/>
              </w:rPr>
            </w:pPr>
            <w:r>
              <w:rPr>
                <w:kern w:val="0"/>
                <w:szCs w:val="21"/>
              </w:rPr>
              <w:t>占地面积</w:t>
            </w:r>
          </w:p>
        </w:tc>
        <w:tc>
          <w:tcPr>
            <w:tcW w:w="1574" w:type="dxa"/>
            <w:vAlign w:val="center"/>
          </w:tcPr>
          <w:p>
            <w:pPr>
              <w:snapToGrid w:val="0"/>
              <w:jc w:val="center"/>
              <w:rPr>
                <w:b/>
                <w:sz w:val="24"/>
              </w:rPr>
            </w:pPr>
            <w:r>
              <w:rPr>
                <w:kern w:val="0"/>
                <w:szCs w:val="21"/>
              </w:rPr>
              <w:t>m</w:t>
            </w:r>
            <w:r>
              <w:rPr>
                <w:kern w:val="0"/>
                <w:szCs w:val="21"/>
                <w:vertAlign w:val="superscript"/>
              </w:rPr>
              <w:t>2</w:t>
            </w:r>
          </w:p>
        </w:tc>
        <w:tc>
          <w:tcPr>
            <w:tcW w:w="2880" w:type="dxa"/>
            <w:vAlign w:val="center"/>
          </w:tcPr>
          <w:p>
            <w:pPr>
              <w:snapToGrid w:val="0"/>
              <w:jc w:val="center"/>
              <w:rPr>
                <w:kern w:val="0"/>
                <w:szCs w:val="21"/>
              </w:rPr>
            </w:pPr>
            <w:r>
              <w:rPr>
                <w:kern w:val="0"/>
                <w:szCs w:val="21"/>
              </w:rPr>
              <w:t>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6" w:type="dxa"/>
            <w:vAlign w:val="center"/>
          </w:tcPr>
          <w:p>
            <w:pPr>
              <w:snapToGrid w:val="0"/>
              <w:jc w:val="center"/>
              <w:rPr>
                <w:kern w:val="0"/>
                <w:szCs w:val="21"/>
              </w:rPr>
            </w:pPr>
            <w:r>
              <w:rPr>
                <w:kern w:val="0"/>
                <w:szCs w:val="21"/>
              </w:rPr>
              <w:t>5</w:t>
            </w:r>
          </w:p>
        </w:tc>
        <w:tc>
          <w:tcPr>
            <w:tcW w:w="3479" w:type="dxa"/>
            <w:vAlign w:val="center"/>
          </w:tcPr>
          <w:p>
            <w:pPr>
              <w:snapToGrid w:val="0"/>
              <w:jc w:val="center"/>
              <w:rPr>
                <w:kern w:val="0"/>
                <w:szCs w:val="21"/>
              </w:rPr>
            </w:pPr>
            <w:r>
              <w:rPr>
                <w:kern w:val="0"/>
                <w:szCs w:val="21"/>
              </w:rPr>
              <w:t>定员</w:t>
            </w:r>
          </w:p>
        </w:tc>
        <w:tc>
          <w:tcPr>
            <w:tcW w:w="1574" w:type="dxa"/>
            <w:vAlign w:val="center"/>
          </w:tcPr>
          <w:p>
            <w:pPr>
              <w:snapToGrid w:val="0"/>
              <w:jc w:val="center"/>
              <w:rPr>
                <w:kern w:val="0"/>
                <w:szCs w:val="21"/>
              </w:rPr>
            </w:pPr>
            <w:r>
              <w:rPr>
                <w:kern w:val="0"/>
                <w:szCs w:val="21"/>
              </w:rPr>
              <w:t>人</w:t>
            </w:r>
          </w:p>
        </w:tc>
        <w:tc>
          <w:tcPr>
            <w:tcW w:w="2880" w:type="dxa"/>
            <w:vAlign w:val="center"/>
          </w:tcPr>
          <w:p>
            <w:pPr>
              <w:snapToGrid w:val="0"/>
              <w:jc w:val="center"/>
              <w:rPr>
                <w:kern w:val="0"/>
                <w:szCs w:val="21"/>
              </w:rPr>
            </w:pPr>
            <w:r>
              <w:rPr>
                <w:kern w:val="0"/>
                <w:szCs w:val="21"/>
              </w:rPr>
              <w:t>270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56" w:type="dxa"/>
            <w:vAlign w:val="center"/>
          </w:tcPr>
          <w:p>
            <w:pPr>
              <w:snapToGrid w:val="0"/>
              <w:jc w:val="center"/>
              <w:rPr>
                <w:kern w:val="0"/>
                <w:szCs w:val="21"/>
              </w:rPr>
            </w:pPr>
            <w:r>
              <w:rPr>
                <w:kern w:val="0"/>
                <w:szCs w:val="21"/>
              </w:rPr>
              <w:t>6</w:t>
            </w:r>
          </w:p>
        </w:tc>
        <w:tc>
          <w:tcPr>
            <w:tcW w:w="3479" w:type="dxa"/>
            <w:vAlign w:val="center"/>
          </w:tcPr>
          <w:p>
            <w:pPr>
              <w:snapToGrid w:val="0"/>
              <w:jc w:val="center"/>
              <w:rPr>
                <w:kern w:val="0"/>
                <w:szCs w:val="21"/>
              </w:rPr>
            </w:pPr>
            <w:r>
              <w:rPr>
                <w:kern w:val="0"/>
                <w:szCs w:val="21"/>
              </w:rPr>
              <w:t>工程总投资</w:t>
            </w:r>
          </w:p>
        </w:tc>
        <w:tc>
          <w:tcPr>
            <w:tcW w:w="1574" w:type="dxa"/>
            <w:vAlign w:val="center"/>
          </w:tcPr>
          <w:p>
            <w:pPr>
              <w:snapToGrid w:val="0"/>
              <w:jc w:val="center"/>
              <w:rPr>
                <w:kern w:val="0"/>
                <w:szCs w:val="21"/>
              </w:rPr>
            </w:pPr>
            <w:r>
              <w:rPr>
                <w:kern w:val="0"/>
                <w:szCs w:val="21"/>
              </w:rPr>
              <w:t>万元</w:t>
            </w:r>
          </w:p>
        </w:tc>
        <w:tc>
          <w:tcPr>
            <w:tcW w:w="2880" w:type="dxa"/>
            <w:vAlign w:val="center"/>
          </w:tcPr>
          <w:p>
            <w:pPr>
              <w:snapToGrid w:val="0"/>
              <w:jc w:val="center"/>
              <w:rPr>
                <w:kern w:val="0"/>
                <w:szCs w:val="21"/>
              </w:rPr>
            </w:pPr>
            <w:r>
              <w:rPr>
                <w:kern w:val="0"/>
                <w:szCs w:val="21"/>
              </w:rPr>
              <w:t>3633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56" w:type="dxa"/>
            <w:vAlign w:val="center"/>
          </w:tcPr>
          <w:p>
            <w:pPr>
              <w:snapToGrid w:val="0"/>
              <w:jc w:val="center"/>
              <w:rPr>
                <w:kern w:val="0"/>
                <w:szCs w:val="21"/>
              </w:rPr>
            </w:pPr>
            <w:r>
              <w:rPr>
                <w:kern w:val="0"/>
                <w:szCs w:val="21"/>
              </w:rPr>
              <w:t>7</w:t>
            </w:r>
          </w:p>
        </w:tc>
        <w:tc>
          <w:tcPr>
            <w:tcW w:w="3479" w:type="dxa"/>
            <w:vAlign w:val="center"/>
          </w:tcPr>
          <w:p>
            <w:pPr>
              <w:snapToGrid w:val="0"/>
              <w:jc w:val="center"/>
              <w:rPr>
                <w:kern w:val="0"/>
                <w:szCs w:val="21"/>
              </w:rPr>
            </w:pPr>
            <w:r>
              <w:rPr>
                <w:kern w:val="0"/>
                <w:szCs w:val="21"/>
              </w:rPr>
              <w:t>环保投资</w:t>
            </w:r>
          </w:p>
        </w:tc>
        <w:tc>
          <w:tcPr>
            <w:tcW w:w="1574" w:type="dxa"/>
            <w:vAlign w:val="center"/>
          </w:tcPr>
          <w:p>
            <w:pPr>
              <w:snapToGrid w:val="0"/>
              <w:jc w:val="center"/>
              <w:rPr>
                <w:kern w:val="0"/>
                <w:szCs w:val="21"/>
              </w:rPr>
            </w:pPr>
            <w:r>
              <w:rPr>
                <w:kern w:val="0"/>
                <w:szCs w:val="21"/>
              </w:rPr>
              <w:t>万元</w:t>
            </w:r>
          </w:p>
        </w:tc>
        <w:tc>
          <w:tcPr>
            <w:tcW w:w="2880" w:type="dxa"/>
            <w:vAlign w:val="center"/>
          </w:tcPr>
          <w:p>
            <w:pPr>
              <w:snapToGrid w:val="0"/>
              <w:jc w:val="center"/>
              <w:rPr>
                <w:kern w:val="0"/>
                <w:szCs w:val="21"/>
              </w:rPr>
            </w:pPr>
            <w:r>
              <w:rPr>
                <w:kern w:val="0"/>
                <w:szCs w:val="21"/>
              </w:rPr>
              <w:t>458</w:t>
            </w:r>
          </w:p>
        </w:tc>
      </w:tr>
    </w:tbl>
    <w:p>
      <w:pPr>
        <w:pStyle w:val="4"/>
        <w:snapToGrid w:val="0"/>
        <w:spacing w:before="0" w:after="0" w:line="360" w:lineRule="auto"/>
        <w:rPr>
          <w:rFonts w:eastAsiaTheme="minorEastAsia"/>
          <w:kern w:val="0"/>
          <w:sz w:val="24"/>
        </w:rPr>
      </w:pPr>
      <w:r>
        <w:rPr>
          <w:rFonts w:eastAsiaTheme="minorEastAsia"/>
          <w:kern w:val="0"/>
          <w:sz w:val="24"/>
        </w:rPr>
        <w:t>3.1.3 现有项目主要设备</w:t>
      </w:r>
    </w:p>
    <w:p>
      <w:pPr>
        <w:pStyle w:val="45"/>
        <w:snapToGrid w:val="0"/>
        <w:spacing w:line="360" w:lineRule="auto"/>
        <w:ind w:left="0" w:leftChars="0" w:firstLine="480" w:firstLineChars="200"/>
        <w:rPr>
          <w:rFonts w:eastAsiaTheme="minorEastAsia"/>
          <w:sz w:val="24"/>
        </w:rPr>
      </w:pPr>
      <w:r>
        <w:rPr>
          <w:rFonts w:eastAsiaTheme="minorEastAsia"/>
          <w:sz w:val="24"/>
        </w:rPr>
        <w:t>现有医院设备统计如下表。</w:t>
      </w:r>
    </w:p>
    <w:p>
      <w:pPr>
        <w:pStyle w:val="45"/>
        <w:snapToGrid w:val="0"/>
        <w:spacing w:line="360" w:lineRule="auto"/>
        <w:ind w:left="0" w:leftChars="0"/>
        <w:jc w:val="center"/>
        <w:rPr>
          <w:rFonts w:eastAsiaTheme="minorEastAsia"/>
          <w:b/>
          <w:bCs/>
          <w:sz w:val="24"/>
        </w:rPr>
      </w:pPr>
      <w:r>
        <w:rPr>
          <w:rFonts w:eastAsiaTheme="minorEastAsia"/>
          <w:b/>
          <w:bCs/>
          <w:sz w:val="24"/>
        </w:rPr>
        <w:t>表3.1-2  现有医院主要设备一览表</w:t>
      </w:r>
    </w:p>
    <w:tbl>
      <w:tblPr>
        <w:tblStyle w:val="79"/>
        <w:tblW w:w="878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892"/>
        <w:gridCol w:w="2389"/>
        <w:gridCol w:w="893"/>
        <w:gridCol w:w="893"/>
        <w:gridCol w:w="1861"/>
        <w:gridCol w:w="186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b/>
                <w:bCs/>
                <w:szCs w:val="21"/>
              </w:rPr>
            </w:pPr>
            <w:r>
              <w:rPr>
                <w:b/>
                <w:bCs/>
                <w:kern w:val="0"/>
                <w:szCs w:val="21"/>
              </w:rPr>
              <w:t>序号</w:t>
            </w:r>
          </w:p>
        </w:tc>
        <w:tc>
          <w:tcPr>
            <w:tcW w:w="2389" w:type="dxa"/>
            <w:shd w:val="clear" w:color="auto" w:fill="FFFFFF"/>
            <w:vAlign w:val="center"/>
          </w:tcPr>
          <w:p>
            <w:pPr>
              <w:widowControl/>
              <w:adjustRightInd w:val="0"/>
              <w:snapToGrid w:val="0"/>
              <w:jc w:val="center"/>
              <w:textAlignment w:val="center"/>
              <w:rPr>
                <w:b/>
                <w:bCs/>
                <w:szCs w:val="21"/>
              </w:rPr>
            </w:pPr>
            <w:r>
              <w:rPr>
                <w:b/>
                <w:bCs/>
                <w:kern w:val="0"/>
                <w:szCs w:val="21"/>
              </w:rPr>
              <w:t>设备名称</w:t>
            </w:r>
          </w:p>
        </w:tc>
        <w:tc>
          <w:tcPr>
            <w:tcW w:w="893" w:type="dxa"/>
            <w:shd w:val="clear" w:color="auto" w:fill="FFFFFF"/>
            <w:vAlign w:val="center"/>
          </w:tcPr>
          <w:p>
            <w:pPr>
              <w:widowControl/>
              <w:adjustRightInd w:val="0"/>
              <w:snapToGrid w:val="0"/>
              <w:jc w:val="center"/>
              <w:textAlignment w:val="center"/>
              <w:rPr>
                <w:b/>
                <w:bCs/>
                <w:szCs w:val="21"/>
              </w:rPr>
            </w:pPr>
            <w:r>
              <w:rPr>
                <w:b/>
                <w:bCs/>
                <w:kern w:val="0"/>
                <w:szCs w:val="21"/>
              </w:rPr>
              <w:t>单位</w:t>
            </w:r>
          </w:p>
        </w:tc>
        <w:tc>
          <w:tcPr>
            <w:tcW w:w="893" w:type="dxa"/>
            <w:shd w:val="clear" w:color="auto" w:fill="FFFFFF"/>
            <w:vAlign w:val="center"/>
          </w:tcPr>
          <w:p>
            <w:pPr>
              <w:widowControl/>
              <w:adjustRightInd w:val="0"/>
              <w:snapToGrid w:val="0"/>
              <w:jc w:val="center"/>
              <w:textAlignment w:val="center"/>
              <w:rPr>
                <w:b/>
                <w:bCs/>
                <w:szCs w:val="21"/>
              </w:rPr>
            </w:pPr>
            <w:r>
              <w:rPr>
                <w:b/>
                <w:bCs/>
                <w:kern w:val="0"/>
                <w:szCs w:val="21"/>
              </w:rPr>
              <w:t>数量</w:t>
            </w:r>
          </w:p>
        </w:tc>
        <w:tc>
          <w:tcPr>
            <w:tcW w:w="1861" w:type="dxa"/>
            <w:shd w:val="clear" w:color="auto" w:fill="FFFFFF"/>
          </w:tcPr>
          <w:p>
            <w:pPr>
              <w:widowControl/>
              <w:adjustRightInd w:val="0"/>
              <w:snapToGrid w:val="0"/>
              <w:jc w:val="center"/>
              <w:textAlignment w:val="center"/>
              <w:rPr>
                <w:b/>
                <w:bCs/>
                <w:kern w:val="0"/>
                <w:szCs w:val="21"/>
              </w:rPr>
            </w:pPr>
            <w:r>
              <w:rPr>
                <w:rFonts w:hint="eastAsia"/>
                <w:b/>
                <w:bCs/>
                <w:kern w:val="0"/>
                <w:szCs w:val="21"/>
              </w:rPr>
              <w:t>型号</w:t>
            </w:r>
          </w:p>
        </w:tc>
        <w:tc>
          <w:tcPr>
            <w:tcW w:w="1861" w:type="dxa"/>
            <w:shd w:val="clear" w:color="auto" w:fill="FFFFFF"/>
            <w:vAlign w:val="center"/>
          </w:tcPr>
          <w:p>
            <w:pPr>
              <w:widowControl/>
              <w:adjustRightInd w:val="0"/>
              <w:snapToGrid w:val="0"/>
              <w:jc w:val="center"/>
              <w:textAlignment w:val="center"/>
              <w:rPr>
                <w:b/>
                <w:bCs/>
                <w:szCs w:val="21"/>
              </w:rPr>
            </w:pPr>
            <w:r>
              <w:rPr>
                <w:b/>
                <w:bCs/>
                <w:kern w:val="0"/>
                <w:szCs w:val="21"/>
              </w:rPr>
              <w:t>使用部门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w:t>
            </w:r>
          </w:p>
        </w:tc>
        <w:tc>
          <w:tcPr>
            <w:tcW w:w="2389" w:type="dxa"/>
            <w:shd w:val="clear" w:color="auto" w:fill="FFFFFF"/>
            <w:vAlign w:val="center"/>
          </w:tcPr>
          <w:p>
            <w:pPr>
              <w:widowControl/>
              <w:adjustRightInd w:val="0"/>
              <w:snapToGrid w:val="0"/>
              <w:jc w:val="center"/>
              <w:textAlignment w:val="center"/>
              <w:rPr>
                <w:szCs w:val="21"/>
              </w:rPr>
            </w:pPr>
            <w:r>
              <w:rPr>
                <w:kern w:val="0"/>
                <w:szCs w:val="21"/>
              </w:rPr>
              <w:t>300微安X光机</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color w:val="333333"/>
                <w:sz w:val="20"/>
                <w:szCs w:val="20"/>
                <w:u w:val="single"/>
                <w:shd w:val="clear" w:color="auto" w:fill="FFFFFF"/>
              </w:rPr>
              <w:t>KVP mA Sec</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放射科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2</w:t>
            </w:r>
          </w:p>
        </w:tc>
        <w:tc>
          <w:tcPr>
            <w:tcW w:w="2389" w:type="dxa"/>
            <w:shd w:val="clear" w:color="auto" w:fill="FFFFFF"/>
            <w:vAlign w:val="center"/>
          </w:tcPr>
          <w:p>
            <w:pPr>
              <w:widowControl/>
              <w:adjustRightInd w:val="0"/>
              <w:snapToGrid w:val="0"/>
              <w:jc w:val="center"/>
              <w:textAlignment w:val="center"/>
              <w:rPr>
                <w:szCs w:val="21"/>
              </w:rPr>
            </w:pPr>
            <w:r>
              <w:rPr>
                <w:kern w:val="0"/>
                <w:szCs w:val="21"/>
              </w:rPr>
              <w:t>电子阴道镜</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KD-9122</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妇科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3</w:t>
            </w:r>
          </w:p>
        </w:tc>
        <w:tc>
          <w:tcPr>
            <w:tcW w:w="2389" w:type="dxa"/>
            <w:shd w:val="clear" w:color="auto" w:fill="FFFFFF"/>
            <w:vAlign w:val="center"/>
          </w:tcPr>
          <w:p>
            <w:pPr>
              <w:widowControl/>
              <w:adjustRightInd w:val="0"/>
              <w:snapToGrid w:val="0"/>
              <w:jc w:val="center"/>
              <w:textAlignment w:val="center"/>
              <w:rPr>
                <w:szCs w:val="21"/>
              </w:rPr>
            </w:pPr>
            <w:r>
              <w:rPr>
                <w:kern w:val="0"/>
                <w:szCs w:val="21"/>
              </w:rPr>
              <w:t>空气消毒机</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15</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KJ230G-D46</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各科室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4</w:t>
            </w:r>
          </w:p>
        </w:tc>
        <w:tc>
          <w:tcPr>
            <w:tcW w:w="2389" w:type="dxa"/>
            <w:shd w:val="clear" w:color="auto" w:fill="FFFFFF"/>
            <w:vAlign w:val="center"/>
          </w:tcPr>
          <w:p>
            <w:pPr>
              <w:widowControl/>
              <w:adjustRightInd w:val="0"/>
              <w:snapToGrid w:val="0"/>
              <w:jc w:val="center"/>
              <w:textAlignment w:val="center"/>
              <w:rPr>
                <w:szCs w:val="21"/>
              </w:rPr>
            </w:pPr>
            <w:r>
              <w:rPr>
                <w:kern w:val="0"/>
                <w:szCs w:val="21"/>
              </w:rPr>
              <w:t>动态心电</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世纪3000</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功能科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5</w:t>
            </w:r>
          </w:p>
        </w:tc>
        <w:tc>
          <w:tcPr>
            <w:tcW w:w="2389" w:type="dxa"/>
            <w:shd w:val="clear" w:color="auto" w:fill="FFFFFF"/>
            <w:vAlign w:val="center"/>
          </w:tcPr>
          <w:p>
            <w:pPr>
              <w:widowControl/>
              <w:adjustRightInd w:val="0"/>
              <w:snapToGrid w:val="0"/>
              <w:jc w:val="center"/>
              <w:textAlignment w:val="center"/>
              <w:rPr>
                <w:szCs w:val="21"/>
              </w:rPr>
            </w:pPr>
            <w:r>
              <w:rPr>
                <w:kern w:val="0"/>
                <w:szCs w:val="21"/>
              </w:rPr>
              <w:t>心电图机</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3</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MAC800</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心电图室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6</w:t>
            </w:r>
          </w:p>
        </w:tc>
        <w:tc>
          <w:tcPr>
            <w:tcW w:w="2389" w:type="dxa"/>
            <w:shd w:val="clear" w:color="auto" w:fill="FFFFFF"/>
            <w:vAlign w:val="center"/>
          </w:tcPr>
          <w:p>
            <w:pPr>
              <w:widowControl/>
              <w:adjustRightInd w:val="0"/>
              <w:snapToGrid w:val="0"/>
              <w:jc w:val="center"/>
              <w:textAlignment w:val="center"/>
              <w:rPr>
                <w:szCs w:val="21"/>
              </w:rPr>
            </w:pPr>
            <w:r>
              <w:rPr>
                <w:kern w:val="0"/>
                <w:szCs w:val="21"/>
              </w:rPr>
              <w:t>胃肠镜消毒设备</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2</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U字型SQ-X168</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功能科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7</w:t>
            </w:r>
          </w:p>
        </w:tc>
        <w:tc>
          <w:tcPr>
            <w:tcW w:w="2389" w:type="dxa"/>
            <w:shd w:val="clear" w:color="auto" w:fill="FFFFFF"/>
            <w:vAlign w:val="center"/>
          </w:tcPr>
          <w:p>
            <w:pPr>
              <w:widowControl/>
              <w:adjustRightInd w:val="0"/>
              <w:snapToGrid w:val="0"/>
              <w:jc w:val="center"/>
              <w:textAlignment w:val="center"/>
              <w:rPr>
                <w:szCs w:val="21"/>
              </w:rPr>
            </w:pPr>
            <w:r>
              <w:rPr>
                <w:kern w:val="0"/>
                <w:szCs w:val="21"/>
              </w:rPr>
              <w:t>数字胃肠机</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PLD8700</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功能科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8</w:t>
            </w:r>
          </w:p>
        </w:tc>
        <w:tc>
          <w:tcPr>
            <w:tcW w:w="2389" w:type="dxa"/>
            <w:shd w:val="clear" w:color="auto" w:fill="FFFFFF"/>
            <w:vAlign w:val="center"/>
          </w:tcPr>
          <w:p>
            <w:pPr>
              <w:widowControl/>
              <w:adjustRightInd w:val="0"/>
              <w:snapToGrid w:val="0"/>
              <w:jc w:val="center"/>
              <w:textAlignment w:val="center"/>
              <w:rPr>
                <w:szCs w:val="21"/>
              </w:rPr>
            </w:pPr>
            <w:r>
              <w:rPr>
                <w:kern w:val="0"/>
                <w:szCs w:val="21"/>
              </w:rPr>
              <w:t>经颅多普勒</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JYQ TCD-2000</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功能科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9</w:t>
            </w:r>
          </w:p>
        </w:tc>
        <w:tc>
          <w:tcPr>
            <w:tcW w:w="2389" w:type="dxa"/>
            <w:shd w:val="clear" w:color="auto" w:fill="FFFFFF"/>
            <w:vAlign w:val="center"/>
          </w:tcPr>
          <w:p>
            <w:pPr>
              <w:widowControl/>
              <w:adjustRightInd w:val="0"/>
              <w:snapToGrid w:val="0"/>
              <w:jc w:val="center"/>
              <w:textAlignment w:val="center"/>
              <w:rPr>
                <w:szCs w:val="21"/>
              </w:rPr>
            </w:pPr>
            <w:r>
              <w:rPr>
                <w:kern w:val="0"/>
                <w:szCs w:val="21"/>
              </w:rPr>
              <w:t>电子纤维镜</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ZX7M-TBS-F801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功能科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10</w:t>
            </w:r>
          </w:p>
        </w:tc>
        <w:tc>
          <w:tcPr>
            <w:tcW w:w="2389" w:type="dxa"/>
            <w:shd w:val="clear" w:color="auto" w:fill="FFFFFF"/>
            <w:vAlign w:val="center"/>
          </w:tcPr>
          <w:p>
            <w:pPr>
              <w:widowControl/>
              <w:adjustRightInd w:val="0"/>
              <w:snapToGrid w:val="0"/>
              <w:jc w:val="center"/>
              <w:textAlignment w:val="center"/>
              <w:rPr>
                <w:szCs w:val="21"/>
              </w:rPr>
            </w:pPr>
            <w:r>
              <w:rPr>
                <w:kern w:val="0"/>
                <w:szCs w:val="21"/>
              </w:rPr>
              <w:t>电子胃肠镜</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GIF-N260</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功能科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11</w:t>
            </w:r>
          </w:p>
        </w:tc>
        <w:tc>
          <w:tcPr>
            <w:tcW w:w="2389" w:type="dxa"/>
            <w:shd w:val="clear" w:color="auto" w:fill="FFFFFF"/>
            <w:vAlign w:val="center"/>
          </w:tcPr>
          <w:p>
            <w:pPr>
              <w:widowControl/>
              <w:adjustRightInd w:val="0"/>
              <w:snapToGrid w:val="0"/>
              <w:jc w:val="center"/>
              <w:textAlignment w:val="center"/>
              <w:rPr>
                <w:szCs w:val="21"/>
              </w:rPr>
            </w:pPr>
            <w:r>
              <w:rPr>
                <w:kern w:val="0"/>
                <w:szCs w:val="21"/>
              </w:rPr>
              <w:t>彩超</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3</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ACUSON X150</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功能科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12</w:t>
            </w:r>
          </w:p>
        </w:tc>
        <w:tc>
          <w:tcPr>
            <w:tcW w:w="2389" w:type="dxa"/>
            <w:shd w:val="clear" w:color="auto" w:fill="FFFFFF"/>
            <w:vAlign w:val="center"/>
          </w:tcPr>
          <w:p>
            <w:pPr>
              <w:widowControl/>
              <w:adjustRightInd w:val="0"/>
              <w:snapToGrid w:val="0"/>
              <w:jc w:val="center"/>
              <w:textAlignment w:val="center"/>
              <w:rPr>
                <w:szCs w:val="21"/>
              </w:rPr>
            </w:pPr>
            <w:r>
              <w:rPr>
                <w:kern w:val="0"/>
                <w:szCs w:val="21"/>
              </w:rPr>
              <w:t>消毒供应配套设备</w:t>
            </w:r>
          </w:p>
        </w:tc>
        <w:tc>
          <w:tcPr>
            <w:tcW w:w="893" w:type="dxa"/>
            <w:shd w:val="clear" w:color="auto" w:fill="FFFFFF"/>
            <w:vAlign w:val="center"/>
          </w:tcPr>
          <w:p>
            <w:pPr>
              <w:widowControl/>
              <w:adjustRightInd w:val="0"/>
              <w:snapToGrid w:val="0"/>
              <w:jc w:val="center"/>
              <w:textAlignment w:val="center"/>
              <w:rPr>
                <w:szCs w:val="21"/>
              </w:rPr>
            </w:pPr>
            <w:r>
              <w:rPr>
                <w:kern w:val="0"/>
                <w:szCs w:val="21"/>
              </w:rPr>
              <w:t>套</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供应室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13</w:t>
            </w:r>
          </w:p>
        </w:tc>
        <w:tc>
          <w:tcPr>
            <w:tcW w:w="2389" w:type="dxa"/>
            <w:shd w:val="clear" w:color="auto" w:fill="FFFFFF"/>
            <w:vAlign w:val="center"/>
          </w:tcPr>
          <w:p>
            <w:pPr>
              <w:widowControl/>
              <w:adjustRightInd w:val="0"/>
              <w:snapToGrid w:val="0"/>
              <w:jc w:val="center"/>
              <w:textAlignment w:val="center"/>
              <w:rPr>
                <w:szCs w:val="21"/>
              </w:rPr>
            </w:pPr>
            <w:r>
              <w:rPr>
                <w:kern w:val="0"/>
                <w:szCs w:val="21"/>
              </w:rPr>
              <w:t>颈椎牵引器</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2</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HLSQY-I型</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外科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14</w:t>
            </w:r>
          </w:p>
        </w:tc>
        <w:tc>
          <w:tcPr>
            <w:tcW w:w="2389" w:type="dxa"/>
            <w:shd w:val="clear" w:color="auto" w:fill="FFFFFF"/>
            <w:vAlign w:val="center"/>
          </w:tcPr>
          <w:p>
            <w:pPr>
              <w:widowControl/>
              <w:adjustRightInd w:val="0"/>
              <w:snapToGrid w:val="0"/>
              <w:jc w:val="center"/>
              <w:textAlignment w:val="center"/>
              <w:rPr>
                <w:szCs w:val="21"/>
              </w:rPr>
            </w:pPr>
            <w:r>
              <w:rPr>
                <w:kern w:val="0"/>
                <w:szCs w:val="21"/>
              </w:rPr>
              <w:t>全自动洗胃机</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DFX-XW·E型</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急诊科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15</w:t>
            </w:r>
          </w:p>
        </w:tc>
        <w:tc>
          <w:tcPr>
            <w:tcW w:w="2389" w:type="dxa"/>
            <w:shd w:val="clear" w:color="auto" w:fill="FFFFFF"/>
            <w:vAlign w:val="center"/>
          </w:tcPr>
          <w:p>
            <w:pPr>
              <w:widowControl/>
              <w:adjustRightInd w:val="0"/>
              <w:snapToGrid w:val="0"/>
              <w:jc w:val="center"/>
              <w:textAlignment w:val="center"/>
              <w:rPr>
                <w:szCs w:val="21"/>
              </w:rPr>
            </w:pPr>
            <w:r>
              <w:rPr>
                <w:kern w:val="0"/>
                <w:szCs w:val="21"/>
              </w:rPr>
              <w:t>显微镜</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kern w:val="0"/>
                <w:szCs w:val="21"/>
              </w:rPr>
            </w:pPr>
            <w:r>
              <w:rPr>
                <w:kern w:val="0"/>
                <w:szCs w:val="21"/>
              </w:rPr>
              <w:t>2</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显微镜</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rPr>
              <w:t>检验科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kern w:val="0"/>
                <w:szCs w:val="21"/>
              </w:rPr>
              <w:t>16</w:t>
            </w:r>
          </w:p>
        </w:tc>
        <w:tc>
          <w:tcPr>
            <w:tcW w:w="2389" w:type="dxa"/>
            <w:shd w:val="clear" w:color="auto" w:fill="FFFFFF"/>
            <w:vAlign w:val="center"/>
          </w:tcPr>
          <w:p>
            <w:pPr>
              <w:widowControl/>
              <w:adjustRightInd w:val="0"/>
              <w:snapToGrid w:val="0"/>
              <w:jc w:val="center"/>
              <w:textAlignment w:val="center"/>
              <w:rPr>
                <w:szCs w:val="21"/>
              </w:rPr>
            </w:pPr>
            <w:r>
              <w:rPr>
                <w:kern w:val="0"/>
                <w:szCs w:val="21"/>
              </w:rPr>
              <w:t>微生物鉴定及药敏分析仪</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BMM-230BD DIC</w:t>
            </w:r>
          </w:p>
        </w:tc>
        <w:tc>
          <w:tcPr>
            <w:tcW w:w="1861" w:type="dxa"/>
            <w:shd w:val="clear" w:color="auto" w:fill="FFFFFF"/>
            <w:vAlign w:val="center"/>
          </w:tcPr>
          <w:p>
            <w:pPr>
              <w:widowControl/>
              <w:adjustRightInd w:val="0"/>
              <w:snapToGrid w:val="0"/>
              <w:jc w:val="center"/>
              <w:textAlignment w:val="center"/>
              <w:rPr>
                <w:szCs w:val="21"/>
              </w:rPr>
            </w:pPr>
            <w:r>
              <w:rPr>
                <w:kern w:val="0"/>
                <w:szCs w:val="21"/>
              </w:rPr>
              <w:t>检验科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17</w:t>
            </w:r>
          </w:p>
        </w:tc>
        <w:tc>
          <w:tcPr>
            <w:tcW w:w="2389" w:type="dxa"/>
            <w:shd w:val="clear" w:color="auto" w:fill="FFFFFF"/>
            <w:vAlign w:val="center"/>
          </w:tcPr>
          <w:p>
            <w:pPr>
              <w:widowControl/>
              <w:adjustRightInd w:val="0"/>
              <w:snapToGrid w:val="0"/>
              <w:jc w:val="center"/>
              <w:textAlignment w:val="center"/>
              <w:rPr>
                <w:szCs w:val="21"/>
              </w:rPr>
            </w:pPr>
            <w:r>
              <w:rPr>
                <w:kern w:val="0"/>
                <w:szCs w:val="21"/>
              </w:rPr>
              <w:t>全自动凝血分析仪</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C2000-A</w:t>
            </w:r>
          </w:p>
        </w:tc>
        <w:tc>
          <w:tcPr>
            <w:tcW w:w="1861" w:type="dxa"/>
            <w:shd w:val="clear" w:color="auto" w:fill="FFFFFF"/>
            <w:vAlign w:val="center"/>
          </w:tcPr>
          <w:p>
            <w:pPr>
              <w:widowControl/>
              <w:adjustRightInd w:val="0"/>
              <w:snapToGrid w:val="0"/>
              <w:jc w:val="center"/>
              <w:textAlignment w:val="center"/>
              <w:rPr>
                <w:szCs w:val="21"/>
              </w:rPr>
            </w:pPr>
            <w:r>
              <w:rPr>
                <w:kern w:val="0"/>
                <w:szCs w:val="21"/>
              </w:rPr>
              <w:t>检验科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18</w:t>
            </w:r>
          </w:p>
        </w:tc>
        <w:tc>
          <w:tcPr>
            <w:tcW w:w="2389" w:type="dxa"/>
            <w:shd w:val="clear" w:color="auto" w:fill="FFFFFF"/>
            <w:vAlign w:val="center"/>
          </w:tcPr>
          <w:p>
            <w:pPr>
              <w:widowControl/>
              <w:adjustRightInd w:val="0"/>
              <w:snapToGrid w:val="0"/>
              <w:jc w:val="center"/>
              <w:textAlignment w:val="center"/>
              <w:rPr>
                <w:szCs w:val="21"/>
              </w:rPr>
            </w:pPr>
            <w:r>
              <w:rPr>
                <w:kern w:val="0"/>
                <w:szCs w:val="21"/>
              </w:rPr>
              <w:t>尿液分析仪</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PFT-300B</w:t>
            </w:r>
          </w:p>
        </w:tc>
        <w:tc>
          <w:tcPr>
            <w:tcW w:w="1861" w:type="dxa"/>
            <w:shd w:val="clear" w:color="auto" w:fill="FFFFFF"/>
            <w:vAlign w:val="center"/>
          </w:tcPr>
          <w:p>
            <w:pPr>
              <w:widowControl/>
              <w:adjustRightInd w:val="0"/>
              <w:snapToGrid w:val="0"/>
              <w:jc w:val="center"/>
              <w:textAlignment w:val="center"/>
              <w:rPr>
                <w:szCs w:val="21"/>
              </w:rPr>
            </w:pPr>
            <w:r>
              <w:rPr>
                <w:kern w:val="0"/>
                <w:szCs w:val="21"/>
              </w:rPr>
              <w:t>检验科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19</w:t>
            </w:r>
          </w:p>
        </w:tc>
        <w:tc>
          <w:tcPr>
            <w:tcW w:w="2389" w:type="dxa"/>
            <w:shd w:val="clear" w:color="auto" w:fill="FFFFFF"/>
            <w:vAlign w:val="center"/>
          </w:tcPr>
          <w:p>
            <w:pPr>
              <w:widowControl/>
              <w:adjustRightInd w:val="0"/>
              <w:snapToGrid w:val="0"/>
              <w:jc w:val="center"/>
              <w:textAlignment w:val="center"/>
              <w:rPr>
                <w:szCs w:val="21"/>
              </w:rPr>
            </w:pPr>
            <w:r>
              <w:rPr>
                <w:kern w:val="0"/>
                <w:szCs w:val="21"/>
              </w:rPr>
              <w:t>离心机</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2</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TDZ4</w:t>
            </w:r>
          </w:p>
        </w:tc>
        <w:tc>
          <w:tcPr>
            <w:tcW w:w="1861" w:type="dxa"/>
            <w:shd w:val="clear" w:color="auto" w:fill="FFFFFF"/>
            <w:vAlign w:val="center"/>
          </w:tcPr>
          <w:p>
            <w:pPr>
              <w:widowControl/>
              <w:adjustRightInd w:val="0"/>
              <w:snapToGrid w:val="0"/>
              <w:jc w:val="center"/>
              <w:textAlignment w:val="center"/>
              <w:rPr>
                <w:szCs w:val="21"/>
              </w:rPr>
            </w:pPr>
            <w:r>
              <w:rPr>
                <w:kern w:val="0"/>
                <w:szCs w:val="21"/>
              </w:rPr>
              <w:t>检验科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20</w:t>
            </w:r>
          </w:p>
        </w:tc>
        <w:tc>
          <w:tcPr>
            <w:tcW w:w="2389" w:type="dxa"/>
            <w:shd w:val="clear" w:color="auto" w:fill="FFFFFF"/>
            <w:vAlign w:val="center"/>
          </w:tcPr>
          <w:p>
            <w:pPr>
              <w:widowControl/>
              <w:adjustRightInd w:val="0"/>
              <w:snapToGrid w:val="0"/>
              <w:jc w:val="center"/>
              <w:textAlignment w:val="center"/>
              <w:rPr>
                <w:szCs w:val="21"/>
              </w:rPr>
            </w:pPr>
            <w:r>
              <w:rPr>
                <w:kern w:val="0"/>
                <w:szCs w:val="21"/>
              </w:rPr>
              <w:t>电解质分析仪</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IMS-972</w:t>
            </w:r>
          </w:p>
        </w:tc>
        <w:tc>
          <w:tcPr>
            <w:tcW w:w="1861" w:type="dxa"/>
            <w:shd w:val="clear" w:color="auto" w:fill="FFFFFF"/>
            <w:vAlign w:val="center"/>
          </w:tcPr>
          <w:p>
            <w:pPr>
              <w:widowControl/>
              <w:adjustRightInd w:val="0"/>
              <w:snapToGrid w:val="0"/>
              <w:jc w:val="center"/>
              <w:textAlignment w:val="center"/>
              <w:rPr>
                <w:szCs w:val="21"/>
              </w:rPr>
            </w:pPr>
            <w:r>
              <w:rPr>
                <w:kern w:val="0"/>
                <w:szCs w:val="21"/>
              </w:rPr>
              <w:t>检验科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21</w:t>
            </w:r>
          </w:p>
        </w:tc>
        <w:tc>
          <w:tcPr>
            <w:tcW w:w="2389" w:type="dxa"/>
            <w:shd w:val="clear" w:color="auto" w:fill="FFFFFF"/>
            <w:vAlign w:val="center"/>
          </w:tcPr>
          <w:p>
            <w:pPr>
              <w:widowControl/>
              <w:adjustRightInd w:val="0"/>
              <w:snapToGrid w:val="0"/>
              <w:jc w:val="center"/>
              <w:textAlignment w:val="center"/>
              <w:rPr>
                <w:szCs w:val="21"/>
              </w:rPr>
            </w:pPr>
            <w:r>
              <w:rPr>
                <w:kern w:val="0"/>
                <w:szCs w:val="21"/>
              </w:rPr>
              <w:t>电化学发光分析仪</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cobase411</w:t>
            </w:r>
          </w:p>
        </w:tc>
        <w:tc>
          <w:tcPr>
            <w:tcW w:w="1861" w:type="dxa"/>
            <w:shd w:val="clear" w:color="auto" w:fill="FFFFFF"/>
            <w:vAlign w:val="center"/>
          </w:tcPr>
          <w:p>
            <w:pPr>
              <w:widowControl/>
              <w:adjustRightInd w:val="0"/>
              <w:snapToGrid w:val="0"/>
              <w:jc w:val="center"/>
              <w:textAlignment w:val="center"/>
              <w:rPr>
                <w:szCs w:val="21"/>
              </w:rPr>
            </w:pPr>
            <w:r>
              <w:rPr>
                <w:kern w:val="0"/>
                <w:szCs w:val="21"/>
              </w:rPr>
              <w:t>检验科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22</w:t>
            </w:r>
          </w:p>
        </w:tc>
        <w:tc>
          <w:tcPr>
            <w:tcW w:w="2389" w:type="dxa"/>
            <w:shd w:val="clear" w:color="auto" w:fill="FFFFFF"/>
            <w:vAlign w:val="center"/>
          </w:tcPr>
          <w:p>
            <w:pPr>
              <w:widowControl/>
              <w:adjustRightInd w:val="0"/>
              <w:snapToGrid w:val="0"/>
              <w:jc w:val="center"/>
              <w:textAlignment w:val="center"/>
              <w:rPr>
                <w:szCs w:val="21"/>
              </w:rPr>
            </w:pPr>
            <w:r>
              <w:rPr>
                <w:kern w:val="0"/>
                <w:szCs w:val="21"/>
              </w:rPr>
              <w:t>内窥镜</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UNK-001 2</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23</w:t>
            </w:r>
          </w:p>
        </w:tc>
        <w:tc>
          <w:tcPr>
            <w:tcW w:w="2389" w:type="dxa"/>
            <w:shd w:val="clear" w:color="auto" w:fill="FFFFFF"/>
            <w:vAlign w:val="center"/>
          </w:tcPr>
          <w:p>
            <w:pPr>
              <w:widowControl/>
              <w:adjustRightInd w:val="0"/>
              <w:snapToGrid w:val="0"/>
              <w:jc w:val="center"/>
              <w:textAlignment w:val="center"/>
              <w:rPr>
                <w:szCs w:val="21"/>
              </w:rPr>
            </w:pPr>
            <w:r>
              <w:rPr>
                <w:kern w:val="0"/>
                <w:szCs w:val="21"/>
              </w:rPr>
              <w:t>手术无影灯</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4</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TOPLITE-6000</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24</w:t>
            </w:r>
          </w:p>
        </w:tc>
        <w:tc>
          <w:tcPr>
            <w:tcW w:w="2389" w:type="dxa"/>
            <w:shd w:val="clear" w:color="auto" w:fill="FFFFFF"/>
            <w:vAlign w:val="center"/>
          </w:tcPr>
          <w:p>
            <w:pPr>
              <w:widowControl/>
              <w:adjustRightInd w:val="0"/>
              <w:snapToGrid w:val="0"/>
              <w:jc w:val="center"/>
              <w:textAlignment w:val="center"/>
              <w:rPr>
                <w:szCs w:val="21"/>
              </w:rPr>
            </w:pPr>
            <w:r>
              <w:rPr>
                <w:kern w:val="0"/>
                <w:szCs w:val="21"/>
              </w:rPr>
              <w:t>麻醉监护仪</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3</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NW-9002S</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25</w:t>
            </w:r>
          </w:p>
        </w:tc>
        <w:tc>
          <w:tcPr>
            <w:tcW w:w="2389" w:type="dxa"/>
            <w:shd w:val="clear" w:color="auto" w:fill="FFFFFF"/>
            <w:vAlign w:val="center"/>
          </w:tcPr>
          <w:p>
            <w:pPr>
              <w:widowControl/>
              <w:adjustRightInd w:val="0"/>
              <w:snapToGrid w:val="0"/>
              <w:jc w:val="center"/>
              <w:textAlignment w:val="center"/>
              <w:rPr>
                <w:szCs w:val="21"/>
              </w:rPr>
            </w:pPr>
            <w:r>
              <w:rPr>
                <w:kern w:val="0"/>
                <w:szCs w:val="21"/>
              </w:rPr>
              <w:t>麻醉机</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2</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WATO EX-55/65</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26</w:t>
            </w:r>
          </w:p>
        </w:tc>
        <w:tc>
          <w:tcPr>
            <w:tcW w:w="2389" w:type="dxa"/>
            <w:shd w:val="clear" w:color="auto" w:fill="FFFFFF"/>
            <w:vAlign w:val="center"/>
          </w:tcPr>
          <w:p>
            <w:pPr>
              <w:widowControl/>
              <w:adjustRightInd w:val="0"/>
              <w:snapToGrid w:val="0"/>
              <w:jc w:val="center"/>
              <w:textAlignment w:val="center"/>
              <w:rPr>
                <w:szCs w:val="21"/>
              </w:rPr>
            </w:pPr>
            <w:r>
              <w:rPr>
                <w:kern w:val="0"/>
                <w:szCs w:val="21"/>
              </w:rPr>
              <w:t>麻醉喉镜</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MY-A-1</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27</w:t>
            </w:r>
          </w:p>
        </w:tc>
        <w:tc>
          <w:tcPr>
            <w:tcW w:w="2389" w:type="dxa"/>
            <w:shd w:val="clear" w:color="auto" w:fill="FFFFFF"/>
            <w:vAlign w:val="center"/>
          </w:tcPr>
          <w:p>
            <w:pPr>
              <w:widowControl/>
              <w:adjustRightInd w:val="0"/>
              <w:snapToGrid w:val="0"/>
              <w:jc w:val="center"/>
              <w:textAlignment w:val="center"/>
              <w:rPr>
                <w:szCs w:val="21"/>
              </w:rPr>
            </w:pPr>
            <w:r>
              <w:rPr>
                <w:kern w:val="0"/>
                <w:szCs w:val="21"/>
              </w:rPr>
              <w:t>微创设备</w:t>
            </w:r>
          </w:p>
        </w:tc>
        <w:tc>
          <w:tcPr>
            <w:tcW w:w="893" w:type="dxa"/>
            <w:shd w:val="clear" w:color="auto" w:fill="FFFFFF"/>
            <w:vAlign w:val="center"/>
          </w:tcPr>
          <w:p>
            <w:pPr>
              <w:widowControl/>
              <w:adjustRightInd w:val="0"/>
              <w:snapToGrid w:val="0"/>
              <w:jc w:val="center"/>
              <w:textAlignment w:val="center"/>
              <w:rPr>
                <w:szCs w:val="21"/>
              </w:rPr>
            </w:pPr>
            <w:r>
              <w:rPr>
                <w:kern w:val="0"/>
                <w:szCs w:val="21"/>
              </w:rPr>
              <w:t>套</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DH-M60</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28</w:t>
            </w:r>
          </w:p>
        </w:tc>
        <w:tc>
          <w:tcPr>
            <w:tcW w:w="2389" w:type="dxa"/>
            <w:shd w:val="clear" w:color="auto" w:fill="FFFFFF"/>
            <w:vAlign w:val="center"/>
          </w:tcPr>
          <w:p>
            <w:pPr>
              <w:widowControl/>
              <w:adjustRightInd w:val="0"/>
              <w:snapToGrid w:val="0"/>
              <w:jc w:val="center"/>
              <w:textAlignment w:val="center"/>
              <w:rPr>
                <w:szCs w:val="21"/>
              </w:rPr>
            </w:pPr>
            <w:r>
              <w:rPr>
                <w:kern w:val="0"/>
                <w:szCs w:val="21"/>
              </w:rPr>
              <w:t>高频电刀</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4</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CM-350C</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29</w:t>
            </w:r>
          </w:p>
        </w:tc>
        <w:tc>
          <w:tcPr>
            <w:tcW w:w="2389" w:type="dxa"/>
            <w:shd w:val="clear" w:color="auto" w:fill="FFFFFF"/>
            <w:vAlign w:val="center"/>
          </w:tcPr>
          <w:p>
            <w:pPr>
              <w:widowControl/>
              <w:adjustRightInd w:val="0"/>
              <w:snapToGrid w:val="0"/>
              <w:jc w:val="center"/>
              <w:textAlignment w:val="center"/>
              <w:rPr>
                <w:szCs w:val="21"/>
              </w:rPr>
            </w:pPr>
            <w:r>
              <w:rPr>
                <w:kern w:val="0"/>
                <w:szCs w:val="21"/>
              </w:rPr>
              <w:t>多参数监护仪</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30</w:t>
            </w:r>
          </w:p>
        </w:tc>
        <w:tc>
          <w:tcPr>
            <w:tcW w:w="1861" w:type="dxa"/>
            <w:shd w:val="clear" w:color="auto" w:fill="FFFFFF"/>
            <w:vAlign w:val="center"/>
          </w:tcPr>
          <w:p>
            <w:pPr>
              <w:widowControl/>
              <w:adjustRightInd w:val="0"/>
              <w:snapToGrid w:val="0"/>
              <w:jc w:val="center"/>
              <w:textAlignment w:val="center"/>
              <w:rPr>
                <w:szCs w:val="21"/>
              </w:rPr>
            </w:pPr>
            <w:r>
              <w:rPr>
                <w:szCs w:val="21"/>
                <w:u w:val="single"/>
              </w:rPr>
              <w:t>NBF_6000L</w:t>
            </w:r>
          </w:p>
        </w:tc>
        <w:tc>
          <w:tcPr>
            <w:tcW w:w="1861" w:type="dxa"/>
            <w:shd w:val="clear" w:color="auto" w:fill="FFFFFF"/>
            <w:vAlign w:val="center"/>
          </w:tcPr>
          <w:p>
            <w:pPr>
              <w:widowControl/>
              <w:adjustRightInd w:val="0"/>
              <w:snapToGrid w:val="0"/>
              <w:jc w:val="center"/>
              <w:textAlignment w:val="center"/>
              <w:rPr>
                <w:szCs w:val="21"/>
              </w:rPr>
            </w:pPr>
            <w:r>
              <w:rPr>
                <w:szCs w:val="21"/>
              </w:rPr>
              <w:t>各科室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rPr>
            </w:pPr>
            <w:r>
              <w:rPr>
                <w:szCs w:val="21"/>
              </w:rPr>
              <w:t>30</w:t>
            </w:r>
          </w:p>
        </w:tc>
        <w:tc>
          <w:tcPr>
            <w:tcW w:w="2389" w:type="dxa"/>
            <w:shd w:val="clear" w:color="auto" w:fill="FFFFFF"/>
            <w:vAlign w:val="center"/>
          </w:tcPr>
          <w:p>
            <w:pPr>
              <w:widowControl/>
              <w:adjustRightInd w:val="0"/>
              <w:snapToGrid w:val="0"/>
              <w:jc w:val="center"/>
              <w:textAlignment w:val="center"/>
              <w:rPr>
                <w:szCs w:val="21"/>
              </w:rPr>
            </w:pPr>
            <w:r>
              <w:rPr>
                <w:kern w:val="0"/>
                <w:szCs w:val="21"/>
              </w:rPr>
              <w:t>动态血压</w:t>
            </w:r>
          </w:p>
        </w:tc>
        <w:tc>
          <w:tcPr>
            <w:tcW w:w="893" w:type="dxa"/>
            <w:shd w:val="clear" w:color="auto" w:fill="FFFFFF"/>
            <w:vAlign w:val="center"/>
          </w:tcPr>
          <w:p>
            <w:pPr>
              <w:widowControl/>
              <w:adjustRightInd w:val="0"/>
              <w:snapToGrid w:val="0"/>
              <w:jc w:val="center"/>
              <w:textAlignment w:val="center"/>
              <w:rPr>
                <w:szCs w:val="21"/>
              </w:rPr>
            </w:pPr>
            <w:r>
              <w:rPr>
                <w:kern w:val="0"/>
                <w:szCs w:val="21"/>
              </w:rPr>
              <w:t>台</w:t>
            </w:r>
          </w:p>
        </w:tc>
        <w:tc>
          <w:tcPr>
            <w:tcW w:w="893" w:type="dxa"/>
            <w:shd w:val="clear" w:color="auto" w:fill="FFFFFF"/>
            <w:vAlign w:val="center"/>
          </w:tcPr>
          <w:p>
            <w:pPr>
              <w:widowControl/>
              <w:adjustRightInd w:val="0"/>
              <w:snapToGrid w:val="0"/>
              <w:jc w:val="center"/>
              <w:textAlignment w:val="center"/>
              <w:rPr>
                <w:szCs w:val="21"/>
              </w:rPr>
            </w:pPr>
            <w:r>
              <w:rPr>
                <w:kern w:val="0"/>
                <w:szCs w:val="21"/>
              </w:rPr>
              <w:t>1</w:t>
            </w:r>
          </w:p>
        </w:tc>
        <w:tc>
          <w:tcPr>
            <w:tcW w:w="1861" w:type="dxa"/>
            <w:shd w:val="clear" w:color="auto" w:fill="FFFFFF"/>
            <w:vAlign w:val="center"/>
          </w:tcPr>
          <w:p>
            <w:pPr>
              <w:widowControl/>
              <w:adjustRightInd w:val="0"/>
              <w:snapToGrid w:val="0"/>
              <w:jc w:val="center"/>
              <w:textAlignment w:val="center"/>
              <w:rPr>
                <w:kern w:val="0"/>
                <w:szCs w:val="21"/>
              </w:rPr>
            </w:pPr>
            <w:r>
              <w:rPr>
                <w:kern w:val="0"/>
                <w:szCs w:val="21"/>
                <w:u w:val="single"/>
              </w:rPr>
              <w:t>BR-102 2</w:t>
            </w:r>
          </w:p>
        </w:tc>
        <w:tc>
          <w:tcPr>
            <w:tcW w:w="1861" w:type="dxa"/>
            <w:shd w:val="clear" w:color="auto" w:fill="FFFFFF"/>
            <w:vAlign w:val="center"/>
          </w:tcPr>
          <w:p>
            <w:pPr>
              <w:widowControl/>
              <w:adjustRightInd w:val="0"/>
              <w:snapToGrid w:val="0"/>
              <w:jc w:val="center"/>
              <w:textAlignment w:val="center"/>
              <w:rPr>
                <w:szCs w:val="21"/>
              </w:rPr>
            </w:pPr>
            <w:r>
              <w:rPr>
                <w:kern w:val="0"/>
                <w:szCs w:val="21"/>
              </w:rPr>
              <w:t>手术室</w:t>
            </w:r>
          </w:p>
        </w:tc>
      </w:tr>
    </w:tbl>
    <w:p>
      <w:pPr>
        <w:pStyle w:val="4"/>
        <w:snapToGrid w:val="0"/>
        <w:spacing w:before="0" w:after="0" w:line="360" w:lineRule="auto"/>
        <w:rPr>
          <w:rFonts w:eastAsiaTheme="minorEastAsia"/>
          <w:kern w:val="0"/>
          <w:sz w:val="24"/>
        </w:rPr>
      </w:pPr>
      <w:r>
        <w:rPr>
          <w:rFonts w:eastAsiaTheme="minorEastAsia"/>
          <w:kern w:val="0"/>
          <w:sz w:val="24"/>
        </w:rPr>
        <w:t>3.1.4 现有项目主要原材料消耗</w:t>
      </w:r>
    </w:p>
    <w:p>
      <w:pPr>
        <w:pStyle w:val="45"/>
        <w:snapToGrid w:val="0"/>
        <w:spacing w:line="360" w:lineRule="auto"/>
        <w:ind w:left="0" w:leftChars="0" w:firstLine="480" w:firstLineChars="200"/>
        <w:rPr>
          <w:rFonts w:eastAsiaTheme="minorEastAsia"/>
          <w:sz w:val="24"/>
        </w:rPr>
      </w:pPr>
      <w:r>
        <w:rPr>
          <w:rFonts w:eastAsiaTheme="minorEastAsia"/>
          <w:sz w:val="24"/>
        </w:rPr>
        <w:t>根据现湘阴县中医院提供的资料，现有项目主要原辅材料消耗详见下表。</w:t>
      </w:r>
    </w:p>
    <w:p>
      <w:pPr>
        <w:pStyle w:val="45"/>
        <w:snapToGrid w:val="0"/>
        <w:spacing w:line="360" w:lineRule="auto"/>
        <w:ind w:left="0" w:leftChars="0"/>
        <w:jc w:val="center"/>
        <w:rPr>
          <w:rFonts w:eastAsiaTheme="minorEastAsia"/>
          <w:b/>
          <w:bCs/>
          <w:sz w:val="24"/>
        </w:rPr>
      </w:pPr>
      <w:r>
        <w:rPr>
          <w:rFonts w:eastAsiaTheme="minorEastAsia"/>
          <w:b/>
          <w:bCs/>
          <w:sz w:val="24"/>
        </w:rPr>
        <w:t>表3.1-3  现有项目主要原材料消耗一览表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4"/>
        <w:gridCol w:w="2786"/>
        <w:gridCol w:w="2399"/>
        <w:gridCol w:w="24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b/>
                <w:bCs/>
                <w:kern w:val="0"/>
                <w:szCs w:val="21"/>
              </w:rPr>
            </w:pPr>
            <w:r>
              <w:rPr>
                <w:b/>
                <w:bCs/>
                <w:kern w:val="0"/>
                <w:szCs w:val="21"/>
              </w:rPr>
              <w:t>序号</w:t>
            </w:r>
          </w:p>
        </w:tc>
        <w:tc>
          <w:tcPr>
            <w:tcW w:w="1585" w:type="pct"/>
            <w:vAlign w:val="center"/>
          </w:tcPr>
          <w:p>
            <w:pPr>
              <w:widowControl/>
              <w:adjustRightInd w:val="0"/>
              <w:snapToGrid w:val="0"/>
              <w:jc w:val="center"/>
              <w:textAlignment w:val="center"/>
              <w:rPr>
                <w:b/>
                <w:bCs/>
                <w:kern w:val="0"/>
                <w:szCs w:val="21"/>
              </w:rPr>
            </w:pPr>
            <w:r>
              <w:rPr>
                <w:b/>
                <w:bCs/>
                <w:kern w:val="0"/>
                <w:szCs w:val="21"/>
              </w:rPr>
              <w:t>品名</w:t>
            </w:r>
          </w:p>
        </w:tc>
        <w:tc>
          <w:tcPr>
            <w:tcW w:w="1365" w:type="pct"/>
            <w:vAlign w:val="center"/>
          </w:tcPr>
          <w:p>
            <w:pPr>
              <w:widowControl/>
              <w:adjustRightInd w:val="0"/>
              <w:snapToGrid w:val="0"/>
              <w:jc w:val="center"/>
              <w:textAlignment w:val="center"/>
              <w:rPr>
                <w:b/>
                <w:bCs/>
                <w:kern w:val="0"/>
                <w:szCs w:val="21"/>
              </w:rPr>
            </w:pPr>
            <w:r>
              <w:rPr>
                <w:b/>
                <w:bCs/>
                <w:kern w:val="0"/>
                <w:szCs w:val="21"/>
              </w:rPr>
              <w:t>每年使用量</w:t>
            </w:r>
          </w:p>
        </w:tc>
        <w:tc>
          <w:tcPr>
            <w:tcW w:w="1365" w:type="pct"/>
            <w:vAlign w:val="center"/>
          </w:tcPr>
          <w:p>
            <w:pPr>
              <w:widowControl/>
              <w:adjustRightInd w:val="0"/>
              <w:snapToGrid w:val="0"/>
              <w:jc w:val="center"/>
              <w:textAlignment w:val="center"/>
              <w:rPr>
                <w:b/>
                <w:bCs/>
                <w:kern w:val="0"/>
                <w:szCs w:val="21"/>
              </w:rPr>
            </w:pPr>
            <w:r>
              <w:rPr>
                <w:b/>
                <w:bCs/>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1</w:t>
            </w:r>
          </w:p>
        </w:tc>
        <w:tc>
          <w:tcPr>
            <w:tcW w:w="1585" w:type="pct"/>
            <w:vAlign w:val="center"/>
          </w:tcPr>
          <w:p>
            <w:pPr>
              <w:widowControl/>
              <w:adjustRightInd w:val="0"/>
              <w:snapToGrid w:val="0"/>
              <w:jc w:val="center"/>
              <w:textAlignment w:val="center"/>
              <w:rPr>
                <w:kern w:val="0"/>
                <w:szCs w:val="21"/>
              </w:rPr>
            </w:pPr>
            <w:r>
              <w:rPr>
                <w:kern w:val="0"/>
                <w:szCs w:val="21"/>
              </w:rPr>
              <w:t>84消毒剂</w:t>
            </w:r>
          </w:p>
        </w:tc>
        <w:tc>
          <w:tcPr>
            <w:tcW w:w="1365" w:type="pct"/>
            <w:vAlign w:val="center"/>
          </w:tcPr>
          <w:p>
            <w:pPr>
              <w:widowControl/>
              <w:adjustRightInd w:val="0"/>
              <w:snapToGrid w:val="0"/>
              <w:jc w:val="center"/>
              <w:textAlignment w:val="center"/>
              <w:rPr>
                <w:kern w:val="0"/>
                <w:szCs w:val="21"/>
              </w:rPr>
            </w:pPr>
            <w:r>
              <w:rPr>
                <w:kern w:val="0"/>
                <w:szCs w:val="21"/>
              </w:rPr>
              <w:t>3.2吨</w:t>
            </w:r>
          </w:p>
        </w:tc>
        <w:tc>
          <w:tcPr>
            <w:tcW w:w="1365" w:type="pct"/>
            <w:vAlign w:val="center"/>
          </w:tcPr>
          <w:p>
            <w:pPr>
              <w:widowControl/>
              <w:adjustRightInd w:val="0"/>
              <w:snapToGrid w:val="0"/>
              <w:jc w:val="center"/>
              <w:textAlignment w:val="center"/>
              <w:rPr>
                <w:kern w:val="0"/>
                <w:szCs w:val="21"/>
              </w:rPr>
            </w:pPr>
            <w:r>
              <w:rPr>
                <w:kern w:val="0"/>
                <w:szCs w:val="21"/>
              </w:rPr>
              <w:t>废水预处理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2</w:t>
            </w:r>
          </w:p>
        </w:tc>
        <w:tc>
          <w:tcPr>
            <w:tcW w:w="1585" w:type="pct"/>
            <w:vAlign w:val="center"/>
          </w:tcPr>
          <w:p>
            <w:pPr>
              <w:widowControl/>
              <w:adjustRightInd w:val="0"/>
              <w:snapToGrid w:val="0"/>
              <w:jc w:val="center"/>
              <w:textAlignment w:val="center"/>
              <w:rPr>
                <w:kern w:val="0"/>
                <w:szCs w:val="21"/>
              </w:rPr>
            </w:pPr>
            <w:r>
              <w:rPr>
                <w:kern w:val="0"/>
                <w:szCs w:val="21"/>
              </w:rPr>
              <w:t>络合碘</w:t>
            </w:r>
          </w:p>
        </w:tc>
        <w:tc>
          <w:tcPr>
            <w:tcW w:w="1365" w:type="pct"/>
            <w:vAlign w:val="center"/>
          </w:tcPr>
          <w:p>
            <w:pPr>
              <w:widowControl/>
              <w:adjustRightInd w:val="0"/>
              <w:snapToGrid w:val="0"/>
              <w:jc w:val="center"/>
              <w:textAlignment w:val="center"/>
              <w:rPr>
                <w:kern w:val="0"/>
                <w:szCs w:val="21"/>
              </w:rPr>
            </w:pPr>
            <w:r>
              <w:rPr>
                <w:kern w:val="0"/>
                <w:szCs w:val="21"/>
              </w:rPr>
              <w:t>0.5吨</w:t>
            </w:r>
          </w:p>
        </w:tc>
        <w:tc>
          <w:tcPr>
            <w:tcW w:w="1365" w:type="pct"/>
            <w:vAlign w:val="center"/>
          </w:tcPr>
          <w:p>
            <w:pPr>
              <w:widowControl/>
              <w:adjustRightInd w:val="0"/>
              <w:snapToGrid w:val="0"/>
              <w:jc w:val="center"/>
              <w:textAlignment w:val="center"/>
              <w:rPr>
                <w:kern w:val="0"/>
                <w:szCs w:val="21"/>
              </w:rPr>
            </w:pPr>
            <w:r>
              <w:rPr>
                <w:kern w:val="0"/>
                <w:szCs w:val="21"/>
              </w:rPr>
              <w:t>消毒使用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3</w:t>
            </w:r>
          </w:p>
        </w:tc>
        <w:tc>
          <w:tcPr>
            <w:tcW w:w="1585" w:type="pct"/>
            <w:vAlign w:val="center"/>
          </w:tcPr>
          <w:p>
            <w:pPr>
              <w:widowControl/>
              <w:adjustRightInd w:val="0"/>
              <w:snapToGrid w:val="0"/>
              <w:jc w:val="center"/>
              <w:textAlignment w:val="center"/>
              <w:rPr>
                <w:kern w:val="0"/>
                <w:szCs w:val="21"/>
              </w:rPr>
            </w:pPr>
            <w:r>
              <w:rPr>
                <w:kern w:val="0"/>
                <w:szCs w:val="21"/>
              </w:rPr>
              <w:t>医用酒精</w:t>
            </w:r>
          </w:p>
        </w:tc>
        <w:tc>
          <w:tcPr>
            <w:tcW w:w="1365" w:type="pct"/>
            <w:vAlign w:val="center"/>
          </w:tcPr>
          <w:p>
            <w:pPr>
              <w:widowControl/>
              <w:adjustRightInd w:val="0"/>
              <w:snapToGrid w:val="0"/>
              <w:jc w:val="center"/>
              <w:textAlignment w:val="center"/>
              <w:rPr>
                <w:kern w:val="0"/>
                <w:szCs w:val="21"/>
              </w:rPr>
            </w:pPr>
            <w:r>
              <w:rPr>
                <w:kern w:val="0"/>
                <w:szCs w:val="21"/>
              </w:rPr>
              <w:t>0.2吨</w:t>
            </w:r>
          </w:p>
        </w:tc>
        <w:tc>
          <w:tcPr>
            <w:tcW w:w="1365" w:type="pct"/>
            <w:vAlign w:val="center"/>
          </w:tcPr>
          <w:p>
            <w:pPr>
              <w:widowControl/>
              <w:adjustRightInd w:val="0"/>
              <w:snapToGrid w:val="0"/>
              <w:jc w:val="center"/>
              <w:textAlignment w:val="center"/>
              <w:rPr>
                <w:kern w:val="0"/>
                <w:szCs w:val="21"/>
              </w:rPr>
            </w:pPr>
            <w:r>
              <w:rPr>
                <w:kern w:val="0"/>
                <w:szCs w:val="21"/>
              </w:rPr>
              <w:t>消毒使用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4</w:t>
            </w:r>
          </w:p>
        </w:tc>
        <w:tc>
          <w:tcPr>
            <w:tcW w:w="1585" w:type="pct"/>
            <w:vAlign w:val="center"/>
          </w:tcPr>
          <w:p>
            <w:pPr>
              <w:widowControl/>
              <w:adjustRightInd w:val="0"/>
              <w:snapToGrid w:val="0"/>
              <w:jc w:val="center"/>
              <w:textAlignment w:val="center"/>
              <w:rPr>
                <w:kern w:val="0"/>
                <w:szCs w:val="21"/>
              </w:rPr>
            </w:pPr>
            <w:r>
              <w:rPr>
                <w:kern w:val="0"/>
                <w:szCs w:val="21"/>
              </w:rPr>
              <w:t>戊二醛</w:t>
            </w:r>
          </w:p>
        </w:tc>
        <w:tc>
          <w:tcPr>
            <w:tcW w:w="1365" w:type="pct"/>
            <w:vAlign w:val="center"/>
          </w:tcPr>
          <w:p>
            <w:pPr>
              <w:widowControl/>
              <w:adjustRightInd w:val="0"/>
              <w:snapToGrid w:val="0"/>
              <w:jc w:val="center"/>
              <w:textAlignment w:val="center"/>
              <w:rPr>
                <w:kern w:val="0"/>
                <w:szCs w:val="21"/>
              </w:rPr>
            </w:pPr>
            <w:r>
              <w:rPr>
                <w:kern w:val="0"/>
                <w:szCs w:val="21"/>
              </w:rPr>
              <w:t>0.2吨</w:t>
            </w:r>
          </w:p>
        </w:tc>
        <w:tc>
          <w:tcPr>
            <w:tcW w:w="1365" w:type="pct"/>
            <w:vAlign w:val="center"/>
          </w:tcPr>
          <w:p>
            <w:pPr>
              <w:widowControl/>
              <w:adjustRightInd w:val="0"/>
              <w:snapToGrid w:val="0"/>
              <w:jc w:val="center"/>
              <w:textAlignment w:val="center"/>
              <w:rPr>
                <w:kern w:val="0"/>
                <w:szCs w:val="21"/>
              </w:rPr>
            </w:pPr>
            <w:r>
              <w:rPr>
                <w:kern w:val="0"/>
                <w:szCs w:val="21"/>
              </w:rPr>
              <w:t>消毒使用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5</w:t>
            </w:r>
          </w:p>
        </w:tc>
        <w:tc>
          <w:tcPr>
            <w:tcW w:w="1585" w:type="pct"/>
            <w:vAlign w:val="center"/>
          </w:tcPr>
          <w:p>
            <w:pPr>
              <w:widowControl/>
              <w:adjustRightInd w:val="0"/>
              <w:snapToGrid w:val="0"/>
              <w:jc w:val="center"/>
              <w:textAlignment w:val="center"/>
              <w:rPr>
                <w:kern w:val="0"/>
                <w:szCs w:val="21"/>
              </w:rPr>
            </w:pPr>
            <w:r>
              <w:rPr>
                <w:kern w:val="0"/>
                <w:szCs w:val="21"/>
              </w:rPr>
              <w:t>输液器</w:t>
            </w:r>
          </w:p>
        </w:tc>
        <w:tc>
          <w:tcPr>
            <w:tcW w:w="1365" w:type="pct"/>
            <w:vAlign w:val="center"/>
          </w:tcPr>
          <w:p>
            <w:pPr>
              <w:widowControl/>
              <w:adjustRightInd w:val="0"/>
              <w:snapToGrid w:val="0"/>
              <w:jc w:val="center"/>
              <w:textAlignment w:val="center"/>
              <w:rPr>
                <w:kern w:val="0"/>
                <w:szCs w:val="21"/>
              </w:rPr>
            </w:pPr>
            <w:r>
              <w:rPr>
                <w:kern w:val="0"/>
                <w:szCs w:val="21"/>
              </w:rPr>
              <w:t>30万只</w:t>
            </w:r>
          </w:p>
        </w:tc>
        <w:tc>
          <w:tcPr>
            <w:tcW w:w="1365" w:type="pct"/>
            <w:vAlign w:val="center"/>
          </w:tcPr>
          <w:p>
            <w:pPr>
              <w:widowControl/>
              <w:adjustRightInd w:val="0"/>
              <w:snapToGrid w:val="0"/>
              <w:jc w:val="center"/>
              <w:textAlignment w:val="center"/>
              <w:rPr>
                <w:kern w:val="0"/>
                <w:szCs w:val="21"/>
              </w:rPr>
            </w:pPr>
            <w:r>
              <w:rPr>
                <w:kern w:val="0"/>
                <w:szCs w:val="21"/>
              </w:rPr>
              <w:t>医疗使用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6</w:t>
            </w:r>
          </w:p>
        </w:tc>
        <w:tc>
          <w:tcPr>
            <w:tcW w:w="1585" w:type="pct"/>
            <w:vAlign w:val="center"/>
          </w:tcPr>
          <w:p>
            <w:pPr>
              <w:widowControl/>
              <w:adjustRightInd w:val="0"/>
              <w:snapToGrid w:val="0"/>
              <w:jc w:val="center"/>
              <w:textAlignment w:val="center"/>
              <w:rPr>
                <w:kern w:val="0"/>
                <w:szCs w:val="21"/>
              </w:rPr>
            </w:pPr>
            <w:r>
              <w:rPr>
                <w:kern w:val="0"/>
                <w:szCs w:val="21"/>
              </w:rPr>
              <w:t>一次性注射器</w:t>
            </w:r>
          </w:p>
        </w:tc>
        <w:tc>
          <w:tcPr>
            <w:tcW w:w="1365" w:type="pct"/>
            <w:vAlign w:val="center"/>
          </w:tcPr>
          <w:p>
            <w:pPr>
              <w:widowControl/>
              <w:adjustRightInd w:val="0"/>
              <w:snapToGrid w:val="0"/>
              <w:jc w:val="center"/>
              <w:textAlignment w:val="center"/>
              <w:rPr>
                <w:kern w:val="0"/>
                <w:szCs w:val="21"/>
              </w:rPr>
            </w:pPr>
            <w:r>
              <w:rPr>
                <w:kern w:val="0"/>
                <w:szCs w:val="21"/>
              </w:rPr>
              <w:t>66万只</w:t>
            </w:r>
          </w:p>
        </w:tc>
        <w:tc>
          <w:tcPr>
            <w:tcW w:w="1365" w:type="pct"/>
            <w:vAlign w:val="center"/>
          </w:tcPr>
          <w:p>
            <w:pPr>
              <w:widowControl/>
              <w:adjustRightInd w:val="0"/>
              <w:snapToGrid w:val="0"/>
              <w:jc w:val="center"/>
              <w:textAlignment w:val="center"/>
              <w:rPr>
                <w:kern w:val="0"/>
                <w:szCs w:val="21"/>
              </w:rPr>
            </w:pPr>
            <w:r>
              <w:rPr>
                <w:kern w:val="0"/>
                <w:szCs w:val="21"/>
              </w:rPr>
              <w:t>医疗使用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7</w:t>
            </w:r>
          </w:p>
        </w:tc>
        <w:tc>
          <w:tcPr>
            <w:tcW w:w="1585" w:type="pct"/>
            <w:vAlign w:val="center"/>
          </w:tcPr>
          <w:p>
            <w:pPr>
              <w:widowControl/>
              <w:adjustRightInd w:val="0"/>
              <w:snapToGrid w:val="0"/>
              <w:jc w:val="center"/>
              <w:textAlignment w:val="center"/>
              <w:rPr>
                <w:kern w:val="0"/>
                <w:szCs w:val="21"/>
              </w:rPr>
            </w:pPr>
            <w:r>
              <w:rPr>
                <w:kern w:val="0"/>
                <w:szCs w:val="21"/>
              </w:rPr>
              <w:t>消毒棉签</w:t>
            </w:r>
          </w:p>
        </w:tc>
        <w:tc>
          <w:tcPr>
            <w:tcW w:w="1365" w:type="pct"/>
            <w:vAlign w:val="center"/>
          </w:tcPr>
          <w:p>
            <w:pPr>
              <w:widowControl/>
              <w:adjustRightInd w:val="0"/>
              <w:snapToGrid w:val="0"/>
              <w:jc w:val="center"/>
              <w:textAlignment w:val="center"/>
              <w:rPr>
                <w:kern w:val="0"/>
                <w:szCs w:val="21"/>
              </w:rPr>
            </w:pPr>
            <w:r>
              <w:rPr>
                <w:kern w:val="0"/>
                <w:szCs w:val="21"/>
              </w:rPr>
              <w:t>1.3万袋</w:t>
            </w:r>
          </w:p>
        </w:tc>
        <w:tc>
          <w:tcPr>
            <w:tcW w:w="1365" w:type="pct"/>
            <w:vAlign w:val="center"/>
          </w:tcPr>
          <w:p>
            <w:pPr>
              <w:widowControl/>
              <w:adjustRightInd w:val="0"/>
              <w:snapToGrid w:val="0"/>
              <w:jc w:val="center"/>
              <w:textAlignment w:val="center"/>
              <w:rPr>
                <w:kern w:val="0"/>
                <w:szCs w:val="21"/>
              </w:rPr>
            </w:pPr>
            <w:r>
              <w:rPr>
                <w:kern w:val="0"/>
                <w:szCs w:val="21"/>
              </w:rPr>
              <w:t>医疗使用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5" w:type="pct"/>
            <w:vAlign w:val="center"/>
          </w:tcPr>
          <w:p>
            <w:pPr>
              <w:widowControl/>
              <w:adjustRightInd w:val="0"/>
              <w:snapToGrid w:val="0"/>
              <w:jc w:val="center"/>
              <w:textAlignment w:val="center"/>
              <w:rPr>
                <w:kern w:val="0"/>
                <w:szCs w:val="21"/>
              </w:rPr>
            </w:pPr>
            <w:r>
              <w:rPr>
                <w:kern w:val="0"/>
                <w:szCs w:val="21"/>
              </w:rPr>
              <w:t>8</w:t>
            </w:r>
          </w:p>
        </w:tc>
        <w:tc>
          <w:tcPr>
            <w:tcW w:w="1585" w:type="pct"/>
            <w:vAlign w:val="center"/>
          </w:tcPr>
          <w:p>
            <w:pPr>
              <w:widowControl/>
              <w:adjustRightInd w:val="0"/>
              <w:snapToGrid w:val="0"/>
              <w:jc w:val="center"/>
              <w:textAlignment w:val="center"/>
              <w:rPr>
                <w:kern w:val="0"/>
                <w:szCs w:val="21"/>
              </w:rPr>
            </w:pPr>
            <w:r>
              <w:rPr>
                <w:kern w:val="0"/>
                <w:szCs w:val="21"/>
              </w:rPr>
              <w:t>甲醛</w:t>
            </w:r>
          </w:p>
        </w:tc>
        <w:tc>
          <w:tcPr>
            <w:tcW w:w="1365" w:type="pct"/>
            <w:vAlign w:val="center"/>
          </w:tcPr>
          <w:p>
            <w:pPr>
              <w:widowControl/>
              <w:adjustRightInd w:val="0"/>
              <w:snapToGrid w:val="0"/>
              <w:jc w:val="center"/>
              <w:textAlignment w:val="center"/>
              <w:rPr>
                <w:kern w:val="0"/>
                <w:szCs w:val="21"/>
              </w:rPr>
            </w:pPr>
            <w:r>
              <w:rPr>
                <w:kern w:val="0"/>
                <w:szCs w:val="21"/>
              </w:rPr>
              <w:t>0.05吨</w:t>
            </w:r>
          </w:p>
        </w:tc>
        <w:tc>
          <w:tcPr>
            <w:tcW w:w="1365" w:type="pct"/>
            <w:vAlign w:val="center"/>
          </w:tcPr>
          <w:p>
            <w:pPr>
              <w:widowControl/>
              <w:adjustRightInd w:val="0"/>
              <w:snapToGrid w:val="0"/>
              <w:jc w:val="center"/>
              <w:textAlignment w:val="center"/>
              <w:rPr>
                <w:kern w:val="0"/>
                <w:szCs w:val="21"/>
              </w:rPr>
            </w:pPr>
            <w:r>
              <w:rPr>
                <w:kern w:val="0"/>
                <w:szCs w:val="21"/>
              </w:rPr>
              <w:t>病房消毒使用</w:t>
            </w:r>
          </w:p>
        </w:tc>
      </w:tr>
    </w:tbl>
    <w:p>
      <w:pPr>
        <w:pStyle w:val="3"/>
        <w:snapToGrid w:val="0"/>
        <w:spacing w:before="0" w:after="0" w:line="360" w:lineRule="auto"/>
        <w:rPr>
          <w:rFonts w:ascii="Times New Roman" w:hAnsi="Times New Roman" w:eastAsiaTheme="minorEastAsia"/>
          <w:sz w:val="28"/>
          <w:lang w:val="zh-CN"/>
        </w:rPr>
      </w:pPr>
      <w:bookmarkStart w:id="68" w:name="_Toc61026592"/>
      <w:r>
        <w:rPr>
          <w:rFonts w:ascii="Times New Roman" w:hAnsi="Times New Roman" w:eastAsiaTheme="minorEastAsia"/>
          <w:sz w:val="28"/>
          <w:lang w:val="zh-CN"/>
        </w:rPr>
        <w:t>3.2 现有项目污染源分析</w:t>
      </w:r>
      <w:bookmarkEnd w:id="68"/>
    </w:p>
    <w:p>
      <w:pPr>
        <w:pStyle w:val="4"/>
        <w:snapToGrid w:val="0"/>
        <w:spacing w:before="0" w:after="0" w:line="360" w:lineRule="auto"/>
        <w:rPr>
          <w:rFonts w:eastAsiaTheme="minorEastAsia"/>
          <w:sz w:val="28"/>
          <w:lang w:val="zh-CN"/>
        </w:rPr>
      </w:pPr>
      <w:r>
        <w:rPr>
          <w:rFonts w:eastAsiaTheme="minorEastAsia"/>
          <w:kern w:val="0"/>
          <w:sz w:val="24"/>
        </w:rPr>
        <w:t>3.2.1 废水</w:t>
      </w:r>
    </w:p>
    <w:p>
      <w:pPr>
        <w:pStyle w:val="45"/>
        <w:snapToGrid w:val="0"/>
        <w:spacing w:line="360" w:lineRule="auto"/>
        <w:ind w:left="0" w:leftChars="0"/>
        <w:rPr>
          <w:rFonts w:eastAsiaTheme="minorEastAsia"/>
          <w:b/>
          <w:sz w:val="24"/>
        </w:rPr>
      </w:pPr>
      <w:r>
        <w:rPr>
          <w:rFonts w:eastAsiaTheme="minorEastAsia"/>
          <w:b/>
          <w:sz w:val="24"/>
        </w:rPr>
        <w:t>（1）水污染物排放情况及污染防治措施</w:t>
      </w:r>
    </w:p>
    <w:p>
      <w:pPr>
        <w:pStyle w:val="45"/>
        <w:snapToGrid w:val="0"/>
        <w:spacing w:line="360" w:lineRule="auto"/>
        <w:ind w:left="0" w:leftChars="0" w:firstLine="480" w:firstLineChars="200"/>
        <w:rPr>
          <w:rFonts w:eastAsiaTheme="minorEastAsia"/>
          <w:bCs/>
          <w:sz w:val="24"/>
        </w:rPr>
      </w:pPr>
      <w:r>
        <w:rPr>
          <w:rFonts w:eastAsiaTheme="minorEastAsia"/>
          <w:bCs/>
          <w:sz w:val="24"/>
        </w:rPr>
        <w:t>现有医院内部实行雨污分流。雨水进入东湖，污水进入医院内部污水处理站。医院营运期综合废水排放量</w:t>
      </w:r>
      <w:r>
        <w:rPr>
          <w:rFonts w:hint="eastAsia" w:eastAsiaTheme="minorEastAsia"/>
          <w:bCs/>
          <w:sz w:val="24"/>
        </w:rPr>
        <w:t>约</w:t>
      </w:r>
      <w:r>
        <w:rPr>
          <w:rFonts w:eastAsiaTheme="minorEastAsia"/>
          <w:bCs/>
          <w:sz w:val="24"/>
        </w:rPr>
        <w:t>为80m</w:t>
      </w:r>
      <w:r>
        <w:rPr>
          <w:rFonts w:eastAsiaTheme="minorEastAsia"/>
          <w:bCs/>
          <w:sz w:val="24"/>
          <w:vertAlign w:val="superscript"/>
        </w:rPr>
        <w:t>3</w:t>
      </w:r>
      <w:r>
        <w:rPr>
          <w:rFonts w:eastAsiaTheme="minorEastAsia"/>
          <w:bCs/>
          <w:sz w:val="24"/>
        </w:rPr>
        <w:t>/d，其中生活污水主要包括办公及医护人员生活污水。医疗废水主要包括病人住院废水、门诊废水等。废水中主要污染物为COD、SS、氨氮、BOD</w:t>
      </w:r>
      <w:r>
        <w:rPr>
          <w:rFonts w:eastAsiaTheme="minorEastAsia"/>
          <w:bCs/>
          <w:sz w:val="24"/>
          <w:vertAlign w:val="subscript"/>
        </w:rPr>
        <w:t>5</w:t>
      </w:r>
      <w:r>
        <w:rPr>
          <w:rFonts w:eastAsiaTheme="minorEastAsia"/>
          <w:bCs/>
          <w:sz w:val="24"/>
        </w:rPr>
        <w:t>、粪大肠菌总余氯等，项目综合废水主要污染因子浓度为COD：450mg/L、BOD</w:t>
      </w:r>
      <w:r>
        <w:rPr>
          <w:rFonts w:eastAsiaTheme="minorEastAsia"/>
          <w:bCs/>
          <w:sz w:val="24"/>
          <w:vertAlign w:val="subscript"/>
        </w:rPr>
        <w:t>5</w:t>
      </w:r>
      <w:r>
        <w:rPr>
          <w:rFonts w:eastAsiaTheme="minorEastAsia"/>
          <w:bCs/>
          <w:sz w:val="24"/>
        </w:rPr>
        <w:t>：200mg/L、氨氮：30mg/L、SS：300mg/L、粪大肠菌群：35000个/L，经物化预处理+二氧化氯消毒工艺后能够达到《医疗机构水污染物排放标准》（GB18466-2005）表2中预处理标准。</w:t>
      </w:r>
    </w:p>
    <w:p>
      <w:pPr>
        <w:pStyle w:val="45"/>
        <w:snapToGrid w:val="0"/>
        <w:spacing w:line="360" w:lineRule="auto"/>
        <w:ind w:left="0" w:leftChars="0" w:firstLine="480" w:firstLineChars="200"/>
        <w:rPr>
          <w:rFonts w:eastAsiaTheme="minorEastAsia"/>
          <w:bCs/>
          <w:sz w:val="24"/>
        </w:rPr>
      </w:pPr>
      <w:r>
        <w:rPr>
          <w:rFonts w:eastAsiaTheme="minorEastAsia"/>
          <w:bCs/>
          <w:sz w:val="24"/>
        </w:rPr>
        <w:t>项目废水排入医院自建的污水处理站统一处理，处理后的废水排入市政污水管网，最终经湘阴县城市污水处理厂达到《城镇污水处理厂污染物排放标准》（GB18918-2002）一级A标准后排入湘江。</w:t>
      </w:r>
    </w:p>
    <w:p>
      <w:pPr>
        <w:pStyle w:val="45"/>
        <w:snapToGrid w:val="0"/>
        <w:spacing w:line="360" w:lineRule="auto"/>
        <w:ind w:left="0" w:leftChars="0" w:firstLine="480" w:firstLineChars="200"/>
        <w:rPr>
          <w:rFonts w:eastAsiaTheme="minorEastAsia"/>
          <w:bCs/>
          <w:sz w:val="24"/>
        </w:rPr>
      </w:pPr>
      <w:r>
        <w:rPr>
          <w:rFonts w:eastAsiaTheme="minorEastAsia"/>
          <w:bCs/>
          <w:sz w:val="24"/>
        </w:rPr>
        <w:t>目前医院内需要设置一座废水事故贮存池，容积为40 m</w:t>
      </w:r>
      <w:r>
        <w:rPr>
          <w:rFonts w:eastAsiaTheme="minorEastAsia"/>
          <w:bCs/>
          <w:sz w:val="24"/>
          <w:vertAlign w:val="superscript"/>
        </w:rPr>
        <w:t>3</w:t>
      </w:r>
      <w:r>
        <w:rPr>
          <w:rFonts w:eastAsiaTheme="minorEastAsia"/>
          <w:bCs/>
          <w:sz w:val="24"/>
        </w:rPr>
        <w:t>，其容积能贮存项目正常生产约12小时所排需处理废水的总量；一旦出现事故时，立即将废水排入事故池，不得外排，同时必须污水处理预备设施。废水处理设施恢复正常运行后，必须将事故池中污水全部处理达标后排放。</w:t>
      </w:r>
    </w:p>
    <w:p>
      <w:pPr>
        <w:pStyle w:val="45"/>
        <w:snapToGrid w:val="0"/>
        <w:spacing w:line="360" w:lineRule="auto"/>
        <w:ind w:left="0" w:leftChars="0" w:firstLine="482" w:firstLineChars="200"/>
        <w:rPr>
          <w:rFonts w:eastAsiaTheme="minorEastAsia"/>
          <w:b/>
          <w:sz w:val="24"/>
        </w:rPr>
      </w:pPr>
      <w:r>
        <w:rPr>
          <w:rFonts w:eastAsiaTheme="minorEastAsia"/>
          <w:b/>
          <w:sz w:val="24"/>
        </w:rPr>
        <w:t>现有项目污水处理工艺流程如下：</w:t>
      </w:r>
    </w:p>
    <w:p>
      <w:pPr>
        <w:pStyle w:val="45"/>
        <w:snapToGrid w:val="0"/>
        <w:spacing w:line="360" w:lineRule="auto"/>
        <w:ind w:left="0" w:leftChars="0" w:firstLine="283" w:firstLineChars="118"/>
        <w:rPr>
          <w:rFonts w:eastAsiaTheme="minorEastAsia"/>
          <w:color w:val="FF0000"/>
          <w:sz w:val="24"/>
        </w:rPr>
      </w:pPr>
      <w:r>
        <w:rPr>
          <w:rFonts w:eastAsiaTheme="minorEastAsia"/>
          <w:color w:val="FF0000"/>
          <w:sz w:val="24"/>
        </w:rPr>
        <w:pict>
          <v:group id="画布 16" o:spid="_x0000_s1026" o:spt="203" style="height:249.6pt;width:415.5pt;" coordsize="52768,31692" editas="canvas">
            <o:lock v:ext="edit"/>
            <v:shape id="画布 16" o:spid="_x0000_s1027" o:spt="75" type="#_x0000_t75" style="position:absolute;left:0;top:0;height:31692;width:52768;" filled="f" o:preferrelative="f" stroked="t" coordsize="21600,21600">
              <v:fill on="f" focussize="0,0"/>
              <v:stroke weight="1pt" color="#000000" joinstyle="miter"/>
              <v:imagedata o:title=""/>
              <o:lock v:ext="edit" aspectratio="t"/>
            </v:shape>
            <v:shape id="文本框 18" o:spid="_x0000_s1028" o:spt="202" type="#_x0000_t202" style="position:absolute;left:750;top:13307;height:6210;width:4845;"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RR8QA&#10;AADbAAAADwAAAGRycy9kb3ducmV2LnhtbESPQWsCMRCF7wX/Qxiht5qtFNGtUaogbfEgtRavw2a6&#10;uzSZLEmq6793DoK3Gd6b976ZL3vv1IliagMbeB4VoIirYFuuDRy+N09TUCkjW3SBycCFEiwXg4c5&#10;ljac+YtO+1wrCeFUooEm567UOlUNeUyj0BGL9huixyxrrLWNeJZw7/S4KCbaY8vS0GBH64aqv/2/&#10;N+A+q9kxxd3L8f1w2c3qn5Xb5t6Yx2H/9goqU5/v5tv1hxV8gZVfZAC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80UfEAAAA2wAAAA8AAAAAAAAAAAAAAAAAmAIAAGRycy9k&#10;b3ducmV2LnhtbFBLBQYAAAAABAAEAPUAAACJAw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化粪池出水</w:t>
                    </w:r>
                  </w:p>
                </w:txbxContent>
              </v:textbox>
            </v:shape>
            <v:line id="直接连接符 20" o:spid="_x0000_s1029" o:spt="20" style="position:absolute;left:5595;top:16309;height:0;width:2934;"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4yL4AAADbAAAADwAAAGRycy9kb3ducmV2LnhtbERPTYvCMBC9L/gfwgje1lQPotW0LAui&#10;CHuw9uJtaGbbss2kNFHrv985CB4f73uXj65TdxpC69nAYp6AIq68bbk2UF72n2tQISJb7DyTgScF&#10;yLPJxw5T6x98pnsRayUhHFI00MTYp1qHqiGHYe57YuF+/eAwChxqbQd8SLjr9DJJVtphy9LQYE/f&#10;DVV/xc0ZEMf5EEq8/nQF7rlETDbrkzGz6fi1BRVpjG/xy320BpayXr7ID9DZ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c7jIvgAAANsAAAAPAAAAAAAAAAAAAAAAAKEC&#10;AABkcnMvZG93bnJldi54bWxQSwUGAAAAAAQABAD5AAAAjAMAAAAA&#10;">
              <v:path arrowok="t"/>
              <v:fill focussize="0,0"/>
              <v:stroke weight="1pt" color="#000000" endarrow="block"/>
              <v:imagedata o:title=""/>
              <o:lock v:ext="edit"/>
            </v:line>
            <v:shape id="文本框 137" o:spid="_x0000_s1030" o:spt="202" type="#_x0000_t202" style="position:absolute;left:8529;top:13307;height:6210;width:300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jMIA&#10;AADcAAAADwAAAGRycy9kb3ducmV2LnhtbERPTWsCMRC9C/6HMIXeNNtWtK5GaQtFxYPUWrwOm3F3&#10;MZksSarrvzeC4G0e73Om89YacSIfascKXvoZCOLC6ZpLBbvf7947iBCRNRrHpOBCAeazbmeKuXZn&#10;/qHTNpYihXDIUUEVY5NLGYqKLIa+a4gTd3DeYkzQl1J7PKdwa+Rrlg2lxZpTQ4UNfVVUHLf/VoFZ&#10;FeN98JvBfrG7bMbl36dZx1ap56f2YwIiUhsf4rt7qdP8txHcnkkXy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P+MwgAAANwAAAAPAAAAAAAAAAAAAAAAAJgCAABkcnMvZG93&#10;bnJldi54bWxQSwUGAAAAAAQABAD1AAAAhwM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格栅井</w:t>
                    </w:r>
                  </w:p>
                </w:txbxContent>
              </v:textbox>
            </v:shape>
            <v:line id="直接连接符 138" o:spid="_x0000_s1031" o:spt="20" style="position:absolute;left:11532;top:16309;height:0;width:266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XfMEAAADcAAAADwAAAGRycy9kb3ducmV2LnhtbESPQYvCQAyF74L/YYjgTaerIG51lEUQ&#10;RfBgtxdvoZNty3YypTNq/ffmIHjLI+97eVlve9eoO3Wh9mzga5qAIi68rbk0kP/uJ0tQISJbbDyT&#10;gScF2G6GgzWm1j/4QvcslkpCOKRooIqxTbUORUUOw9S3xLL7853DKLIrte3wIeGu0bMkWWiHNcuF&#10;ClvaVVT8ZzdnQIjLIeR4PTcZ7jlHTL6XJ2PGo/5nBSpSHz/mN320Un8ubeUZmUBv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rFd8wQAAANwAAAAPAAAAAAAAAAAAAAAA&#10;AKECAABkcnMvZG93bnJldi54bWxQSwUGAAAAAAQABAD5AAAAjwMAAAAA&#10;">
              <v:path arrowok="t"/>
              <v:fill focussize="0,0"/>
              <v:stroke weight="1pt" color="#000000" endarrow="block"/>
              <v:imagedata o:title=""/>
              <o:lock v:ext="edit"/>
            </v:line>
            <v:shape id="文本框 139" o:spid="_x0000_s1032" o:spt="202" type="#_x0000_t202" style="position:absolute;left:14125;top:13307;height:6210;width:320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OZcMA&#10;AADcAAAADwAAAGRycy9kb3ducmV2LnhtbERPTWsCMRC9F/wPYQRvNauW4m6NooK0xYN0tXgdNtPd&#10;pclkSVJd/30jFHqbx/ucxaq3RlzIh9axgsk4A0FcOd1yreB03D3OQYSIrNE4JgU3CrBaDh4WWGh3&#10;5Q+6lLEWKYRDgQqaGLtCylA1ZDGMXUecuC/nLcYEfS21x2sKt0ZOs+xZWmw5NTTY0bah6rv8sQrM&#10;e5Wfgz88nV9Pt0Nef27MPvZKjYb9+gVEpD7+i//cbzrNn+Vwf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vOZcMAAADcAAAADwAAAAAAAAAAAAAAAACYAgAAZHJzL2Rv&#10;d25yZXYueG1sUEsFBgAAAAAEAAQA9QAAAIgDA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调节池</w:t>
                    </w:r>
                  </w:p>
                </w:txbxContent>
              </v:textbox>
            </v:shape>
            <v:line id="直接连接符 143" o:spid="_x0000_s1033" o:spt="20" style="position:absolute;left:17332;top:16378;height:0;width:266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62cMMAAADcAAAADwAAAGRycy9kb3ducmV2LnhtbESPQWvCQBCF70L/wzIFb7ppFbGpq5RC&#10;sAgejLl4G7JjEtydDdk1pv/eFQRvM7z3vXmz2gzWiJ463zhW8DFNQBCXTjdcKSiO2WQJwgdkjcYx&#10;KfgnD5v122iFqXY3PlCfh0rEEPYpKqhDaFMpfVmTRT91LXHUzq6zGOLaVVJ3eIvh1sjPJFlIiw3H&#10;CzW29FtTecmvVkEkDltf4Glvcsy4QEy+ljulxu/DzzeIQEN4mZ/0n4715zN4PBMn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OtnDDAAAA3AAAAA8AAAAAAAAAAAAA&#10;AAAAoQIAAGRycy9kb3ducmV2LnhtbFBLBQYAAAAABAAEAPkAAACRAwAAAAA=&#10;">
              <v:path arrowok="t"/>
              <v:fill focussize="0,0"/>
              <v:stroke weight="1pt" color="#000000" endarrow="block"/>
              <v:imagedata o:title=""/>
              <o:lock v:ext="edit"/>
            </v:line>
            <v:shape id="文本框 144" o:spid="_x0000_s1034" o:spt="202" type="#_x0000_t202" style="position:absolute;left:19993;top:13375;height:6210;width:4709;"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ShsIA&#10;AADcAAAADwAAAGRycy9kb3ducmV2LnhtbERPTWsCMRC9F/wPYQRvNassolujqFBs6UG0Fq/DZrq7&#10;mEyWJNX135uC4G0e73Pmy84acSEfGscKRsMMBHHpdMOVguP3++sURIjIGo1jUnCjAMtF72WOhXZX&#10;3tPlECuRQjgUqKCOsS2kDGVNFsPQtcSJ+3XeYkzQV1J7vKZwa+Q4yybSYsOpocaWNjWV58OfVWA+&#10;y9kp+F1+2h5vu1n1szZfsVNq0O9WbyAidfEpfrg/dJqf5/D/TLp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BKGwgAAANwAAAAPAAAAAAAAAAAAAAAAAJgCAABkcnMvZG93&#10;bnJldi54bWxQSwUGAAAAAAQABAD1AAAAhwM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水解酸化池</w:t>
                    </w:r>
                  </w:p>
                </w:txbxContent>
              </v:textbox>
            </v:shape>
            <v:line id="直接连接符 145" o:spid="_x0000_s1035" o:spt="20" style="position:absolute;left:24770;top:16514;height:0;width:266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uLn8MAAADcAAAADwAAAGRycy9kb3ducmV2LnhtbESPQWvCQBCF70L/wzIFb7ppUbGpq5RC&#10;sAgejLl4G7JjEtydDdk1pv/eFQRvM7z3vXmz2gzWiJ463zhW8DFNQBCXTjdcKSiO2WQJwgdkjcYx&#10;KfgnD5v122iFqXY3PlCfh0rEEPYpKqhDaFMpfVmTRT91LXHUzq6zGOLaVVJ3eIvh1sjPJFlIiw3H&#10;CzW29FtTecmvVkEkDltf4Glvcsy4QEy+ljulxu/DzzeIQEN4mZ/0n471Z3N4PBMn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i5/DAAAA3AAAAA8AAAAAAAAAAAAA&#10;AAAAoQIAAGRycy9kb3ducmV2LnhtbFBLBQYAAAAABAAEAPkAAACRAwAAAAA=&#10;">
              <v:path arrowok="t"/>
              <v:fill focussize="0,0"/>
              <v:stroke weight="1pt" color="#000000" endarrow="block"/>
              <v:imagedata o:title=""/>
              <o:lock v:ext="edit"/>
            </v:line>
            <v:shape id="文本框 146" o:spid="_x0000_s1036" o:spt="202" type="#_x0000_t202" style="position:absolute;left:27431;top:13512;height:6209;width:477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pasIA&#10;AADcAAAADwAAAGRycy9kb3ducmV2LnhtbERPS2sCMRC+C/6HMEJvmlVE6tYoKoiVHsRH8TpsprtL&#10;k8mSRF3/vSkUvM3H95zZorVG3MiH2rGC4SADQVw4XXOp4Hza9N9BhIis0TgmBQ8KsJh3OzPMtbvz&#10;gW7HWIoUwiFHBVWMTS5lKCqyGAauIU7cj/MWY4K+lNrjPYVbI0dZNpEWa04NFTa0rqj4PV6tArMr&#10;ppfg9+PL9vzYT8vvlfmKrVJvvXb5ASJSG1/if/enTvPHE/h7Jl0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ilqwgAAANwAAAAPAAAAAAAAAAAAAAAAAJgCAABkcnMvZG93&#10;bnJldi54bWxQSwUGAAAAAAQABAD1AAAAhwM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接触氧化池</w:t>
                    </w:r>
                  </w:p>
                </w:txbxContent>
              </v:textbox>
            </v:shape>
            <v:line id="直接连接符 147" o:spid="_x0000_s1037" o:spt="20" style="position:absolute;left:32208;top:16582;height:0;width:266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Wwc8MAAADcAAAADwAAAGRycy9kb3ducmV2LnhtbESPQWvCQBCF70L/wzIFb7ppEbWpq5RC&#10;sAgejLl4G7JjEtydDdk1pv/eFQRvM7z3vXmz2gzWiJ463zhW8DFNQBCXTjdcKSiO2WQJwgdkjcYx&#10;KfgnD5v122iFqXY3PlCfh0rEEPYpKqhDaFMpfVmTRT91LXHUzq6zGOLaVVJ3eIvh1sjPJJlLiw3H&#10;CzW29FtTecmvVkEkDltf4Glvcsy4QEy+ljulxu/DzzeIQEN4mZ/0n471Zwt4PBMn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1sHPDAAAA3AAAAA8AAAAAAAAAAAAA&#10;AAAAoQIAAGRycy9kb3ducmV2LnhtbFBLBQYAAAAABAAEAPkAAACRAwAAAAA=&#10;">
              <v:path arrowok="t"/>
              <v:fill focussize="0,0"/>
              <v:stroke weight="1pt" color="#000000" endarrow="block"/>
              <v:imagedata o:title=""/>
              <o:lock v:ext="edit"/>
            </v:line>
            <v:shape id="文本框 148" o:spid="_x0000_s1038" o:spt="202" type="#_x0000_t202" style="position:absolute;left:34869;top:13580;height:6210;width:3003;"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Yg8UA&#10;AADcAAAADwAAAGRycy9kb3ducmV2LnhtbESPQWsCMRCF70L/QxihN80qUupqFCuUtvQgWovXYTPu&#10;LiaTJUl1/fedQ6G3Gd6b975Zrnvv1JViagMbmIwLUMRVsC3XBo5fr6NnUCkjW3SBycCdEqxXD4Ml&#10;ljbceE/XQ66VhHAq0UCTc1dqnaqGPKZx6IhFO4foMcsaa20j3iTcOz0tiiftsWVpaLCjbUPV5fDj&#10;DbiPan5KcTc7vR3vu3n9/eI+c2/M47DfLEBl6vO/+e/63Qr+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RiDxQAAANwAAAAPAAAAAAAAAAAAAAAAAJgCAABkcnMv&#10;ZG93bnJldi54bWxQSwUGAAAAAAQABAD1AAAAigM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二沉池</w:t>
                    </w:r>
                  </w:p>
                </w:txbxContent>
              </v:textbox>
            </v:shape>
            <v:line id="直接连接符 183" o:spid="_x0000_s1039" o:spt="20" style="position:absolute;left:37940;top:16719;height:0;width:266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M6sEAAADcAAAADwAAAGRycy9kb3ducmV2LnhtbESPQYvCMBCF74L/IYywN03dhaVWYxGh&#10;KMIerL14G5qxLTaT0mS1/nsjCN5meO9782aVDqYVN+pdY1nBfBaBIC6tbrhSUJyyaQzCeWSNrWVS&#10;8CAH6Xo8WmGi7Z2PdMt9JUIIuwQV1N53iZSurMmgm9mOOGgX2xv0Ye0rqXu8h3DTyu8o+pUGGw4X&#10;auxoW1N5zf+NgkAcd67A81+bY8YFYrSID0p9TYbNEoSnwX/Mb3qvQ/34B17PhAn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twzqwQAAANwAAAAPAAAAAAAAAAAAAAAA&#10;AKECAABkcnMvZG93bnJldi54bWxQSwUGAAAAAAQABAD5AAAAjwMAAAAA&#10;">
              <v:path arrowok="t"/>
              <v:fill focussize="0,0"/>
              <v:stroke weight="1pt" color="#000000" endarrow="block"/>
              <v:imagedata o:title=""/>
              <o:lock v:ext="edit"/>
            </v:line>
            <v:shape id="文本框 184" o:spid="_x0000_s1040" o:spt="202" type="#_x0000_t202" style="position:absolute;left:40601;top:13716;height:6210;width:477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oHMIA&#10;AADcAAAADwAAAGRycy9kb3ducmV2LnhtbERPTWsCMRC9C/0PYQreNFuRolujtAXR4kFcLV6HzXR3&#10;aTJZkqjrvzeC4G0e73Nmi84acSYfGscK3oYZCOLS6YYrBYf9cjABESKyRuOYFFwpwGL+0pthrt2F&#10;d3QuYiVSCIccFdQxtrmUoazJYhi6ljhxf85bjAn6SmqPlxRujRxl2bu02HBqqLGl75rK/+JkFZif&#10;cnoMfjs+rg7X7bT6/TKb2CnVf+0+P0BE6uJT/HCvdZo/GcP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agcwgAAANwAAAAPAAAAAAAAAAAAAAAAAJgCAABkcnMvZG93&#10;bnJldi54bWxQSwUGAAAAAAQABAD1AAAAhwM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接触消毒池</w:t>
                    </w:r>
                  </w:p>
                </w:txbxContent>
              </v:textbox>
            </v:shape>
            <v:line id="直接连接符 185" o:spid="_x0000_s1041" o:spt="20" style="position:absolute;left:45446;top:16719;height:0;width:266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xBcEAAADcAAAADwAAAGRycy9kb3ducmV2LnhtbESPQYvCMBCF74L/IYywN01d2KVWYxGh&#10;KMIerL14G5qxLTaT0mS1/nsjCN5meO9782aVDqYVN+pdY1nBfBaBIC6tbrhSUJyyaQzCeWSNrWVS&#10;8CAH6Xo8WmGi7Z2PdMt9JUIIuwQV1N53iZSurMmgm9mOOGgX2xv0Ye0rqXu8h3DTyu8o+pUGGw4X&#10;auxoW1N5zf+NgkAcd67A81+bY8YFYrSID0p9TYbNEoSnwX/Mb3qvQ/34B17PhAn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jEFwQAAANwAAAAPAAAAAAAAAAAAAAAA&#10;AKECAABkcnMvZG93bnJldi54bWxQSwUGAAAAAAQABAD5AAAAjwMAAAAA&#10;">
              <v:path arrowok="t"/>
              <v:fill focussize="0,0"/>
              <v:stroke weight="1pt" color="#000000" endarrow="block"/>
              <v:imagedata o:title=""/>
              <o:lock v:ext="edit"/>
            </v:line>
            <v:shape id="文本框 186" o:spid="_x0000_s1042" o:spt="202" type="#_x0000_t202" style="position:absolute;left:48107;top:13783;height:8462;width:4661;"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6iosQA&#10;AADcAAAADwAAAGRycy9kb3ducmV2LnhtbERPTWvCQBC9C/6HZYRepG4MIiHNKlUQWiuWRovXITtN&#10;gtnZkN2a9N93C0Jv83ifk60H04gbda62rGA+i0AQF1bXXCo4n3aPCQjnkTU2lknBDzlYr8ajDFNt&#10;e/6gW+5LEULYpaig8r5NpXRFRQbdzLbEgfuynUEfYFdK3WEfwk0j4yhaSoM1h4YKW9pWVFzzb6Ng&#10;IS92025Ncfi82Lf9+zSuj6+xUg+T4fkJhKfB/4vv7hcd5idL+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oqLEAAAA3AAAAA8AAAAAAAAAAAAAAAAAmAIAAGRycy9k&#10;b3ducmV2LnhtbFBLBQYAAAAABAAEAPUAAACJAwAAAAA=&#10;">
              <v:path/>
              <v:fill on="t" focussize="0,0"/>
              <v:stroke on="f" weight="1pt" joinstyle="miter"/>
              <v:imagedata o:title=""/>
              <o:lock v:ext="edit"/>
              <v:textbox>
                <w:txbxContent>
                  <w:p>
                    <w:pPr>
                      <w:rPr>
                        <w:rFonts w:ascii="等线" w:hAnsi="等线" w:eastAsia="等线"/>
                      </w:rPr>
                    </w:pPr>
                    <w:r>
                      <w:rPr>
                        <w:rFonts w:hint="eastAsia" w:ascii="等线" w:hAnsi="等线" w:eastAsia="等线"/>
                      </w:rPr>
                      <w:t>湘阴县污水处理厂</w:t>
                    </w:r>
                  </w:p>
                </w:txbxContent>
              </v:textbox>
            </v:shape>
            <v:shape id="文本框 187" o:spid="_x0000_s1043" o:spt="202" type="#_x0000_t202" style="position:absolute;left:29445;top:476;height:4863;width:9721;"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c2a8IA&#10;AADcAAAADwAAAGRycy9kb3ducmV2LnhtbERPS2sCMRC+C/0PYQq9abZSfKxGqYWi0oPUKl6Hzbi7&#10;mEyWJOr6701B8DYf33Om89YacSEfascK3nsZCOLC6ZpLBbu/7+4IRIjIGo1jUnCjAPPZS2eKuXZX&#10;/qXLNpYihXDIUUEVY5NLGYqKLIaea4gTd3TeYkzQl1J7vKZwa2Q/ywbSYs2pocKGvioqTtuzVWDW&#10;xfgQ/ObjsNzdNuNyvzA/sVXq7bX9nICI1Man+OFe6TR/NIT/Z9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zZrwgAAANwAAAAPAAAAAAAAAAAAAAAAAJgCAABkcnMvZG93&#10;bnJldi54bWxQSwUGAAAAAAQABAD1AAAAhwMAAAAA&#10;">
              <v:path/>
              <v:fill on="t" focussize="0,0"/>
              <v:stroke weight="1pt" color="#000000" joinstyle="miter"/>
              <v:imagedata o:title=""/>
              <o:lock v:ext="edit"/>
              <v:textbox>
                <w:txbxContent>
                  <w:p>
                    <w:pPr>
                      <w:jc w:val="center"/>
                      <w:rPr>
                        <w:rFonts w:ascii="等线" w:hAnsi="等线" w:eastAsia="等线"/>
                      </w:rPr>
                    </w:pPr>
                    <w:r>
                      <w:rPr>
                        <w:rFonts w:hint="eastAsia" w:ascii="等线" w:hAnsi="等线" w:eastAsia="等线"/>
                      </w:rPr>
                      <w:t>二氧化氯发生器</w:t>
                    </w:r>
                  </w:p>
                </w:txbxContent>
              </v:textbox>
            </v:shape>
            <v:line id="直接连接符 188" o:spid="_x0000_s1044" o:spt="20" style="position:absolute;left:39164;top:2866;height:0;width:266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em8EAAADcAAAADwAAAGRycy9kb3ducmV2LnhtbESPQYvCQAyF74L/YYiwN53qYelWRxFB&#10;FGEPdnvxFjqxLXYypTNq/febg+Atj7zv5WW1GVyrHtSHxrOB+SwBRVx623BloPjbT1NQISJbbD2T&#10;gRcF2KzHoxVm1j/5TI88VkpCOGRooI6xy7QOZU0Ow8x3xLK7+t5hFNlX2vb4lHDX6kWSfGuHDcuF&#10;Gjva1VTe8rszIMT5EAq8/LY57rlATH7SkzFfk2G7BBVpiB/zmz5aqZ9KW3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E56bwQAAANwAAAAPAAAAAAAAAAAAAAAA&#10;AKECAABkcnMvZG93bnJldi54bWxQSwUGAAAAAAQABAD5AAAAjwMAAAAA&#10;">
              <v:path arrowok="t"/>
              <v:fill focussize="0,0"/>
              <v:stroke weight="1pt" color="#000000" endarrow="block"/>
              <v:imagedata o:title=""/>
              <o:lock v:ext="edit"/>
            </v:line>
            <v:shape id="直接箭头连接符 21" o:spid="_x0000_s1045" o:spt="32" type="#_x0000_t32" style="position:absolute;left:41685;top:2866;height:10846;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QMIAAADbAAAADwAAAGRycy9kb3ducmV2LnhtbESPS4vCQBCE7wv+h6EFbzrxLdFRRJFd&#10;0Et83JtMmwQzPSEzatZf7ywIeyyq6itqsWpMKR5Uu8Kygn4vAkGcWl1wpuB82nVnIJxH1lhaJgW/&#10;5GC1bH0tMNb2yQk9jj4TAcIuRgW591UspUtzMuh6tiIO3tXWBn2QdSZ1jc8AN6UcRNFEGiw4LORY&#10;0San9Ha8GwXfGoeX62hs0iTZZdvp/jCavpxSnXaznoPw1Pj/8Kf9oxUM+vD3Jfw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L+QMIAAADbAAAADwAAAAAAAAAAAAAA&#10;AAChAgAAZHJzL2Rvd25yZXYueG1sUEsFBgAAAAAEAAQA+QAAAJADAAAAAA==&#10;">
              <v:path arrowok="t"/>
              <v:fill on="f" focussize="0,0"/>
              <v:stroke weight="1pt" color="#000000" endarrow="block"/>
              <v:imagedata o:title=""/>
              <o:lock v:ext="edit"/>
            </v:shape>
            <v:line id="直接连接符 24" o:spid="_x0000_s1046" o:spt="20" style="position:absolute;left:22336;top:19517;flip:x;height:3448;width:12;"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GOsUAAADbAAAADwAAAGRycy9kb3ducmV2LnhtbESPW2vCQBSE3wv+h+UIvjWbSm9GVxGh&#10;UEIVjHnp2yF7cqHZszG7mvjvu0Khj8PMfMOsNqNpxZV611hW8BTFIIgLqxuuFOSnj8d3EM4ja2wt&#10;k4IbOdisJw8rTLQd+EjXzFciQNglqKD2vkukdEVNBl1kO+LglbY36IPsK6l7HALctHIex6/SYMNh&#10;ocaOdjUVP9nFKEhPi3L3le4PN3f+PlD5Fh9fslyp2XTcLkF4Gv1/+K/9qRXMn+H+Jfw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ZGOsUAAADbAAAADwAAAAAAAAAA&#10;AAAAAAChAgAAZHJzL2Rvd25yZXYueG1sUEsFBgAAAAAEAAQA+QAAAJMDAAAAAA==&#10;">
              <v:path arrowok="t"/>
              <v:fill focussize="0,0"/>
              <v:stroke weight="1pt" color="#000000"/>
              <v:imagedata o:title=""/>
              <o:lock v:ext="edit"/>
            </v:line>
            <v:line id="直接连接符 189" o:spid="_x0000_s1047" o:spt="20" style="position:absolute;left:36441;top:19787;flip:x;height:6131;width:0;" o:connectortype="straight" stroked="t" coordsize="21600,21600">
              <v:path arrowok="t"/>
              <v:fill focussize="0,0"/>
              <v:stroke weight="1pt" color="#000000" endarrow="block"/>
              <v:imagedata o:title=""/>
              <o:lock v:ext="edit"/>
            </v:line>
            <v:shape id="直接箭头连接符 224" o:spid="_x0000_s1048" o:spt="32" type="#_x0000_t32" style="position:absolute;left:22346;top:22996;height:0;width:1409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cV8QAAADcAAAADwAAAGRycy9kb3ducmV2LnhtbESPQWvCQBSE74X+h+UVvOnGGKtEVxGL&#10;VNBLrN4f2WcSzL4N2a2m/npXEHocZuYbZr7sTC2u1LrKsoLhIAJBnFtdcaHg+LPpT0E4j6yxtkwK&#10;/sjBcvH+NsdU2xtndD34QgQIuxQVlN43qZQuL8mgG9iGOHhn2xr0QbaF1C3eAtzUMo6iT2mw4rBQ&#10;YkPrkvLL4dco+NY4Op2TscmzbFN8TXb7ZHJ3SvU+utUMhKfO/4df7a1WEMcJPM+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NxXxAAAANwAAAAPAAAAAAAAAAAA&#10;AAAAAKECAABkcnMvZG93bnJldi54bWxQSwUGAAAAAAQABAD5AAAAkgMAAAAA&#10;">
              <v:path arrowok="t"/>
              <v:fill on="f" focussize="0,0"/>
              <v:stroke weight="1pt" color="#000000" endarrow="block"/>
              <v:imagedata o:title=""/>
              <o:lock v:ext="edit"/>
            </v:shape>
            <v:shape id="文本框 190" o:spid="_x0000_s1049" o:spt="202" type="#_x0000_t202" style="position:absolute;left:34142;top:25909;height:4581;width:4777;" fillcolor="#FFFFFF"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4wsUA&#10;AADcAAAADwAAAGRycy9kb3ducmV2LnhtbESPT2vDMAzF74N+B6NCb6uzUcaS1i3bYGxjh9J/9Cpi&#10;NQm15WB7bfrtp8NgN4n39N5Pi9XgnbpQTF1gAw/TAhRxHWzHjYH97v3+GVTKyBZdYDJwowSr5ehu&#10;gZUNV97QZZsbJSGcKjTQ5txXWqe6JY9pGnpi0U4hesyyxkbbiFcJ904/FsWT9tixNLTY01tL9Xn7&#10;4w24r7o8prieHT/2t3XZHF7ddx6MmYyHlzmoTEP+N/9df1rBLwV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zjCxQAAANwAAAAPAAAAAAAAAAAAAAAAAJgCAABkcnMv&#10;ZG93bnJldi54bWxQSwUGAAAAAAQABAD1AAAAigMAAAAA&#10;">
              <v:path/>
              <v:fill on="t" focussize="0,0"/>
              <v:stroke weight="1pt" color="#000000" joinstyle="miter"/>
              <v:imagedata o:title=""/>
              <o:lock v:ext="edit"/>
              <v:textbox>
                <w:txbxContent>
                  <w:p>
                    <w:pPr>
                      <w:rPr>
                        <w:rFonts w:ascii="等线" w:hAnsi="等线" w:eastAsia="等线"/>
                      </w:rPr>
                    </w:pPr>
                    <w:r>
                      <w:rPr>
                        <w:rFonts w:hint="eastAsia" w:ascii="等线" w:hAnsi="等线" w:eastAsia="等线"/>
                      </w:rPr>
                      <w:t>污泥池</w:t>
                    </w:r>
                  </w:p>
                </w:txbxContent>
              </v:textbox>
            </v:shape>
            <v:line id="直接连接符 191" o:spid="_x0000_s1050" o:spt="20" style="position:absolute;left:38918;top:28182;height:0;width:2661;" o:connectortype="straight"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h278AAADcAAAADwAAAGRycy9kb3ducmV2LnhtbESPQQvCMAyF74L/oUTw5jo9iE6riCCK&#10;4MG5i7ewxm24pmOtOv+9FQRvCe99Ly/LdWdq8aTWVZYVjKMYBHFudcWFguyyG81AOI+ssbZMCt7k&#10;YL3q95aYaPviMz1TX4gQwi5BBaX3TSKly0sy6CLbEAftZluDPqxtIXWLrxBuajmJ46k0WHG4UGJD&#10;25Lye/owCgJx3rsMr6c6xR1niPF8dlRqOOg2CxCeOv83/+iDDvXnY/g+Eya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vCh278AAADcAAAADwAAAAAAAAAAAAAAAACh&#10;AgAAZHJzL2Rvd25yZXYueG1sUEsFBgAAAAAEAAQA+QAAAI0DAAAAAA==&#10;">
              <v:path arrowok="t"/>
              <v:fill focussize="0,0"/>
              <v:stroke weight="1pt" color="#000000" endarrow="block"/>
              <v:imagedata o:title=""/>
              <o:lock v:ext="edit"/>
            </v:line>
            <v:shape id="文本框 192" o:spid="_x0000_s1051" o:spt="202" type="#_x0000_t202" style="position:absolute;left:41579;top:25127;height:6210;width:4640;"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fMMA&#10;AADcAAAADwAAAGRycy9kb3ducmV2LnhtbERPTWvCQBC9C/6HZQQvUjcNUmx0FSsI1YrSVPE6ZMck&#10;mJ0N2a3Gf98tCN7m8T5nOm9NJa7UuNKygtdhBII4s7rkXMHhZ/UyBuE8ssbKMim4k4P5rNuZYqLt&#10;jb/pmvpchBB2CSoovK8TKV1WkEE3tDVx4M62MegDbHKpG7yFcFPJOIrepMGSQ0OBNS0Lyi7pr1Ew&#10;kif7US9Ntj2e7NdmP4jL3TpWqt9rFxMQnlr/FD/cnzrMf4/h/5lw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yfMMAAADcAAAADwAAAAAAAAAAAAAAAACYAgAAZHJzL2Rv&#10;d25yZXYueG1sUEsFBgAAAAAEAAQA9QAAAIgDAAAAAA==&#10;">
              <v:path/>
              <v:fill on="t" focussize="0,0"/>
              <v:stroke on="f" weight="1pt" joinstyle="miter"/>
              <v:imagedata o:title=""/>
              <o:lock v:ext="edit"/>
              <v:textbox>
                <w:txbxContent>
                  <w:p>
                    <w:pPr>
                      <w:rPr>
                        <w:rFonts w:ascii="等线" w:hAnsi="等线" w:eastAsia="等线"/>
                      </w:rPr>
                    </w:pPr>
                    <w:r>
                      <w:rPr>
                        <w:rFonts w:hint="eastAsia" w:ascii="等线" w:hAnsi="等线" w:eastAsia="等线"/>
                      </w:rPr>
                      <w:t>污泥外运处理</w:t>
                    </w:r>
                  </w:p>
                </w:txbxContent>
              </v:textbox>
            </v:shape>
            <w10:wrap type="none"/>
            <w10:anchorlock/>
          </v:group>
        </w:pict>
      </w:r>
    </w:p>
    <w:p>
      <w:pPr>
        <w:snapToGrid w:val="0"/>
        <w:spacing w:line="360" w:lineRule="auto"/>
        <w:jc w:val="center"/>
        <w:rPr>
          <w:rFonts w:eastAsiaTheme="minorEastAsia"/>
          <w:b/>
          <w:sz w:val="24"/>
          <w:szCs w:val="32"/>
        </w:rPr>
      </w:pPr>
      <w:r>
        <w:rPr>
          <w:rFonts w:eastAsiaTheme="minorEastAsia"/>
          <w:b/>
          <w:sz w:val="24"/>
          <w:szCs w:val="32"/>
        </w:rPr>
        <w:t>图3.2-1  现有项目污水处理站工艺流程图</w:t>
      </w:r>
    </w:p>
    <w:p>
      <w:pPr>
        <w:pStyle w:val="45"/>
        <w:snapToGrid w:val="0"/>
        <w:spacing w:line="360" w:lineRule="auto"/>
        <w:ind w:left="0" w:leftChars="0" w:firstLine="482" w:firstLineChars="200"/>
        <w:rPr>
          <w:rFonts w:eastAsiaTheme="minorEastAsia"/>
          <w:b/>
          <w:sz w:val="24"/>
        </w:rPr>
      </w:pPr>
      <w:r>
        <w:rPr>
          <w:rFonts w:eastAsiaTheme="minorEastAsia"/>
          <w:b/>
          <w:sz w:val="24"/>
        </w:rPr>
        <w:t>（2）废水排放源强</w:t>
      </w:r>
    </w:p>
    <w:p>
      <w:pPr>
        <w:pStyle w:val="45"/>
        <w:snapToGrid w:val="0"/>
        <w:spacing w:line="360" w:lineRule="auto"/>
        <w:ind w:left="0" w:leftChars="0" w:firstLine="480" w:firstLineChars="200"/>
        <w:rPr>
          <w:rFonts w:eastAsiaTheme="minorEastAsia"/>
          <w:sz w:val="24"/>
        </w:rPr>
      </w:pPr>
      <w:r>
        <w:rPr>
          <w:rFonts w:eastAsiaTheme="minorEastAsia"/>
          <w:sz w:val="24"/>
        </w:rPr>
        <w:t>根据现湘阴县中医院2020年5月27日委托第三方检测公司对项目污水处理站出口进行的四次水质数据分析，现有污水处理站出口各监测因子均可达到《医疗机构水污染物排放标准》（GB18466-2005）表2预处理标准的要求，监测结果如下表所示：</w:t>
      </w:r>
    </w:p>
    <w:p>
      <w:pPr>
        <w:pStyle w:val="45"/>
        <w:snapToGrid w:val="0"/>
        <w:spacing w:line="360" w:lineRule="auto"/>
        <w:ind w:left="0" w:leftChars="0"/>
        <w:jc w:val="center"/>
        <w:rPr>
          <w:rFonts w:eastAsiaTheme="minorEastAsia"/>
          <w:b/>
          <w:bCs/>
          <w:sz w:val="24"/>
        </w:rPr>
      </w:pPr>
      <w:r>
        <w:rPr>
          <w:rFonts w:eastAsiaTheme="minorEastAsia"/>
          <w:b/>
          <w:bCs/>
          <w:sz w:val="24"/>
        </w:rPr>
        <w:t>表3.2-2  现有污水处理站进出口水质监测结果一览表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71"/>
        <w:gridCol w:w="1184"/>
        <w:gridCol w:w="2094"/>
        <w:gridCol w:w="1167"/>
        <w:gridCol w:w="1150"/>
        <w:gridCol w:w="1066"/>
        <w:gridCol w:w="9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shd w:val="clear" w:color="auto" w:fill="FFFFFF"/>
            <w:vAlign w:val="center"/>
          </w:tcPr>
          <w:p>
            <w:pPr>
              <w:widowControl/>
              <w:adjustRightInd w:val="0"/>
              <w:snapToGrid w:val="0"/>
              <w:jc w:val="center"/>
              <w:textAlignment w:val="center"/>
              <w:rPr>
                <w:b/>
                <w:bCs/>
                <w:kern w:val="0"/>
                <w:szCs w:val="21"/>
              </w:rPr>
            </w:pPr>
            <w:r>
              <w:rPr>
                <w:b/>
                <w:bCs/>
                <w:kern w:val="0"/>
                <w:szCs w:val="21"/>
              </w:rPr>
              <w:t>监测时间</w:t>
            </w:r>
          </w:p>
        </w:tc>
        <w:tc>
          <w:tcPr>
            <w:tcW w:w="1184" w:type="dxa"/>
            <w:shd w:val="clear" w:color="auto" w:fill="FFFFFF"/>
            <w:vAlign w:val="center"/>
          </w:tcPr>
          <w:p>
            <w:pPr>
              <w:widowControl/>
              <w:adjustRightInd w:val="0"/>
              <w:snapToGrid w:val="0"/>
              <w:jc w:val="center"/>
              <w:textAlignment w:val="center"/>
              <w:rPr>
                <w:b/>
                <w:bCs/>
                <w:kern w:val="0"/>
                <w:szCs w:val="21"/>
              </w:rPr>
            </w:pPr>
            <w:r>
              <w:rPr>
                <w:b/>
                <w:bCs/>
                <w:kern w:val="0"/>
                <w:szCs w:val="21"/>
              </w:rPr>
              <w:t>监测点位</w:t>
            </w:r>
          </w:p>
        </w:tc>
        <w:tc>
          <w:tcPr>
            <w:tcW w:w="2094" w:type="dxa"/>
            <w:shd w:val="clear" w:color="auto" w:fill="FFFFFF"/>
            <w:vAlign w:val="center"/>
          </w:tcPr>
          <w:p>
            <w:pPr>
              <w:widowControl/>
              <w:adjustRightInd w:val="0"/>
              <w:snapToGrid w:val="0"/>
              <w:jc w:val="center"/>
              <w:textAlignment w:val="center"/>
              <w:rPr>
                <w:b/>
                <w:bCs/>
                <w:kern w:val="0"/>
                <w:szCs w:val="21"/>
              </w:rPr>
            </w:pPr>
            <w:r>
              <w:rPr>
                <w:b/>
                <w:bCs/>
                <w:kern w:val="0"/>
                <w:szCs w:val="21"/>
              </w:rPr>
              <w:t>检测因子</w:t>
            </w:r>
          </w:p>
        </w:tc>
        <w:tc>
          <w:tcPr>
            <w:tcW w:w="1167" w:type="dxa"/>
            <w:shd w:val="clear" w:color="auto" w:fill="FFFFFF"/>
            <w:vAlign w:val="center"/>
          </w:tcPr>
          <w:p>
            <w:pPr>
              <w:widowControl/>
              <w:adjustRightInd w:val="0"/>
              <w:snapToGrid w:val="0"/>
              <w:jc w:val="center"/>
              <w:textAlignment w:val="center"/>
              <w:rPr>
                <w:b/>
                <w:bCs/>
                <w:kern w:val="0"/>
                <w:szCs w:val="21"/>
              </w:rPr>
            </w:pPr>
            <w:r>
              <w:rPr>
                <w:b/>
                <w:bCs/>
                <w:kern w:val="0"/>
                <w:szCs w:val="21"/>
              </w:rPr>
              <w:t>检测结果</w:t>
            </w:r>
          </w:p>
        </w:tc>
        <w:tc>
          <w:tcPr>
            <w:tcW w:w="1150" w:type="dxa"/>
            <w:shd w:val="clear" w:color="auto" w:fill="FFFFFF"/>
            <w:vAlign w:val="center"/>
          </w:tcPr>
          <w:p>
            <w:pPr>
              <w:widowControl/>
              <w:adjustRightInd w:val="0"/>
              <w:snapToGrid w:val="0"/>
              <w:jc w:val="center"/>
              <w:textAlignment w:val="center"/>
              <w:rPr>
                <w:b/>
                <w:bCs/>
                <w:kern w:val="0"/>
                <w:szCs w:val="21"/>
              </w:rPr>
            </w:pPr>
            <w:r>
              <w:rPr>
                <w:b/>
                <w:bCs/>
                <w:kern w:val="0"/>
                <w:szCs w:val="21"/>
              </w:rPr>
              <w:t>标准限值</w:t>
            </w:r>
          </w:p>
        </w:tc>
        <w:tc>
          <w:tcPr>
            <w:tcW w:w="1066" w:type="dxa"/>
            <w:shd w:val="clear" w:color="auto" w:fill="FFFFFF"/>
            <w:vAlign w:val="center"/>
          </w:tcPr>
          <w:p>
            <w:pPr>
              <w:widowControl/>
              <w:adjustRightInd w:val="0"/>
              <w:snapToGrid w:val="0"/>
              <w:jc w:val="center"/>
              <w:textAlignment w:val="center"/>
              <w:rPr>
                <w:b/>
                <w:bCs/>
                <w:kern w:val="0"/>
                <w:szCs w:val="21"/>
              </w:rPr>
            </w:pPr>
            <w:r>
              <w:rPr>
                <w:b/>
                <w:bCs/>
                <w:kern w:val="0"/>
                <w:szCs w:val="21"/>
              </w:rPr>
              <w:t>是否达标</w:t>
            </w:r>
          </w:p>
        </w:tc>
        <w:tc>
          <w:tcPr>
            <w:tcW w:w="957" w:type="dxa"/>
            <w:shd w:val="clear" w:color="auto" w:fill="FFFFFF"/>
            <w:vAlign w:val="center"/>
          </w:tcPr>
          <w:p>
            <w:pPr>
              <w:widowControl/>
              <w:adjustRightInd w:val="0"/>
              <w:snapToGrid w:val="0"/>
              <w:jc w:val="center"/>
              <w:textAlignment w:val="center"/>
              <w:rPr>
                <w:b/>
                <w:bCs/>
                <w:kern w:val="0"/>
                <w:szCs w:val="21"/>
              </w:rPr>
            </w:pPr>
            <w:r>
              <w:rPr>
                <w:b/>
                <w:bCs/>
                <w:kern w:val="0"/>
                <w:szCs w:val="21"/>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restart"/>
            <w:shd w:val="clear" w:color="auto" w:fill="FFFFFF"/>
            <w:vAlign w:val="center"/>
          </w:tcPr>
          <w:p>
            <w:pPr>
              <w:widowControl/>
              <w:adjustRightInd w:val="0"/>
              <w:snapToGrid w:val="0"/>
              <w:jc w:val="center"/>
              <w:textAlignment w:val="center"/>
              <w:rPr>
                <w:kern w:val="0"/>
                <w:szCs w:val="21"/>
              </w:rPr>
            </w:pPr>
            <w:r>
              <w:rPr>
                <w:kern w:val="0"/>
                <w:szCs w:val="21"/>
              </w:rPr>
              <w:t>2020年5</w:t>
            </w:r>
          </w:p>
          <w:p>
            <w:pPr>
              <w:adjustRightInd w:val="0"/>
              <w:snapToGrid w:val="0"/>
              <w:jc w:val="center"/>
              <w:textAlignment w:val="center"/>
              <w:rPr>
                <w:kern w:val="0"/>
                <w:szCs w:val="21"/>
              </w:rPr>
            </w:pPr>
            <w:r>
              <w:rPr>
                <w:kern w:val="0"/>
                <w:szCs w:val="21"/>
              </w:rPr>
              <w:t>月27日</w:t>
            </w:r>
          </w:p>
        </w:tc>
        <w:tc>
          <w:tcPr>
            <w:tcW w:w="1184" w:type="dxa"/>
            <w:vMerge w:val="restart"/>
            <w:shd w:val="clear" w:color="auto" w:fill="FFFFFF"/>
            <w:vAlign w:val="center"/>
          </w:tcPr>
          <w:p>
            <w:pPr>
              <w:widowControl/>
              <w:adjustRightInd w:val="0"/>
              <w:snapToGrid w:val="0"/>
              <w:jc w:val="center"/>
              <w:textAlignment w:val="center"/>
              <w:rPr>
                <w:kern w:val="0"/>
                <w:szCs w:val="21"/>
              </w:rPr>
            </w:pPr>
            <w:r>
              <w:rPr>
                <w:kern w:val="0"/>
                <w:szCs w:val="21"/>
              </w:rPr>
              <w:t>废水总排</w:t>
            </w:r>
          </w:p>
          <w:p>
            <w:pPr>
              <w:adjustRightInd w:val="0"/>
              <w:snapToGrid w:val="0"/>
              <w:jc w:val="center"/>
              <w:textAlignment w:val="center"/>
              <w:rPr>
                <w:kern w:val="0"/>
                <w:szCs w:val="21"/>
              </w:rPr>
            </w:pPr>
            <w:r>
              <w:rPr>
                <w:kern w:val="0"/>
                <w:szCs w:val="21"/>
              </w:rPr>
              <w:t>□</w:t>
            </w:r>
            <w:r>
              <w:rPr>
                <w:rFonts w:ascii="Segoe UI Symbol" w:hAnsi="Segoe UI Symbol" w:cs="Segoe UI Symbol"/>
                <w:kern w:val="0"/>
                <w:szCs w:val="21"/>
              </w:rPr>
              <w:t>★</w:t>
            </w:r>
            <w:r>
              <w:rPr>
                <w:kern w:val="0"/>
                <w:szCs w:val="21"/>
              </w:rPr>
              <w:t>1</w:t>
            </w:r>
          </w:p>
        </w:tc>
        <w:tc>
          <w:tcPr>
            <w:tcW w:w="2094" w:type="dxa"/>
            <w:shd w:val="clear" w:color="auto" w:fill="FFFFFF"/>
            <w:vAlign w:val="center"/>
          </w:tcPr>
          <w:p>
            <w:pPr>
              <w:widowControl/>
              <w:adjustRightInd w:val="0"/>
              <w:snapToGrid w:val="0"/>
              <w:ind w:left="-275" w:leftChars="-131"/>
              <w:jc w:val="center"/>
              <w:textAlignment w:val="center"/>
              <w:rPr>
                <w:kern w:val="0"/>
                <w:szCs w:val="21"/>
              </w:rPr>
            </w:pPr>
            <w:r>
              <w:rPr>
                <w:kern w:val="0"/>
                <w:szCs w:val="21"/>
              </w:rPr>
              <w:t>pH值</w:t>
            </w:r>
          </w:p>
        </w:tc>
        <w:tc>
          <w:tcPr>
            <w:tcW w:w="1167" w:type="dxa"/>
            <w:shd w:val="clear" w:color="auto" w:fill="FFFFFF"/>
            <w:vAlign w:val="center"/>
          </w:tcPr>
          <w:p>
            <w:pPr>
              <w:widowControl/>
              <w:adjustRightInd w:val="0"/>
              <w:snapToGrid w:val="0"/>
              <w:ind w:left="-241" w:leftChars="-115"/>
              <w:jc w:val="center"/>
              <w:textAlignment w:val="center"/>
              <w:rPr>
                <w:kern w:val="0"/>
                <w:szCs w:val="21"/>
              </w:rPr>
            </w:pPr>
            <w:r>
              <w:rPr>
                <w:kern w:val="0"/>
                <w:szCs w:val="21"/>
              </w:rPr>
              <w:t>6.85</w:t>
            </w:r>
          </w:p>
        </w:tc>
        <w:tc>
          <w:tcPr>
            <w:tcW w:w="1150" w:type="dxa"/>
            <w:shd w:val="clear" w:color="auto" w:fill="FFFFFF"/>
            <w:vAlign w:val="center"/>
          </w:tcPr>
          <w:p>
            <w:pPr>
              <w:widowControl/>
              <w:adjustRightInd w:val="0"/>
              <w:snapToGrid w:val="0"/>
              <w:ind w:left="-38" w:leftChars="-18" w:firstLine="37" w:firstLineChars="18"/>
              <w:jc w:val="center"/>
              <w:textAlignment w:val="center"/>
              <w:rPr>
                <w:kern w:val="0"/>
                <w:szCs w:val="21"/>
              </w:rPr>
            </w:pPr>
            <w:r>
              <w:rPr>
                <w:kern w:val="0"/>
                <w:szCs w:val="21"/>
              </w:rPr>
              <w:t>6</w:t>
            </w:r>
            <w:r>
              <w:rPr>
                <w:rFonts w:eastAsia="微软雅黑"/>
                <w:kern w:val="0"/>
                <w:szCs w:val="21"/>
              </w:rPr>
              <w:t>〜</w:t>
            </w:r>
            <w:r>
              <w:rPr>
                <w:kern w:val="0"/>
                <w:szCs w:val="21"/>
              </w:rPr>
              <w:t>9</w:t>
            </w:r>
          </w:p>
        </w:tc>
        <w:tc>
          <w:tcPr>
            <w:tcW w:w="1066" w:type="dxa"/>
            <w:shd w:val="clear" w:color="auto" w:fill="FFFFFF"/>
            <w:vAlign w:val="center"/>
          </w:tcPr>
          <w:p>
            <w:pPr>
              <w:widowControl/>
              <w:adjustRightInd w:val="0"/>
              <w:snapToGrid w:val="0"/>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jc w:val="center"/>
              <w:textAlignment w:val="center"/>
              <w:rPr>
                <w:kern w:val="0"/>
                <w:szCs w:val="21"/>
              </w:rPr>
            </w:pPr>
            <w:r>
              <w:rPr>
                <w:kern w:val="0"/>
                <w:szCs w:val="21"/>
              </w:rPr>
              <w:t>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adjustRightInd w:val="0"/>
              <w:snapToGrid w:val="0"/>
              <w:jc w:val="center"/>
              <w:textAlignment w:val="center"/>
              <w:rPr>
                <w:kern w:val="0"/>
                <w:szCs w:val="21"/>
              </w:rPr>
            </w:pPr>
          </w:p>
        </w:tc>
        <w:tc>
          <w:tcPr>
            <w:tcW w:w="1184" w:type="dxa"/>
            <w:vMerge w:val="continue"/>
            <w:shd w:val="clear" w:color="auto" w:fill="FFFFFF"/>
            <w:vAlign w:val="center"/>
          </w:tcPr>
          <w:p>
            <w:pPr>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ind w:left="-275" w:leftChars="-131"/>
              <w:jc w:val="center"/>
              <w:textAlignment w:val="center"/>
              <w:rPr>
                <w:kern w:val="0"/>
                <w:szCs w:val="21"/>
              </w:rPr>
            </w:pPr>
            <w:r>
              <w:rPr>
                <w:kern w:val="0"/>
                <w:szCs w:val="21"/>
              </w:rPr>
              <w:t>悬浮物</w:t>
            </w:r>
          </w:p>
        </w:tc>
        <w:tc>
          <w:tcPr>
            <w:tcW w:w="1167" w:type="dxa"/>
            <w:shd w:val="clear" w:color="auto" w:fill="FFFFFF"/>
            <w:vAlign w:val="center"/>
          </w:tcPr>
          <w:p>
            <w:pPr>
              <w:widowControl/>
              <w:adjustRightInd w:val="0"/>
              <w:snapToGrid w:val="0"/>
              <w:ind w:left="-241" w:leftChars="-115"/>
              <w:jc w:val="center"/>
              <w:textAlignment w:val="center"/>
              <w:rPr>
                <w:kern w:val="0"/>
                <w:szCs w:val="21"/>
              </w:rPr>
            </w:pPr>
            <w:r>
              <w:rPr>
                <w:kern w:val="0"/>
                <w:szCs w:val="21"/>
              </w:rPr>
              <w:t>45</w:t>
            </w:r>
          </w:p>
        </w:tc>
        <w:tc>
          <w:tcPr>
            <w:tcW w:w="1150" w:type="dxa"/>
            <w:shd w:val="clear" w:color="auto" w:fill="FFFFFF"/>
            <w:vAlign w:val="center"/>
          </w:tcPr>
          <w:p>
            <w:pPr>
              <w:widowControl/>
              <w:adjustRightInd w:val="0"/>
              <w:snapToGrid w:val="0"/>
              <w:ind w:left="-38" w:leftChars="-18" w:firstLine="37" w:firstLineChars="18"/>
              <w:jc w:val="center"/>
              <w:textAlignment w:val="center"/>
              <w:rPr>
                <w:kern w:val="0"/>
                <w:szCs w:val="21"/>
              </w:rPr>
            </w:pPr>
            <w:r>
              <w:rPr>
                <w:kern w:val="0"/>
                <w:szCs w:val="21"/>
              </w:rPr>
              <w:t>60</w:t>
            </w:r>
          </w:p>
        </w:tc>
        <w:tc>
          <w:tcPr>
            <w:tcW w:w="1066"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adjustRightInd w:val="0"/>
              <w:snapToGrid w:val="0"/>
              <w:jc w:val="center"/>
              <w:textAlignment w:val="center"/>
              <w:rPr>
                <w:kern w:val="0"/>
                <w:szCs w:val="21"/>
              </w:rPr>
            </w:pPr>
          </w:p>
        </w:tc>
        <w:tc>
          <w:tcPr>
            <w:tcW w:w="1184" w:type="dxa"/>
            <w:vMerge w:val="continue"/>
            <w:shd w:val="clear" w:color="auto" w:fill="FFFFFF"/>
            <w:vAlign w:val="center"/>
          </w:tcPr>
          <w:p>
            <w:pPr>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ind w:left="-275" w:leftChars="-131"/>
              <w:jc w:val="center"/>
              <w:textAlignment w:val="center"/>
              <w:rPr>
                <w:kern w:val="0"/>
                <w:szCs w:val="21"/>
              </w:rPr>
            </w:pPr>
            <w:r>
              <w:rPr>
                <w:kern w:val="0"/>
                <w:szCs w:val="21"/>
              </w:rPr>
              <w:t>化学需氧量</w:t>
            </w:r>
          </w:p>
        </w:tc>
        <w:tc>
          <w:tcPr>
            <w:tcW w:w="1167" w:type="dxa"/>
            <w:shd w:val="clear" w:color="auto" w:fill="FFFFFF"/>
            <w:vAlign w:val="center"/>
          </w:tcPr>
          <w:p>
            <w:pPr>
              <w:widowControl/>
              <w:adjustRightInd w:val="0"/>
              <w:snapToGrid w:val="0"/>
              <w:ind w:left="-241" w:leftChars="-115"/>
              <w:jc w:val="center"/>
              <w:textAlignment w:val="center"/>
              <w:rPr>
                <w:kern w:val="0"/>
                <w:szCs w:val="21"/>
              </w:rPr>
            </w:pPr>
            <w:r>
              <w:rPr>
                <w:kern w:val="0"/>
                <w:szCs w:val="21"/>
              </w:rPr>
              <w:t>54</w:t>
            </w:r>
          </w:p>
        </w:tc>
        <w:tc>
          <w:tcPr>
            <w:tcW w:w="1150" w:type="dxa"/>
            <w:shd w:val="clear" w:color="auto" w:fill="FFFFFF"/>
            <w:vAlign w:val="center"/>
          </w:tcPr>
          <w:p>
            <w:pPr>
              <w:widowControl/>
              <w:adjustRightInd w:val="0"/>
              <w:snapToGrid w:val="0"/>
              <w:ind w:left="-38" w:leftChars="-18" w:firstLine="37" w:firstLineChars="18"/>
              <w:jc w:val="center"/>
              <w:textAlignment w:val="center"/>
              <w:rPr>
                <w:kern w:val="0"/>
                <w:szCs w:val="21"/>
              </w:rPr>
            </w:pPr>
            <w:r>
              <w:rPr>
                <w:kern w:val="0"/>
                <w:szCs w:val="21"/>
              </w:rPr>
              <w:t>250</w:t>
            </w:r>
          </w:p>
        </w:tc>
        <w:tc>
          <w:tcPr>
            <w:tcW w:w="1066"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adjustRightInd w:val="0"/>
              <w:snapToGrid w:val="0"/>
              <w:jc w:val="center"/>
              <w:textAlignment w:val="center"/>
              <w:rPr>
                <w:kern w:val="0"/>
                <w:szCs w:val="21"/>
              </w:rPr>
            </w:pPr>
          </w:p>
        </w:tc>
        <w:tc>
          <w:tcPr>
            <w:tcW w:w="1184" w:type="dxa"/>
            <w:vMerge w:val="continue"/>
            <w:shd w:val="clear" w:color="auto" w:fill="FFFFFF"/>
            <w:vAlign w:val="center"/>
          </w:tcPr>
          <w:p>
            <w:pPr>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ind w:left="-275" w:leftChars="-131" w:firstLine="273" w:firstLineChars="130"/>
              <w:jc w:val="center"/>
              <w:textAlignment w:val="center"/>
              <w:rPr>
                <w:kern w:val="0"/>
                <w:szCs w:val="21"/>
              </w:rPr>
            </w:pPr>
            <w:r>
              <w:rPr>
                <w:kern w:val="0"/>
                <w:szCs w:val="21"/>
              </w:rPr>
              <w:t>五日生化需氧量</w:t>
            </w:r>
          </w:p>
        </w:tc>
        <w:tc>
          <w:tcPr>
            <w:tcW w:w="1167" w:type="dxa"/>
            <w:shd w:val="clear" w:color="auto" w:fill="FFFFFF"/>
            <w:vAlign w:val="center"/>
          </w:tcPr>
          <w:p>
            <w:pPr>
              <w:widowControl/>
              <w:adjustRightInd w:val="0"/>
              <w:snapToGrid w:val="0"/>
              <w:ind w:left="-241" w:leftChars="-115" w:firstLine="360"/>
              <w:jc w:val="center"/>
              <w:textAlignment w:val="center"/>
              <w:rPr>
                <w:kern w:val="0"/>
                <w:szCs w:val="21"/>
              </w:rPr>
            </w:pPr>
            <w:r>
              <w:rPr>
                <w:kern w:val="0"/>
                <w:szCs w:val="21"/>
              </w:rPr>
              <w:t>13.7</w:t>
            </w:r>
          </w:p>
        </w:tc>
        <w:tc>
          <w:tcPr>
            <w:tcW w:w="1150" w:type="dxa"/>
            <w:shd w:val="clear" w:color="auto" w:fill="FFFFFF"/>
            <w:vAlign w:val="center"/>
          </w:tcPr>
          <w:p>
            <w:pPr>
              <w:widowControl/>
              <w:adjustRightInd w:val="0"/>
              <w:snapToGrid w:val="0"/>
              <w:ind w:left="-38" w:leftChars="-18" w:firstLine="37" w:firstLineChars="18"/>
              <w:jc w:val="center"/>
              <w:textAlignment w:val="center"/>
              <w:rPr>
                <w:kern w:val="0"/>
                <w:szCs w:val="21"/>
              </w:rPr>
            </w:pPr>
            <w:r>
              <w:rPr>
                <w:kern w:val="0"/>
                <w:szCs w:val="21"/>
              </w:rPr>
              <w:t>100</w:t>
            </w:r>
          </w:p>
        </w:tc>
        <w:tc>
          <w:tcPr>
            <w:tcW w:w="1066"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adjustRightInd w:val="0"/>
              <w:snapToGrid w:val="0"/>
              <w:jc w:val="center"/>
              <w:textAlignment w:val="center"/>
              <w:rPr>
                <w:kern w:val="0"/>
                <w:szCs w:val="21"/>
              </w:rPr>
            </w:pPr>
          </w:p>
        </w:tc>
        <w:tc>
          <w:tcPr>
            <w:tcW w:w="1184" w:type="dxa"/>
            <w:vMerge w:val="continue"/>
            <w:shd w:val="clear" w:color="auto" w:fill="FFFFFF"/>
            <w:vAlign w:val="center"/>
          </w:tcPr>
          <w:p>
            <w:pPr>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ind w:left="-275" w:leftChars="-131" w:firstLine="360"/>
              <w:jc w:val="center"/>
              <w:textAlignment w:val="center"/>
              <w:rPr>
                <w:kern w:val="0"/>
                <w:szCs w:val="21"/>
              </w:rPr>
            </w:pPr>
            <w:r>
              <w:rPr>
                <w:kern w:val="0"/>
                <w:szCs w:val="21"/>
              </w:rPr>
              <w:t>阴离子表面活性剂</w:t>
            </w:r>
          </w:p>
        </w:tc>
        <w:tc>
          <w:tcPr>
            <w:tcW w:w="1167" w:type="dxa"/>
            <w:shd w:val="clear" w:color="auto" w:fill="FFFFFF"/>
            <w:vAlign w:val="center"/>
          </w:tcPr>
          <w:p>
            <w:pPr>
              <w:widowControl/>
              <w:adjustRightInd w:val="0"/>
              <w:snapToGrid w:val="0"/>
              <w:spacing w:line="197" w:lineRule="auto"/>
              <w:ind w:left="-241" w:leftChars="-115" w:firstLine="360"/>
              <w:jc w:val="center"/>
              <w:textAlignment w:val="center"/>
              <w:rPr>
                <w:kern w:val="0"/>
                <w:szCs w:val="21"/>
              </w:rPr>
            </w:pPr>
            <w:r>
              <w:rPr>
                <w:kern w:val="0"/>
                <w:szCs w:val="21"/>
              </w:rPr>
              <w:t>0.05L</w:t>
            </w:r>
          </w:p>
        </w:tc>
        <w:tc>
          <w:tcPr>
            <w:tcW w:w="1150" w:type="dxa"/>
            <w:shd w:val="clear" w:color="auto" w:fill="FFFFFF"/>
            <w:vAlign w:val="center"/>
          </w:tcPr>
          <w:p>
            <w:pPr>
              <w:widowControl/>
              <w:adjustRightInd w:val="0"/>
              <w:snapToGrid w:val="0"/>
              <w:ind w:left="-38" w:leftChars="-18" w:firstLine="37" w:firstLineChars="18"/>
              <w:jc w:val="center"/>
              <w:textAlignment w:val="center"/>
              <w:rPr>
                <w:kern w:val="0"/>
                <w:szCs w:val="21"/>
              </w:rPr>
            </w:pPr>
            <w:r>
              <w:rPr>
                <w:kern w:val="0"/>
                <w:szCs w:val="21"/>
              </w:rPr>
              <w:t>10</w:t>
            </w:r>
          </w:p>
        </w:tc>
        <w:tc>
          <w:tcPr>
            <w:tcW w:w="1066"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adjustRightInd w:val="0"/>
              <w:snapToGrid w:val="0"/>
              <w:jc w:val="center"/>
              <w:textAlignment w:val="center"/>
              <w:rPr>
                <w:kern w:val="0"/>
                <w:szCs w:val="21"/>
              </w:rPr>
            </w:pPr>
          </w:p>
        </w:tc>
        <w:tc>
          <w:tcPr>
            <w:tcW w:w="1184" w:type="dxa"/>
            <w:vMerge w:val="continue"/>
            <w:shd w:val="clear" w:color="auto" w:fill="FFFFFF"/>
            <w:vAlign w:val="center"/>
          </w:tcPr>
          <w:p>
            <w:pPr>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ind w:left="-275" w:leftChars="-131"/>
              <w:jc w:val="center"/>
              <w:textAlignment w:val="center"/>
              <w:rPr>
                <w:kern w:val="0"/>
                <w:szCs w:val="21"/>
              </w:rPr>
            </w:pPr>
            <w:r>
              <w:rPr>
                <w:kern w:val="0"/>
                <w:szCs w:val="21"/>
              </w:rPr>
              <w:t>氨氮</w:t>
            </w:r>
          </w:p>
        </w:tc>
        <w:tc>
          <w:tcPr>
            <w:tcW w:w="1167" w:type="dxa"/>
            <w:shd w:val="clear" w:color="auto" w:fill="FFFFFF"/>
            <w:vAlign w:val="center"/>
          </w:tcPr>
          <w:p>
            <w:pPr>
              <w:widowControl/>
              <w:adjustRightInd w:val="0"/>
              <w:snapToGrid w:val="0"/>
              <w:ind w:left="-241" w:leftChars="-115"/>
              <w:jc w:val="center"/>
              <w:textAlignment w:val="center"/>
              <w:rPr>
                <w:kern w:val="0"/>
                <w:szCs w:val="21"/>
              </w:rPr>
            </w:pPr>
            <w:r>
              <w:rPr>
                <w:kern w:val="0"/>
                <w:szCs w:val="21"/>
              </w:rPr>
              <w:t>16.7</w:t>
            </w:r>
          </w:p>
        </w:tc>
        <w:tc>
          <w:tcPr>
            <w:tcW w:w="1150" w:type="dxa"/>
            <w:shd w:val="clear" w:color="auto" w:fill="FFFFFF"/>
            <w:vAlign w:val="center"/>
          </w:tcPr>
          <w:p>
            <w:pPr>
              <w:widowControl/>
              <w:adjustRightInd w:val="0"/>
              <w:snapToGrid w:val="0"/>
              <w:ind w:left="-38" w:leftChars="-18" w:firstLine="37" w:firstLineChars="18"/>
              <w:jc w:val="center"/>
              <w:textAlignment w:val="center"/>
              <w:rPr>
                <w:kern w:val="0"/>
                <w:szCs w:val="21"/>
              </w:rPr>
            </w:pPr>
            <w:r>
              <w:rPr>
                <w:kern w:val="0"/>
                <w:szCs w:val="21"/>
              </w:rPr>
              <w:t>/</w:t>
            </w:r>
          </w:p>
        </w:tc>
        <w:tc>
          <w:tcPr>
            <w:tcW w:w="1066"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w:t>
            </w:r>
          </w:p>
        </w:tc>
        <w:tc>
          <w:tcPr>
            <w:tcW w:w="957" w:type="dxa"/>
            <w:shd w:val="clear" w:color="auto" w:fill="FFFFFF"/>
            <w:vAlign w:val="center"/>
          </w:tcPr>
          <w:p>
            <w:pPr>
              <w:widowControl/>
              <w:adjustRightInd w:val="0"/>
              <w:snapToGrid w:val="0"/>
              <w:ind w:left="-241" w:leftChars="-115" w:firstLine="239" w:firstLineChars="114"/>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adjustRightInd w:val="0"/>
              <w:snapToGrid w:val="0"/>
              <w:jc w:val="center"/>
              <w:textAlignment w:val="center"/>
              <w:rPr>
                <w:kern w:val="0"/>
                <w:szCs w:val="21"/>
              </w:rPr>
            </w:pPr>
          </w:p>
        </w:tc>
        <w:tc>
          <w:tcPr>
            <w:tcW w:w="1184" w:type="dxa"/>
            <w:vMerge w:val="continue"/>
            <w:shd w:val="clear" w:color="auto" w:fill="FFFFFF"/>
            <w:vAlign w:val="center"/>
          </w:tcPr>
          <w:p>
            <w:pPr>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石油类</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0.06L</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20</w:t>
            </w:r>
          </w:p>
        </w:tc>
        <w:tc>
          <w:tcPr>
            <w:tcW w:w="1066"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adjustRightInd w:val="0"/>
              <w:snapToGrid w:val="0"/>
              <w:jc w:val="center"/>
              <w:textAlignment w:val="center"/>
              <w:rPr>
                <w:kern w:val="0"/>
                <w:szCs w:val="21"/>
              </w:rPr>
            </w:pPr>
          </w:p>
        </w:tc>
        <w:tc>
          <w:tcPr>
            <w:tcW w:w="1184" w:type="dxa"/>
            <w:vMerge w:val="continue"/>
            <w:shd w:val="clear" w:color="auto" w:fill="FFFFFF"/>
            <w:vAlign w:val="center"/>
          </w:tcPr>
          <w:p>
            <w:pPr>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动植物油</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0.13</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20</w:t>
            </w:r>
          </w:p>
        </w:tc>
        <w:tc>
          <w:tcPr>
            <w:tcW w:w="1066"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挥发酚</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0.472</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1.0</w:t>
            </w:r>
          </w:p>
        </w:tc>
        <w:tc>
          <w:tcPr>
            <w:tcW w:w="1066"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六价</w:t>
            </w:r>
            <w:r>
              <w:rPr>
                <w:rFonts w:hint="eastAsia"/>
                <w:kern w:val="0"/>
                <w:szCs w:val="21"/>
              </w:rPr>
              <w:t>铬</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0.004L</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0.5</w:t>
            </w:r>
          </w:p>
        </w:tc>
        <w:tc>
          <w:tcPr>
            <w:tcW w:w="1066"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总氧化物</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0.004L</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0.5</w:t>
            </w:r>
          </w:p>
        </w:tc>
        <w:tc>
          <w:tcPr>
            <w:tcW w:w="1066" w:type="dxa"/>
            <w:shd w:val="clear" w:color="auto" w:fill="FFFFFF"/>
            <w:vAlign w:val="center"/>
          </w:tcPr>
          <w:p>
            <w:pPr>
              <w:widowControl/>
              <w:adjustRightInd w:val="0"/>
              <w:snapToGrid w:val="0"/>
              <w:ind w:leftChars="-10" w:hanging="21" w:hangingChars="10"/>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色度</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2</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w:t>
            </w:r>
          </w:p>
        </w:tc>
        <w:tc>
          <w:tcPr>
            <w:tcW w:w="1066" w:type="dxa"/>
            <w:shd w:val="clear" w:color="auto" w:fill="FFFFFF"/>
            <w:vAlign w:val="center"/>
          </w:tcPr>
          <w:p>
            <w:pPr>
              <w:widowControl/>
              <w:adjustRightInd w:val="0"/>
              <w:snapToGrid w:val="0"/>
              <w:ind w:leftChars="-10" w:hanging="21" w:hangingChars="10"/>
              <w:jc w:val="center"/>
              <w:textAlignment w:val="center"/>
              <w:rPr>
                <w:kern w:val="0"/>
                <w:szCs w:val="21"/>
              </w:rPr>
            </w:pPr>
            <w:r>
              <w:rPr>
                <w:kern w:val="0"/>
                <w:szCs w:val="21"/>
              </w:rPr>
              <w:t>/</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总镉</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0.05L</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0.1</w:t>
            </w:r>
          </w:p>
        </w:tc>
        <w:tc>
          <w:tcPr>
            <w:tcW w:w="1066" w:type="dxa"/>
            <w:shd w:val="clear" w:color="auto" w:fill="FFFFFF"/>
            <w:vAlign w:val="center"/>
          </w:tcPr>
          <w:p>
            <w:pPr>
              <w:widowControl/>
              <w:adjustRightInd w:val="0"/>
              <w:snapToGrid w:val="0"/>
              <w:ind w:leftChars="-10" w:hanging="21" w:hangingChars="10"/>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总锯</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0.03L</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1.5</w:t>
            </w:r>
          </w:p>
        </w:tc>
        <w:tc>
          <w:tcPr>
            <w:tcW w:w="1066" w:type="dxa"/>
            <w:shd w:val="clear" w:color="auto" w:fill="FFFFFF"/>
            <w:vAlign w:val="center"/>
          </w:tcPr>
          <w:p>
            <w:pPr>
              <w:widowControl/>
              <w:adjustRightInd w:val="0"/>
              <w:snapToGrid w:val="0"/>
              <w:ind w:leftChars="-10" w:hanging="21" w:hangingChars="10"/>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总汞</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0.00004L</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0.05</w:t>
            </w:r>
          </w:p>
        </w:tc>
        <w:tc>
          <w:tcPr>
            <w:tcW w:w="1066" w:type="dxa"/>
            <w:shd w:val="clear" w:color="auto" w:fill="FFFFFF"/>
            <w:vAlign w:val="center"/>
          </w:tcPr>
          <w:p>
            <w:pPr>
              <w:widowControl/>
              <w:adjustRightInd w:val="0"/>
              <w:snapToGrid w:val="0"/>
              <w:ind w:leftChars="-10" w:hanging="21" w:hangingChars="10"/>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粪大肠菌群</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400</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5000</w:t>
            </w:r>
          </w:p>
        </w:tc>
        <w:tc>
          <w:tcPr>
            <w:tcW w:w="1066" w:type="dxa"/>
            <w:shd w:val="clear" w:color="auto" w:fill="FFFFFF"/>
            <w:vAlign w:val="center"/>
          </w:tcPr>
          <w:p>
            <w:pPr>
              <w:widowControl/>
              <w:adjustRightInd w:val="0"/>
              <w:snapToGrid w:val="0"/>
              <w:ind w:leftChars="-10" w:hanging="21" w:hangingChars="10"/>
              <w:jc w:val="center"/>
              <w:textAlignment w:val="center"/>
              <w:rPr>
                <w:kern w:val="0"/>
                <w:szCs w:val="21"/>
              </w:rPr>
            </w:pPr>
            <w:r>
              <w:rPr>
                <w:kern w:val="0"/>
                <w:szCs w:val="21"/>
              </w:rPr>
              <w:t>是</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MPN/L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vMerge w:val="continue"/>
            <w:shd w:val="clear" w:color="auto" w:fill="FFFFFF"/>
            <w:vAlign w:val="center"/>
          </w:tcPr>
          <w:p>
            <w:pPr>
              <w:widowControl/>
              <w:adjustRightInd w:val="0"/>
              <w:snapToGrid w:val="0"/>
              <w:jc w:val="center"/>
              <w:textAlignment w:val="center"/>
              <w:rPr>
                <w:kern w:val="0"/>
                <w:szCs w:val="21"/>
              </w:rPr>
            </w:pPr>
          </w:p>
        </w:tc>
        <w:tc>
          <w:tcPr>
            <w:tcW w:w="1184" w:type="dxa"/>
            <w:vMerge w:val="continue"/>
            <w:shd w:val="clear" w:color="auto" w:fill="FFFFFF"/>
            <w:vAlign w:val="center"/>
          </w:tcPr>
          <w:p>
            <w:pPr>
              <w:widowControl/>
              <w:adjustRightInd w:val="0"/>
              <w:snapToGrid w:val="0"/>
              <w:jc w:val="center"/>
              <w:textAlignment w:val="center"/>
              <w:rPr>
                <w:kern w:val="0"/>
                <w:szCs w:val="21"/>
              </w:rPr>
            </w:pPr>
          </w:p>
        </w:tc>
        <w:tc>
          <w:tcPr>
            <w:tcW w:w="2094" w:type="dxa"/>
            <w:shd w:val="clear" w:color="auto" w:fill="FFFFFF"/>
            <w:vAlign w:val="center"/>
          </w:tcPr>
          <w:p>
            <w:pPr>
              <w:widowControl/>
              <w:adjustRightInd w:val="0"/>
              <w:snapToGrid w:val="0"/>
              <w:jc w:val="center"/>
              <w:textAlignment w:val="center"/>
              <w:rPr>
                <w:kern w:val="0"/>
                <w:szCs w:val="21"/>
              </w:rPr>
            </w:pPr>
            <w:r>
              <w:rPr>
                <w:kern w:val="0"/>
                <w:szCs w:val="21"/>
              </w:rPr>
              <w:t>总余氯</w:t>
            </w:r>
          </w:p>
        </w:tc>
        <w:tc>
          <w:tcPr>
            <w:tcW w:w="116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1.70</w:t>
            </w:r>
          </w:p>
        </w:tc>
        <w:tc>
          <w:tcPr>
            <w:tcW w:w="1150"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w:t>
            </w:r>
          </w:p>
        </w:tc>
        <w:tc>
          <w:tcPr>
            <w:tcW w:w="1066" w:type="dxa"/>
            <w:shd w:val="clear" w:color="auto" w:fill="FFFFFF"/>
            <w:vAlign w:val="center"/>
          </w:tcPr>
          <w:p>
            <w:pPr>
              <w:widowControl/>
              <w:adjustRightInd w:val="0"/>
              <w:snapToGrid w:val="0"/>
              <w:ind w:leftChars="-10" w:hanging="21" w:hangingChars="10"/>
              <w:jc w:val="center"/>
              <w:textAlignment w:val="center"/>
              <w:rPr>
                <w:kern w:val="0"/>
                <w:szCs w:val="21"/>
              </w:rPr>
            </w:pPr>
            <w:r>
              <w:rPr>
                <w:kern w:val="0"/>
                <w:szCs w:val="21"/>
              </w:rPr>
              <w:t>/</w:t>
            </w:r>
          </w:p>
        </w:tc>
        <w:tc>
          <w:tcPr>
            <w:tcW w:w="957" w:type="dxa"/>
            <w:shd w:val="clear" w:color="auto" w:fill="FFFFFF"/>
            <w:vAlign w:val="center"/>
          </w:tcPr>
          <w:p>
            <w:pPr>
              <w:widowControl/>
              <w:adjustRightInd w:val="0"/>
              <w:snapToGrid w:val="0"/>
              <w:ind w:left="-101" w:leftChars="-48" w:firstLine="100" w:firstLineChars="48"/>
              <w:jc w:val="center"/>
              <w:textAlignment w:val="center"/>
              <w:rPr>
                <w:kern w:val="0"/>
                <w:szCs w:val="21"/>
              </w:rPr>
            </w:pPr>
            <w:r>
              <w:rPr>
                <w:kern w:val="0"/>
                <w:szCs w:val="21"/>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71" w:type="dxa"/>
            <w:shd w:val="clear" w:color="auto" w:fill="FFFFFF"/>
            <w:vAlign w:val="center"/>
          </w:tcPr>
          <w:p>
            <w:pPr>
              <w:widowControl/>
              <w:adjustRightInd w:val="0"/>
              <w:snapToGrid w:val="0"/>
              <w:jc w:val="center"/>
              <w:textAlignment w:val="center"/>
              <w:rPr>
                <w:kern w:val="0"/>
                <w:szCs w:val="21"/>
              </w:rPr>
            </w:pPr>
            <w:r>
              <w:rPr>
                <w:kern w:val="0"/>
                <w:szCs w:val="21"/>
              </w:rPr>
              <w:t>参考标准</w:t>
            </w:r>
          </w:p>
        </w:tc>
        <w:tc>
          <w:tcPr>
            <w:tcW w:w="7618" w:type="dxa"/>
            <w:gridSpan w:val="6"/>
            <w:shd w:val="clear" w:color="auto" w:fill="FFFFFF"/>
            <w:vAlign w:val="center"/>
          </w:tcPr>
          <w:p>
            <w:pPr>
              <w:widowControl/>
              <w:adjustRightInd w:val="0"/>
              <w:snapToGrid w:val="0"/>
              <w:jc w:val="center"/>
              <w:textAlignment w:val="center"/>
              <w:rPr>
                <w:kern w:val="0"/>
                <w:szCs w:val="21"/>
              </w:rPr>
            </w:pPr>
            <w:r>
              <w:rPr>
                <w:kern w:val="0"/>
                <w:szCs w:val="21"/>
              </w:rPr>
              <w:t>《医疗机构水污染物排放标准》GB18466-2005表2中的预处理标准</w:t>
            </w:r>
          </w:p>
        </w:tc>
      </w:tr>
    </w:tbl>
    <w:p>
      <w:pPr>
        <w:snapToGrid w:val="0"/>
        <w:rPr>
          <w:rFonts w:eastAsiaTheme="minorEastAsia"/>
          <w:color w:val="FF0000"/>
          <w:sz w:val="24"/>
        </w:rPr>
      </w:pPr>
    </w:p>
    <w:p>
      <w:pPr>
        <w:pStyle w:val="4"/>
        <w:snapToGrid w:val="0"/>
        <w:spacing w:before="0" w:after="0" w:line="360" w:lineRule="auto"/>
        <w:rPr>
          <w:rFonts w:eastAsiaTheme="minorEastAsia"/>
          <w:sz w:val="28"/>
          <w:lang w:val="zh-CN"/>
        </w:rPr>
      </w:pPr>
      <w:r>
        <w:rPr>
          <w:rFonts w:eastAsiaTheme="minorEastAsia"/>
          <w:kern w:val="0"/>
          <w:sz w:val="24"/>
        </w:rPr>
        <w:t>3.2.2 废气污染源及处理措施</w:t>
      </w:r>
    </w:p>
    <w:p>
      <w:pPr>
        <w:pStyle w:val="45"/>
        <w:snapToGrid w:val="0"/>
        <w:spacing w:line="360" w:lineRule="auto"/>
        <w:ind w:left="0" w:leftChars="0" w:firstLine="480" w:firstLineChars="200"/>
        <w:rPr>
          <w:rFonts w:eastAsiaTheme="minorEastAsia"/>
          <w:sz w:val="24"/>
        </w:rPr>
      </w:pPr>
      <w:r>
        <w:rPr>
          <w:rFonts w:eastAsiaTheme="minorEastAsia"/>
          <w:sz w:val="24"/>
        </w:rPr>
        <w:t>医院营运期产生的大气污染物主要为发电机燃烧废气、污水处理站恶臭、以及其他废气。</w:t>
      </w:r>
    </w:p>
    <w:p>
      <w:pPr>
        <w:pStyle w:val="45"/>
        <w:snapToGrid w:val="0"/>
        <w:spacing w:line="360" w:lineRule="auto"/>
        <w:ind w:left="0" w:leftChars="0" w:firstLine="480" w:firstLineChars="200"/>
        <w:rPr>
          <w:rFonts w:eastAsiaTheme="minorEastAsia"/>
          <w:sz w:val="24"/>
        </w:rPr>
      </w:pPr>
      <w:r>
        <w:rPr>
          <w:rFonts w:eastAsiaTheme="minorEastAsia"/>
          <w:sz w:val="24"/>
        </w:rPr>
        <w:t>（1）发电机燃烧废气</w:t>
      </w:r>
    </w:p>
    <w:p>
      <w:pPr>
        <w:pStyle w:val="45"/>
        <w:snapToGrid w:val="0"/>
        <w:spacing w:line="360" w:lineRule="auto"/>
        <w:ind w:left="0" w:leftChars="0" w:firstLine="480" w:firstLineChars="200"/>
        <w:rPr>
          <w:rFonts w:eastAsiaTheme="minorEastAsia"/>
          <w:sz w:val="24"/>
        </w:rPr>
      </w:pPr>
      <w:r>
        <w:rPr>
          <w:rFonts w:eastAsiaTheme="minorEastAsia"/>
          <w:sz w:val="24"/>
        </w:rPr>
        <w:t>根据湘阴县当地市政用电情况，医院每月使用柴油发电机的时间一般不超过4小时，每月备用发电机工作时耗油168kg，医院柴油发电机烟气排放量28395.8m</w:t>
      </w:r>
      <w:r>
        <w:rPr>
          <w:rFonts w:eastAsiaTheme="minorEastAsia"/>
          <w:sz w:val="24"/>
          <w:vertAlign w:val="superscript"/>
        </w:rPr>
        <w:t>3</w:t>
      </w:r>
      <w:r>
        <w:rPr>
          <w:rFonts w:eastAsiaTheme="minorEastAsia"/>
          <w:sz w:val="24"/>
        </w:rPr>
        <w:t>/a，主要污染物SO</w:t>
      </w:r>
      <w:r>
        <w:rPr>
          <w:rFonts w:eastAsiaTheme="minorEastAsia"/>
          <w:sz w:val="24"/>
          <w:vertAlign w:val="subscript"/>
        </w:rPr>
        <w:t>2</w:t>
      </w:r>
      <w:r>
        <w:rPr>
          <w:rFonts w:eastAsiaTheme="minorEastAsia"/>
          <w:sz w:val="24"/>
        </w:rPr>
        <w:t>、NO</w:t>
      </w:r>
      <w:r>
        <w:rPr>
          <w:rFonts w:eastAsiaTheme="minorEastAsia"/>
          <w:sz w:val="24"/>
          <w:vertAlign w:val="subscript"/>
        </w:rPr>
        <w:t>2</w:t>
      </w:r>
      <w:r>
        <w:rPr>
          <w:rFonts w:eastAsiaTheme="minorEastAsia"/>
          <w:sz w:val="24"/>
        </w:rPr>
        <w:t>、烟尘的排放浓度分别为：41.65mg/m</w:t>
      </w:r>
      <w:r>
        <w:rPr>
          <w:rFonts w:eastAsiaTheme="minorEastAsia"/>
          <w:sz w:val="24"/>
          <w:vertAlign w:val="superscript"/>
        </w:rPr>
        <w:t>3</w:t>
      </w:r>
      <w:r>
        <w:rPr>
          <w:rFonts w:eastAsiaTheme="minorEastAsia"/>
          <w:sz w:val="24"/>
        </w:rPr>
        <w:t>，60.45mg/m</w:t>
      </w:r>
      <w:r>
        <w:rPr>
          <w:rFonts w:eastAsiaTheme="minorEastAsia"/>
          <w:sz w:val="24"/>
          <w:vertAlign w:val="superscript"/>
        </w:rPr>
        <w:t>3</w:t>
      </w:r>
      <w:r>
        <w:rPr>
          <w:rFonts w:eastAsiaTheme="minorEastAsia"/>
          <w:sz w:val="24"/>
        </w:rPr>
        <w:t>，14.85mg/m</w:t>
      </w:r>
      <w:r>
        <w:rPr>
          <w:rFonts w:eastAsiaTheme="minorEastAsia"/>
          <w:sz w:val="24"/>
          <w:vertAlign w:val="superscript"/>
        </w:rPr>
        <w:t>3</w:t>
      </w:r>
      <w:r>
        <w:rPr>
          <w:rFonts w:eastAsiaTheme="minorEastAsia"/>
          <w:sz w:val="24"/>
        </w:rPr>
        <w:t>；SO</w:t>
      </w:r>
      <w:r>
        <w:rPr>
          <w:rFonts w:eastAsiaTheme="minorEastAsia"/>
          <w:sz w:val="24"/>
          <w:vertAlign w:val="subscript"/>
        </w:rPr>
        <w:t>2</w:t>
      </w:r>
      <w:r>
        <w:rPr>
          <w:rFonts w:eastAsiaTheme="minorEastAsia"/>
          <w:sz w:val="24"/>
        </w:rPr>
        <w:t>、NO</w:t>
      </w:r>
      <w:r>
        <w:rPr>
          <w:rFonts w:eastAsiaTheme="minorEastAsia"/>
          <w:sz w:val="24"/>
          <w:vertAlign w:val="subscript"/>
        </w:rPr>
        <w:t>2</w:t>
      </w:r>
      <w:r>
        <w:rPr>
          <w:rFonts w:eastAsiaTheme="minorEastAsia"/>
          <w:sz w:val="24"/>
        </w:rPr>
        <w:t>、烟尘排速率分别为：0.84kg/h，0.0715kg/h，0.030kg/h。发电机尾气由内置专用烟道引至发电机房所在构筑物楼顶排放。低于国家环境保护总局函《关于柴油发电机排气执行标准的复函》（环函【2005】350号），备用发电机尾气排放标准执行《大气污染物综合排放标准》(GB16297-1996)中新污染源大气污染物排放限值，即SO</w:t>
      </w:r>
      <w:r>
        <w:rPr>
          <w:rFonts w:eastAsiaTheme="minorEastAsia"/>
          <w:sz w:val="24"/>
          <w:vertAlign w:val="subscript"/>
        </w:rPr>
        <w:t>2</w:t>
      </w:r>
      <w:r>
        <w:rPr>
          <w:rFonts w:eastAsiaTheme="minorEastAsia"/>
          <w:sz w:val="24"/>
        </w:rPr>
        <w:t>≤550mg/m</w:t>
      </w:r>
      <w:r>
        <w:rPr>
          <w:rFonts w:eastAsiaTheme="minorEastAsia"/>
          <w:sz w:val="24"/>
          <w:vertAlign w:val="superscript"/>
        </w:rPr>
        <w:t>3</w:t>
      </w:r>
      <w:r>
        <w:rPr>
          <w:rFonts w:eastAsiaTheme="minorEastAsia"/>
          <w:sz w:val="24"/>
        </w:rPr>
        <w:t>、NOx≤240mg/ m</w:t>
      </w:r>
      <w:r>
        <w:rPr>
          <w:rFonts w:eastAsiaTheme="minorEastAsia"/>
          <w:sz w:val="24"/>
          <w:vertAlign w:val="superscript"/>
        </w:rPr>
        <w:t>3</w:t>
      </w:r>
      <w:r>
        <w:rPr>
          <w:rFonts w:eastAsiaTheme="minorEastAsia"/>
          <w:sz w:val="24"/>
        </w:rPr>
        <w:t>、烟尘≤120mg/m</w:t>
      </w:r>
      <w:r>
        <w:rPr>
          <w:rFonts w:eastAsiaTheme="minorEastAsia"/>
          <w:sz w:val="24"/>
          <w:vertAlign w:val="superscript"/>
        </w:rPr>
        <w:t>3</w:t>
      </w:r>
      <w:r>
        <w:rPr>
          <w:rFonts w:eastAsiaTheme="minorEastAsia"/>
          <w:sz w:val="24"/>
        </w:rPr>
        <w:t>和林格曼黑度小于1级的标准，对周边环境影响不大。</w:t>
      </w:r>
    </w:p>
    <w:p>
      <w:pPr>
        <w:pStyle w:val="45"/>
        <w:snapToGrid w:val="0"/>
        <w:spacing w:line="360" w:lineRule="auto"/>
        <w:ind w:left="0" w:leftChars="0" w:firstLine="480" w:firstLineChars="200"/>
        <w:rPr>
          <w:rFonts w:eastAsiaTheme="minorEastAsia"/>
          <w:sz w:val="24"/>
        </w:rPr>
      </w:pPr>
      <w:r>
        <w:rPr>
          <w:rFonts w:eastAsiaTheme="minorEastAsia"/>
          <w:sz w:val="24"/>
        </w:rPr>
        <w:t>（2）污水处理站恶臭</w:t>
      </w:r>
    </w:p>
    <w:p>
      <w:pPr>
        <w:pStyle w:val="45"/>
        <w:snapToGrid w:val="0"/>
        <w:spacing w:line="360" w:lineRule="auto"/>
        <w:ind w:left="0" w:leftChars="0" w:firstLine="480" w:firstLineChars="200"/>
        <w:rPr>
          <w:rFonts w:eastAsiaTheme="minorEastAsia"/>
          <w:sz w:val="24"/>
        </w:rPr>
      </w:pPr>
      <w:r>
        <w:rPr>
          <w:rFonts w:eastAsiaTheme="minorEastAsia"/>
          <w:sz w:val="24"/>
        </w:rPr>
        <w:t>医院营运期产生的综合废水均进入污水处理站处理，其恶臭产生量一般来说较小，项目一体化污水处理装置置于第一层东面污水处理站房内，密封性较好。在系统正常运行时，产生的恶臭气体较少，其一般对地面大气环境质量影响不大。废水处理系统在污泥脱水、清运和处置时，污泥外露，会散发一定的恶臭气体进入大气环境，影响大气环境质量。在采取绿化种植、污泥及时清运、脱水密闭空间进行等措施后，其恶臭气体影响可得到进一步降低，其排放水平和影响程度可控制在人们可接受的范围内，对周边环境影响较小，运营多年未收到周边居民的相关反映。</w:t>
      </w:r>
    </w:p>
    <w:p>
      <w:pPr>
        <w:pStyle w:val="45"/>
        <w:snapToGrid w:val="0"/>
        <w:spacing w:line="360" w:lineRule="auto"/>
        <w:ind w:left="0" w:leftChars="0" w:firstLine="480" w:firstLineChars="200"/>
        <w:rPr>
          <w:rFonts w:eastAsiaTheme="minorEastAsia"/>
          <w:sz w:val="24"/>
        </w:rPr>
      </w:pPr>
      <w:r>
        <w:rPr>
          <w:rFonts w:eastAsiaTheme="minorEastAsia"/>
          <w:sz w:val="24"/>
        </w:rPr>
        <w:t>根据湖南谱实检测技术有限公司2020年11月18日-11月24日现场监测结果表明，湘阴县中医院现有项目污水处理站下风向氨气、硫化氢浓度均符合《医疗机构水污染物排放标准》（GB18466-2005）表3中污水处理站周边大气污染物控制标准（具体监测结果见下表），因此湘阴县中医院现有项目运行期间氨气、硫化氢排放对周边环境空气质量影响较小。</w:t>
      </w:r>
    </w:p>
    <w:p>
      <w:pPr>
        <w:pStyle w:val="45"/>
        <w:snapToGrid w:val="0"/>
        <w:spacing w:line="360" w:lineRule="auto"/>
        <w:ind w:left="0" w:leftChars="0"/>
        <w:jc w:val="center"/>
        <w:rPr>
          <w:rFonts w:eastAsiaTheme="minorEastAsia"/>
          <w:b/>
          <w:bCs/>
          <w:sz w:val="24"/>
        </w:rPr>
      </w:pPr>
      <w:bookmarkStart w:id="69" w:name="_Hlk57824199"/>
      <w:r>
        <w:rPr>
          <w:rFonts w:eastAsiaTheme="minorEastAsia"/>
          <w:b/>
          <w:bCs/>
          <w:sz w:val="24"/>
        </w:rPr>
        <w:t>表3.2-3 现有项目氨气、硫化氢污染情况</w:t>
      </w:r>
    </w:p>
    <w:bookmarkEnd w:id="69"/>
    <w:tbl>
      <w:tblPr>
        <w:tblStyle w:val="79"/>
        <w:tblW w:w="90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61"/>
        <w:gridCol w:w="830"/>
        <w:gridCol w:w="784"/>
        <w:gridCol w:w="1045"/>
        <w:gridCol w:w="1035"/>
        <w:gridCol w:w="1226"/>
        <w:gridCol w:w="814"/>
        <w:gridCol w:w="822"/>
        <w:gridCol w:w="8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14"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监测点位</w:t>
            </w:r>
          </w:p>
        </w:tc>
        <w:tc>
          <w:tcPr>
            <w:tcW w:w="1638" w:type="dxa"/>
            <w:gridSpan w:val="2"/>
            <w:tcBorders>
              <w:tl2br w:val="nil"/>
              <w:tr2bl w:val="nil"/>
            </w:tcBorders>
            <w:shd w:val="clear" w:color="auto" w:fill="auto"/>
            <w:vAlign w:val="center"/>
          </w:tcPr>
          <w:p>
            <w:pPr>
              <w:pStyle w:val="179"/>
              <w:spacing w:before="48" w:beforeLines="20" w:after="48" w:afterLines="20"/>
              <w:ind w:left="-105" w:leftChars="-50" w:right="-105" w:rightChars="-50"/>
              <w:rPr>
                <w:rFonts w:ascii="Times New Roman" w:hAnsi="Times New Roman" w:cs="Times New Roman" w:eastAsiaTheme="minorEastAsia"/>
                <w:b/>
                <w:bCs/>
                <w:sz w:val="18"/>
              </w:rPr>
            </w:pPr>
            <w:r>
              <w:rPr>
                <w:rFonts w:ascii="Times New Roman" w:hAnsi="Times New Roman" w:cs="Times New Roman" w:eastAsiaTheme="minorEastAsia"/>
                <w:b/>
                <w:bCs/>
                <w:sz w:val="18"/>
              </w:rPr>
              <w:t>监测点经纬度</w:t>
            </w:r>
          </w:p>
        </w:tc>
        <w:tc>
          <w:tcPr>
            <w:tcW w:w="760"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污染物</w:t>
            </w:r>
          </w:p>
        </w:tc>
        <w:tc>
          <w:tcPr>
            <w:tcW w:w="1012"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平均时间</w:t>
            </w:r>
          </w:p>
        </w:tc>
        <w:tc>
          <w:tcPr>
            <w:tcW w:w="1003"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评价标准</w:t>
            </w:r>
          </w:p>
        </w:tc>
        <w:tc>
          <w:tcPr>
            <w:tcW w:w="1188"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监测浓度范围/（ug/m</w:t>
            </w:r>
            <w:r>
              <w:rPr>
                <w:rFonts w:eastAsiaTheme="minorEastAsia"/>
                <w:b/>
                <w:bCs/>
                <w:sz w:val="18"/>
                <w:szCs w:val="18"/>
                <w:vertAlign w:val="superscript"/>
              </w:rPr>
              <w:t>3</w:t>
            </w:r>
            <w:r>
              <w:rPr>
                <w:rFonts w:eastAsiaTheme="minorEastAsia"/>
                <w:b/>
                <w:bCs/>
                <w:sz w:val="18"/>
                <w:szCs w:val="18"/>
              </w:rPr>
              <w:t>）</w:t>
            </w:r>
          </w:p>
        </w:tc>
        <w:tc>
          <w:tcPr>
            <w:tcW w:w="789"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最大浓度占标率</w:t>
            </w:r>
          </w:p>
        </w:tc>
        <w:tc>
          <w:tcPr>
            <w:tcW w:w="796"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超标率/%</w:t>
            </w:r>
          </w:p>
        </w:tc>
        <w:tc>
          <w:tcPr>
            <w:tcW w:w="789"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b/>
                <w:bCs/>
                <w:sz w:val="18"/>
                <w:szCs w:val="18"/>
              </w:rPr>
            </w:pPr>
            <w:r>
              <w:rPr>
                <w:rFonts w:eastAsiaTheme="minorEastAsia"/>
                <w:b/>
                <w:bCs/>
                <w:sz w:val="18"/>
                <w:szCs w:val="18"/>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814"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834" w:type="dxa"/>
            <w:tcBorders>
              <w:tl2br w:val="nil"/>
              <w:tr2bl w:val="nil"/>
            </w:tcBorders>
            <w:shd w:val="clear" w:color="auto" w:fill="auto"/>
            <w:vAlign w:val="center"/>
          </w:tcPr>
          <w:p>
            <w:pPr>
              <w:pStyle w:val="179"/>
              <w:spacing w:before="48" w:beforeLines="20" w:after="48" w:afterLines="20"/>
              <w:ind w:left="-105" w:leftChars="-50" w:right="-105" w:rightChars="-50"/>
              <w:rPr>
                <w:rFonts w:ascii="Times New Roman" w:hAnsi="Times New Roman" w:cs="Times New Roman" w:eastAsiaTheme="minorEastAsia"/>
                <w:b/>
                <w:bCs/>
                <w:sz w:val="18"/>
              </w:rPr>
            </w:pPr>
            <w:r>
              <w:rPr>
                <w:rFonts w:ascii="Times New Roman" w:hAnsi="Times New Roman" w:cs="Times New Roman" w:eastAsiaTheme="minorEastAsia"/>
                <w:b/>
                <w:bCs/>
                <w:sz w:val="18"/>
              </w:rPr>
              <w:t>东经</w:t>
            </w:r>
          </w:p>
        </w:tc>
        <w:tc>
          <w:tcPr>
            <w:tcW w:w="804" w:type="dxa"/>
            <w:tcBorders>
              <w:tl2br w:val="nil"/>
              <w:tr2bl w:val="nil"/>
            </w:tcBorders>
            <w:shd w:val="clear" w:color="auto" w:fill="auto"/>
            <w:vAlign w:val="center"/>
          </w:tcPr>
          <w:p>
            <w:pPr>
              <w:pStyle w:val="179"/>
              <w:spacing w:before="48" w:beforeLines="20" w:after="48" w:afterLines="20"/>
              <w:ind w:left="-105" w:leftChars="-50" w:right="-105" w:rightChars="-50"/>
              <w:rPr>
                <w:rFonts w:ascii="Times New Roman" w:hAnsi="Times New Roman" w:cs="Times New Roman" w:eastAsiaTheme="minorEastAsia"/>
                <w:b/>
                <w:bCs/>
                <w:sz w:val="18"/>
              </w:rPr>
            </w:pPr>
            <w:r>
              <w:rPr>
                <w:rFonts w:ascii="Times New Roman" w:hAnsi="Times New Roman" w:cs="Times New Roman" w:eastAsiaTheme="minorEastAsia"/>
                <w:b/>
                <w:bCs/>
                <w:sz w:val="18"/>
              </w:rPr>
              <w:t>北纬</w:t>
            </w:r>
          </w:p>
        </w:tc>
        <w:tc>
          <w:tcPr>
            <w:tcW w:w="760"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1012"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1003"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1188"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789"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796"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789"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4"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G1</w:t>
            </w:r>
          </w:p>
        </w:tc>
        <w:tc>
          <w:tcPr>
            <w:tcW w:w="834"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highlight w:val="green"/>
              </w:rPr>
            </w:pPr>
            <w:r>
              <w:rPr>
                <w:rFonts w:eastAsiaTheme="minorEastAsia"/>
                <w:sz w:val="18"/>
                <w:szCs w:val="18"/>
              </w:rPr>
              <w:t>112.75582541439817</w:t>
            </w:r>
          </w:p>
        </w:tc>
        <w:tc>
          <w:tcPr>
            <w:tcW w:w="804" w:type="dxa"/>
            <w:vMerge w:val="restart"/>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highlight w:val="green"/>
              </w:rPr>
            </w:pPr>
            <w:r>
              <w:rPr>
                <w:rFonts w:eastAsiaTheme="minorEastAsia"/>
                <w:sz w:val="18"/>
                <w:szCs w:val="18"/>
              </w:rPr>
              <w:t>28.716280083542706</w:t>
            </w:r>
          </w:p>
        </w:tc>
        <w:tc>
          <w:tcPr>
            <w:tcW w:w="760"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氨</w:t>
            </w:r>
          </w:p>
        </w:tc>
        <w:tc>
          <w:tcPr>
            <w:tcW w:w="1012"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1h平均</w:t>
            </w:r>
          </w:p>
        </w:tc>
        <w:tc>
          <w:tcPr>
            <w:tcW w:w="1003"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200 ug/m</w:t>
            </w:r>
            <w:r>
              <w:rPr>
                <w:rFonts w:eastAsiaTheme="minorEastAsia"/>
                <w:sz w:val="18"/>
                <w:szCs w:val="18"/>
                <w:vertAlign w:val="superscript"/>
              </w:rPr>
              <w:t>3</w:t>
            </w:r>
          </w:p>
        </w:tc>
        <w:tc>
          <w:tcPr>
            <w:tcW w:w="1188"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13~19</w:t>
            </w:r>
          </w:p>
        </w:tc>
        <w:tc>
          <w:tcPr>
            <w:tcW w:w="789"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9.5%</w:t>
            </w:r>
          </w:p>
        </w:tc>
        <w:tc>
          <w:tcPr>
            <w:tcW w:w="796"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0</w:t>
            </w:r>
          </w:p>
        </w:tc>
        <w:tc>
          <w:tcPr>
            <w:tcW w:w="789"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14"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834"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804" w:type="dxa"/>
            <w:vMerge w:val="continue"/>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p>
        </w:tc>
        <w:tc>
          <w:tcPr>
            <w:tcW w:w="760"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硫化氢</w:t>
            </w:r>
          </w:p>
        </w:tc>
        <w:tc>
          <w:tcPr>
            <w:tcW w:w="1012"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1h平均</w:t>
            </w:r>
          </w:p>
        </w:tc>
        <w:tc>
          <w:tcPr>
            <w:tcW w:w="1003"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10 ug/m</w:t>
            </w:r>
            <w:r>
              <w:rPr>
                <w:rFonts w:eastAsiaTheme="minorEastAsia"/>
                <w:sz w:val="18"/>
                <w:szCs w:val="18"/>
                <w:vertAlign w:val="superscript"/>
              </w:rPr>
              <w:t>3</w:t>
            </w:r>
          </w:p>
        </w:tc>
        <w:tc>
          <w:tcPr>
            <w:tcW w:w="1188"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ND</w:t>
            </w:r>
          </w:p>
        </w:tc>
        <w:tc>
          <w:tcPr>
            <w:tcW w:w="789"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0%</w:t>
            </w:r>
          </w:p>
        </w:tc>
        <w:tc>
          <w:tcPr>
            <w:tcW w:w="796"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0</w:t>
            </w:r>
          </w:p>
        </w:tc>
        <w:tc>
          <w:tcPr>
            <w:tcW w:w="789" w:type="dxa"/>
            <w:tcBorders>
              <w:tl2br w:val="nil"/>
              <w:tr2bl w:val="nil"/>
            </w:tcBorders>
            <w:shd w:val="clear" w:color="auto" w:fill="auto"/>
            <w:vAlign w:val="center"/>
          </w:tcPr>
          <w:p>
            <w:pPr>
              <w:snapToGrid w:val="0"/>
              <w:spacing w:before="48" w:beforeLines="20" w:after="48" w:afterLines="20"/>
              <w:ind w:left="-105" w:leftChars="-50" w:right="-105" w:rightChars="-50"/>
              <w:jc w:val="center"/>
              <w:rPr>
                <w:rFonts w:eastAsiaTheme="minorEastAsia"/>
                <w:sz w:val="18"/>
                <w:szCs w:val="18"/>
              </w:rPr>
            </w:pPr>
            <w:r>
              <w:rPr>
                <w:rFonts w:eastAsiaTheme="minorEastAsia"/>
                <w:sz w:val="18"/>
                <w:szCs w:val="18"/>
              </w:rPr>
              <w:t>达标</w:t>
            </w:r>
          </w:p>
        </w:tc>
      </w:tr>
    </w:tbl>
    <w:p>
      <w:pPr>
        <w:pStyle w:val="45"/>
        <w:snapToGrid w:val="0"/>
        <w:spacing w:line="360" w:lineRule="auto"/>
        <w:ind w:left="0" w:leftChars="0" w:firstLine="480" w:firstLineChars="200"/>
        <w:rPr>
          <w:rFonts w:eastAsiaTheme="minorEastAsia"/>
          <w:sz w:val="24"/>
        </w:rPr>
      </w:pPr>
      <w:r>
        <w:rPr>
          <w:rFonts w:eastAsiaTheme="minorEastAsia"/>
          <w:sz w:val="24"/>
        </w:rPr>
        <w:t>（4)）其他废气</w:t>
      </w:r>
    </w:p>
    <w:p>
      <w:pPr>
        <w:pStyle w:val="45"/>
        <w:snapToGrid w:val="0"/>
        <w:spacing w:line="360" w:lineRule="auto"/>
        <w:ind w:left="0" w:leftChars="0" w:firstLine="480" w:firstLineChars="200"/>
        <w:rPr>
          <w:rFonts w:eastAsiaTheme="minorEastAsia"/>
        </w:rPr>
      </w:pPr>
      <w:r>
        <w:rPr>
          <w:rFonts w:eastAsiaTheme="minorEastAsia"/>
          <w:sz w:val="24"/>
        </w:rPr>
        <w:t>医院内由于使用各类药品，且经常进行消毒卫生清洁，院内存在少量特殊异味气体。同时项目还会产生医疗卫生废气等，这些废气产生量较少，医院采用局部机械排风和自然通风相结合。手术室、医疗室等特殊病房采用洁净空调轮流换气，通过空调过滤、消毒系统可保证室内空气的清洁；值班室、检验室等工作间则采用排风系统进行换气；其它普通区域则采用自然通风。异味影响不明显。</w:t>
      </w:r>
    </w:p>
    <w:p>
      <w:pPr>
        <w:pStyle w:val="4"/>
        <w:snapToGrid w:val="0"/>
        <w:spacing w:before="0" w:after="0" w:line="360" w:lineRule="auto"/>
        <w:rPr>
          <w:rFonts w:eastAsiaTheme="minorEastAsia"/>
          <w:sz w:val="28"/>
          <w:lang w:val="zh-CN"/>
        </w:rPr>
      </w:pPr>
      <w:r>
        <w:rPr>
          <w:rFonts w:eastAsiaTheme="minorEastAsia"/>
          <w:kern w:val="0"/>
          <w:sz w:val="24"/>
        </w:rPr>
        <w:t>3.2.3 噪声污染源及处理措施</w:t>
      </w:r>
    </w:p>
    <w:p>
      <w:pPr>
        <w:pStyle w:val="45"/>
        <w:snapToGrid w:val="0"/>
        <w:spacing w:line="360" w:lineRule="auto"/>
        <w:ind w:left="0" w:leftChars="0" w:firstLine="480" w:firstLineChars="200"/>
        <w:rPr>
          <w:rFonts w:eastAsiaTheme="minorEastAsia"/>
          <w:sz w:val="24"/>
        </w:rPr>
      </w:pPr>
      <w:r>
        <w:rPr>
          <w:rFonts w:eastAsiaTheme="minorEastAsia"/>
          <w:sz w:val="24"/>
        </w:rPr>
        <w:t>医院噪声设备主要为备用发电机、风机、循环水泵、污水处理站臭气风机等。发电机位于医院的西部专用设备房内，采取基础减振、周围设置隔声屏障等措施。各类噪声设备噪声源强如下表。</w:t>
      </w:r>
    </w:p>
    <w:p>
      <w:pPr>
        <w:pStyle w:val="45"/>
        <w:snapToGrid w:val="0"/>
        <w:spacing w:line="360" w:lineRule="auto"/>
        <w:ind w:left="0" w:leftChars="0"/>
        <w:jc w:val="center"/>
        <w:rPr>
          <w:rFonts w:eastAsiaTheme="minorEastAsia"/>
          <w:b/>
          <w:bCs/>
          <w:sz w:val="24"/>
        </w:rPr>
      </w:pPr>
      <w:r>
        <w:rPr>
          <w:rFonts w:eastAsiaTheme="minorEastAsia"/>
          <w:b/>
          <w:bCs/>
          <w:sz w:val="24"/>
        </w:rPr>
        <w:t>3.2-4  项目噪声产生位置及治理措施</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1"/>
        <w:gridCol w:w="1488"/>
        <w:gridCol w:w="1134"/>
        <w:gridCol w:w="709"/>
        <w:gridCol w:w="709"/>
        <w:gridCol w:w="35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1" w:type="dxa"/>
            <w:vAlign w:val="center"/>
          </w:tcPr>
          <w:p>
            <w:pPr>
              <w:adjustRightInd w:val="0"/>
              <w:snapToGrid w:val="0"/>
              <w:jc w:val="center"/>
              <w:rPr>
                <w:b/>
                <w:bCs/>
                <w:szCs w:val="21"/>
              </w:rPr>
            </w:pPr>
            <w:r>
              <w:rPr>
                <w:b/>
                <w:bCs/>
                <w:szCs w:val="21"/>
              </w:rPr>
              <w:t>噪声源</w:t>
            </w:r>
          </w:p>
        </w:tc>
        <w:tc>
          <w:tcPr>
            <w:tcW w:w="1488" w:type="dxa"/>
            <w:vAlign w:val="center"/>
          </w:tcPr>
          <w:p>
            <w:pPr>
              <w:adjustRightInd w:val="0"/>
              <w:snapToGrid w:val="0"/>
              <w:jc w:val="center"/>
              <w:rPr>
                <w:b/>
                <w:bCs/>
                <w:szCs w:val="21"/>
              </w:rPr>
            </w:pPr>
            <w:r>
              <w:rPr>
                <w:b/>
                <w:bCs/>
                <w:szCs w:val="21"/>
              </w:rPr>
              <w:t>具体位置</w:t>
            </w:r>
          </w:p>
        </w:tc>
        <w:tc>
          <w:tcPr>
            <w:tcW w:w="1134" w:type="dxa"/>
            <w:vAlign w:val="center"/>
          </w:tcPr>
          <w:p>
            <w:pPr>
              <w:adjustRightInd w:val="0"/>
              <w:snapToGrid w:val="0"/>
              <w:jc w:val="center"/>
              <w:rPr>
                <w:b/>
                <w:bCs/>
                <w:szCs w:val="21"/>
              </w:rPr>
            </w:pPr>
            <w:r>
              <w:rPr>
                <w:b/>
                <w:bCs/>
                <w:szCs w:val="21"/>
              </w:rPr>
              <w:t>主要产噪设备</w:t>
            </w:r>
          </w:p>
        </w:tc>
        <w:tc>
          <w:tcPr>
            <w:tcW w:w="709" w:type="dxa"/>
            <w:vAlign w:val="center"/>
          </w:tcPr>
          <w:p>
            <w:pPr>
              <w:adjustRightInd w:val="0"/>
              <w:snapToGrid w:val="0"/>
              <w:jc w:val="center"/>
              <w:rPr>
                <w:b/>
                <w:bCs/>
                <w:szCs w:val="21"/>
              </w:rPr>
            </w:pPr>
            <w:r>
              <w:rPr>
                <w:b/>
                <w:bCs/>
                <w:szCs w:val="21"/>
              </w:rPr>
              <w:t>设备台数</w:t>
            </w:r>
          </w:p>
        </w:tc>
        <w:tc>
          <w:tcPr>
            <w:tcW w:w="709" w:type="dxa"/>
            <w:vAlign w:val="center"/>
          </w:tcPr>
          <w:p>
            <w:pPr>
              <w:adjustRightInd w:val="0"/>
              <w:snapToGrid w:val="0"/>
              <w:jc w:val="center"/>
              <w:rPr>
                <w:b/>
                <w:bCs/>
                <w:szCs w:val="21"/>
              </w:rPr>
            </w:pPr>
            <w:r>
              <w:rPr>
                <w:b/>
                <w:bCs/>
                <w:szCs w:val="21"/>
              </w:rPr>
              <w:t>声源强度</w:t>
            </w:r>
          </w:p>
        </w:tc>
        <w:tc>
          <w:tcPr>
            <w:tcW w:w="3588" w:type="dxa"/>
            <w:vAlign w:val="center"/>
          </w:tcPr>
          <w:p>
            <w:pPr>
              <w:adjustRightInd w:val="0"/>
              <w:snapToGrid w:val="0"/>
              <w:jc w:val="center"/>
              <w:rPr>
                <w:b/>
                <w:bCs/>
                <w:szCs w:val="21"/>
              </w:rPr>
            </w:pPr>
            <w:r>
              <w:rPr>
                <w:b/>
                <w:bCs/>
                <w:szCs w:val="21"/>
              </w:rPr>
              <w:t>处置措施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1" w:type="dxa"/>
            <w:vAlign w:val="center"/>
          </w:tcPr>
          <w:p>
            <w:pPr>
              <w:adjustRightInd w:val="0"/>
              <w:snapToGrid w:val="0"/>
              <w:jc w:val="center"/>
              <w:rPr>
                <w:szCs w:val="21"/>
              </w:rPr>
            </w:pPr>
            <w:r>
              <w:rPr>
                <w:szCs w:val="21"/>
              </w:rPr>
              <w:t>污水处理站</w:t>
            </w:r>
          </w:p>
        </w:tc>
        <w:tc>
          <w:tcPr>
            <w:tcW w:w="1488" w:type="dxa"/>
            <w:vAlign w:val="center"/>
          </w:tcPr>
          <w:p>
            <w:pPr>
              <w:adjustRightInd w:val="0"/>
              <w:snapToGrid w:val="0"/>
              <w:jc w:val="center"/>
              <w:rPr>
                <w:szCs w:val="21"/>
              </w:rPr>
            </w:pPr>
            <w:r>
              <w:rPr>
                <w:szCs w:val="21"/>
              </w:rPr>
              <w:t>项目东部</w:t>
            </w:r>
          </w:p>
        </w:tc>
        <w:tc>
          <w:tcPr>
            <w:tcW w:w="1134" w:type="dxa"/>
            <w:vAlign w:val="center"/>
          </w:tcPr>
          <w:p>
            <w:pPr>
              <w:adjustRightInd w:val="0"/>
              <w:snapToGrid w:val="0"/>
              <w:jc w:val="center"/>
              <w:rPr>
                <w:szCs w:val="21"/>
              </w:rPr>
            </w:pPr>
            <w:r>
              <w:rPr>
                <w:szCs w:val="21"/>
              </w:rPr>
              <w:t>水泵</w:t>
            </w:r>
          </w:p>
        </w:tc>
        <w:tc>
          <w:tcPr>
            <w:tcW w:w="709" w:type="dxa"/>
            <w:vAlign w:val="center"/>
          </w:tcPr>
          <w:p>
            <w:pPr>
              <w:adjustRightInd w:val="0"/>
              <w:snapToGrid w:val="0"/>
              <w:jc w:val="center"/>
              <w:rPr>
                <w:szCs w:val="21"/>
              </w:rPr>
            </w:pPr>
            <w:r>
              <w:rPr>
                <w:szCs w:val="21"/>
              </w:rPr>
              <w:t>2</w:t>
            </w:r>
          </w:p>
        </w:tc>
        <w:tc>
          <w:tcPr>
            <w:tcW w:w="709" w:type="dxa"/>
            <w:vAlign w:val="center"/>
          </w:tcPr>
          <w:p>
            <w:pPr>
              <w:adjustRightInd w:val="0"/>
              <w:snapToGrid w:val="0"/>
              <w:jc w:val="center"/>
              <w:rPr>
                <w:szCs w:val="21"/>
              </w:rPr>
            </w:pPr>
            <w:r>
              <w:rPr>
                <w:szCs w:val="21"/>
              </w:rPr>
              <w:t>90</w:t>
            </w:r>
          </w:p>
        </w:tc>
        <w:tc>
          <w:tcPr>
            <w:tcW w:w="3588" w:type="dxa"/>
            <w:vAlign w:val="center"/>
          </w:tcPr>
          <w:p>
            <w:pPr>
              <w:adjustRightInd w:val="0"/>
              <w:snapToGrid w:val="0"/>
              <w:jc w:val="center"/>
              <w:rPr>
                <w:szCs w:val="21"/>
              </w:rPr>
            </w:pPr>
            <w:r>
              <w:rPr>
                <w:szCs w:val="21"/>
              </w:rPr>
              <w:t>机组和泵均采取减振措施，进出口水管均采用柔性接头对接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1" w:type="dxa"/>
            <w:vAlign w:val="center"/>
          </w:tcPr>
          <w:p>
            <w:pPr>
              <w:adjustRightInd w:val="0"/>
              <w:snapToGrid w:val="0"/>
              <w:jc w:val="center"/>
              <w:rPr>
                <w:szCs w:val="21"/>
              </w:rPr>
            </w:pPr>
            <w:r>
              <w:rPr>
                <w:szCs w:val="21"/>
              </w:rPr>
              <w:t>水泵间</w:t>
            </w:r>
          </w:p>
        </w:tc>
        <w:tc>
          <w:tcPr>
            <w:tcW w:w="1488" w:type="dxa"/>
            <w:vAlign w:val="center"/>
          </w:tcPr>
          <w:p>
            <w:pPr>
              <w:adjustRightInd w:val="0"/>
              <w:snapToGrid w:val="0"/>
              <w:jc w:val="center"/>
              <w:rPr>
                <w:szCs w:val="21"/>
              </w:rPr>
            </w:pPr>
            <w:r>
              <w:rPr>
                <w:szCs w:val="21"/>
              </w:rPr>
              <w:t>项目东部</w:t>
            </w:r>
          </w:p>
        </w:tc>
        <w:tc>
          <w:tcPr>
            <w:tcW w:w="1134" w:type="dxa"/>
            <w:vAlign w:val="center"/>
          </w:tcPr>
          <w:p>
            <w:pPr>
              <w:adjustRightInd w:val="0"/>
              <w:snapToGrid w:val="0"/>
              <w:jc w:val="center"/>
              <w:rPr>
                <w:szCs w:val="21"/>
              </w:rPr>
            </w:pPr>
            <w:r>
              <w:rPr>
                <w:szCs w:val="21"/>
              </w:rPr>
              <w:t>水泵</w:t>
            </w:r>
          </w:p>
        </w:tc>
        <w:tc>
          <w:tcPr>
            <w:tcW w:w="709" w:type="dxa"/>
            <w:vAlign w:val="center"/>
          </w:tcPr>
          <w:p>
            <w:pPr>
              <w:adjustRightInd w:val="0"/>
              <w:snapToGrid w:val="0"/>
              <w:jc w:val="center"/>
              <w:rPr>
                <w:szCs w:val="21"/>
              </w:rPr>
            </w:pPr>
            <w:r>
              <w:rPr>
                <w:szCs w:val="21"/>
              </w:rPr>
              <w:t>4</w:t>
            </w:r>
          </w:p>
        </w:tc>
        <w:tc>
          <w:tcPr>
            <w:tcW w:w="709" w:type="dxa"/>
            <w:vAlign w:val="center"/>
          </w:tcPr>
          <w:p>
            <w:pPr>
              <w:adjustRightInd w:val="0"/>
              <w:snapToGrid w:val="0"/>
              <w:jc w:val="center"/>
              <w:rPr>
                <w:szCs w:val="21"/>
              </w:rPr>
            </w:pPr>
            <w:r>
              <w:rPr>
                <w:szCs w:val="21"/>
              </w:rPr>
              <w:t>90</w:t>
            </w:r>
          </w:p>
        </w:tc>
        <w:tc>
          <w:tcPr>
            <w:tcW w:w="3588" w:type="dxa"/>
            <w:vAlign w:val="center"/>
          </w:tcPr>
          <w:p>
            <w:pPr>
              <w:adjustRightInd w:val="0"/>
              <w:snapToGrid w:val="0"/>
              <w:jc w:val="center"/>
              <w:rPr>
                <w:szCs w:val="21"/>
              </w:rPr>
            </w:pPr>
            <w:r>
              <w:rPr>
                <w:szCs w:val="21"/>
              </w:rPr>
              <w:t>水泵隔声,采取减振措施，进出口水管均采用柔性接头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1" w:type="dxa"/>
            <w:vAlign w:val="center"/>
          </w:tcPr>
          <w:p>
            <w:pPr>
              <w:adjustRightInd w:val="0"/>
              <w:snapToGrid w:val="0"/>
              <w:jc w:val="center"/>
              <w:rPr>
                <w:szCs w:val="21"/>
              </w:rPr>
            </w:pPr>
            <w:r>
              <w:rPr>
                <w:szCs w:val="21"/>
              </w:rPr>
              <w:t>发电机房</w:t>
            </w:r>
          </w:p>
        </w:tc>
        <w:tc>
          <w:tcPr>
            <w:tcW w:w="1488" w:type="dxa"/>
            <w:vAlign w:val="center"/>
          </w:tcPr>
          <w:p>
            <w:pPr>
              <w:adjustRightInd w:val="0"/>
              <w:snapToGrid w:val="0"/>
              <w:jc w:val="center"/>
              <w:rPr>
                <w:szCs w:val="21"/>
              </w:rPr>
            </w:pPr>
            <w:r>
              <w:rPr>
                <w:szCs w:val="21"/>
              </w:rPr>
              <w:t>西部专用设备房</w:t>
            </w:r>
          </w:p>
        </w:tc>
        <w:tc>
          <w:tcPr>
            <w:tcW w:w="1134" w:type="dxa"/>
            <w:vAlign w:val="center"/>
          </w:tcPr>
          <w:p>
            <w:pPr>
              <w:adjustRightInd w:val="0"/>
              <w:snapToGrid w:val="0"/>
              <w:jc w:val="center"/>
              <w:rPr>
                <w:szCs w:val="21"/>
              </w:rPr>
            </w:pPr>
            <w:r>
              <w:rPr>
                <w:szCs w:val="21"/>
              </w:rPr>
              <w:t>柴油发电机</w:t>
            </w:r>
          </w:p>
        </w:tc>
        <w:tc>
          <w:tcPr>
            <w:tcW w:w="709" w:type="dxa"/>
            <w:vAlign w:val="center"/>
          </w:tcPr>
          <w:p>
            <w:pPr>
              <w:adjustRightInd w:val="0"/>
              <w:snapToGrid w:val="0"/>
              <w:jc w:val="center"/>
              <w:rPr>
                <w:szCs w:val="21"/>
              </w:rPr>
            </w:pPr>
            <w:r>
              <w:rPr>
                <w:szCs w:val="21"/>
              </w:rPr>
              <w:t>1</w:t>
            </w:r>
          </w:p>
        </w:tc>
        <w:tc>
          <w:tcPr>
            <w:tcW w:w="709" w:type="dxa"/>
            <w:vAlign w:val="center"/>
          </w:tcPr>
          <w:p>
            <w:pPr>
              <w:adjustRightInd w:val="0"/>
              <w:snapToGrid w:val="0"/>
              <w:jc w:val="center"/>
              <w:rPr>
                <w:szCs w:val="21"/>
              </w:rPr>
            </w:pPr>
            <w:r>
              <w:rPr>
                <w:szCs w:val="21"/>
              </w:rPr>
              <w:t>85</w:t>
            </w:r>
          </w:p>
        </w:tc>
        <w:tc>
          <w:tcPr>
            <w:tcW w:w="3588" w:type="dxa"/>
            <w:vAlign w:val="center"/>
          </w:tcPr>
          <w:p>
            <w:pPr>
              <w:adjustRightInd w:val="0"/>
              <w:snapToGrid w:val="0"/>
              <w:jc w:val="center"/>
              <w:rPr>
                <w:szCs w:val="21"/>
              </w:rPr>
            </w:pPr>
            <w:r>
              <w:rPr>
                <w:szCs w:val="21"/>
              </w:rPr>
              <w:t>进风道与排风道采取消声措施，对柴油发电机房的排烟系统加装消声器，柴油发电机组加装防振垫圈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61" w:type="dxa"/>
            <w:vAlign w:val="center"/>
          </w:tcPr>
          <w:p>
            <w:pPr>
              <w:adjustRightInd w:val="0"/>
              <w:snapToGrid w:val="0"/>
              <w:jc w:val="center"/>
              <w:rPr>
                <w:szCs w:val="21"/>
              </w:rPr>
            </w:pPr>
            <w:r>
              <w:rPr>
                <w:szCs w:val="21"/>
              </w:rPr>
              <w:t>人流、车辆</w:t>
            </w:r>
          </w:p>
        </w:tc>
        <w:tc>
          <w:tcPr>
            <w:tcW w:w="1488" w:type="dxa"/>
            <w:vAlign w:val="center"/>
          </w:tcPr>
          <w:p>
            <w:pPr>
              <w:adjustRightInd w:val="0"/>
              <w:snapToGrid w:val="0"/>
              <w:jc w:val="center"/>
              <w:rPr>
                <w:szCs w:val="21"/>
              </w:rPr>
            </w:pPr>
            <w:r>
              <w:rPr>
                <w:szCs w:val="21"/>
              </w:rPr>
              <w:t>——</w:t>
            </w:r>
          </w:p>
        </w:tc>
        <w:tc>
          <w:tcPr>
            <w:tcW w:w="1134" w:type="dxa"/>
            <w:vAlign w:val="center"/>
          </w:tcPr>
          <w:p>
            <w:pPr>
              <w:adjustRightInd w:val="0"/>
              <w:snapToGrid w:val="0"/>
              <w:jc w:val="center"/>
              <w:rPr>
                <w:szCs w:val="21"/>
              </w:rPr>
            </w:pPr>
            <w:r>
              <w:rPr>
                <w:szCs w:val="21"/>
              </w:rPr>
              <w:t>——</w:t>
            </w:r>
          </w:p>
        </w:tc>
        <w:tc>
          <w:tcPr>
            <w:tcW w:w="709" w:type="dxa"/>
            <w:vAlign w:val="center"/>
          </w:tcPr>
          <w:p>
            <w:pPr>
              <w:adjustRightInd w:val="0"/>
              <w:snapToGrid w:val="0"/>
              <w:jc w:val="center"/>
              <w:rPr>
                <w:szCs w:val="21"/>
              </w:rPr>
            </w:pPr>
            <w:r>
              <w:rPr>
                <w:szCs w:val="21"/>
              </w:rPr>
              <w:t>——</w:t>
            </w:r>
          </w:p>
        </w:tc>
        <w:tc>
          <w:tcPr>
            <w:tcW w:w="709" w:type="dxa"/>
            <w:vAlign w:val="center"/>
          </w:tcPr>
          <w:p>
            <w:pPr>
              <w:adjustRightInd w:val="0"/>
              <w:snapToGrid w:val="0"/>
              <w:jc w:val="center"/>
              <w:rPr>
                <w:szCs w:val="21"/>
              </w:rPr>
            </w:pPr>
            <w:r>
              <w:rPr>
                <w:szCs w:val="21"/>
              </w:rPr>
              <w:t>70</w:t>
            </w:r>
          </w:p>
        </w:tc>
        <w:tc>
          <w:tcPr>
            <w:tcW w:w="3588" w:type="dxa"/>
            <w:vAlign w:val="center"/>
          </w:tcPr>
          <w:p>
            <w:pPr>
              <w:adjustRightInd w:val="0"/>
              <w:snapToGrid w:val="0"/>
              <w:jc w:val="center"/>
              <w:rPr>
                <w:szCs w:val="21"/>
              </w:rPr>
            </w:pPr>
            <w:r>
              <w:rPr>
                <w:szCs w:val="21"/>
              </w:rPr>
              <w:t>加强管理</w:t>
            </w:r>
          </w:p>
        </w:tc>
      </w:tr>
    </w:tbl>
    <w:p>
      <w:pPr>
        <w:snapToGrid w:val="0"/>
        <w:spacing w:line="360" w:lineRule="auto"/>
        <w:ind w:firstLine="480" w:firstLineChars="200"/>
        <w:rPr>
          <w:rFonts w:eastAsiaTheme="minorEastAsia"/>
          <w:sz w:val="24"/>
        </w:rPr>
      </w:pPr>
      <w:r>
        <w:rPr>
          <w:rFonts w:eastAsiaTheme="minorEastAsia"/>
          <w:sz w:val="24"/>
        </w:rPr>
        <w:t>根据湖南谱实检测技术有限公司2020年11月18日-11月19日现场监测结果表明，湘阴县中医院现有项目厂界四周噪声值均符合《工业企业厂界环境噪声排放标准》(GB12348-2008)中的 2 类标准（具体见下表），对周边环境影响相对较小。</w:t>
      </w:r>
    </w:p>
    <w:p>
      <w:pPr>
        <w:snapToGrid w:val="0"/>
        <w:spacing w:line="360" w:lineRule="auto"/>
        <w:jc w:val="center"/>
        <w:rPr>
          <w:rFonts w:eastAsiaTheme="minorEastAsia"/>
          <w:b/>
          <w:bCs/>
          <w:sz w:val="24"/>
        </w:rPr>
      </w:pPr>
    </w:p>
    <w:p>
      <w:pPr>
        <w:snapToGrid w:val="0"/>
        <w:spacing w:line="360" w:lineRule="auto"/>
        <w:jc w:val="center"/>
        <w:rPr>
          <w:rFonts w:eastAsiaTheme="minorEastAsia"/>
          <w:b/>
          <w:bCs/>
          <w:sz w:val="24"/>
        </w:rPr>
      </w:pPr>
    </w:p>
    <w:p>
      <w:pPr>
        <w:snapToGrid w:val="0"/>
        <w:spacing w:line="360" w:lineRule="auto"/>
        <w:jc w:val="center"/>
        <w:rPr>
          <w:rFonts w:eastAsiaTheme="minorEastAsia"/>
          <w:b/>
          <w:bCs/>
          <w:sz w:val="24"/>
        </w:rPr>
      </w:pPr>
      <w:r>
        <w:rPr>
          <w:rFonts w:eastAsiaTheme="minorEastAsia"/>
          <w:b/>
          <w:bCs/>
          <w:sz w:val="24"/>
        </w:rPr>
        <w:t>表3.2-5 现有项目噪声排放情况</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525"/>
        <w:gridCol w:w="1417"/>
        <w:gridCol w:w="1418"/>
        <w:gridCol w:w="1559"/>
        <w:gridCol w:w="18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2" w:hRule="atLeast"/>
          <w:jc w:val="center"/>
        </w:trPr>
        <w:tc>
          <w:tcPr>
            <w:tcW w:w="2525" w:type="dxa"/>
            <w:vMerge w:val="restart"/>
            <w:shd w:val="clear" w:color="auto" w:fill="FFFFFF"/>
            <w:vAlign w:val="center"/>
          </w:tcPr>
          <w:p>
            <w:pPr>
              <w:snapToGrid w:val="0"/>
              <w:jc w:val="center"/>
              <w:rPr>
                <w:rFonts w:eastAsiaTheme="minorEastAsia"/>
                <w:b/>
                <w:bCs/>
                <w:szCs w:val="21"/>
              </w:rPr>
            </w:pPr>
            <w:r>
              <w:rPr>
                <w:rFonts w:eastAsiaTheme="minorEastAsia"/>
                <w:b/>
                <w:bCs/>
                <w:szCs w:val="21"/>
              </w:rPr>
              <w:t>检测点位</w:t>
            </w:r>
          </w:p>
        </w:tc>
        <w:tc>
          <w:tcPr>
            <w:tcW w:w="6264" w:type="dxa"/>
            <w:gridSpan w:val="4"/>
            <w:shd w:val="clear" w:color="auto" w:fill="FFFFFF"/>
            <w:vAlign w:val="center"/>
          </w:tcPr>
          <w:p>
            <w:pPr>
              <w:snapToGrid w:val="0"/>
              <w:jc w:val="center"/>
              <w:rPr>
                <w:rFonts w:eastAsiaTheme="minorEastAsia"/>
                <w:b/>
                <w:bCs/>
                <w:szCs w:val="21"/>
              </w:rPr>
            </w:pPr>
            <w:r>
              <w:rPr>
                <w:rFonts w:eastAsiaTheme="minorEastAsia"/>
                <w:b/>
                <w:bCs/>
                <w:szCs w:val="21"/>
              </w:rPr>
              <w:t>检测结果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 w:hRule="atLeast"/>
          <w:jc w:val="center"/>
        </w:trPr>
        <w:tc>
          <w:tcPr>
            <w:tcW w:w="2525" w:type="dxa"/>
            <w:vMerge w:val="continue"/>
            <w:shd w:val="clear" w:color="auto" w:fill="FFFFFF"/>
            <w:vAlign w:val="center"/>
          </w:tcPr>
          <w:p>
            <w:pPr>
              <w:snapToGrid w:val="0"/>
              <w:jc w:val="center"/>
              <w:rPr>
                <w:rFonts w:eastAsiaTheme="minorEastAsia"/>
                <w:b/>
                <w:bCs/>
                <w:szCs w:val="21"/>
              </w:rPr>
            </w:pPr>
          </w:p>
        </w:tc>
        <w:tc>
          <w:tcPr>
            <w:tcW w:w="2835" w:type="dxa"/>
            <w:gridSpan w:val="2"/>
            <w:shd w:val="clear" w:color="auto" w:fill="FFFFFF"/>
            <w:vAlign w:val="center"/>
          </w:tcPr>
          <w:p>
            <w:pPr>
              <w:snapToGrid w:val="0"/>
              <w:jc w:val="center"/>
              <w:rPr>
                <w:rFonts w:eastAsiaTheme="minorEastAsia"/>
                <w:b/>
                <w:bCs/>
                <w:szCs w:val="21"/>
              </w:rPr>
            </w:pPr>
            <w:r>
              <w:rPr>
                <w:rFonts w:eastAsiaTheme="minorEastAsia"/>
                <w:b/>
                <w:bCs/>
                <w:szCs w:val="21"/>
              </w:rPr>
              <w:t>11月18日</w:t>
            </w:r>
          </w:p>
        </w:tc>
        <w:tc>
          <w:tcPr>
            <w:tcW w:w="3429" w:type="dxa"/>
            <w:gridSpan w:val="2"/>
            <w:shd w:val="clear" w:color="auto" w:fill="FFFFFF"/>
            <w:vAlign w:val="center"/>
          </w:tcPr>
          <w:p>
            <w:pPr>
              <w:snapToGrid w:val="0"/>
              <w:jc w:val="center"/>
              <w:rPr>
                <w:rFonts w:eastAsiaTheme="minorEastAsia"/>
                <w:b/>
                <w:bCs/>
                <w:szCs w:val="21"/>
              </w:rPr>
            </w:pPr>
            <w:r>
              <w:rPr>
                <w:rFonts w:eastAsiaTheme="minorEastAsia"/>
                <w:b/>
                <w:bCs/>
                <w:szCs w:val="21"/>
              </w:rPr>
              <w:t>11 月 19日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 w:hRule="atLeast"/>
          <w:jc w:val="center"/>
        </w:trPr>
        <w:tc>
          <w:tcPr>
            <w:tcW w:w="2525" w:type="dxa"/>
            <w:vMerge w:val="continue"/>
            <w:shd w:val="clear" w:color="auto" w:fill="FFFFFF"/>
            <w:vAlign w:val="center"/>
          </w:tcPr>
          <w:p>
            <w:pPr>
              <w:snapToGrid w:val="0"/>
              <w:jc w:val="center"/>
              <w:rPr>
                <w:rFonts w:eastAsiaTheme="minorEastAsia"/>
                <w:b/>
                <w:bCs/>
                <w:szCs w:val="21"/>
              </w:rPr>
            </w:pPr>
          </w:p>
        </w:tc>
        <w:tc>
          <w:tcPr>
            <w:tcW w:w="1417" w:type="dxa"/>
            <w:shd w:val="clear" w:color="auto" w:fill="FFFFFF"/>
            <w:vAlign w:val="center"/>
          </w:tcPr>
          <w:p>
            <w:pPr>
              <w:snapToGrid w:val="0"/>
              <w:jc w:val="center"/>
              <w:rPr>
                <w:rFonts w:eastAsiaTheme="minorEastAsia"/>
                <w:b/>
                <w:bCs/>
                <w:szCs w:val="21"/>
              </w:rPr>
            </w:pPr>
            <w:r>
              <w:rPr>
                <w:rFonts w:eastAsiaTheme="minorEastAsia"/>
                <w:b/>
                <w:bCs/>
                <w:szCs w:val="21"/>
              </w:rPr>
              <w:t>昼间</w:t>
            </w:r>
          </w:p>
        </w:tc>
        <w:tc>
          <w:tcPr>
            <w:tcW w:w="1418" w:type="dxa"/>
            <w:shd w:val="clear" w:color="auto" w:fill="FFFFFF"/>
            <w:vAlign w:val="center"/>
          </w:tcPr>
          <w:p>
            <w:pPr>
              <w:snapToGrid w:val="0"/>
              <w:jc w:val="center"/>
              <w:rPr>
                <w:rFonts w:eastAsiaTheme="minorEastAsia"/>
                <w:b/>
                <w:bCs/>
                <w:szCs w:val="21"/>
              </w:rPr>
            </w:pPr>
            <w:r>
              <w:rPr>
                <w:rFonts w:eastAsiaTheme="minorEastAsia"/>
                <w:b/>
                <w:bCs/>
                <w:szCs w:val="21"/>
              </w:rPr>
              <w:t>夜间</w:t>
            </w:r>
          </w:p>
        </w:tc>
        <w:tc>
          <w:tcPr>
            <w:tcW w:w="1559" w:type="dxa"/>
            <w:shd w:val="clear" w:color="auto" w:fill="FFFFFF"/>
            <w:vAlign w:val="center"/>
          </w:tcPr>
          <w:p>
            <w:pPr>
              <w:snapToGrid w:val="0"/>
              <w:jc w:val="center"/>
              <w:rPr>
                <w:rFonts w:eastAsiaTheme="minorEastAsia"/>
                <w:b/>
                <w:bCs/>
                <w:szCs w:val="21"/>
              </w:rPr>
            </w:pPr>
            <w:r>
              <w:rPr>
                <w:rFonts w:eastAsiaTheme="minorEastAsia"/>
                <w:b/>
                <w:bCs/>
                <w:szCs w:val="21"/>
              </w:rPr>
              <w:t>昼间</w:t>
            </w:r>
          </w:p>
        </w:tc>
        <w:tc>
          <w:tcPr>
            <w:tcW w:w="1870" w:type="dxa"/>
            <w:shd w:val="clear" w:color="auto" w:fill="FFFFFF"/>
            <w:vAlign w:val="center"/>
          </w:tcPr>
          <w:p>
            <w:pPr>
              <w:snapToGrid w:val="0"/>
              <w:jc w:val="center"/>
              <w:rPr>
                <w:rFonts w:eastAsiaTheme="minorEastAsia"/>
                <w:b/>
                <w:bCs/>
                <w:szCs w:val="21"/>
              </w:rPr>
            </w:pPr>
            <w:r>
              <w:rPr>
                <w:rFonts w:eastAsiaTheme="minorEastAsia"/>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N1厂界东侧外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53.7</w:t>
            </w:r>
          </w:p>
        </w:tc>
        <w:tc>
          <w:tcPr>
            <w:tcW w:w="1418" w:type="dxa"/>
            <w:shd w:val="clear" w:color="auto" w:fill="FFFFFF"/>
            <w:vAlign w:val="center"/>
          </w:tcPr>
          <w:p>
            <w:pPr>
              <w:snapToGrid w:val="0"/>
              <w:jc w:val="center"/>
              <w:rPr>
                <w:rFonts w:eastAsiaTheme="minorEastAsia"/>
                <w:szCs w:val="21"/>
              </w:rPr>
            </w:pPr>
            <w:r>
              <w:rPr>
                <w:rFonts w:eastAsiaTheme="minorEastAsia"/>
                <w:szCs w:val="21"/>
              </w:rPr>
              <w:t>46.5</w:t>
            </w:r>
          </w:p>
        </w:tc>
        <w:tc>
          <w:tcPr>
            <w:tcW w:w="1559" w:type="dxa"/>
            <w:shd w:val="clear" w:color="auto" w:fill="FFFFFF"/>
            <w:vAlign w:val="center"/>
          </w:tcPr>
          <w:p>
            <w:pPr>
              <w:snapToGrid w:val="0"/>
              <w:jc w:val="center"/>
              <w:rPr>
                <w:rFonts w:eastAsiaTheme="minorEastAsia"/>
                <w:szCs w:val="21"/>
              </w:rPr>
            </w:pPr>
            <w:r>
              <w:rPr>
                <w:rFonts w:eastAsiaTheme="minorEastAsia"/>
                <w:szCs w:val="21"/>
              </w:rPr>
              <w:t>54.3</w:t>
            </w:r>
          </w:p>
        </w:tc>
        <w:tc>
          <w:tcPr>
            <w:tcW w:w="1870" w:type="dxa"/>
            <w:shd w:val="clear" w:color="auto" w:fill="FFFFFF"/>
            <w:vAlign w:val="center"/>
          </w:tcPr>
          <w:p>
            <w:pPr>
              <w:snapToGrid w:val="0"/>
              <w:jc w:val="center"/>
              <w:rPr>
                <w:rFonts w:eastAsiaTheme="minorEastAsia"/>
                <w:szCs w:val="21"/>
              </w:rPr>
            </w:pPr>
            <w:r>
              <w:rPr>
                <w:rFonts w:eastAsiaTheme="minorEastAsia"/>
                <w:szCs w:val="21"/>
              </w:rPr>
              <w:t>45.4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N2厂界南侧外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54.2</w:t>
            </w:r>
          </w:p>
        </w:tc>
        <w:tc>
          <w:tcPr>
            <w:tcW w:w="1418" w:type="dxa"/>
            <w:shd w:val="clear" w:color="auto" w:fill="FFFFFF"/>
            <w:vAlign w:val="center"/>
          </w:tcPr>
          <w:p>
            <w:pPr>
              <w:snapToGrid w:val="0"/>
              <w:jc w:val="center"/>
              <w:rPr>
                <w:rFonts w:eastAsiaTheme="minorEastAsia"/>
                <w:szCs w:val="21"/>
              </w:rPr>
            </w:pPr>
            <w:r>
              <w:rPr>
                <w:rFonts w:eastAsiaTheme="minorEastAsia"/>
                <w:szCs w:val="21"/>
              </w:rPr>
              <w:t>44.3</w:t>
            </w:r>
          </w:p>
        </w:tc>
        <w:tc>
          <w:tcPr>
            <w:tcW w:w="1559" w:type="dxa"/>
            <w:shd w:val="clear" w:color="auto" w:fill="FFFFFF"/>
            <w:vAlign w:val="center"/>
          </w:tcPr>
          <w:p>
            <w:pPr>
              <w:snapToGrid w:val="0"/>
              <w:jc w:val="center"/>
              <w:rPr>
                <w:rFonts w:eastAsiaTheme="minorEastAsia"/>
                <w:szCs w:val="21"/>
              </w:rPr>
            </w:pPr>
            <w:r>
              <w:rPr>
                <w:rFonts w:eastAsiaTheme="minorEastAsia"/>
                <w:szCs w:val="21"/>
              </w:rPr>
              <w:t>53.9</w:t>
            </w:r>
          </w:p>
        </w:tc>
        <w:tc>
          <w:tcPr>
            <w:tcW w:w="1870" w:type="dxa"/>
            <w:shd w:val="clear" w:color="auto" w:fill="FFFFFF"/>
            <w:vAlign w:val="center"/>
          </w:tcPr>
          <w:p>
            <w:pPr>
              <w:snapToGrid w:val="0"/>
              <w:jc w:val="center"/>
              <w:rPr>
                <w:rFonts w:eastAsiaTheme="minorEastAsia"/>
                <w:szCs w:val="21"/>
              </w:rPr>
            </w:pPr>
            <w:r>
              <w:rPr>
                <w:rFonts w:eastAsiaTheme="minorEastAsia"/>
                <w:szCs w:val="21"/>
              </w:rPr>
              <w:t>45.3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N3厂界西侧外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53.6</w:t>
            </w:r>
          </w:p>
        </w:tc>
        <w:tc>
          <w:tcPr>
            <w:tcW w:w="1418" w:type="dxa"/>
            <w:shd w:val="clear" w:color="auto" w:fill="FFFFFF"/>
            <w:vAlign w:val="center"/>
          </w:tcPr>
          <w:p>
            <w:pPr>
              <w:snapToGrid w:val="0"/>
              <w:jc w:val="center"/>
              <w:rPr>
                <w:rFonts w:eastAsiaTheme="minorEastAsia"/>
                <w:szCs w:val="21"/>
              </w:rPr>
            </w:pPr>
            <w:r>
              <w:rPr>
                <w:rFonts w:eastAsiaTheme="minorEastAsia"/>
                <w:szCs w:val="21"/>
              </w:rPr>
              <w:t>45.7</w:t>
            </w:r>
          </w:p>
        </w:tc>
        <w:tc>
          <w:tcPr>
            <w:tcW w:w="1559" w:type="dxa"/>
            <w:shd w:val="clear" w:color="auto" w:fill="FFFFFF"/>
            <w:vAlign w:val="center"/>
          </w:tcPr>
          <w:p>
            <w:pPr>
              <w:snapToGrid w:val="0"/>
              <w:jc w:val="center"/>
              <w:rPr>
                <w:rFonts w:eastAsiaTheme="minorEastAsia"/>
                <w:szCs w:val="21"/>
              </w:rPr>
            </w:pPr>
            <w:r>
              <w:rPr>
                <w:rFonts w:eastAsiaTheme="minorEastAsia"/>
                <w:szCs w:val="21"/>
              </w:rPr>
              <w:t>54.1</w:t>
            </w:r>
          </w:p>
        </w:tc>
        <w:tc>
          <w:tcPr>
            <w:tcW w:w="1870" w:type="dxa"/>
            <w:shd w:val="clear" w:color="auto" w:fill="FFFFFF"/>
            <w:vAlign w:val="center"/>
          </w:tcPr>
          <w:p>
            <w:pPr>
              <w:snapToGrid w:val="0"/>
              <w:jc w:val="center"/>
              <w:rPr>
                <w:rFonts w:eastAsiaTheme="minorEastAsia"/>
                <w:szCs w:val="21"/>
              </w:rPr>
            </w:pPr>
            <w:r>
              <w:rPr>
                <w:rFonts w:eastAsiaTheme="minorEastAsia"/>
                <w:szCs w:val="21"/>
              </w:rPr>
              <w:t>44.5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N4厂界北侧外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54.5</w:t>
            </w:r>
          </w:p>
        </w:tc>
        <w:tc>
          <w:tcPr>
            <w:tcW w:w="1418" w:type="dxa"/>
            <w:shd w:val="clear" w:color="auto" w:fill="FFFFFF"/>
            <w:vAlign w:val="center"/>
          </w:tcPr>
          <w:p>
            <w:pPr>
              <w:snapToGrid w:val="0"/>
              <w:jc w:val="center"/>
              <w:rPr>
                <w:rFonts w:eastAsiaTheme="minorEastAsia"/>
                <w:szCs w:val="21"/>
              </w:rPr>
            </w:pPr>
            <w:r>
              <w:rPr>
                <w:rFonts w:eastAsiaTheme="minorEastAsia"/>
                <w:szCs w:val="21"/>
              </w:rPr>
              <w:t>46.0</w:t>
            </w:r>
          </w:p>
        </w:tc>
        <w:tc>
          <w:tcPr>
            <w:tcW w:w="1559" w:type="dxa"/>
            <w:shd w:val="clear" w:color="auto" w:fill="FFFFFF"/>
            <w:vAlign w:val="center"/>
          </w:tcPr>
          <w:p>
            <w:pPr>
              <w:snapToGrid w:val="0"/>
              <w:jc w:val="center"/>
              <w:rPr>
                <w:rFonts w:eastAsiaTheme="minorEastAsia"/>
                <w:szCs w:val="21"/>
              </w:rPr>
            </w:pPr>
            <w:r>
              <w:rPr>
                <w:rFonts w:eastAsiaTheme="minorEastAsia"/>
                <w:szCs w:val="21"/>
              </w:rPr>
              <w:t>53.8</w:t>
            </w:r>
          </w:p>
        </w:tc>
        <w:tc>
          <w:tcPr>
            <w:tcW w:w="1870" w:type="dxa"/>
            <w:shd w:val="clear" w:color="auto" w:fill="FFFFFF"/>
            <w:vAlign w:val="center"/>
          </w:tcPr>
          <w:p>
            <w:pPr>
              <w:snapToGrid w:val="0"/>
              <w:jc w:val="center"/>
              <w:rPr>
                <w:rFonts w:eastAsiaTheme="minorEastAsia"/>
                <w:szCs w:val="21"/>
              </w:rPr>
            </w:pPr>
            <w:r>
              <w:rPr>
                <w:rFonts w:eastAsiaTheme="minorEastAsia"/>
                <w:szCs w:val="21"/>
              </w:rPr>
              <w:t>45.6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标准值</w:t>
            </w:r>
          </w:p>
        </w:tc>
        <w:tc>
          <w:tcPr>
            <w:tcW w:w="1417" w:type="dxa"/>
            <w:shd w:val="clear" w:color="auto" w:fill="FFFFFF"/>
            <w:vAlign w:val="center"/>
          </w:tcPr>
          <w:p>
            <w:pPr>
              <w:snapToGrid w:val="0"/>
              <w:jc w:val="center"/>
              <w:rPr>
                <w:rFonts w:eastAsiaTheme="minorEastAsia"/>
                <w:szCs w:val="21"/>
              </w:rPr>
            </w:pPr>
            <w:r>
              <w:rPr>
                <w:rFonts w:eastAsiaTheme="minorEastAsia"/>
                <w:szCs w:val="21"/>
              </w:rPr>
              <w:t>60</w:t>
            </w:r>
          </w:p>
        </w:tc>
        <w:tc>
          <w:tcPr>
            <w:tcW w:w="1418" w:type="dxa"/>
            <w:shd w:val="clear" w:color="auto" w:fill="FFFFFF"/>
            <w:vAlign w:val="center"/>
          </w:tcPr>
          <w:p>
            <w:pPr>
              <w:snapToGrid w:val="0"/>
              <w:jc w:val="center"/>
              <w:rPr>
                <w:rFonts w:eastAsiaTheme="minorEastAsia"/>
                <w:szCs w:val="21"/>
              </w:rPr>
            </w:pPr>
            <w:r>
              <w:rPr>
                <w:rFonts w:eastAsiaTheme="minorEastAsia"/>
                <w:szCs w:val="21"/>
              </w:rPr>
              <w:t>50</w:t>
            </w:r>
          </w:p>
        </w:tc>
        <w:tc>
          <w:tcPr>
            <w:tcW w:w="1559" w:type="dxa"/>
            <w:shd w:val="clear" w:color="auto" w:fill="FFFFFF"/>
            <w:vAlign w:val="center"/>
          </w:tcPr>
          <w:p>
            <w:pPr>
              <w:snapToGrid w:val="0"/>
              <w:jc w:val="center"/>
              <w:rPr>
                <w:rFonts w:eastAsiaTheme="minorEastAsia"/>
                <w:szCs w:val="21"/>
              </w:rPr>
            </w:pPr>
            <w:r>
              <w:rPr>
                <w:rFonts w:eastAsiaTheme="minorEastAsia"/>
                <w:szCs w:val="21"/>
              </w:rPr>
              <w:t>60</w:t>
            </w:r>
          </w:p>
        </w:tc>
        <w:tc>
          <w:tcPr>
            <w:tcW w:w="1870" w:type="dxa"/>
            <w:shd w:val="clear" w:color="auto" w:fill="FFFFFF"/>
            <w:vAlign w:val="center"/>
          </w:tcPr>
          <w:p>
            <w:pPr>
              <w:snapToGrid w:val="0"/>
              <w:jc w:val="center"/>
              <w:rPr>
                <w:rFonts w:eastAsiaTheme="minorEastAsia"/>
                <w:szCs w:val="21"/>
              </w:rPr>
            </w:pPr>
            <w:r>
              <w:rPr>
                <w:rFonts w:eastAsiaTheme="minorEastAsia"/>
                <w:szCs w:val="21"/>
              </w:rPr>
              <w:t>50</w:t>
            </w:r>
          </w:p>
        </w:tc>
      </w:tr>
    </w:tbl>
    <w:p>
      <w:pPr>
        <w:pStyle w:val="4"/>
        <w:snapToGrid w:val="0"/>
        <w:spacing w:before="0" w:after="0" w:line="360" w:lineRule="auto"/>
        <w:rPr>
          <w:rFonts w:eastAsiaTheme="minorEastAsia"/>
          <w:sz w:val="28"/>
          <w:lang w:val="zh-CN"/>
        </w:rPr>
      </w:pPr>
      <w:r>
        <w:rPr>
          <w:rFonts w:eastAsiaTheme="minorEastAsia"/>
          <w:kern w:val="0"/>
          <w:sz w:val="24"/>
        </w:rPr>
        <w:t>3.2.4 固体废物污染源及处理措施</w:t>
      </w:r>
    </w:p>
    <w:p>
      <w:pPr>
        <w:pStyle w:val="45"/>
        <w:snapToGrid w:val="0"/>
        <w:spacing w:line="360" w:lineRule="auto"/>
        <w:ind w:left="0" w:leftChars="0" w:firstLine="480" w:firstLineChars="200"/>
        <w:rPr>
          <w:rFonts w:eastAsiaTheme="minorEastAsia"/>
          <w:sz w:val="24"/>
        </w:rPr>
      </w:pPr>
      <w:r>
        <w:rPr>
          <w:rFonts w:eastAsiaTheme="minorEastAsia"/>
          <w:sz w:val="24"/>
        </w:rPr>
        <w:t>现有医院固体废物种类较多，包括有机的、无机的；有受到致病微生物污染的，有未受致病微生物污染的。营运期间医院产生的固体废物根据其性质大致可分为：一般性固体废物、医疗废物和污水处理站污泥三类，具体见下表。</w:t>
      </w:r>
    </w:p>
    <w:p>
      <w:pPr>
        <w:pStyle w:val="45"/>
        <w:snapToGrid w:val="0"/>
        <w:spacing w:line="360" w:lineRule="auto"/>
        <w:ind w:left="0" w:leftChars="0"/>
        <w:jc w:val="center"/>
        <w:rPr>
          <w:rFonts w:eastAsiaTheme="minorEastAsia"/>
          <w:b/>
          <w:bCs/>
          <w:sz w:val="24"/>
        </w:rPr>
      </w:pPr>
      <w:r>
        <w:rPr>
          <w:rFonts w:eastAsiaTheme="minorEastAsia"/>
          <w:b/>
          <w:bCs/>
          <w:sz w:val="24"/>
        </w:rPr>
        <w:t>表2.5-1  固体废物产生及处理处置情况表  单位：t/a</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1072"/>
        <w:gridCol w:w="1843"/>
        <w:gridCol w:w="1417"/>
        <w:gridCol w:w="37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4" w:type="dxa"/>
            <w:vAlign w:val="center"/>
          </w:tcPr>
          <w:p>
            <w:pPr>
              <w:adjustRightInd w:val="0"/>
              <w:snapToGrid w:val="0"/>
              <w:jc w:val="center"/>
              <w:rPr>
                <w:b/>
                <w:bCs/>
                <w:szCs w:val="21"/>
              </w:rPr>
            </w:pPr>
            <w:r>
              <w:rPr>
                <w:b/>
                <w:bCs/>
                <w:szCs w:val="21"/>
              </w:rPr>
              <w:t>编号</w:t>
            </w:r>
          </w:p>
        </w:tc>
        <w:tc>
          <w:tcPr>
            <w:tcW w:w="2915" w:type="dxa"/>
            <w:gridSpan w:val="2"/>
            <w:vAlign w:val="center"/>
          </w:tcPr>
          <w:p>
            <w:pPr>
              <w:adjustRightInd w:val="0"/>
              <w:snapToGrid w:val="0"/>
              <w:jc w:val="center"/>
              <w:rPr>
                <w:b/>
                <w:bCs/>
                <w:szCs w:val="21"/>
              </w:rPr>
            </w:pPr>
            <w:r>
              <w:rPr>
                <w:b/>
                <w:bCs/>
                <w:szCs w:val="21"/>
              </w:rPr>
              <w:t>类 别</w:t>
            </w:r>
          </w:p>
        </w:tc>
        <w:tc>
          <w:tcPr>
            <w:tcW w:w="1417" w:type="dxa"/>
            <w:vAlign w:val="center"/>
          </w:tcPr>
          <w:p>
            <w:pPr>
              <w:adjustRightInd w:val="0"/>
              <w:snapToGrid w:val="0"/>
              <w:jc w:val="center"/>
              <w:rPr>
                <w:b/>
                <w:bCs/>
                <w:szCs w:val="21"/>
              </w:rPr>
            </w:pPr>
            <w:r>
              <w:rPr>
                <w:b/>
                <w:bCs/>
                <w:szCs w:val="21"/>
              </w:rPr>
              <w:t>产生量（t/a）</w:t>
            </w:r>
          </w:p>
        </w:tc>
        <w:tc>
          <w:tcPr>
            <w:tcW w:w="3713" w:type="dxa"/>
            <w:vAlign w:val="center"/>
          </w:tcPr>
          <w:p>
            <w:pPr>
              <w:snapToGrid w:val="0"/>
              <w:jc w:val="center"/>
              <w:rPr>
                <w:b/>
                <w:bCs/>
                <w:sz w:val="24"/>
              </w:rPr>
            </w:pPr>
            <w:r>
              <w:rPr>
                <w:b/>
                <w:bCs/>
                <w:szCs w:val="21"/>
              </w:rPr>
              <w:t>处置去向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4" w:type="dxa"/>
            <w:vMerge w:val="restart"/>
            <w:vAlign w:val="center"/>
          </w:tcPr>
          <w:p>
            <w:pPr>
              <w:adjustRightInd w:val="0"/>
              <w:snapToGrid w:val="0"/>
              <w:jc w:val="center"/>
              <w:rPr>
                <w:szCs w:val="21"/>
              </w:rPr>
            </w:pPr>
            <w:r>
              <w:rPr>
                <w:szCs w:val="21"/>
              </w:rPr>
              <w:t>1</w:t>
            </w:r>
          </w:p>
        </w:tc>
        <w:tc>
          <w:tcPr>
            <w:tcW w:w="1072" w:type="dxa"/>
            <w:vMerge w:val="restart"/>
            <w:vAlign w:val="center"/>
          </w:tcPr>
          <w:p>
            <w:pPr>
              <w:adjustRightInd w:val="0"/>
              <w:snapToGrid w:val="0"/>
              <w:jc w:val="center"/>
              <w:rPr>
                <w:szCs w:val="21"/>
              </w:rPr>
            </w:pPr>
            <w:r>
              <w:rPr>
                <w:szCs w:val="21"/>
              </w:rPr>
              <w:t>危险废物</w:t>
            </w:r>
          </w:p>
        </w:tc>
        <w:tc>
          <w:tcPr>
            <w:tcW w:w="1843" w:type="dxa"/>
            <w:vAlign w:val="center"/>
          </w:tcPr>
          <w:p>
            <w:pPr>
              <w:adjustRightInd w:val="0"/>
              <w:snapToGrid w:val="0"/>
              <w:jc w:val="center"/>
              <w:rPr>
                <w:szCs w:val="21"/>
              </w:rPr>
            </w:pPr>
            <w:r>
              <w:rPr>
                <w:szCs w:val="21"/>
              </w:rPr>
              <w:t>医疗废物</w:t>
            </w:r>
          </w:p>
        </w:tc>
        <w:tc>
          <w:tcPr>
            <w:tcW w:w="1417" w:type="dxa"/>
            <w:vAlign w:val="center"/>
          </w:tcPr>
          <w:p>
            <w:pPr>
              <w:adjustRightInd w:val="0"/>
              <w:snapToGrid w:val="0"/>
              <w:jc w:val="center"/>
              <w:rPr>
                <w:szCs w:val="21"/>
              </w:rPr>
            </w:pPr>
            <w:r>
              <w:rPr>
                <w:szCs w:val="21"/>
              </w:rPr>
              <w:t>36.5</w:t>
            </w:r>
          </w:p>
        </w:tc>
        <w:tc>
          <w:tcPr>
            <w:tcW w:w="3713" w:type="dxa"/>
            <w:vMerge w:val="restart"/>
            <w:vAlign w:val="center"/>
          </w:tcPr>
          <w:p>
            <w:pPr>
              <w:snapToGrid w:val="0"/>
              <w:jc w:val="center"/>
              <w:rPr>
                <w:sz w:val="24"/>
              </w:rPr>
            </w:pPr>
            <w:r>
              <w:rPr>
                <w:szCs w:val="21"/>
              </w:rPr>
              <w:t>由湘阴县卫生局指定的岳阳市方向固废安全处置中心定期收集处置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4" w:type="dxa"/>
            <w:vMerge w:val="continue"/>
            <w:vAlign w:val="center"/>
          </w:tcPr>
          <w:p>
            <w:pPr>
              <w:adjustRightInd w:val="0"/>
              <w:snapToGrid w:val="0"/>
              <w:jc w:val="center"/>
              <w:rPr>
                <w:szCs w:val="21"/>
              </w:rPr>
            </w:pPr>
          </w:p>
        </w:tc>
        <w:tc>
          <w:tcPr>
            <w:tcW w:w="1072" w:type="dxa"/>
            <w:vMerge w:val="continue"/>
            <w:vAlign w:val="center"/>
          </w:tcPr>
          <w:p>
            <w:pPr>
              <w:adjustRightInd w:val="0"/>
              <w:snapToGrid w:val="0"/>
              <w:jc w:val="center"/>
              <w:rPr>
                <w:szCs w:val="21"/>
              </w:rPr>
            </w:pPr>
          </w:p>
        </w:tc>
        <w:tc>
          <w:tcPr>
            <w:tcW w:w="1843" w:type="dxa"/>
            <w:vAlign w:val="center"/>
          </w:tcPr>
          <w:p>
            <w:pPr>
              <w:adjustRightInd w:val="0"/>
              <w:snapToGrid w:val="0"/>
              <w:jc w:val="center"/>
              <w:rPr>
                <w:szCs w:val="21"/>
              </w:rPr>
            </w:pPr>
            <w:r>
              <w:rPr>
                <w:szCs w:val="21"/>
              </w:rPr>
              <w:t>污泥</w:t>
            </w:r>
          </w:p>
        </w:tc>
        <w:tc>
          <w:tcPr>
            <w:tcW w:w="1417" w:type="dxa"/>
            <w:vAlign w:val="center"/>
          </w:tcPr>
          <w:p>
            <w:pPr>
              <w:snapToGrid w:val="0"/>
              <w:jc w:val="center"/>
              <w:rPr>
                <w:szCs w:val="21"/>
              </w:rPr>
            </w:pPr>
            <w:r>
              <w:rPr>
                <w:szCs w:val="21"/>
              </w:rPr>
              <w:t>21.77</w:t>
            </w:r>
          </w:p>
        </w:tc>
        <w:tc>
          <w:tcPr>
            <w:tcW w:w="3713" w:type="dxa"/>
            <w:vMerge w:val="continue"/>
            <w:vAlign w:val="center"/>
          </w:tcPr>
          <w:p>
            <w:pPr>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4" w:type="dxa"/>
            <w:vAlign w:val="center"/>
          </w:tcPr>
          <w:p>
            <w:pPr>
              <w:adjustRightInd w:val="0"/>
              <w:snapToGrid w:val="0"/>
              <w:jc w:val="center"/>
              <w:rPr>
                <w:szCs w:val="21"/>
              </w:rPr>
            </w:pPr>
            <w:r>
              <w:rPr>
                <w:szCs w:val="21"/>
              </w:rPr>
              <w:t>2</w:t>
            </w:r>
          </w:p>
        </w:tc>
        <w:tc>
          <w:tcPr>
            <w:tcW w:w="1072" w:type="dxa"/>
            <w:vMerge w:val="restart"/>
            <w:vAlign w:val="center"/>
          </w:tcPr>
          <w:p>
            <w:pPr>
              <w:adjustRightInd w:val="0"/>
              <w:snapToGrid w:val="0"/>
              <w:jc w:val="center"/>
              <w:rPr>
                <w:szCs w:val="21"/>
              </w:rPr>
            </w:pPr>
            <w:r>
              <w:rPr>
                <w:szCs w:val="21"/>
              </w:rPr>
              <w:t>一般固体废物</w:t>
            </w:r>
          </w:p>
        </w:tc>
        <w:tc>
          <w:tcPr>
            <w:tcW w:w="1843" w:type="dxa"/>
            <w:vAlign w:val="center"/>
          </w:tcPr>
          <w:p>
            <w:pPr>
              <w:adjustRightInd w:val="0"/>
              <w:snapToGrid w:val="0"/>
              <w:jc w:val="center"/>
              <w:rPr>
                <w:szCs w:val="21"/>
              </w:rPr>
            </w:pPr>
            <w:r>
              <w:rPr>
                <w:szCs w:val="21"/>
              </w:rPr>
              <w:t>生活垃圾</w:t>
            </w:r>
          </w:p>
        </w:tc>
        <w:tc>
          <w:tcPr>
            <w:tcW w:w="1417" w:type="dxa"/>
            <w:vAlign w:val="center"/>
          </w:tcPr>
          <w:p>
            <w:pPr>
              <w:adjustRightInd w:val="0"/>
              <w:snapToGrid w:val="0"/>
              <w:jc w:val="center"/>
              <w:rPr>
                <w:szCs w:val="21"/>
              </w:rPr>
            </w:pPr>
            <w:r>
              <w:rPr>
                <w:szCs w:val="21"/>
              </w:rPr>
              <w:t>210</w:t>
            </w:r>
          </w:p>
        </w:tc>
        <w:tc>
          <w:tcPr>
            <w:tcW w:w="3713" w:type="dxa"/>
            <w:vAlign w:val="center"/>
          </w:tcPr>
          <w:p>
            <w:pPr>
              <w:snapToGrid w:val="0"/>
              <w:jc w:val="center"/>
              <w:rPr>
                <w:sz w:val="24"/>
              </w:rPr>
            </w:pPr>
            <w:r>
              <w:rPr>
                <w:szCs w:val="21"/>
              </w:rPr>
              <w:t>湘阴县环卫部门日产日清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4" w:type="dxa"/>
            <w:vAlign w:val="center"/>
          </w:tcPr>
          <w:p>
            <w:pPr>
              <w:adjustRightInd w:val="0"/>
              <w:snapToGrid w:val="0"/>
              <w:jc w:val="center"/>
              <w:rPr>
                <w:szCs w:val="21"/>
              </w:rPr>
            </w:pPr>
            <w:r>
              <w:rPr>
                <w:rFonts w:hint="eastAsia"/>
                <w:szCs w:val="21"/>
              </w:rPr>
              <w:t>3</w:t>
            </w:r>
          </w:p>
        </w:tc>
        <w:tc>
          <w:tcPr>
            <w:tcW w:w="1072" w:type="dxa"/>
            <w:vMerge w:val="continue"/>
            <w:vAlign w:val="center"/>
          </w:tcPr>
          <w:p>
            <w:pPr>
              <w:adjustRightInd w:val="0"/>
              <w:snapToGrid w:val="0"/>
              <w:jc w:val="center"/>
              <w:rPr>
                <w:szCs w:val="21"/>
              </w:rPr>
            </w:pPr>
          </w:p>
        </w:tc>
        <w:tc>
          <w:tcPr>
            <w:tcW w:w="1843" w:type="dxa"/>
            <w:vAlign w:val="center"/>
          </w:tcPr>
          <w:p>
            <w:pPr>
              <w:adjustRightInd w:val="0"/>
              <w:snapToGrid w:val="0"/>
              <w:jc w:val="center"/>
              <w:rPr>
                <w:szCs w:val="21"/>
              </w:rPr>
            </w:pPr>
            <w:r>
              <w:rPr>
                <w:rFonts w:eastAsiaTheme="minorEastAsia"/>
                <w:szCs w:val="21"/>
              </w:rPr>
              <w:t>餐厨垃圾</w:t>
            </w:r>
          </w:p>
        </w:tc>
        <w:tc>
          <w:tcPr>
            <w:tcW w:w="1417" w:type="dxa"/>
            <w:vAlign w:val="center"/>
          </w:tcPr>
          <w:p>
            <w:pPr>
              <w:adjustRightInd w:val="0"/>
              <w:snapToGrid w:val="0"/>
              <w:jc w:val="center"/>
              <w:rPr>
                <w:szCs w:val="21"/>
              </w:rPr>
            </w:pPr>
            <w:r>
              <w:rPr>
                <w:szCs w:val="21"/>
              </w:rPr>
              <w:t>40</w:t>
            </w:r>
          </w:p>
        </w:tc>
        <w:tc>
          <w:tcPr>
            <w:tcW w:w="3713" w:type="dxa"/>
            <w:vAlign w:val="center"/>
          </w:tcPr>
          <w:p>
            <w:pPr>
              <w:snapToGrid w:val="0"/>
              <w:jc w:val="center"/>
              <w:rPr>
                <w:szCs w:val="21"/>
                <w:u w:val="single"/>
              </w:rPr>
            </w:pPr>
            <w:r>
              <w:rPr>
                <w:szCs w:val="21"/>
                <w:u w:val="single"/>
              </w:rPr>
              <w:t>交由</w:t>
            </w:r>
            <w:r>
              <w:rPr>
                <w:rFonts w:hint="eastAsia"/>
                <w:szCs w:val="21"/>
                <w:u w:val="single"/>
              </w:rPr>
              <w:t>环卫部门</w:t>
            </w:r>
            <w:r>
              <w:rPr>
                <w:szCs w:val="21"/>
                <w:u w:val="single"/>
              </w:rPr>
              <w:t>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44" w:type="dxa"/>
            <w:vAlign w:val="center"/>
          </w:tcPr>
          <w:p>
            <w:pPr>
              <w:adjustRightInd w:val="0"/>
              <w:snapToGrid w:val="0"/>
              <w:jc w:val="center"/>
              <w:rPr>
                <w:szCs w:val="21"/>
              </w:rPr>
            </w:pPr>
            <w:r>
              <w:rPr>
                <w:rFonts w:hint="eastAsia"/>
                <w:szCs w:val="21"/>
              </w:rPr>
              <w:t>4</w:t>
            </w:r>
          </w:p>
        </w:tc>
        <w:tc>
          <w:tcPr>
            <w:tcW w:w="1072" w:type="dxa"/>
            <w:vMerge w:val="continue"/>
            <w:vAlign w:val="center"/>
          </w:tcPr>
          <w:p>
            <w:pPr>
              <w:adjustRightInd w:val="0"/>
              <w:snapToGrid w:val="0"/>
              <w:jc w:val="center"/>
              <w:rPr>
                <w:szCs w:val="21"/>
              </w:rPr>
            </w:pPr>
          </w:p>
        </w:tc>
        <w:tc>
          <w:tcPr>
            <w:tcW w:w="1843" w:type="dxa"/>
            <w:vAlign w:val="center"/>
          </w:tcPr>
          <w:p>
            <w:pPr>
              <w:adjustRightInd w:val="0"/>
              <w:snapToGrid w:val="0"/>
              <w:jc w:val="center"/>
              <w:rPr>
                <w:rFonts w:eastAsiaTheme="minorEastAsia"/>
                <w:szCs w:val="21"/>
              </w:rPr>
            </w:pPr>
            <w:r>
              <w:rPr>
                <w:rFonts w:hint="eastAsia" w:eastAsiaTheme="minorEastAsia"/>
                <w:szCs w:val="21"/>
              </w:rPr>
              <w:t>未被污染的输液瓶(袋)</w:t>
            </w:r>
          </w:p>
        </w:tc>
        <w:tc>
          <w:tcPr>
            <w:tcW w:w="1417" w:type="dxa"/>
            <w:vAlign w:val="center"/>
          </w:tcPr>
          <w:p>
            <w:pPr>
              <w:adjustRightInd w:val="0"/>
              <w:snapToGrid w:val="0"/>
              <w:jc w:val="center"/>
              <w:rPr>
                <w:szCs w:val="21"/>
              </w:rPr>
            </w:pPr>
            <w:r>
              <w:rPr>
                <w:rFonts w:hint="eastAsia"/>
                <w:szCs w:val="21"/>
              </w:rPr>
              <w:t>26</w:t>
            </w:r>
          </w:p>
        </w:tc>
        <w:tc>
          <w:tcPr>
            <w:tcW w:w="3713" w:type="dxa"/>
            <w:vAlign w:val="center"/>
          </w:tcPr>
          <w:p>
            <w:pPr>
              <w:snapToGrid w:val="0"/>
              <w:jc w:val="center"/>
              <w:rPr>
                <w:szCs w:val="21"/>
                <w:u w:val="single"/>
              </w:rPr>
            </w:pPr>
            <w:r>
              <w:rPr>
                <w:rFonts w:hint="eastAsia"/>
                <w:szCs w:val="21"/>
                <w:u w:val="single"/>
              </w:rPr>
              <w:t>湖南宝叶再生资源开发有限公司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659" w:type="dxa"/>
            <w:gridSpan w:val="3"/>
            <w:vAlign w:val="center"/>
          </w:tcPr>
          <w:p>
            <w:pPr>
              <w:adjustRightInd w:val="0"/>
              <w:snapToGrid w:val="0"/>
              <w:jc w:val="center"/>
              <w:rPr>
                <w:szCs w:val="21"/>
              </w:rPr>
            </w:pPr>
            <w:r>
              <w:rPr>
                <w:szCs w:val="21"/>
              </w:rPr>
              <w:t>合计</w:t>
            </w:r>
          </w:p>
        </w:tc>
        <w:tc>
          <w:tcPr>
            <w:tcW w:w="1417" w:type="dxa"/>
            <w:vAlign w:val="center"/>
          </w:tcPr>
          <w:p>
            <w:pPr>
              <w:adjustRightInd w:val="0"/>
              <w:snapToGrid w:val="0"/>
              <w:jc w:val="center"/>
              <w:rPr>
                <w:szCs w:val="21"/>
              </w:rPr>
            </w:pPr>
            <w:r>
              <w:rPr>
                <w:szCs w:val="21"/>
              </w:rPr>
              <w:t>308.27</w:t>
            </w:r>
          </w:p>
        </w:tc>
        <w:tc>
          <w:tcPr>
            <w:tcW w:w="3713" w:type="dxa"/>
            <w:vAlign w:val="center"/>
          </w:tcPr>
          <w:p>
            <w:pPr>
              <w:snapToGrid w:val="0"/>
              <w:jc w:val="center"/>
              <w:rPr>
                <w:sz w:val="24"/>
              </w:rPr>
            </w:pPr>
          </w:p>
        </w:tc>
      </w:tr>
    </w:tbl>
    <w:p>
      <w:pPr>
        <w:pStyle w:val="45"/>
        <w:snapToGrid w:val="0"/>
        <w:spacing w:line="360" w:lineRule="auto"/>
        <w:ind w:left="0" w:leftChars="0" w:firstLine="480" w:firstLineChars="200"/>
        <w:rPr>
          <w:rFonts w:eastAsiaTheme="minorEastAsia"/>
          <w:sz w:val="24"/>
        </w:rPr>
      </w:pPr>
      <w:r>
        <w:rPr>
          <w:rFonts w:eastAsiaTheme="minorEastAsia"/>
          <w:sz w:val="24"/>
        </w:rPr>
        <w:t>本项目医疗废物统一收集后存放在医疗废物间交由岳阳方向固废处置公司统一处置，医疗玻璃瓶等做到及时清运处理；医院的污水处理站污泥在排放到外环境之前经过无害化处理，与医疗垃圾统一收集后交由岳阳方向固废处置公司统一处置；一般固体废物由环卫部门送垃圾填埋场填埋。</w:t>
      </w:r>
    </w:p>
    <w:p>
      <w:pPr>
        <w:pStyle w:val="3"/>
        <w:snapToGrid w:val="0"/>
        <w:spacing w:before="0" w:after="0" w:line="360" w:lineRule="auto"/>
        <w:rPr>
          <w:rFonts w:ascii="Times New Roman" w:hAnsi="Times New Roman" w:eastAsiaTheme="minorEastAsia"/>
          <w:sz w:val="28"/>
          <w:lang w:val="zh-CN"/>
        </w:rPr>
      </w:pPr>
      <w:bookmarkStart w:id="70" w:name="_Toc61026593"/>
      <w:r>
        <w:rPr>
          <w:rFonts w:ascii="Times New Roman" w:hAnsi="Times New Roman" w:eastAsiaTheme="minorEastAsia"/>
          <w:sz w:val="28"/>
          <w:lang w:val="zh-CN"/>
        </w:rPr>
        <w:t>3.3 现有项目环评批复、验收意见的落实情况</w:t>
      </w:r>
      <w:bookmarkEnd w:id="70"/>
    </w:p>
    <w:p>
      <w:pPr>
        <w:pStyle w:val="45"/>
        <w:snapToGrid w:val="0"/>
        <w:spacing w:line="360" w:lineRule="auto"/>
        <w:ind w:left="0" w:leftChars="0" w:firstLine="480" w:firstLineChars="200"/>
        <w:rPr>
          <w:rFonts w:eastAsiaTheme="minorEastAsia"/>
          <w:sz w:val="24"/>
        </w:rPr>
      </w:pPr>
      <w:r>
        <w:rPr>
          <w:rFonts w:eastAsiaTheme="minorEastAsia"/>
          <w:sz w:val="24"/>
        </w:rPr>
        <w:t>现湘阴县中医院于2008年9月20日取得了《关于湘阴县中医院改扩建项目环境影响报告表审批意见》。现湘阴县中医院执行情况详见下表。</w:t>
      </w:r>
    </w:p>
    <w:p>
      <w:pPr>
        <w:snapToGrid w:val="0"/>
        <w:spacing w:line="360" w:lineRule="auto"/>
        <w:jc w:val="center"/>
        <w:rPr>
          <w:rFonts w:eastAsiaTheme="minorEastAsia"/>
          <w:b/>
          <w:bCs/>
          <w:sz w:val="24"/>
        </w:rPr>
      </w:pPr>
      <w:r>
        <w:rPr>
          <w:rFonts w:eastAsiaTheme="minorEastAsia"/>
          <w:b/>
          <w:bCs/>
          <w:sz w:val="24"/>
        </w:rPr>
        <w:t>表3.3-1  现有项目环评批复及验收意见提出的要求落实情况汇总表</w:t>
      </w:r>
    </w:p>
    <w:tbl>
      <w:tblPr>
        <w:tblStyle w:val="8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3828"/>
        <w:gridCol w:w="3118"/>
        <w:gridCol w:w="9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snapToGrid w:val="0"/>
              <w:jc w:val="center"/>
              <w:rPr>
                <w:rFonts w:eastAsiaTheme="minorEastAsia"/>
                <w:b/>
                <w:szCs w:val="21"/>
              </w:rPr>
            </w:pPr>
            <w:r>
              <w:rPr>
                <w:rFonts w:eastAsiaTheme="minorEastAsia"/>
                <w:b/>
                <w:szCs w:val="21"/>
              </w:rPr>
              <w:t>序号</w:t>
            </w:r>
          </w:p>
        </w:tc>
        <w:tc>
          <w:tcPr>
            <w:tcW w:w="3828" w:type="dxa"/>
            <w:vAlign w:val="center"/>
          </w:tcPr>
          <w:p>
            <w:pPr>
              <w:snapToGrid w:val="0"/>
              <w:jc w:val="center"/>
              <w:rPr>
                <w:rFonts w:eastAsiaTheme="minorEastAsia"/>
                <w:b/>
                <w:szCs w:val="21"/>
              </w:rPr>
            </w:pPr>
            <w:r>
              <w:rPr>
                <w:rFonts w:eastAsiaTheme="minorEastAsia"/>
                <w:b/>
                <w:szCs w:val="21"/>
              </w:rPr>
              <w:t>环评批复要求</w:t>
            </w:r>
          </w:p>
        </w:tc>
        <w:tc>
          <w:tcPr>
            <w:tcW w:w="3118" w:type="dxa"/>
            <w:vAlign w:val="center"/>
          </w:tcPr>
          <w:p>
            <w:pPr>
              <w:snapToGrid w:val="0"/>
              <w:jc w:val="center"/>
              <w:rPr>
                <w:rFonts w:eastAsiaTheme="minorEastAsia"/>
                <w:b/>
                <w:szCs w:val="21"/>
              </w:rPr>
            </w:pPr>
            <w:r>
              <w:rPr>
                <w:rFonts w:eastAsiaTheme="minorEastAsia"/>
                <w:b/>
                <w:szCs w:val="21"/>
              </w:rPr>
              <w:t>落实情况</w:t>
            </w:r>
          </w:p>
        </w:tc>
        <w:tc>
          <w:tcPr>
            <w:tcW w:w="907" w:type="dxa"/>
            <w:vAlign w:val="center"/>
          </w:tcPr>
          <w:p>
            <w:pPr>
              <w:snapToGrid w:val="0"/>
              <w:jc w:val="center"/>
              <w:rPr>
                <w:rFonts w:eastAsiaTheme="minorEastAsia"/>
                <w:b/>
                <w:szCs w:val="21"/>
              </w:rPr>
            </w:pPr>
            <w:r>
              <w:rPr>
                <w:rFonts w:eastAsiaTheme="minorEastAsia"/>
                <w:b/>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snapToGrid w:val="0"/>
              <w:jc w:val="center"/>
              <w:rPr>
                <w:rFonts w:eastAsiaTheme="minorEastAsia"/>
                <w:szCs w:val="21"/>
              </w:rPr>
            </w:pPr>
            <w:r>
              <w:rPr>
                <w:rFonts w:eastAsiaTheme="minorEastAsia"/>
                <w:szCs w:val="21"/>
              </w:rPr>
              <w:t>1</w:t>
            </w:r>
          </w:p>
        </w:tc>
        <w:tc>
          <w:tcPr>
            <w:tcW w:w="3828" w:type="dxa"/>
            <w:vAlign w:val="center"/>
          </w:tcPr>
          <w:p>
            <w:pPr>
              <w:snapToGrid w:val="0"/>
              <w:jc w:val="left"/>
              <w:rPr>
                <w:rFonts w:eastAsiaTheme="minorEastAsia"/>
                <w:szCs w:val="21"/>
              </w:rPr>
            </w:pPr>
            <w:r>
              <w:rPr>
                <w:rFonts w:eastAsiaTheme="minorEastAsia"/>
                <w:szCs w:val="21"/>
              </w:rPr>
              <w:t>应建设好雨污分流系统。医疗废水经格栅池、调节池、气浮池、二氧化氯发生器消毒处理达到《医疗机构水污染物排放标 准》(GB18466 2005 )中表2的预处理标准后排入湘阴县城市污水处理厂。</w:t>
            </w:r>
          </w:p>
        </w:tc>
        <w:tc>
          <w:tcPr>
            <w:tcW w:w="3118" w:type="dxa"/>
            <w:vAlign w:val="center"/>
          </w:tcPr>
          <w:p>
            <w:pPr>
              <w:snapToGrid w:val="0"/>
              <w:jc w:val="left"/>
              <w:rPr>
                <w:rFonts w:eastAsiaTheme="minorEastAsia"/>
                <w:szCs w:val="21"/>
              </w:rPr>
            </w:pPr>
            <w:r>
              <w:rPr>
                <w:rFonts w:eastAsiaTheme="minorEastAsia"/>
                <w:szCs w:val="21"/>
              </w:rPr>
              <w:t>现有项目产生的医院废水经现有污水处理站（一级生化处理）后进入城市污水管网，最终排入湘阴县第一污水处理厂。废水能达标排放。</w:t>
            </w:r>
          </w:p>
        </w:tc>
        <w:tc>
          <w:tcPr>
            <w:tcW w:w="907" w:type="dxa"/>
            <w:vAlign w:val="center"/>
          </w:tcPr>
          <w:p>
            <w:pPr>
              <w:snapToGrid w:val="0"/>
              <w:jc w:val="center"/>
              <w:rPr>
                <w:rFonts w:eastAsiaTheme="minorEastAsia"/>
                <w:szCs w:val="21"/>
              </w:rPr>
            </w:pPr>
            <w:r>
              <w:rPr>
                <w:rFonts w:eastAsiaTheme="minor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snapToGrid w:val="0"/>
              <w:jc w:val="center"/>
              <w:rPr>
                <w:rFonts w:eastAsiaTheme="minorEastAsia"/>
                <w:szCs w:val="21"/>
              </w:rPr>
            </w:pPr>
            <w:r>
              <w:rPr>
                <w:rFonts w:eastAsiaTheme="minorEastAsia"/>
                <w:szCs w:val="21"/>
              </w:rPr>
              <w:t>2</w:t>
            </w:r>
          </w:p>
        </w:tc>
        <w:tc>
          <w:tcPr>
            <w:tcW w:w="3828" w:type="dxa"/>
            <w:vAlign w:val="center"/>
          </w:tcPr>
          <w:p>
            <w:pPr>
              <w:snapToGrid w:val="0"/>
              <w:jc w:val="left"/>
              <w:rPr>
                <w:rFonts w:eastAsiaTheme="minorEastAsia"/>
                <w:szCs w:val="21"/>
              </w:rPr>
            </w:pPr>
            <w:r>
              <w:rPr>
                <w:rFonts w:eastAsiaTheme="minorEastAsia"/>
                <w:szCs w:val="21"/>
              </w:rPr>
              <w:t>医疗废弃物分类收集，由有警示标志的专业容器收存，集 中送岳阳方向安全处置有限公司处理。</w:t>
            </w:r>
          </w:p>
        </w:tc>
        <w:tc>
          <w:tcPr>
            <w:tcW w:w="3118" w:type="dxa"/>
            <w:vAlign w:val="center"/>
          </w:tcPr>
          <w:p>
            <w:pPr>
              <w:snapToGrid w:val="0"/>
              <w:jc w:val="left"/>
              <w:rPr>
                <w:rFonts w:eastAsiaTheme="minorEastAsia"/>
                <w:szCs w:val="21"/>
              </w:rPr>
            </w:pPr>
            <w:r>
              <w:rPr>
                <w:rFonts w:eastAsiaTheme="minorEastAsia"/>
                <w:szCs w:val="21"/>
              </w:rPr>
              <w:t>现有医院医疗废物暂存于现医疗废物暂存间，定期交由岳阳市方向固废安全处置有限公司进行收集处置。</w:t>
            </w:r>
          </w:p>
        </w:tc>
        <w:tc>
          <w:tcPr>
            <w:tcW w:w="907" w:type="dxa"/>
            <w:vAlign w:val="center"/>
          </w:tcPr>
          <w:p>
            <w:pPr>
              <w:snapToGrid w:val="0"/>
              <w:jc w:val="center"/>
              <w:rPr>
                <w:rFonts w:eastAsiaTheme="minorEastAsia"/>
                <w:szCs w:val="21"/>
              </w:rPr>
            </w:pPr>
            <w:r>
              <w:rPr>
                <w:rFonts w:eastAsiaTheme="minorEastAsia"/>
                <w:szCs w:val="21"/>
              </w:rPr>
              <w:t xml:space="preserve">符合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snapToGrid w:val="0"/>
              <w:jc w:val="center"/>
              <w:rPr>
                <w:rFonts w:eastAsiaTheme="minorEastAsia"/>
                <w:szCs w:val="21"/>
              </w:rPr>
            </w:pPr>
            <w:r>
              <w:rPr>
                <w:rFonts w:eastAsiaTheme="minorEastAsia"/>
                <w:szCs w:val="21"/>
              </w:rPr>
              <w:t>3</w:t>
            </w:r>
          </w:p>
        </w:tc>
        <w:tc>
          <w:tcPr>
            <w:tcW w:w="3828" w:type="dxa"/>
            <w:vAlign w:val="center"/>
          </w:tcPr>
          <w:p>
            <w:pPr>
              <w:snapToGrid w:val="0"/>
              <w:jc w:val="center"/>
              <w:rPr>
                <w:rFonts w:eastAsiaTheme="minorEastAsia"/>
                <w:szCs w:val="21"/>
              </w:rPr>
            </w:pPr>
            <w:r>
              <w:rPr>
                <w:rFonts w:eastAsiaTheme="minorEastAsia"/>
                <w:szCs w:val="21"/>
              </w:rPr>
              <w:t>严格按照《中华人民共和国放射性污染防治法》继续加强医用X射线诊断机管理和使用，对周边环境不得产生影响。</w:t>
            </w:r>
          </w:p>
        </w:tc>
        <w:tc>
          <w:tcPr>
            <w:tcW w:w="3118" w:type="dxa"/>
            <w:vAlign w:val="center"/>
          </w:tcPr>
          <w:p>
            <w:pPr>
              <w:snapToGrid w:val="0"/>
              <w:jc w:val="left"/>
              <w:rPr>
                <w:rFonts w:eastAsiaTheme="minorEastAsia"/>
                <w:szCs w:val="21"/>
              </w:rPr>
            </w:pPr>
            <w:r>
              <w:rPr>
                <w:rFonts w:eastAsiaTheme="minorEastAsia"/>
                <w:szCs w:val="21"/>
              </w:rPr>
              <w:t>现湘阴县中医院已办理辐射安全许可证。未对周边环境产生明显影响。</w:t>
            </w:r>
          </w:p>
        </w:tc>
        <w:tc>
          <w:tcPr>
            <w:tcW w:w="907" w:type="dxa"/>
            <w:vAlign w:val="center"/>
          </w:tcPr>
          <w:p>
            <w:pPr>
              <w:snapToGrid w:val="0"/>
              <w:jc w:val="center"/>
              <w:rPr>
                <w:rFonts w:eastAsiaTheme="minorEastAsia"/>
                <w:szCs w:val="21"/>
              </w:rPr>
            </w:pPr>
            <w:r>
              <w:rPr>
                <w:rFonts w:eastAsiaTheme="minorEastAsia"/>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75" w:type="dxa"/>
            <w:vAlign w:val="center"/>
          </w:tcPr>
          <w:p>
            <w:pPr>
              <w:snapToGrid w:val="0"/>
              <w:jc w:val="center"/>
              <w:rPr>
                <w:rFonts w:eastAsiaTheme="minorEastAsia"/>
                <w:szCs w:val="21"/>
                <w:u w:val="single"/>
              </w:rPr>
            </w:pPr>
            <w:r>
              <w:rPr>
                <w:rFonts w:eastAsiaTheme="minorEastAsia"/>
                <w:szCs w:val="21"/>
                <w:u w:val="single"/>
              </w:rPr>
              <w:t>4</w:t>
            </w:r>
          </w:p>
        </w:tc>
        <w:tc>
          <w:tcPr>
            <w:tcW w:w="3828" w:type="dxa"/>
            <w:vAlign w:val="center"/>
          </w:tcPr>
          <w:p>
            <w:pPr>
              <w:snapToGrid w:val="0"/>
              <w:rPr>
                <w:rFonts w:eastAsiaTheme="minorEastAsia"/>
                <w:szCs w:val="21"/>
                <w:u w:val="single"/>
              </w:rPr>
            </w:pPr>
            <w:r>
              <w:rPr>
                <w:rFonts w:eastAsiaTheme="minorEastAsia"/>
                <w:szCs w:val="21"/>
                <w:u w:val="single"/>
              </w:rPr>
              <w:t>项目建成后须按照《建设项目竣工环境保护验收管理办法》向我局申请试生产，试生产3个月内申请建设项目竣工环境 保护设施验收，经验收合格后方可正式投入生产。</w:t>
            </w:r>
          </w:p>
        </w:tc>
        <w:tc>
          <w:tcPr>
            <w:tcW w:w="3118" w:type="dxa"/>
            <w:vAlign w:val="center"/>
          </w:tcPr>
          <w:p>
            <w:pPr>
              <w:snapToGrid w:val="0"/>
              <w:jc w:val="center"/>
              <w:rPr>
                <w:rFonts w:eastAsiaTheme="minorEastAsia"/>
                <w:szCs w:val="21"/>
                <w:u w:val="single"/>
              </w:rPr>
            </w:pPr>
            <w:r>
              <w:rPr>
                <w:rFonts w:hint="eastAsia" w:eastAsiaTheme="minorEastAsia"/>
                <w:szCs w:val="21"/>
                <w:u w:val="single"/>
              </w:rPr>
              <w:t>建设单位未按照相关要求对原有项目进行环保竣工验收，但基本环保设备均已落实到位，根据现场调查检测，各污染因子排放均符合相关要求。</w:t>
            </w:r>
          </w:p>
        </w:tc>
        <w:tc>
          <w:tcPr>
            <w:tcW w:w="907" w:type="dxa"/>
            <w:vAlign w:val="center"/>
          </w:tcPr>
          <w:p>
            <w:pPr>
              <w:snapToGrid w:val="0"/>
              <w:jc w:val="center"/>
              <w:rPr>
                <w:rFonts w:eastAsiaTheme="minorEastAsia"/>
                <w:szCs w:val="21"/>
                <w:u w:val="single"/>
              </w:rPr>
            </w:pPr>
            <w:r>
              <w:rPr>
                <w:rFonts w:eastAsiaTheme="minorEastAsia"/>
                <w:szCs w:val="21"/>
                <w:u w:val="single"/>
              </w:rPr>
              <w:t>不符合</w:t>
            </w:r>
          </w:p>
        </w:tc>
      </w:tr>
    </w:tbl>
    <w:p>
      <w:pPr>
        <w:pStyle w:val="3"/>
        <w:snapToGrid w:val="0"/>
        <w:spacing w:before="0" w:after="0" w:line="360" w:lineRule="auto"/>
        <w:rPr>
          <w:rFonts w:ascii="Times New Roman" w:hAnsi="Times New Roman" w:eastAsiaTheme="minorEastAsia"/>
          <w:sz w:val="28"/>
          <w:lang w:val="zh-CN"/>
        </w:rPr>
      </w:pPr>
      <w:bookmarkStart w:id="71" w:name="_Toc61026594"/>
      <w:r>
        <w:rPr>
          <w:rFonts w:ascii="Times New Roman" w:hAnsi="Times New Roman" w:eastAsiaTheme="minorEastAsia"/>
          <w:sz w:val="28"/>
          <w:lang w:val="zh-CN"/>
        </w:rPr>
        <w:t>3.4 现有项目存在的问题、整改措施及搬迁要求</w:t>
      </w:r>
      <w:bookmarkEnd w:id="71"/>
    </w:p>
    <w:p>
      <w:pPr>
        <w:pStyle w:val="45"/>
        <w:snapToGrid w:val="0"/>
        <w:spacing w:line="360" w:lineRule="auto"/>
        <w:ind w:left="0" w:leftChars="0" w:firstLine="480" w:firstLineChars="200"/>
        <w:rPr>
          <w:rFonts w:eastAsiaTheme="minorEastAsia"/>
          <w:sz w:val="24"/>
        </w:rPr>
      </w:pPr>
      <w:r>
        <w:rPr>
          <w:rFonts w:eastAsiaTheme="minorEastAsia"/>
          <w:sz w:val="24"/>
        </w:rPr>
        <w:t>本项目搬迁后，工作人员迁至新址工作，医疗设备均搬迁至新址利用，辅助设备设施则原地保留。现湘阴县中医院场地后续使用单位需另行编制环评报告。现湘阴县中医院搬迁前，需做好以下工作。</w:t>
      </w:r>
    </w:p>
    <w:p>
      <w:pPr>
        <w:pStyle w:val="45"/>
        <w:snapToGrid w:val="0"/>
        <w:spacing w:line="360" w:lineRule="auto"/>
        <w:ind w:left="0" w:leftChars="0" w:firstLine="480" w:firstLineChars="200"/>
        <w:rPr>
          <w:rFonts w:eastAsiaTheme="minorEastAsia"/>
          <w:sz w:val="24"/>
        </w:rPr>
      </w:pPr>
      <w:r>
        <w:rPr>
          <w:rFonts w:eastAsiaTheme="minorEastAsia"/>
          <w:sz w:val="24"/>
        </w:rPr>
        <w:t>1、医疗废物</w:t>
      </w:r>
    </w:p>
    <w:p>
      <w:pPr>
        <w:pStyle w:val="45"/>
        <w:snapToGrid w:val="0"/>
        <w:spacing w:line="360" w:lineRule="auto"/>
        <w:ind w:left="0" w:leftChars="0" w:firstLine="480" w:firstLineChars="200"/>
        <w:rPr>
          <w:rFonts w:eastAsiaTheme="minorEastAsia"/>
          <w:sz w:val="24"/>
        </w:rPr>
      </w:pPr>
      <w:r>
        <w:rPr>
          <w:rFonts w:eastAsiaTheme="minorEastAsia"/>
          <w:sz w:val="24"/>
        </w:rPr>
        <w:t>现湘阴县中医院需将各科室内及医疗废物暂存间内的医疗废物全部交于岳阳市方向固废安全处置有限公司清运处置。现湘阴县中医院</w:t>
      </w:r>
      <w:r>
        <w:rPr>
          <w:rFonts w:hint="eastAsia" w:eastAsiaTheme="minorEastAsia"/>
          <w:sz w:val="24"/>
        </w:rPr>
        <w:t>搬迁后</w:t>
      </w:r>
      <w:r>
        <w:rPr>
          <w:rFonts w:eastAsiaTheme="minorEastAsia"/>
          <w:sz w:val="24"/>
        </w:rPr>
        <w:t>不得遗留医疗废物。</w:t>
      </w:r>
    </w:p>
    <w:p>
      <w:pPr>
        <w:pStyle w:val="45"/>
        <w:snapToGrid w:val="0"/>
        <w:spacing w:line="360" w:lineRule="auto"/>
        <w:ind w:left="0" w:leftChars="0" w:firstLine="480" w:firstLineChars="200"/>
        <w:rPr>
          <w:rFonts w:eastAsiaTheme="minorEastAsia"/>
          <w:sz w:val="24"/>
        </w:rPr>
      </w:pPr>
      <w:r>
        <w:rPr>
          <w:rFonts w:eastAsiaTheme="minorEastAsia"/>
          <w:sz w:val="24"/>
        </w:rPr>
        <w:t>2、</w:t>
      </w:r>
      <w:r>
        <w:rPr>
          <w:rFonts w:hint="eastAsia" w:eastAsiaTheme="minorEastAsia"/>
          <w:sz w:val="24"/>
        </w:rPr>
        <w:t>污水处理站废物</w:t>
      </w:r>
    </w:p>
    <w:p>
      <w:pPr>
        <w:pStyle w:val="45"/>
        <w:snapToGrid w:val="0"/>
        <w:spacing w:line="360" w:lineRule="auto"/>
        <w:ind w:left="0" w:leftChars="0" w:firstLine="480" w:firstLineChars="200"/>
        <w:rPr>
          <w:rFonts w:eastAsiaTheme="minorEastAsia"/>
          <w:sz w:val="24"/>
        </w:rPr>
      </w:pPr>
      <w:r>
        <w:rPr>
          <w:rFonts w:eastAsiaTheme="minorEastAsia"/>
          <w:sz w:val="24"/>
        </w:rPr>
        <w:t>现湘阴县中医院需将现污水处理站内污泥池中格栅渣、污泥全部抽出压滤，满足《医疗机构水污染物排放标准》（GB18466-2005）中表4医疗机构污泥控制标准后，将污泥交由岳阳市方向固废安全处置有限公司清运处置。现湘阴县中医院污水处理站不得遗留污泥。</w:t>
      </w:r>
    </w:p>
    <w:p>
      <w:pPr>
        <w:pStyle w:val="45"/>
        <w:snapToGrid w:val="0"/>
        <w:spacing w:line="360" w:lineRule="auto"/>
        <w:ind w:left="0" w:leftChars="0" w:firstLine="480" w:firstLineChars="200"/>
        <w:rPr>
          <w:rFonts w:eastAsiaTheme="minorEastAsia"/>
          <w:sz w:val="24"/>
        </w:rPr>
      </w:pPr>
      <w:r>
        <w:rPr>
          <w:rFonts w:eastAsiaTheme="minorEastAsia"/>
          <w:sz w:val="24"/>
        </w:rPr>
        <w:t>3、医疗废水</w:t>
      </w:r>
    </w:p>
    <w:p>
      <w:pPr>
        <w:pStyle w:val="45"/>
        <w:snapToGrid w:val="0"/>
        <w:spacing w:line="360" w:lineRule="auto"/>
        <w:ind w:left="0" w:leftChars="0" w:firstLine="480" w:firstLineChars="200"/>
        <w:rPr>
          <w:rFonts w:eastAsiaTheme="minorEastAsia"/>
          <w:sz w:val="24"/>
        </w:rPr>
      </w:pPr>
      <w:r>
        <w:rPr>
          <w:rFonts w:eastAsiaTheme="minorEastAsia"/>
          <w:sz w:val="24"/>
        </w:rPr>
        <w:t>现湘阴县中医院需将检验科废水和口腔科废水按照相关要求分类收集单独预处理后，与常规医疗废水一同进入现湘阴县中医院污水处理站处理后，进入湘阴县第一污水处理厂。</w:t>
      </w:r>
    </w:p>
    <w:p>
      <w:pPr>
        <w:pStyle w:val="45"/>
        <w:snapToGrid w:val="0"/>
        <w:spacing w:line="360" w:lineRule="auto"/>
        <w:ind w:left="0" w:leftChars="0" w:firstLine="480" w:firstLineChars="200"/>
        <w:rPr>
          <w:rFonts w:eastAsiaTheme="minorEastAsia"/>
          <w:sz w:val="24"/>
        </w:rPr>
      </w:pPr>
      <w:r>
        <w:rPr>
          <w:rFonts w:eastAsiaTheme="minorEastAsia"/>
          <w:sz w:val="24"/>
        </w:rPr>
        <w:t>综上所述，本项目搬迁后，现湘阴县中医院将原有场地内的医疗废物、污泥、格栅渣等危险废物妥善交由有资质单位安全处理，可满足环保相关要求。</w:t>
      </w:r>
    </w:p>
    <w:p>
      <w:pPr>
        <w:pStyle w:val="3"/>
        <w:snapToGrid w:val="0"/>
        <w:spacing w:before="0" w:after="0" w:line="360" w:lineRule="auto"/>
        <w:rPr>
          <w:rFonts w:ascii="Times New Roman" w:hAnsi="Times New Roman" w:eastAsiaTheme="minorEastAsia"/>
          <w:sz w:val="28"/>
          <w:u w:val="single"/>
          <w:lang w:val="zh-CN"/>
        </w:rPr>
      </w:pPr>
      <w:bookmarkStart w:id="72" w:name="_Toc61026595"/>
      <w:r>
        <w:rPr>
          <w:rFonts w:hint="eastAsia" w:ascii="Times New Roman" w:hAnsi="Times New Roman" w:eastAsiaTheme="minorEastAsia"/>
          <w:sz w:val="28"/>
          <w:u w:val="single"/>
          <w:lang w:val="zh-CN"/>
        </w:rPr>
        <w:t>3.5</w:t>
      </w:r>
      <w:r>
        <w:rPr>
          <w:rFonts w:ascii="Times New Roman" w:hAnsi="Times New Roman" w:eastAsiaTheme="minorEastAsia"/>
          <w:sz w:val="28"/>
          <w:u w:val="single"/>
          <w:lang w:val="zh-CN"/>
        </w:rPr>
        <w:t xml:space="preserve"> </w:t>
      </w:r>
      <w:r>
        <w:rPr>
          <w:rFonts w:hint="eastAsia" w:ascii="Times New Roman" w:hAnsi="Times New Roman" w:eastAsiaTheme="minorEastAsia"/>
          <w:sz w:val="28"/>
          <w:u w:val="single"/>
          <w:lang w:val="zh-CN"/>
        </w:rPr>
        <w:t>本项目拟搬迁地主要情况</w:t>
      </w:r>
      <w:bookmarkEnd w:id="72"/>
    </w:p>
    <w:p>
      <w:pPr>
        <w:pStyle w:val="45"/>
        <w:snapToGrid w:val="0"/>
        <w:spacing w:line="360" w:lineRule="auto"/>
        <w:ind w:left="0" w:leftChars="0" w:firstLine="480" w:firstLineChars="200"/>
        <w:rPr>
          <w:rFonts w:eastAsiaTheme="minorEastAsia"/>
          <w:sz w:val="24"/>
          <w:u w:val="single"/>
        </w:rPr>
      </w:pPr>
      <w:r>
        <w:rPr>
          <w:rFonts w:hint="eastAsia" w:eastAsiaTheme="minorEastAsia"/>
          <w:sz w:val="24"/>
          <w:u w:val="single"/>
        </w:rPr>
        <w:t>本项目拟建地位于湘阴县文星镇先锋路69号（县人民医院旧址）。项目建设场地平坦开阔，可预留足够的停车场地，有利于车辆的通行和停放，且周边环境幽雅、交通便利、通讯发达，市政设施健全，远离饮用水源保护区，周围没有污染源，适合项目建设。</w:t>
      </w:r>
    </w:p>
    <w:p>
      <w:pPr>
        <w:pStyle w:val="45"/>
        <w:snapToGrid w:val="0"/>
        <w:spacing w:line="360" w:lineRule="auto"/>
        <w:ind w:left="0" w:leftChars="0" w:firstLine="424" w:firstLineChars="177"/>
        <w:rPr>
          <w:rFonts w:eastAsiaTheme="minorEastAsia"/>
          <w:sz w:val="24"/>
          <w:u w:val="single"/>
        </w:rPr>
      </w:pPr>
      <w:r>
        <w:rPr>
          <w:rFonts w:hint="eastAsia" w:eastAsiaTheme="minorEastAsia"/>
          <w:sz w:val="24"/>
          <w:u w:val="single"/>
        </w:rPr>
        <w:t>根据现场调查，原项目已基本搬迁完毕剩余有一栋住院楼、门诊大楼（待拆）、7栋宿舍楼、一栋食堂大楼等建筑，其中原有相关设备均已拆除未发现有遗留情况。项目范围内未发现有遗留的医疗废物、污水处理站污泥以及生活垃圾等固体废物，且原污水处理站中废水基本处理完毕未见废水留存。现场除门诊大楼建筑有少量开裂现象外，其余建筑均无明显损坏。项目范围内地面基本进行硬化，原有植被保留较为完全，未出现明显的水土流失现象。拟建项目地周边主要为居民与商业区，正常情况下周边社会活动对本项目影响因素主要为噪声，但经过距离衰减之后整体影响程度较小。</w:t>
      </w:r>
    </w:p>
    <w:p>
      <w:pPr>
        <w:snapToGrid w:val="0"/>
        <w:spacing w:line="360" w:lineRule="auto"/>
        <w:ind w:firstLine="424" w:firstLineChars="177"/>
        <w:rPr>
          <w:rFonts w:eastAsiaTheme="minorEastAsia"/>
          <w:sz w:val="24"/>
        </w:rPr>
      </w:pPr>
    </w:p>
    <w:p>
      <w:pPr>
        <w:pStyle w:val="2"/>
        <w:spacing w:after="0" w:line="480" w:lineRule="auto"/>
        <w:jc w:val="center"/>
        <w:rPr>
          <w:rFonts w:ascii="Times New Roman" w:eastAsiaTheme="minorEastAsia"/>
          <w:b/>
          <w:bCs/>
          <w:color w:val="FF0000"/>
          <w:sz w:val="36"/>
          <w:szCs w:val="36"/>
          <w:lang w:val="zh-CN"/>
        </w:rPr>
        <w:sectPr>
          <w:footerReference r:id="rId12" w:type="default"/>
          <w:pgSz w:w="11906" w:h="16838"/>
          <w:pgMar w:top="1418" w:right="1304" w:bottom="1418" w:left="1474" w:header="851" w:footer="680" w:gutter="0"/>
          <w:cols w:space="720" w:num="1"/>
          <w:docGrid w:linePitch="312" w:charSpace="0"/>
        </w:sectPr>
      </w:pPr>
    </w:p>
    <w:p>
      <w:pPr>
        <w:pStyle w:val="2"/>
        <w:spacing w:after="0" w:line="480" w:lineRule="auto"/>
        <w:jc w:val="center"/>
        <w:rPr>
          <w:rFonts w:ascii="Times New Roman" w:eastAsiaTheme="minorEastAsia"/>
          <w:b/>
          <w:bCs/>
          <w:sz w:val="36"/>
          <w:szCs w:val="36"/>
          <w:lang w:val="zh-CN"/>
        </w:rPr>
      </w:pPr>
      <w:bookmarkStart w:id="73" w:name="_Toc61026596"/>
      <w:r>
        <w:rPr>
          <w:rFonts w:ascii="Times New Roman" w:eastAsiaTheme="minorEastAsia"/>
          <w:b/>
          <w:bCs/>
          <w:sz w:val="36"/>
          <w:szCs w:val="36"/>
          <w:lang w:val="zh-CN"/>
        </w:rPr>
        <w:t>4 建设项目工程分析</w:t>
      </w:r>
      <w:bookmarkEnd w:id="73"/>
    </w:p>
    <w:p>
      <w:pPr>
        <w:pStyle w:val="3"/>
        <w:snapToGrid w:val="0"/>
        <w:spacing w:before="0" w:after="0" w:line="360" w:lineRule="auto"/>
        <w:rPr>
          <w:rFonts w:ascii="Times New Roman" w:hAnsi="Times New Roman" w:eastAsiaTheme="minorEastAsia"/>
          <w:sz w:val="28"/>
          <w:lang w:val="zh-CN"/>
        </w:rPr>
      </w:pPr>
      <w:bookmarkStart w:id="74" w:name="_Toc61026597"/>
      <w:r>
        <w:rPr>
          <w:rFonts w:ascii="Times New Roman" w:hAnsi="Times New Roman" w:eastAsiaTheme="minorEastAsia"/>
          <w:sz w:val="28"/>
          <w:lang w:val="zh-CN"/>
        </w:rPr>
        <w:t>4.1 建设项目情况介绍</w:t>
      </w:r>
      <w:bookmarkEnd w:id="74"/>
    </w:p>
    <w:p>
      <w:pPr>
        <w:pStyle w:val="4"/>
        <w:snapToGrid w:val="0"/>
        <w:spacing w:before="0" w:after="0" w:line="360" w:lineRule="auto"/>
        <w:rPr>
          <w:rFonts w:eastAsiaTheme="minorEastAsia"/>
          <w:kern w:val="0"/>
          <w:sz w:val="24"/>
        </w:rPr>
      </w:pPr>
      <w:r>
        <w:rPr>
          <w:rFonts w:eastAsiaTheme="minorEastAsia"/>
          <w:kern w:val="0"/>
          <w:sz w:val="24"/>
        </w:rPr>
        <w:t>4.1.1 建设项目基本概况</w:t>
      </w:r>
    </w:p>
    <w:p>
      <w:pPr>
        <w:snapToGrid w:val="0"/>
        <w:spacing w:line="360" w:lineRule="auto"/>
        <w:ind w:firstLine="480" w:firstLineChars="200"/>
        <w:rPr>
          <w:rFonts w:eastAsiaTheme="minorEastAsia"/>
          <w:sz w:val="24"/>
        </w:rPr>
      </w:pPr>
      <w:r>
        <w:rPr>
          <w:rFonts w:eastAsiaTheme="minorEastAsia"/>
          <w:sz w:val="24"/>
        </w:rPr>
        <w:t>（1）项目名称：湘阴县中医院整体搬迁项目</w:t>
      </w:r>
    </w:p>
    <w:p>
      <w:pPr>
        <w:snapToGrid w:val="0"/>
        <w:spacing w:line="360" w:lineRule="auto"/>
        <w:ind w:firstLine="480" w:firstLineChars="200"/>
        <w:rPr>
          <w:rFonts w:eastAsiaTheme="minorEastAsia"/>
          <w:sz w:val="24"/>
        </w:rPr>
      </w:pPr>
      <w:r>
        <w:rPr>
          <w:rFonts w:eastAsiaTheme="minorEastAsia"/>
          <w:sz w:val="24"/>
        </w:rPr>
        <w:t>（2）建设单位：湘阴县中医院</w:t>
      </w:r>
    </w:p>
    <w:p>
      <w:pPr>
        <w:snapToGrid w:val="0"/>
        <w:spacing w:line="360" w:lineRule="auto"/>
        <w:ind w:firstLine="480" w:firstLineChars="200"/>
        <w:rPr>
          <w:rFonts w:eastAsiaTheme="minorEastAsia"/>
          <w:sz w:val="24"/>
        </w:rPr>
      </w:pPr>
      <w:r>
        <w:rPr>
          <w:rFonts w:eastAsiaTheme="minorEastAsia"/>
          <w:sz w:val="24"/>
        </w:rPr>
        <w:t>（3）建设性质：</w:t>
      </w:r>
      <w:r>
        <w:rPr>
          <w:rFonts w:hint="eastAsia" w:eastAsiaTheme="minorEastAsia"/>
          <w:sz w:val="24"/>
        </w:rPr>
        <w:t>改扩建</w:t>
      </w:r>
    </w:p>
    <w:p>
      <w:pPr>
        <w:snapToGrid w:val="0"/>
        <w:spacing w:line="360" w:lineRule="auto"/>
        <w:ind w:firstLine="480" w:firstLineChars="200"/>
        <w:rPr>
          <w:rFonts w:eastAsiaTheme="minorEastAsia"/>
          <w:sz w:val="24"/>
        </w:rPr>
      </w:pPr>
      <w:r>
        <w:rPr>
          <w:rFonts w:eastAsiaTheme="minorEastAsia"/>
          <w:sz w:val="24"/>
        </w:rPr>
        <w:t>（4）建设地点：湖南省岳阳市湘阴县文星镇先锋路69号（县人民医院旧址）</w:t>
      </w:r>
    </w:p>
    <w:p>
      <w:pPr>
        <w:snapToGrid w:val="0"/>
        <w:spacing w:line="360" w:lineRule="auto"/>
        <w:ind w:firstLine="480" w:firstLineChars="200"/>
        <w:rPr>
          <w:rFonts w:eastAsiaTheme="minorEastAsia"/>
          <w:sz w:val="24"/>
        </w:rPr>
      </w:pPr>
      <w:r>
        <w:rPr>
          <w:rFonts w:eastAsiaTheme="minorEastAsia"/>
          <w:sz w:val="24"/>
        </w:rPr>
        <w:t>（5）投资：本项目投资估算25300.00万元，包括建安工程费23440.16万元，工程建设其他费用782.84万元，不可预见费1077.00万元。其中环保投资458万元，占总投资的1.81%；</w:t>
      </w:r>
    </w:p>
    <w:p>
      <w:pPr>
        <w:snapToGrid w:val="0"/>
        <w:spacing w:line="360" w:lineRule="auto"/>
        <w:ind w:firstLine="480" w:firstLineChars="200"/>
        <w:rPr>
          <w:rFonts w:eastAsiaTheme="minorEastAsia"/>
          <w:sz w:val="24"/>
        </w:rPr>
      </w:pPr>
      <w:r>
        <w:rPr>
          <w:rFonts w:eastAsiaTheme="minorEastAsia"/>
          <w:sz w:val="24"/>
        </w:rPr>
        <w:t>（6）占地面积：20114.50m</w:t>
      </w:r>
      <w:r>
        <w:rPr>
          <w:rFonts w:eastAsiaTheme="minorEastAsia"/>
          <w:sz w:val="24"/>
          <w:vertAlign w:val="superscript"/>
        </w:rPr>
        <w:t>2</w:t>
      </w:r>
      <w:r>
        <w:rPr>
          <w:rFonts w:eastAsiaTheme="minorEastAsia"/>
          <w:sz w:val="24"/>
        </w:rPr>
        <w:t>；</w:t>
      </w:r>
    </w:p>
    <w:p>
      <w:pPr>
        <w:snapToGrid w:val="0"/>
        <w:spacing w:line="360" w:lineRule="auto"/>
        <w:ind w:firstLine="480" w:firstLineChars="200"/>
        <w:rPr>
          <w:rFonts w:eastAsiaTheme="minorEastAsia"/>
          <w:sz w:val="24"/>
        </w:rPr>
      </w:pPr>
      <w:r>
        <w:rPr>
          <w:rFonts w:eastAsiaTheme="minorEastAsia"/>
          <w:sz w:val="24"/>
        </w:rPr>
        <w:t>（7）总建筑面积：59100m</w:t>
      </w:r>
      <w:r>
        <w:rPr>
          <w:rFonts w:eastAsiaTheme="minorEastAsia"/>
          <w:sz w:val="24"/>
          <w:vertAlign w:val="superscript"/>
        </w:rPr>
        <w:t>2</w:t>
      </w:r>
      <w:r>
        <w:rPr>
          <w:rFonts w:eastAsiaTheme="minorEastAsia"/>
          <w:sz w:val="24"/>
        </w:rPr>
        <w:t>；</w:t>
      </w:r>
    </w:p>
    <w:p>
      <w:pPr>
        <w:snapToGrid w:val="0"/>
        <w:spacing w:line="360" w:lineRule="auto"/>
        <w:ind w:firstLine="480" w:firstLineChars="200"/>
        <w:rPr>
          <w:rFonts w:eastAsiaTheme="minorEastAsia"/>
          <w:sz w:val="24"/>
        </w:rPr>
      </w:pPr>
      <w:r>
        <w:rPr>
          <w:rFonts w:eastAsiaTheme="minorEastAsia"/>
          <w:sz w:val="24"/>
        </w:rPr>
        <w:t>（8）建设内容：新建门诊综合楼建筑面积13000.00平方米、改建住院部大楼16000.00平方米及附属用房1600.00平方米以及1号立体车库、2号立体车库、3号立体车库共28500平方米，并配套建设给排水、供配电、环保等基础设施。</w:t>
      </w:r>
    </w:p>
    <w:p>
      <w:pPr>
        <w:snapToGrid w:val="0"/>
        <w:spacing w:line="360" w:lineRule="auto"/>
        <w:ind w:firstLine="480" w:firstLineChars="200"/>
        <w:rPr>
          <w:rFonts w:eastAsiaTheme="minorEastAsia"/>
          <w:sz w:val="24"/>
          <w:u w:val="single"/>
        </w:rPr>
      </w:pPr>
      <w:r>
        <w:rPr>
          <w:rFonts w:hint="eastAsia" w:eastAsiaTheme="minorEastAsia"/>
          <w:sz w:val="24"/>
          <w:u w:val="single"/>
        </w:rPr>
        <w:t>（9）科室建设：预防保健科、全科医疗科、内科（含呼吸内科专业；消化内科专业；神经内科专业；心血管内科专业；血液内科专业；肾病科专业；内分泌专业）、外科（普通外科专业；骨科专业；泌尿外科专业；烧伤专业）、妇产科（妇科专业；产科专业；计划生育专业）、妇女保健科、儿科、眼科、耳鼻喉科、口腔科、皮肤科（皮肤病专业;性传播疾病专业）、肿瘤科、急诊医学科、康复医学科、麻醉科、医学检验科（临床体液、血液专业；临床微生物学专业；临床化学检验专业；临床免疫、血清学专业）、病理科、医学影像科（X线诊断专业、CT诊断专业、超声诊断专业、心电诊断专业）、中医科（内科专业；外科专业；妇产科专业；儿科专业；皮肤病专业；肿瘤科专业；骨伤科专业；肛肠科专业；针灸科专业；推拿科专业；康复医学专业；急诊科专业；预防保健科专业）、中西医结合科，具体见附件13。</w:t>
      </w:r>
    </w:p>
    <w:p>
      <w:pPr>
        <w:snapToGrid w:val="0"/>
        <w:spacing w:line="360" w:lineRule="auto"/>
        <w:ind w:firstLine="480" w:firstLineChars="200"/>
        <w:rPr>
          <w:rFonts w:eastAsiaTheme="minorEastAsia"/>
          <w:sz w:val="24"/>
        </w:rPr>
      </w:pPr>
      <w:r>
        <w:rPr>
          <w:rFonts w:eastAsiaTheme="minorEastAsia"/>
          <w:sz w:val="24"/>
        </w:rPr>
        <w:t>（</w:t>
      </w:r>
      <w:r>
        <w:rPr>
          <w:rFonts w:hint="eastAsia" w:eastAsiaTheme="minorEastAsia"/>
          <w:sz w:val="24"/>
        </w:rPr>
        <w:t>10</w:t>
      </w:r>
      <w:r>
        <w:rPr>
          <w:rFonts w:eastAsiaTheme="minorEastAsia"/>
          <w:sz w:val="24"/>
        </w:rPr>
        <w:t>）建设周期：项目建设工期17个月，2021年4月到2022年8月。</w:t>
      </w:r>
    </w:p>
    <w:p>
      <w:pPr>
        <w:snapToGrid w:val="0"/>
        <w:spacing w:line="360" w:lineRule="auto"/>
        <w:ind w:firstLine="480" w:firstLineChars="200"/>
        <w:rPr>
          <w:rFonts w:eastAsiaTheme="minorEastAsia"/>
          <w:sz w:val="24"/>
        </w:rPr>
      </w:pPr>
      <w:r>
        <w:rPr>
          <w:rFonts w:eastAsiaTheme="minorEastAsia"/>
          <w:sz w:val="24"/>
        </w:rPr>
        <w:t>（1</w:t>
      </w:r>
      <w:r>
        <w:rPr>
          <w:rFonts w:hint="eastAsia" w:eastAsiaTheme="minorEastAsia"/>
          <w:sz w:val="24"/>
        </w:rPr>
        <w:t>1</w:t>
      </w:r>
      <w:r>
        <w:rPr>
          <w:rFonts w:eastAsiaTheme="minorEastAsia"/>
          <w:sz w:val="24"/>
        </w:rPr>
        <w:t>）劳动定员：项目工作人员预计为480人，实行每日三班工作制，全年运行365天。</w:t>
      </w:r>
    </w:p>
    <w:p>
      <w:pPr>
        <w:snapToGrid w:val="0"/>
        <w:spacing w:line="360" w:lineRule="auto"/>
        <w:ind w:firstLine="480" w:firstLineChars="200"/>
        <w:rPr>
          <w:rFonts w:eastAsiaTheme="minorEastAsia"/>
          <w:sz w:val="24"/>
        </w:rPr>
      </w:pPr>
      <w:r>
        <w:rPr>
          <w:rFonts w:eastAsiaTheme="minorEastAsia"/>
          <w:sz w:val="24"/>
        </w:rPr>
        <w:t>（1</w:t>
      </w:r>
      <w:r>
        <w:rPr>
          <w:rFonts w:hint="eastAsia" w:eastAsiaTheme="minorEastAsia"/>
          <w:sz w:val="24"/>
        </w:rPr>
        <w:t>2</w:t>
      </w:r>
      <w:r>
        <w:rPr>
          <w:rFonts w:eastAsiaTheme="minorEastAsia"/>
          <w:sz w:val="24"/>
        </w:rPr>
        <w:t>）医院建设标准：二级甲等综合医院。</w:t>
      </w:r>
    </w:p>
    <w:p>
      <w:pPr>
        <w:pStyle w:val="4"/>
        <w:snapToGrid w:val="0"/>
        <w:spacing w:before="0" w:after="0" w:line="360" w:lineRule="auto"/>
        <w:rPr>
          <w:rFonts w:eastAsiaTheme="minorEastAsia"/>
          <w:kern w:val="0"/>
          <w:sz w:val="24"/>
        </w:rPr>
      </w:pPr>
      <w:r>
        <w:rPr>
          <w:rFonts w:eastAsiaTheme="minorEastAsia"/>
          <w:kern w:val="0"/>
          <w:sz w:val="24"/>
        </w:rPr>
        <w:t>4.1.2 建设项目工程内容情况介绍</w:t>
      </w:r>
    </w:p>
    <w:p>
      <w:pPr>
        <w:snapToGrid w:val="0"/>
        <w:spacing w:line="360" w:lineRule="auto"/>
        <w:jc w:val="center"/>
        <w:rPr>
          <w:rFonts w:eastAsiaTheme="minorEastAsia"/>
          <w:b/>
          <w:bCs/>
          <w:sz w:val="24"/>
        </w:rPr>
      </w:pPr>
      <w:r>
        <w:rPr>
          <w:rFonts w:eastAsiaTheme="minorEastAsia"/>
          <w:b/>
          <w:bCs/>
          <w:sz w:val="24"/>
        </w:rPr>
        <w:t>表4.1-1  建设项目组成一览表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73"/>
        <w:gridCol w:w="1074"/>
        <w:gridCol w:w="5637"/>
        <w:gridCol w:w="13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40" w:type="pct"/>
            <w:vAlign w:val="center"/>
          </w:tcPr>
          <w:p>
            <w:pPr>
              <w:snapToGrid w:val="0"/>
              <w:jc w:val="center"/>
              <w:rPr>
                <w:rFonts w:eastAsiaTheme="minorEastAsia"/>
                <w:b/>
              </w:rPr>
            </w:pPr>
            <w:r>
              <w:rPr>
                <w:rFonts w:eastAsiaTheme="minorEastAsia"/>
                <w:b/>
              </w:rPr>
              <w:t>工程类别</w:t>
            </w:r>
          </w:p>
        </w:tc>
        <w:tc>
          <w:tcPr>
            <w:tcW w:w="611" w:type="pct"/>
            <w:vAlign w:val="center"/>
          </w:tcPr>
          <w:p>
            <w:pPr>
              <w:snapToGrid w:val="0"/>
              <w:jc w:val="center"/>
              <w:rPr>
                <w:rFonts w:eastAsiaTheme="minorEastAsia"/>
                <w:b/>
              </w:rPr>
            </w:pPr>
            <w:r>
              <w:rPr>
                <w:rFonts w:eastAsiaTheme="minorEastAsia"/>
                <w:b/>
              </w:rPr>
              <w:t>工程名称</w:t>
            </w:r>
          </w:p>
        </w:tc>
        <w:tc>
          <w:tcPr>
            <w:tcW w:w="3207" w:type="pct"/>
            <w:vAlign w:val="center"/>
          </w:tcPr>
          <w:p>
            <w:pPr>
              <w:snapToGrid w:val="0"/>
              <w:jc w:val="center"/>
              <w:rPr>
                <w:rFonts w:eastAsiaTheme="minorEastAsia"/>
                <w:b/>
              </w:rPr>
            </w:pPr>
            <w:r>
              <w:rPr>
                <w:rFonts w:eastAsiaTheme="minorEastAsia"/>
                <w:b/>
              </w:rPr>
              <w:t>工程内容</w:t>
            </w:r>
          </w:p>
        </w:tc>
        <w:tc>
          <w:tcPr>
            <w:tcW w:w="742" w:type="pct"/>
            <w:vAlign w:val="center"/>
          </w:tcPr>
          <w:p>
            <w:pPr>
              <w:snapToGrid w:val="0"/>
              <w:jc w:val="center"/>
              <w:rPr>
                <w:rFonts w:eastAsiaTheme="minorEastAsia"/>
                <w:b/>
              </w:rPr>
            </w:pPr>
            <w:r>
              <w:rPr>
                <w:rFonts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restart"/>
            <w:vAlign w:val="center"/>
          </w:tcPr>
          <w:p>
            <w:pPr>
              <w:snapToGrid w:val="0"/>
              <w:jc w:val="center"/>
              <w:rPr>
                <w:rFonts w:eastAsiaTheme="minorEastAsia"/>
                <w:u w:val="single"/>
              </w:rPr>
            </w:pPr>
            <w:r>
              <w:rPr>
                <w:rFonts w:eastAsiaTheme="minorEastAsia"/>
                <w:u w:val="single"/>
              </w:rPr>
              <w:t>主体工程</w:t>
            </w:r>
          </w:p>
        </w:tc>
        <w:tc>
          <w:tcPr>
            <w:tcW w:w="611" w:type="pct"/>
            <w:vAlign w:val="center"/>
          </w:tcPr>
          <w:p>
            <w:pPr>
              <w:snapToGrid w:val="0"/>
              <w:jc w:val="center"/>
              <w:rPr>
                <w:rFonts w:eastAsiaTheme="minorEastAsia"/>
                <w:u w:val="single"/>
              </w:rPr>
            </w:pPr>
            <w:r>
              <w:rPr>
                <w:rFonts w:eastAsiaTheme="minorEastAsia"/>
                <w:u w:val="single"/>
              </w:rPr>
              <w:t>门诊综合楼</w:t>
            </w:r>
          </w:p>
        </w:tc>
        <w:tc>
          <w:tcPr>
            <w:tcW w:w="3207" w:type="pct"/>
            <w:vAlign w:val="center"/>
          </w:tcPr>
          <w:p>
            <w:pPr>
              <w:snapToGrid w:val="0"/>
              <w:jc w:val="left"/>
              <w:rPr>
                <w:rFonts w:eastAsiaTheme="minorEastAsia"/>
                <w:u w:val="single"/>
              </w:rPr>
            </w:pPr>
            <w:bookmarkStart w:id="75" w:name="OLE_LINK42"/>
            <w:bookmarkStart w:id="76" w:name="OLE_LINK43"/>
            <w:r>
              <w:rPr>
                <w:rFonts w:hint="eastAsia" w:eastAsiaTheme="minorEastAsia"/>
                <w:u w:val="single"/>
              </w:rPr>
              <w:t>砖混结构，</w:t>
            </w:r>
            <w:bookmarkEnd w:id="75"/>
            <w:bookmarkEnd w:id="76"/>
            <w:r>
              <w:rPr>
                <w:rFonts w:eastAsiaTheme="minorEastAsia"/>
                <w:u w:val="single"/>
              </w:rPr>
              <w:t>建筑面积13478.92m</w:t>
            </w:r>
            <w:r>
              <w:rPr>
                <w:rFonts w:eastAsiaTheme="minorEastAsia"/>
                <w:u w:val="single"/>
                <w:vertAlign w:val="superscript"/>
              </w:rPr>
              <w:t>2</w:t>
            </w:r>
            <w:r>
              <w:rPr>
                <w:rFonts w:eastAsiaTheme="minorEastAsia"/>
                <w:u w:val="single"/>
              </w:rPr>
              <w:t>，7层（含负一层）</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u w:val="single"/>
              </w:rPr>
            </w:pPr>
          </w:p>
        </w:tc>
        <w:tc>
          <w:tcPr>
            <w:tcW w:w="611" w:type="pct"/>
            <w:vAlign w:val="center"/>
          </w:tcPr>
          <w:p>
            <w:pPr>
              <w:snapToGrid w:val="0"/>
              <w:jc w:val="center"/>
              <w:rPr>
                <w:rFonts w:eastAsiaTheme="minorEastAsia"/>
                <w:u w:val="single"/>
              </w:rPr>
            </w:pPr>
            <w:r>
              <w:rPr>
                <w:rFonts w:eastAsiaTheme="minorEastAsia"/>
                <w:u w:val="single"/>
              </w:rPr>
              <w:t>住院部大楼</w:t>
            </w:r>
          </w:p>
        </w:tc>
        <w:tc>
          <w:tcPr>
            <w:tcW w:w="3207" w:type="pct"/>
            <w:vAlign w:val="center"/>
          </w:tcPr>
          <w:p>
            <w:pPr>
              <w:snapToGrid w:val="0"/>
              <w:jc w:val="left"/>
              <w:rPr>
                <w:rFonts w:eastAsiaTheme="minorEastAsia"/>
                <w:u w:val="single"/>
              </w:rPr>
            </w:pPr>
            <w:r>
              <w:rPr>
                <w:rFonts w:hint="eastAsia" w:eastAsiaTheme="minorEastAsia"/>
                <w:u w:val="single"/>
              </w:rPr>
              <w:t>砖混结构，</w:t>
            </w:r>
            <w:r>
              <w:rPr>
                <w:rFonts w:eastAsiaTheme="minorEastAsia"/>
                <w:u w:val="single"/>
              </w:rPr>
              <w:t>建筑面积15071.6m</w:t>
            </w:r>
            <w:r>
              <w:rPr>
                <w:rFonts w:eastAsiaTheme="minorEastAsia"/>
                <w:u w:val="single"/>
                <w:vertAlign w:val="superscript"/>
              </w:rPr>
              <w:t>2</w:t>
            </w:r>
            <w:r>
              <w:rPr>
                <w:rFonts w:eastAsiaTheme="minorEastAsia"/>
                <w:u w:val="single"/>
              </w:rPr>
              <w:t>，10层，</w:t>
            </w:r>
          </w:p>
        </w:tc>
        <w:tc>
          <w:tcPr>
            <w:tcW w:w="742" w:type="pct"/>
            <w:shd w:val="clear" w:color="auto" w:fill="auto"/>
            <w:vAlign w:val="center"/>
          </w:tcPr>
          <w:p>
            <w:pPr>
              <w:snapToGrid w:val="0"/>
              <w:jc w:val="center"/>
              <w:rPr>
                <w:rFonts w:eastAsiaTheme="minorEastAsia"/>
              </w:rPr>
            </w:pPr>
            <w:r>
              <w:rPr>
                <w:rFonts w:hint="eastAsia" w:eastAsiaTheme="minorEastAsia"/>
                <w:u w:val="single"/>
              </w:rPr>
              <w:t>利用原有建筑，仅装修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restart"/>
            <w:vAlign w:val="center"/>
          </w:tcPr>
          <w:p>
            <w:pPr>
              <w:snapToGrid w:val="0"/>
              <w:jc w:val="center"/>
              <w:rPr>
                <w:rFonts w:eastAsiaTheme="minorEastAsia"/>
              </w:rPr>
            </w:pPr>
            <w:r>
              <w:rPr>
                <w:rFonts w:eastAsiaTheme="minorEastAsia"/>
              </w:rPr>
              <w:t>辅助工程</w:t>
            </w:r>
          </w:p>
        </w:tc>
        <w:tc>
          <w:tcPr>
            <w:tcW w:w="611" w:type="pct"/>
            <w:vAlign w:val="center"/>
          </w:tcPr>
          <w:p>
            <w:pPr>
              <w:snapToGrid w:val="0"/>
              <w:jc w:val="center"/>
              <w:rPr>
                <w:rFonts w:eastAsiaTheme="minorEastAsia"/>
              </w:rPr>
            </w:pPr>
            <w:r>
              <w:rPr>
                <w:rFonts w:eastAsiaTheme="minorEastAsia"/>
              </w:rPr>
              <w:t>锅炉房</w:t>
            </w:r>
          </w:p>
        </w:tc>
        <w:tc>
          <w:tcPr>
            <w:tcW w:w="3207" w:type="pct"/>
            <w:vAlign w:val="center"/>
          </w:tcPr>
          <w:p>
            <w:pPr>
              <w:snapToGrid w:val="0"/>
              <w:jc w:val="left"/>
              <w:rPr>
                <w:rFonts w:eastAsiaTheme="minorEastAsia"/>
              </w:rPr>
            </w:pPr>
            <w:r>
              <w:rPr>
                <w:rFonts w:eastAsiaTheme="minorEastAsia"/>
              </w:rPr>
              <w:t>本项目拟在地下室设置锅炉房，锅炉房采用电热锅炉。</w:t>
            </w:r>
          </w:p>
        </w:tc>
        <w:tc>
          <w:tcPr>
            <w:tcW w:w="742" w:type="pct"/>
            <w:vAlign w:val="center"/>
          </w:tcPr>
          <w:p>
            <w:pPr>
              <w:snapToGrid w:val="0"/>
              <w:jc w:val="center"/>
              <w:rPr>
                <w:rFonts w:eastAsiaTheme="minorEastAsia"/>
                <w:b/>
                <w:bCs/>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rPr>
            </w:pPr>
          </w:p>
        </w:tc>
        <w:tc>
          <w:tcPr>
            <w:tcW w:w="611" w:type="pct"/>
            <w:vAlign w:val="center"/>
          </w:tcPr>
          <w:p>
            <w:pPr>
              <w:snapToGrid w:val="0"/>
              <w:jc w:val="center"/>
              <w:rPr>
                <w:rFonts w:eastAsiaTheme="minorEastAsia"/>
              </w:rPr>
            </w:pPr>
            <w:r>
              <w:rPr>
                <w:rFonts w:eastAsiaTheme="minorEastAsia"/>
              </w:rPr>
              <w:t>住宿楼</w:t>
            </w:r>
          </w:p>
        </w:tc>
        <w:tc>
          <w:tcPr>
            <w:tcW w:w="3207" w:type="pct"/>
            <w:vAlign w:val="center"/>
          </w:tcPr>
          <w:p>
            <w:pPr>
              <w:snapToGrid w:val="0"/>
              <w:jc w:val="left"/>
              <w:rPr>
                <w:rFonts w:eastAsiaTheme="minorEastAsia"/>
              </w:rPr>
            </w:pPr>
            <w:r>
              <w:rPr>
                <w:rFonts w:eastAsiaTheme="minorEastAsia"/>
              </w:rPr>
              <w:t>本项目共有7栋宿舍楼，三栋位于项目西南侧，四栋位于项目东侧。</w:t>
            </w:r>
          </w:p>
        </w:tc>
        <w:tc>
          <w:tcPr>
            <w:tcW w:w="742" w:type="pct"/>
            <w:vAlign w:val="center"/>
          </w:tcPr>
          <w:p>
            <w:pPr>
              <w:snapToGrid w:val="0"/>
              <w:jc w:val="center"/>
              <w:rPr>
                <w:rFonts w:eastAsiaTheme="minorEastAsia"/>
              </w:rPr>
            </w:pPr>
            <w:r>
              <w:rPr>
                <w:rFonts w:hint="eastAsia" w:eastAsiaTheme="minorEastAsia"/>
                <w:u w:val="single"/>
              </w:rPr>
              <w:t>利用原有建筑，仅装修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rPr>
            </w:pPr>
          </w:p>
        </w:tc>
        <w:tc>
          <w:tcPr>
            <w:tcW w:w="611" w:type="pct"/>
            <w:vAlign w:val="center"/>
          </w:tcPr>
          <w:p>
            <w:pPr>
              <w:snapToGrid w:val="0"/>
              <w:jc w:val="center"/>
              <w:rPr>
                <w:rFonts w:eastAsiaTheme="minorEastAsia"/>
              </w:rPr>
            </w:pPr>
            <w:r>
              <w:rPr>
                <w:rFonts w:eastAsiaTheme="minorEastAsia"/>
              </w:rPr>
              <w:t>食堂</w:t>
            </w:r>
          </w:p>
        </w:tc>
        <w:tc>
          <w:tcPr>
            <w:tcW w:w="3207" w:type="pct"/>
            <w:vAlign w:val="center"/>
          </w:tcPr>
          <w:p>
            <w:pPr>
              <w:snapToGrid w:val="0"/>
              <w:jc w:val="left"/>
              <w:rPr>
                <w:rFonts w:eastAsiaTheme="minorEastAsia"/>
              </w:rPr>
            </w:pPr>
            <w:r>
              <w:rPr>
                <w:rFonts w:eastAsiaTheme="minorEastAsia"/>
              </w:rPr>
              <w:t>本项目建有单独一栋食堂，位于项目西侧。</w:t>
            </w:r>
          </w:p>
        </w:tc>
        <w:tc>
          <w:tcPr>
            <w:tcW w:w="742" w:type="pct"/>
            <w:vAlign w:val="center"/>
          </w:tcPr>
          <w:p>
            <w:pPr>
              <w:snapToGrid w:val="0"/>
              <w:jc w:val="center"/>
              <w:rPr>
                <w:rFonts w:eastAsiaTheme="minorEastAsia"/>
              </w:rPr>
            </w:pPr>
            <w:r>
              <w:rPr>
                <w:rFonts w:hint="eastAsia" w:eastAsiaTheme="minorEastAsia"/>
                <w:u w:val="single"/>
              </w:rPr>
              <w:t>利用原有建筑，仅装修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rPr>
            </w:pPr>
          </w:p>
        </w:tc>
        <w:tc>
          <w:tcPr>
            <w:tcW w:w="611" w:type="pct"/>
            <w:vAlign w:val="center"/>
          </w:tcPr>
          <w:p>
            <w:pPr>
              <w:snapToGrid w:val="0"/>
              <w:jc w:val="center"/>
              <w:rPr>
                <w:rFonts w:eastAsiaTheme="minorEastAsia"/>
              </w:rPr>
            </w:pPr>
            <w:r>
              <w:rPr>
                <w:rFonts w:eastAsiaTheme="minorEastAsia"/>
              </w:rPr>
              <w:t>备用柴油发电机房</w:t>
            </w:r>
          </w:p>
        </w:tc>
        <w:tc>
          <w:tcPr>
            <w:tcW w:w="3207" w:type="pct"/>
            <w:vAlign w:val="center"/>
          </w:tcPr>
          <w:p>
            <w:pPr>
              <w:snapToGrid w:val="0"/>
              <w:jc w:val="left"/>
              <w:rPr>
                <w:rFonts w:eastAsiaTheme="minorEastAsia"/>
              </w:rPr>
            </w:pPr>
            <w:r>
              <w:rPr>
                <w:rFonts w:eastAsiaTheme="minorEastAsia"/>
              </w:rPr>
              <w:t>本项目拟在地下室设置柴油发电机房内设1台800kW(燃油消耗206L/h)柴油发电机，供急诊抢救室、产房等场所中涉及患者生命安全的设备及其照明用电，保证在市电断开后15s内自动起动并供电，当市电恢复后，延时自动停机。</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restart"/>
            <w:vAlign w:val="center"/>
          </w:tcPr>
          <w:p>
            <w:pPr>
              <w:snapToGrid w:val="0"/>
              <w:jc w:val="center"/>
              <w:rPr>
                <w:rFonts w:eastAsiaTheme="minorEastAsia"/>
              </w:rPr>
            </w:pPr>
            <w:r>
              <w:rPr>
                <w:rFonts w:eastAsiaTheme="minorEastAsia"/>
              </w:rPr>
              <w:t>公用工程</w:t>
            </w:r>
          </w:p>
        </w:tc>
        <w:tc>
          <w:tcPr>
            <w:tcW w:w="611" w:type="pct"/>
            <w:vAlign w:val="center"/>
          </w:tcPr>
          <w:p>
            <w:pPr>
              <w:snapToGrid w:val="0"/>
              <w:jc w:val="center"/>
              <w:rPr>
                <w:rFonts w:eastAsiaTheme="minorEastAsia"/>
              </w:rPr>
            </w:pPr>
            <w:r>
              <w:rPr>
                <w:rFonts w:eastAsiaTheme="minorEastAsia"/>
              </w:rPr>
              <w:t>供水</w:t>
            </w:r>
          </w:p>
        </w:tc>
        <w:tc>
          <w:tcPr>
            <w:tcW w:w="3207" w:type="pct"/>
            <w:vAlign w:val="center"/>
          </w:tcPr>
          <w:p>
            <w:pPr>
              <w:snapToGrid w:val="0"/>
              <w:jc w:val="left"/>
              <w:rPr>
                <w:rFonts w:eastAsiaTheme="minorEastAsia"/>
              </w:rPr>
            </w:pPr>
            <w:r>
              <w:rPr>
                <w:rFonts w:eastAsiaTheme="minorEastAsia"/>
              </w:rPr>
              <w:t>本工程供水接自市政给水干管。本设计拟沿先锋路市政给水干管引入一根DN500给水管，在室外连成环状，主干管采用钢塑复合管，室内给水管材采用给水PPR管明装，热熔粘接。</w:t>
            </w:r>
          </w:p>
        </w:tc>
        <w:tc>
          <w:tcPr>
            <w:tcW w:w="742" w:type="pct"/>
            <w:vAlign w:val="center"/>
          </w:tcPr>
          <w:p>
            <w:pPr>
              <w:snapToGrid w:val="0"/>
              <w:jc w:val="center"/>
              <w:rPr>
                <w:rFonts w:eastAsiaTheme="minorEastAsia"/>
              </w:rPr>
            </w:pPr>
            <w:r>
              <w:rPr>
                <w:rFonts w:hint="eastAsia" w:eastAsiaTheme="minorEastAsia"/>
              </w:rPr>
              <w:t>部分</w:t>
            </w:r>
            <w:r>
              <w:rPr>
                <w:rFonts w:eastAsiaTheme="minorEastAsia"/>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rPr>
            </w:pPr>
          </w:p>
        </w:tc>
        <w:tc>
          <w:tcPr>
            <w:tcW w:w="611" w:type="pct"/>
            <w:vAlign w:val="center"/>
          </w:tcPr>
          <w:p>
            <w:pPr>
              <w:snapToGrid w:val="0"/>
              <w:jc w:val="center"/>
              <w:rPr>
                <w:rFonts w:eastAsiaTheme="minorEastAsia"/>
              </w:rPr>
            </w:pPr>
            <w:r>
              <w:rPr>
                <w:rFonts w:eastAsiaTheme="minorEastAsia"/>
              </w:rPr>
              <w:t>排水</w:t>
            </w:r>
          </w:p>
        </w:tc>
        <w:tc>
          <w:tcPr>
            <w:tcW w:w="3207" w:type="pct"/>
            <w:vAlign w:val="center"/>
          </w:tcPr>
          <w:p>
            <w:pPr>
              <w:snapToGrid w:val="0"/>
              <w:jc w:val="left"/>
              <w:rPr>
                <w:rFonts w:eastAsiaTheme="minorEastAsia"/>
              </w:rPr>
            </w:pPr>
            <w:r>
              <w:rPr>
                <w:rFonts w:eastAsiaTheme="minorEastAsia"/>
              </w:rPr>
              <w:t>雨污分流：各类废水分类收集、分别经预处理后，最终进入自建污水处理站处理后进入南侧城市污水管网，最终进入湘阴县第一污水处理厂处理。</w:t>
            </w:r>
          </w:p>
        </w:tc>
        <w:tc>
          <w:tcPr>
            <w:tcW w:w="742" w:type="pct"/>
            <w:vAlign w:val="center"/>
          </w:tcPr>
          <w:p>
            <w:pPr>
              <w:snapToGrid w:val="0"/>
              <w:jc w:val="center"/>
              <w:rPr>
                <w:rFonts w:eastAsiaTheme="minorEastAsia"/>
              </w:rPr>
            </w:pPr>
            <w:r>
              <w:rPr>
                <w:rFonts w:hint="eastAsia" w:eastAsiaTheme="minorEastAsia"/>
              </w:rPr>
              <w:t>部分</w:t>
            </w:r>
            <w:r>
              <w:rPr>
                <w:rFonts w:eastAsiaTheme="minorEastAsia"/>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rPr>
            </w:pPr>
          </w:p>
        </w:tc>
        <w:tc>
          <w:tcPr>
            <w:tcW w:w="611" w:type="pct"/>
            <w:vAlign w:val="center"/>
          </w:tcPr>
          <w:p>
            <w:pPr>
              <w:snapToGrid w:val="0"/>
              <w:jc w:val="center"/>
              <w:rPr>
                <w:rFonts w:eastAsiaTheme="minorEastAsia"/>
              </w:rPr>
            </w:pPr>
            <w:r>
              <w:rPr>
                <w:rFonts w:eastAsiaTheme="minorEastAsia"/>
              </w:rPr>
              <w:t>供电</w:t>
            </w:r>
          </w:p>
        </w:tc>
        <w:tc>
          <w:tcPr>
            <w:tcW w:w="3207" w:type="pct"/>
            <w:vAlign w:val="center"/>
          </w:tcPr>
          <w:p>
            <w:pPr>
              <w:snapToGrid w:val="0"/>
              <w:jc w:val="left"/>
              <w:rPr>
                <w:rFonts w:eastAsiaTheme="minorEastAsia"/>
              </w:rPr>
            </w:pPr>
            <w:r>
              <w:rPr>
                <w:rFonts w:eastAsiaTheme="minorEastAsia"/>
              </w:rPr>
              <w:t>本工程拟单独从市政电网中两个110kV降压站各引一路10kV独立专线电源以满足本工程供电需求。当一路进线故障时，断开故障回路进线断路器，切换到另外一路进线。</w:t>
            </w:r>
          </w:p>
        </w:tc>
        <w:tc>
          <w:tcPr>
            <w:tcW w:w="742" w:type="pct"/>
            <w:vAlign w:val="center"/>
          </w:tcPr>
          <w:p>
            <w:pPr>
              <w:snapToGrid w:val="0"/>
              <w:jc w:val="center"/>
              <w:rPr>
                <w:rFonts w:eastAsiaTheme="minorEastAsia"/>
              </w:rPr>
            </w:pPr>
            <w:r>
              <w:rPr>
                <w:rFonts w:hint="eastAsia" w:eastAsiaTheme="minorEastAsia"/>
              </w:rPr>
              <w:t>部分</w:t>
            </w:r>
            <w:r>
              <w:rPr>
                <w:rFonts w:eastAsiaTheme="minorEastAsia"/>
              </w:rPr>
              <w:t>依托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rPr>
            </w:pPr>
          </w:p>
        </w:tc>
        <w:tc>
          <w:tcPr>
            <w:tcW w:w="611" w:type="pct"/>
            <w:vAlign w:val="center"/>
          </w:tcPr>
          <w:p>
            <w:pPr>
              <w:snapToGrid w:val="0"/>
              <w:jc w:val="center"/>
              <w:rPr>
                <w:rFonts w:eastAsiaTheme="minorEastAsia"/>
              </w:rPr>
            </w:pPr>
            <w:r>
              <w:rPr>
                <w:rFonts w:eastAsiaTheme="minorEastAsia"/>
              </w:rPr>
              <w:t>消毒</w:t>
            </w:r>
          </w:p>
        </w:tc>
        <w:tc>
          <w:tcPr>
            <w:tcW w:w="3207" w:type="pct"/>
            <w:vAlign w:val="center"/>
          </w:tcPr>
          <w:p>
            <w:pPr>
              <w:snapToGrid w:val="0"/>
              <w:jc w:val="left"/>
              <w:rPr>
                <w:rFonts w:eastAsiaTheme="minorEastAsia"/>
              </w:rPr>
            </w:pPr>
            <w:r>
              <w:rPr>
                <w:rFonts w:eastAsiaTheme="minorEastAsia"/>
              </w:rPr>
              <w:t>侯诊区、手术室、血库、洗消间、消毒供应室、太平间、垃圾处理站等场所，设置消毒设备。</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rPr>
            </w:pPr>
          </w:p>
        </w:tc>
        <w:tc>
          <w:tcPr>
            <w:tcW w:w="611" w:type="pct"/>
            <w:vAlign w:val="center"/>
          </w:tcPr>
          <w:p>
            <w:pPr>
              <w:snapToGrid w:val="0"/>
              <w:jc w:val="center"/>
              <w:rPr>
                <w:rFonts w:eastAsiaTheme="minorEastAsia"/>
              </w:rPr>
            </w:pPr>
            <w:r>
              <w:rPr>
                <w:rFonts w:eastAsiaTheme="minorEastAsia"/>
              </w:rPr>
              <w:t>高压氧</w:t>
            </w:r>
          </w:p>
        </w:tc>
        <w:tc>
          <w:tcPr>
            <w:tcW w:w="3207" w:type="pct"/>
            <w:vAlign w:val="center"/>
          </w:tcPr>
          <w:p>
            <w:pPr>
              <w:snapToGrid w:val="0"/>
              <w:jc w:val="left"/>
              <w:rPr>
                <w:rFonts w:eastAsiaTheme="minorEastAsia"/>
              </w:rPr>
            </w:pPr>
            <w:r>
              <w:rPr>
                <w:rFonts w:eastAsiaTheme="minorEastAsia"/>
              </w:rPr>
              <w:t>项目设置一台液氧站，供病床、DR室、CT室、MRI室、手术室等使用。</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rPr>
            </w:pPr>
          </w:p>
        </w:tc>
        <w:tc>
          <w:tcPr>
            <w:tcW w:w="611" w:type="pct"/>
            <w:vAlign w:val="center"/>
          </w:tcPr>
          <w:p>
            <w:pPr>
              <w:snapToGrid w:val="0"/>
              <w:jc w:val="center"/>
              <w:rPr>
                <w:rFonts w:eastAsiaTheme="minorEastAsia"/>
              </w:rPr>
            </w:pPr>
            <w:r>
              <w:rPr>
                <w:rFonts w:eastAsiaTheme="minorEastAsia"/>
              </w:rPr>
              <w:t>制冷</w:t>
            </w:r>
          </w:p>
        </w:tc>
        <w:tc>
          <w:tcPr>
            <w:tcW w:w="3207" w:type="pct"/>
            <w:vAlign w:val="center"/>
          </w:tcPr>
          <w:p>
            <w:pPr>
              <w:snapToGrid w:val="0"/>
              <w:jc w:val="left"/>
              <w:rPr>
                <w:rFonts w:eastAsiaTheme="minorEastAsia"/>
              </w:rPr>
            </w:pPr>
            <w:r>
              <w:rPr>
                <w:rFonts w:eastAsiaTheme="minorEastAsia"/>
              </w:rPr>
              <w:t>本项目地下室设置一个冷水机房；制冷机房共设置2台离心式冷水机组，单台制冷量为3868kW；设置1台螺杆式冷水机组，单台制冷量为1406kW。</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restart"/>
            <w:vAlign w:val="center"/>
          </w:tcPr>
          <w:p>
            <w:pPr>
              <w:snapToGrid w:val="0"/>
              <w:jc w:val="center"/>
              <w:rPr>
                <w:rFonts w:eastAsiaTheme="minorEastAsia"/>
              </w:rPr>
            </w:pPr>
            <w:r>
              <w:rPr>
                <w:rFonts w:eastAsiaTheme="minorEastAsia"/>
              </w:rPr>
              <w:t>环保工程</w:t>
            </w:r>
          </w:p>
        </w:tc>
        <w:tc>
          <w:tcPr>
            <w:tcW w:w="611" w:type="pct"/>
            <w:vAlign w:val="center"/>
          </w:tcPr>
          <w:p>
            <w:pPr>
              <w:snapToGrid w:val="0"/>
              <w:jc w:val="center"/>
              <w:rPr>
                <w:rFonts w:eastAsiaTheme="minorEastAsia"/>
              </w:rPr>
            </w:pPr>
            <w:r>
              <w:rPr>
                <w:rFonts w:eastAsiaTheme="minorEastAsia"/>
              </w:rPr>
              <w:t>废水</w:t>
            </w:r>
          </w:p>
        </w:tc>
        <w:tc>
          <w:tcPr>
            <w:tcW w:w="3207" w:type="pct"/>
            <w:vAlign w:val="center"/>
          </w:tcPr>
          <w:p>
            <w:pPr>
              <w:snapToGrid w:val="0"/>
              <w:jc w:val="left"/>
              <w:rPr>
                <w:rFonts w:eastAsiaTheme="minorEastAsia"/>
              </w:rPr>
            </w:pPr>
            <w:r>
              <w:rPr>
                <w:rFonts w:eastAsiaTheme="minorEastAsia"/>
              </w:rPr>
              <w:t>项目西侧设置污水处理站一座，化粪池一座，食堂废水经隔油池处理，检验科特殊废水和口腔科特殊废水分别经预处理，与其他医疗废水、生活污水一同进入项目自建的污水处理站进一步净化处理，排入市政污水管网，最终进入湘阴县第一污水处理厂。</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rPr>
            </w:pPr>
          </w:p>
        </w:tc>
        <w:tc>
          <w:tcPr>
            <w:tcW w:w="611" w:type="pct"/>
            <w:vAlign w:val="center"/>
          </w:tcPr>
          <w:p>
            <w:pPr>
              <w:snapToGrid w:val="0"/>
              <w:jc w:val="center"/>
              <w:rPr>
                <w:rFonts w:eastAsiaTheme="minorEastAsia"/>
              </w:rPr>
            </w:pPr>
            <w:r>
              <w:rPr>
                <w:rFonts w:eastAsiaTheme="minorEastAsia"/>
              </w:rPr>
              <w:t>废气</w:t>
            </w:r>
          </w:p>
        </w:tc>
        <w:tc>
          <w:tcPr>
            <w:tcW w:w="3207" w:type="pct"/>
            <w:vAlign w:val="center"/>
          </w:tcPr>
          <w:p>
            <w:pPr>
              <w:snapToGrid w:val="0"/>
              <w:jc w:val="left"/>
              <w:rPr>
                <w:rFonts w:eastAsiaTheme="minorEastAsia"/>
              </w:rPr>
            </w:pPr>
            <w:r>
              <w:rPr>
                <w:rFonts w:eastAsiaTheme="minorEastAsia"/>
              </w:rPr>
              <w:t>食堂油烟经油烟净化器处理后由大楼预留排烟竖井高空排放；备用柴油发电机废气经预留排烟竖井由住院楼屋顶高空排放；污水处理站废气收集经生物过滤除臭装置处理后经15m高排气筒排放。</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rPr>
            </w:pPr>
          </w:p>
        </w:tc>
        <w:tc>
          <w:tcPr>
            <w:tcW w:w="611" w:type="pct"/>
            <w:vAlign w:val="center"/>
          </w:tcPr>
          <w:p>
            <w:pPr>
              <w:snapToGrid w:val="0"/>
              <w:jc w:val="center"/>
              <w:rPr>
                <w:rFonts w:eastAsiaTheme="minorEastAsia"/>
              </w:rPr>
            </w:pPr>
            <w:r>
              <w:rPr>
                <w:rFonts w:eastAsiaTheme="minorEastAsia"/>
              </w:rPr>
              <w:t>噪声</w:t>
            </w:r>
          </w:p>
        </w:tc>
        <w:tc>
          <w:tcPr>
            <w:tcW w:w="3207" w:type="pct"/>
            <w:vAlign w:val="center"/>
          </w:tcPr>
          <w:p>
            <w:pPr>
              <w:snapToGrid w:val="0"/>
              <w:jc w:val="left"/>
              <w:rPr>
                <w:rFonts w:eastAsiaTheme="minorEastAsia"/>
              </w:rPr>
            </w:pPr>
            <w:r>
              <w:rPr>
                <w:rFonts w:eastAsiaTheme="minorEastAsia"/>
              </w:rPr>
              <w:t>噪声设备选用低噪声设备，大部分噪声较大设备置于地下设备用房，并采用基础减震、隔声等措施。</w:t>
            </w:r>
          </w:p>
        </w:tc>
        <w:tc>
          <w:tcPr>
            <w:tcW w:w="742" w:type="pct"/>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0" w:type="pct"/>
            <w:vMerge w:val="continue"/>
            <w:vAlign w:val="center"/>
          </w:tcPr>
          <w:p>
            <w:pPr>
              <w:snapToGrid w:val="0"/>
              <w:jc w:val="center"/>
              <w:rPr>
                <w:rFonts w:eastAsiaTheme="minorEastAsia"/>
                <w:color w:val="FF0000"/>
              </w:rPr>
            </w:pPr>
          </w:p>
        </w:tc>
        <w:tc>
          <w:tcPr>
            <w:tcW w:w="611" w:type="pct"/>
            <w:vAlign w:val="center"/>
          </w:tcPr>
          <w:p>
            <w:pPr>
              <w:snapToGrid w:val="0"/>
              <w:jc w:val="center"/>
              <w:rPr>
                <w:rFonts w:eastAsiaTheme="minorEastAsia"/>
              </w:rPr>
            </w:pPr>
            <w:r>
              <w:rPr>
                <w:rFonts w:eastAsiaTheme="minorEastAsia"/>
              </w:rPr>
              <w:t>固废</w:t>
            </w:r>
          </w:p>
        </w:tc>
        <w:tc>
          <w:tcPr>
            <w:tcW w:w="3207" w:type="pct"/>
            <w:vAlign w:val="center"/>
          </w:tcPr>
          <w:p>
            <w:pPr>
              <w:snapToGrid w:val="0"/>
              <w:jc w:val="left"/>
              <w:rPr>
                <w:rFonts w:eastAsiaTheme="minorEastAsia"/>
              </w:rPr>
            </w:pPr>
            <w:r>
              <w:rPr>
                <w:rFonts w:eastAsiaTheme="minorEastAsia"/>
              </w:rPr>
              <w:t>本项目地下室设置生活垃圾暂存间、医疗垃圾暂存间。</w:t>
            </w:r>
          </w:p>
          <w:p>
            <w:pPr>
              <w:snapToGrid w:val="0"/>
              <w:jc w:val="left"/>
              <w:rPr>
                <w:rFonts w:eastAsiaTheme="minorEastAsia"/>
              </w:rPr>
            </w:pPr>
            <w:r>
              <w:rPr>
                <w:rFonts w:eastAsiaTheme="minorEastAsia"/>
              </w:rPr>
              <w:t>其中医疗废物暂存于医疗垃圾暂存间中，委托岳阳市方向固废安全处置有限公司定期清运；生活垃圾暂存于生活垃圾暂存间，每日由环卫部门进行清运；污水处理污泥经消毒脱水后交由有资质单位处置</w:t>
            </w:r>
          </w:p>
        </w:tc>
        <w:tc>
          <w:tcPr>
            <w:tcW w:w="742" w:type="pct"/>
            <w:vAlign w:val="center"/>
          </w:tcPr>
          <w:p>
            <w:pPr>
              <w:snapToGrid w:val="0"/>
              <w:jc w:val="center"/>
              <w:rPr>
                <w:rFonts w:eastAsiaTheme="minorEastAsia"/>
              </w:rPr>
            </w:pPr>
            <w:r>
              <w:rPr>
                <w:rFonts w:eastAsiaTheme="minorEastAsia"/>
              </w:rPr>
              <w:t>新建</w:t>
            </w:r>
          </w:p>
        </w:tc>
      </w:tr>
    </w:tbl>
    <w:p>
      <w:pPr>
        <w:snapToGrid w:val="0"/>
        <w:ind w:left="141" w:leftChars="67"/>
        <w:rPr>
          <w:rFonts w:eastAsiaTheme="minorEastAsia"/>
          <w:b/>
        </w:rPr>
      </w:pPr>
      <w:r>
        <w:rPr>
          <w:rFonts w:eastAsiaTheme="minorEastAsia"/>
          <w:b/>
        </w:rPr>
        <w:t>备注：根据设计文件，本项目不设置洗衣房，所有住院服及床单被套等均在医院内收集送至专门的单位进行洗涤消毒。</w:t>
      </w:r>
    </w:p>
    <w:p>
      <w:pPr>
        <w:snapToGrid w:val="0"/>
        <w:spacing w:line="360" w:lineRule="auto"/>
        <w:jc w:val="center"/>
        <w:rPr>
          <w:rFonts w:eastAsiaTheme="minorEastAsia"/>
          <w:b/>
          <w:bCs/>
          <w:sz w:val="24"/>
        </w:rPr>
      </w:pPr>
      <w:r>
        <w:rPr>
          <w:rFonts w:eastAsiaTheme="minorEastAsia"/>
          <w:b/>
          <w:bCs/>
          <w:sz w:val="24"/>
        </w:rPr>
        <w:t>表4.1-2  建（构）筑物一览表及主要技术经济指标表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17"/>
        <w:gridCol w:w="2130"/>
        <w:gridCol w:w="1365"/>
        <w:gridCol w:w="1101"/>
        <w:gridCol w:w="29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b/>
                <w:bCs/>
                <w:szCs w:val="21"/>
              </w:rPr>
            </w:pPr>
            <w:r>
              <w:rPr>
                <w:b/>
                <w:bCs/>
                <w:szCs w:val="21"/>
              </w:rPr>
              <w:t>项目</w:t>
            </w:r>
          </w:p>
        </w:tc>
        <w:tc>
          <w:tcPr>
            <w:tcW w:w="1365" w:type="dxa"/>
            <w:shd w:val="clear" w:color="auto" w:fill="FFFFFF"/>
            <w:vAlign w:val="center"/>
          </w:tcPr>
          <w:p>
            <w:pPr>
              <w:adjustRightInd w:val="0"/>
              <w:snapToGrid w:val="0"/>
              <w:spacing w:line="338" w:lineRule="exact"/>
              <w:jc w:val="center"/>
              <w:rPr>
                <w:b/>
                <w:bCs/>
                <w:szCs w:val="21"/>
              </w:rPr>
            </w:pPr>
            <w:r>
              <w:rPr>
                <w:b/>
                <w:bCs/>
                <w:szCs w:val="21"/>
              </w:rPr>
              <w:t>面积</w:t>
            </w:r>
          </w:p>
        </w:tc>
        <w:tc>
          <w:tcPr>
            <w:tcW w:w="1101" w:type="dxa"/>
            <w:shd w:val="clear" w:color="auto" w:fill="FFFFFF"/>
            <w:vAlign w:val="center"/>
          </w:tcPr>
          <w:p>
            <w:pPr>
              <w:adjustRightInd w:val="0"/>
              <w:snapToGrid w:val="0"/>
              <w:jc w:val="center"/>
              <w:rPr>
                <w:b/>
                <w:bCs/>
                <w:szCs w:val="21"/>
              </w:rPr>
            </w:pPr>
            <w:r>
              <w:rPr>
                <w:b/>
                <w:bCs/>
                <w:szCs w:val="21"/>
              </w:rPr>
              <w:t>单位</w:t>
            </w:r>
          </w:p>
        </w:tc>
        <w:tc>
          <w:tcPr>
            <w:tcW w:w="2976" w:type="dxa"/>
            <w:shd w:val="clear" w:color="auto" w:fill="FFFFFF"/>
            <w:vAlign w:val="center"/>
          </w:tcPr>
          <w:p>
            <w:pPr>
              <w:adjustRightInd w:val="0"/>
              <w:snapToGrid w:val="0"/>
              <w:jc w:val="center"/>
              <w:rPr>
                <w:b/>
                <w:bCs/>
                <w:szCs w:val="21"/>
              </w:rPr>
            </w:pPr>
            <w:r>
              <w:rPr>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项目用地面积</w:t>
            </w:r>
          </w:p>
        </w:tc>
        <w:tc>
          <w:tcPr>
            <w:tcW w:w="1365" w:type="dxa"/>
            <w:shd w:val="clear" w:color="auto" w:fill="FFFFFF"/>
            <w:vAlign w:val="center"/>
          </w:tcPr>
          <w:p>
            <w:pPr>
              <w:adjustRightInd w:val="0"/>
              <w:snapToGrid w:val="0"/>
              <w:jc w:val="center"/>
              <w:rPr>
                <w:szCs w:val="21"/>
              </w:rPr>
            </w:pPr>
            <w:r>
              <w:rPr>
                <w:szCs w:val="21"/>
              </w:rPr>
              <w:t>26987.59</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建筑总面积</w:t>
            </w:r>
          </w:p>
        </w:tc>
        <w:tc>
          <w:tcPr>
            <w:tcW w:w="1365" w:type="dxa"/>
            <w:shd w:val="clear" w:color="auto" w:fill="FFFFFF"/>
            <w:vAlign w:val="center"/>
          </w:tcPr>
          <w:p>
            <w:pPr>
              <w:adjustRightInd w:val="0"/>
              <w:snapToGrid w:val="0"/>
              <w:jc w:val="center"/>
              <w:rPr>
                <w:szCs w:val="21"/>
              </w:rPr>
            </w:pPr>
            <w:r>
              <w:rPr>
                <w:szCs w:val="21"/>
              </w:rPr>
              <w:t>59136.2</w:t>
            </w:r>
          </w:p>
        </w:tc>
        <w:tc>
          <w:tcPr>
            <w:tcW w:w="1101" w:type="dxa"/>
            <w:shd w:val="clear" w:color="auto" w:fill="FFFFFF"/>
            <w:vAlign w:val="center"/>
          </w:tcPr>
          <w:p>
            <w:pPr>
              <w:adjustRightInd w:val="0"/>
              <w:snapToGrid w:val="0"/>
              <w:spacing w:line="209" w:lineRule="auto"/>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计容总面积</w:t>
            </w:r>
          </w:p>
        </w:tc>
        <w:tc>
          <w:tcPr>
            <w:tcW w:w="1365" w:type="dxa"/>
            <w:shd w:val="clear" w:color="auto" w:fill="FFFFFF"/>
            <w:vAlign w:val="center"/>
          </w:tcPr>
          <w:p>
            <w:pPr>
              <w:adjustRightInd w:val="0"/>
              <w:snapToGrid w:val="0"/>
              <w:jc w:val="center"/>
              <w:rPr>
                <w:szCs w:val="21"/>
              </w:rPr>
            </w:pPr>
            <w:r>
              <w:rPr>
                <w:szCs w:val="21"/>
              </w:rPr>
              <w:t>52534.06</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建筑基地面积</w:t>
            </w:r>
          </w:p>
        </w:tc>
        <w:tc>
          <w:tcPr>
            <w:tcW w:w="1365" w:type="dxa"/>
            <w:shd w:val="clear" w:color="auto" w:fill="FFFFFF"/>
            <w:vAlign w:val="center"/>
          </w:tcPr>
          <w:p>
            <w:pPr>
              <w:adjustRightInd w:val="0"/>
              <w:snapToGrid w:val="0"/>
              <w:jc w:val="center"/>
              <w:rPr>
                <w:szCs w:val="21"/>
              </w:rPr>
            </w:pPr>
            <w:r>
              <w:rPr>
                <w:szCs w:val="21"/>
              </w:rPr>
              <w:t>7908.72</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restart"/>
            <w:shd w:val="clear" w:color="auto" w:fill="FFFFFF"/>
            <w:vAlign w:val="center"/>
          </w:tcPr>
          <w:p>
            <w:pPr>
              <w:adjustRightInd w:val="0"/>
              <w:snapToGrid w:val="0"/>
              <w:jc w:val="center"/>
              <w:rPr>
                <w:szCs w:val="21"/>
              </w:rPr>
            </w:pPr>
            <w:r>
              <w:rPr>
                <w:szCs w:val="21"/>
              </w:rPr>
              <w:t>其中</w:t>
            </w:r>
          </w:p>
        </w:tc>
        <w:tc>
          <w:tcPr>
            <w:tcW w:w="2130" w:type="dxa"/>
            <w:shd w:val="clear" w:color="auto" w:fill="FFFFFF"/>
            <w:vAlign w:val="center"/>
          </w:tcPr>
          <w:p>
            <w:pPr>
              <w:adjustRightInd w:val="0"/>
              <w:snapToGrid w:val="0"/>
              <w:jc w:val="center"/>
              <w:rPr>
                <w:szCs w:val="21"/>
              </w:rPr>
            </w:pPr>
            <w:r>
              <w:rPr>
                <w:szCs w:val="21"/>
              </w:rPr>
              <w:t>1#门诊综合楼</w:t>
            </w:r>
          </w:p>
        </w:tc>
        <w:tc>
          <w:tcPr>
            <w:tcW w:w="1365" w:type="dxa"/>
            <w:shd w:val="clear" w:color="auto" w:fill="FFFFFF"/>
            <w:vAlign w:val="center"/>
          </w:tcPr>
          <w:p>
            <w:pPr>
              <w:adjustRightInd w:val="0"/>
              <w:snapToGrid w:val="0"/>
              <w:jc w:val="center"/>
              <w:rPr>
                <w:szCs w:val="21"/>
              </w:rPr>
            </w:pPr>
            <w:r>
              <w:rPr>
                <w:szCs w:val="21"/>
              </w:rPr>
              <w:t>13478.92</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2#住宿楼</w:t>
            </w:r>
          </w:p>
        </w:tc>
        <w:tc>
          <w:tcPr>
            <w:tcW w:w="1365" w:type="dxa"/>
            <w:shd w:val="clear" w:color="auto" w:fill="FFFFFF"/>
            <w:vAlign w:val="center"/>
          </w:tcPr>
          <w:p>
            <w:pPr>
              <w:adjustRightInd w:val="0"/>
              <w:snapToGrid w:val="0"/>
              <w:jc w:val="center"/>
              <w:rPr>
                <w:szCs w:val="21"/>
              </w:rPr>
            </w:pPr>
            <w:r>
              <w:rPr>
                <w:szCs w:val="21"/>
              </w:rPr>
              <w:t>2145.9</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3#住宿楼</w:t>
            </w:r>
          </w:p>
        </w:tc>
        <w:tc>
          <w:tcPr>
            <w:tcW w:w="1365" w:type="dxa"/>
            <w:shd w:val="clear" w:color="auto" w:fill="FFFFFF"/>
            <w:vAlign w:val="center"/>
          </w:tcPr>
          <w:p>
            <w:pPr>
              <w:adjustRightInd w:val="0"/>
              <w:snapToGrid w:val="0"/>
              <w:jc w:val="center"/>
              <w:rPr>
                <w:szCs w:val="21"/>
              </w:rPr>
            </w:pPr>
            <w:r>
              <w:rPr>
                <w:szCs w:val="21"/>
              </w:rPr>
              <w:t>5035.44</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4#住宿楼</w:t>
            </w:r>
          </w:p>
        </w:tc>
        <w:tc>
          <w:tcPr>
            <w:tcW w:w="1365" w:type="dxa"/>
            <w:shd w:val="clear" w:color="auto" w:fill="FFFFFF"/>
            <w:vAlign w:val="center"/>
          </w:tcPr>
          <w:p>
            <w:pPr>
              <w:adjustRightInd w:val="0"/>
              <w:snapToGrid w:val="0"/>
              <w:jc w:val="center"/>
              <w:rPr>
                <w:szCs w:val="21"/>
              </w:rPr>
            </w:pPr>
            <w:r>
              <w:rPr>
                <w:szCs w:val="21"/>
              </w:rPr>
              <w:t>1469.95</w:t>
            </w:r>
          </w:p>
        </w:tc>
        <w:tc>
          <w:tcPr>
            <w:tcW w:w="1101" w:type="dxa"/>
            <w:shd w:val="clear" w:color="auto" w:fill="FFFFFF"/>
            <w:vAlign w:val="center"/>
          </w:tcPr>
          <w:p>
            <w:pPr>
              <w:adjustRightInd w:val="0"/>
              <w:snapToGrid w:val="0"/>
              <w:spacing w:line="202" w:lineRule="auto"/>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5#住宿楼</w:t>
            </w:r>
          </w:p>
        </w:tc>
        <w:tc>
          <w:tcPr>
            <w:tcW w:w="1365" w:type="dxa"/>
            <w:shd w:val="clear" w:color="auto" w:fill="FFFFFF"/>
            <w:vAlign w:val="center"/>
          </w:tcPr>
          <w:p>
            <w:pPr>
              <w:adjustRightInd w:val="0"/>
              <w:snapToGrid w:val="0"/>
              <w:jc w:val="center"/>
              <w:rPr>
                <w:szCs w:val="21"/>
              </w:rPr>
            </w:pPr>
            <w:r>
              <w:rPr>
                <w:szCs w:val="21"/>
              </w:rPr>
              <w:t>1441.7</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6#住院部大楼</w:t>
            </w:r>
          </w:p>
        </w:tc>
        <w:tc>
          <w:tcPr>
            <w:tcW w:w="1365" w:type="dxa"/>
            <w:shd w:val="clear" w:color="auto" w:fill="FFFFFF"/>
            <w:vAlign w:val="center"/>
          </w:tcPr>
          <w:p>
            <w:pPr>
              <w:adjustRightInd w:val="0"/>
              <w:snapToGrid w:val="0"/>
              <w:jc w:val="center"/>
              <w:rPr>
                <w:szCs w:val="21"/>
              </w:rPr>
            </w:pPr>
            <w:r>
              <w:rPr>
                <w:szCs w:val="21"/>
              </w:rPr>
              <w:t>15071.69</w:t>
            </w:r>
          </w:p>
        </w:tc>
        <w:tc>
          <w:tcPr>
            <w:tcW w:w="1101" w:type="dxa"/>
            <w:shd w:val="clear" w:color="auto" w:fill="FFFFFF"/>
            <w:vAlign w:val="center"/>
          </w:tcPr>
          <w:p>
            <w:pPr>
              <w:adjustRightInd w:val="0"/>
              <w:snapToGrid w:val="0"/>
              <w:spacing w:line="209" w:lineRule="auto"/>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7#食堂</w:t>
            </w:r>
          </w:p>
        </w:tc>
        <w:tc>
          <w:tcPr>
            <w:tcW w:w="1365" w:type="dxa"/>
            <w:shd w:val="clear" w:color="auto" w:fill="FFFFFF"/>
            <w:vAlign w:val="center"/>
          </w:tcPr>
          <w:p>
            <w:pPr>
              <w:adjustRightInd w:val="0"/>
              <w:snapToGrid w:val="0"/>
              <w:jc w:val="center"/>
              <w:rPr>
                <w:szCs w:val="21"/>
              </w:rPr>
            </w:pPr>
            <w:r>
              <w:rPr>
                <w:szCs w:val="21"/>
              </w:rPr>
              <w:t>1068.33</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8#住宿楼</w:t>
            </w:r>
          </w:p>
        </w:tc>
        <w:tc>
          <w:tcPr>
            <w:tcW w:w="1365" w:type="dxa"/>
            <w:shd w:val="clear" w:color="auto" w:fill="FFFFFF"/>
            <w:vAlign w:val="center"/>
          </w:tcPr>
          <w:p>
            <w:pPr>
              <w:adjustRightInd w:val="0"/>
              <w:snapToGrid w:val="0"/>
              <w:jc w:val="center"/>
              <w:rPr>
                <w:szCs w:val="21"/>
              </w:rPr>
            </w:pPr>
            <w:r>
              <w:rPr>
                <w:szCs w:val="21"/>
              </w:rPr>
              <w:t>5458.32</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9#住宿楼</w:t>
            </w:r>
          </w:p>
        </w:tc>
        <w:tc>
          <w:tcPr>
            <w:tcW w:w="1365" w:type="dxa"/>
            <w:shd w:val="clear" w:color="auto" w:fill="FFFFFF"/>
            <w:vAlign w:val="center"/>
          </w:tcPr>
          <w:p>
            <w:pPr>
              <w:adjustRightInd w:val="0"/>
              <w:snapToGrid w:val="0"/>
              <w:jc w:val="center"/>
              <w:rPr>
                <w:szCs w:val="21"/>
              </w:rPr>
            </w:pPr>
            <w:r>
              <w:rPr>
                <w:szCs w:val="21"/>
              </w:rPr>
              <w:t>1156.38</w:t>
            </w:r>
          </w:p>
        </w:tc>
        <w:tc>
          <w:tcPr>
            <w:tcW w:w="1101" w:type="dxa"/>
            <w:shd w:val="clear" w:color="auto" w:fill="FFFFFF"/>
            <w:vAlign w:val="center"/>
          </w:tcPr>
          <w:p>
            <w:pPr>
              <w:adjustRightInd w:val="0"/>
              <w:snapToGrid w:val="0"/>
              <w:spacing w:line="209" w:lineRule="auto"/>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10#住宿楼</w:t>
            </w:r>
          </w:p>
        </w:tc>
        <w:tc>
          <w:tcPr>
            <w:tcW w:w="1365" w:type="dxa"/>
            <w:shd w:val="clear" w:color="auto" w:fill="FFFFFF"/>
            <w:vAlign w:val="center"/>
          </w:tcPr>
          <w:p>
            <w:pPr>
              <w:adjustRightInd w:val="0"/>
              <w:snapToGrid w:val="0"/>
              <w:jc w:val="center"/>
              <w:rPr>
                <w:szCs w:val="21"/>
              </w:rPr>
            </w:pPr>
            <w:r>
              <w:rPr>
                <w:szCs w:val="21"/>
              </w:rPr>
              <w:t>1918.35</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1号立体车库</w:t>
            </w:r>
          </w:p>
        </w:tc>
        <w:tc>
          <w:tcPr>
            <w:tcW w:w="1365" w:type="dxa"/>
            <w:shd w:val="clear" w:color="auto" w:fill="FFFFFF"/>
            <w:vAlign w:val="center"/>
          </w:tcPr>
          <w:p>
            <w:pPr>
              <w:adjustRightInd w:val="0"/>
              <w:snapToGrid w:val="0"/>
              <w:jc w:val="center"/>
              <w:rPr>
                <w:szCs w:val="21"/>
              </w:rPr>
            </w:pPr>
            <w:r>
              <w:rPr>
                <w:szCs w:val="21"/>
              </w:rPr>
              <w:t>1540</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2号立体车库</w:t>
            </w:r>
          </w:p>
        </w:tc>
        <w:tc>
          <w:tcPr>
            <w:tcW w:w="1365" w:type="dxa"/>
            <w:shd w:val="clear" w:color="auto" w:fill="FFFFFF"/>
            <w:vAlign w:val="center"/>
          </w:tcPr>
          <w:p>
            <w:pPr>
              <w:adjustRightInd w:val="0"/>
              <w:snapToGrid w:val="0"/>
              <w:jc w:val="center"/>
              <w:rPr>
                <w:szCs w:val="21"/>
              </w:rPr>
            </w:pPr>
            <w:r>
              <w:rPr>
                <w:szCs w:val="21"/>
              </w:rPr>
              <w:t>989.08</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adjustRightInd w:val="0"/>
              <w:snapToGrid w:val="0"/>
              <w:jc w:val="center"/>
              <w:rPr>
                <w:szCs w:val="21"/>
              </w:rPr>
            </w:pPr>
          </w:p>
        </w:tc>
        <w:tc>
          <w:tcPr>
            <w:tcW w:w="2130" w:type="dxa"/>
            <w:shd w:val="clear" w:color="auto" w:fill="FFFFFF"/>
            <w:vAlign w:val="center"/>
          </w:tcPr>
          <w:p>
            <w:pPr>
              <w:adjustRightInd w:val="0"/>
              <w:snapToGrid w:val="0"/>
              <w:jc w:val="center"/>
              <w:rPr>
                <w:szCs w:val="21"/>
              </w:rPr>
            </w:pPr>
            <w:r>
              <w:rPr>
                <w:szCs w:val="21"/>
              </w:rPr>
              <w:t>3号立体车库</w:t>
            </w:r>
          </w:p>
        </w:tc>
        <w:tc>
          <w:tcPr>
            <w:tcW w:w="1365" w:type="dxa"/>
            <w:shd w:val="clear" w:color="auto" w:fill="FFFFFF"/>
            <w:vAlign w:val="center"/>
          </w:tcPr>
          <w:p>
            <w:pPr>
              <w:adjustRightInd w:val="0"/>
              <w:snapToGrid w:val="0"/>
              <w:jc w:val="center"/>
              <w:rPr>
                <w:szCs w:val="21"/>
              </w:rPr>
            </w:pPr>
            <w:r>
              <w:rPr>
                <w:szCs w:val="21"/>
              </w:rPr>
              <w:t>1760</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地下室面积</w:t>
            </w:r>
          </w:p>
        </w:tc>
        <w:tc>
          <w:tcPr>
            <w:tcW w:w="1365" w:type="dxa"/>
            <w:shd w:val="clear" w:color="auto" w:fill="FFFFFF"/>
            <w:vAlign w:val="center"/>
          </w:tcPr>
          <w:p>
            <w:pPr>
              <w:adjustRightInd w:val="0"/>
              <w:snapToGrid w:val="0"/>
              <w:jc w:val="center"/>
              <w:rPr>
                <w:szCs w:val="21"/>
              </w:rPr>
            </w:pPr>
            <w:r>
              <w:rPr>
                <w:szCs w:val="21"/>
              </w:rPr>
              <w:t>6602.14</w:t>
            </w:r>
          </w:p>
        </w:tc>
        <w:tc>
          <w:tcPr>
            <w:tcW w:w="1101" w:type="dxa"/>
            <w:shd w:val="clear" w:color="auto" w:fill="FFFFFF"/>
            <w:vAlign w:val="center"/>
          </w:tcPr>
          <w:p>
            <w:pPr>
              <w:adjustRightInd w:val="0"/>
              <w:snapToGrid w:val="0"/>
              <w:jc w:val="center"/>
              <w:rPr>
                <w:szCs w:val="21"/>
              </w:rPr>
            </w:pPr>
            <w:r>
              <w:rPr>
                <w:szCs w:val="21"/>
              </w:rPr>
              <w:t>平方米</w:t>
            </w:r>
          </w:p>
        </w:tc>
        <w:tc>
          <w:tcPr>
            <w:tcW w:w="2976" w:type="dxa"/>
            <w:shd w:val="clear" w:color="auto" w:fill="FFFFFF"/>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建筑密度</w:t>
            </w:r>
          </w:p>
        </w:tc>
        <w:tc>
          <w:tcPr>
            <w:tcW w:w="1365" w:type="dxa"/>
            <w:shd w:val="clear" w:color="auto" w:fill="FFFFFF"/>
            <w:vAlign w:val="center"/>
          </w:tcPr>
          <w:p>
            <w:pPr>
              <w:adjustRightInd w:val="0"/>
              <w:snapToGrid w:val="0"/>
              <w:jc w:val="center"/>
              <w:rPr>
                <w:szCs w:val="21"/>
              </w:rPr>
            </w:pPr>
            <w:r>
              <w:rPr>
                <w:szCs w:val="21"/>
              </w:rPr>
              <w:t>29.3</w:t>
            </w:r>
          </w:p>
        </w:tc>
        <w:tc>
          <w:tcPr>
            <w:tcW w:w="1101" w:type="dxa"/>
            <w:shd w:val="clear" w:color="auto" w:fill="FFFFFF"/>
            <w:vAlign w:val="center"/>
          </w:tcPr>
          <w:p>
            <w:pPr>
              <w:adjustRightInd w:val="0"/>
              <w:snapToGrid w:val="0"/>
              <w:jc w:val="center"/>
              <w:rPr>
                <w:szCs w:val="21"/>
              </w:rPr>
            </w:pPr>
            <w:r>
              <w:rPr>
                <w:szCs w:val="21"/>
              </w:rPr>
              <w:t>%</w:t>
            </w:r>
          </w:p>
        </w:tc>
        <w:tc>
          <w:tcPr>
            <w:tcW w:w="2976" w:type="dxa"/>
            <w:shd w:val="clear" w:color="auto" w:fill="FFFFFF"/>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容积率</w:t>
            </w:r>
          </w:p>
        </w:tc>
        <w:tc>
          <w:tcPr>
            <w:tcW w:w="1365" w:type="dxa"/>
            <w:shd w:val="clear" w:color="auto" w:fill="FFFFFF"/>
            <w:vAlign w:val="center"/>
          </w:tcPr>
          <w:p>
            <w:pPr>
              <w:adjustRightInd w:val="0"/>
              <w:snapToGrid w:val="0"/>
              <w:jc w:val="center"/>
              <w:rPr>
                <w:szCs w:val="21"/>
              </w:rPr>
            </w:pPr>
            <w:r>
              <w:rPr>
                <w:szCs w:val="21"/>
              </w:rPr>
              <w:t>1.95</w:t>
            </w:r>
          </w:p>
        </w:tc>
        <w:tc>
          <w:tcPr>
            <w:tcW w:w="1101" w:type="dxa"/>
            <w:shd w:val="clear" w:color="auto" w:fill="FFFFFF"/>
            <w:vAlign w:val="center"/>
          </w:tcPr>
          <w:p>
            <w:pPr>
              <w:adjustRightInd w:val="0"/>
              <w:snapToGrid w:val="0"/>
              <w:jc w:val="center"/>
              <w:rPr>
                <w:szCs w:val="21"/>
              </w:rPr>
            </w:pPr>
            <w:r>
              <w:rPr>
                <w:szCs w:val="21"/>
              </w:rPr>
              <w:t>/</w:t>
            </w:r>
          </w:p>
        </w:tc>
        <w:tc>
          <w:tcPr>
            <w:tcW w:w="2976" w:type="dxa"/>
            <w:shd w:val="clear" w:color="auto" w:fill="FFFFFF"/>
            <w:vAlign w:val="center"/>
          </w:tcPr>
          <w:p>
            <w:pPr>
              <w:adjustRightInd w:val="0"/>
              <w:snapToGrid w:val="0"/>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绿化率</w:t>
            </w:r>
          </w:p>
        </w:tc>
        <w:tc>
          <w:tcPr>
            <w:tcW w:w="1365" w:type="dxa"/>
            <w:shd w:val="clear" w:color="auto" w:fill="FFFFFF"/>
            <w:vAlign w:val="center"/>
          </w:tcPr>
          <w:p>
            <w:pPr>
              <w:adjustRightInd w:val="0"/>
              <w:snapToGrid w:val="0"/>
              <w:jc w:val="center"/>
              <w:rPr>
                <w:szCs w:val="21"/>
              </w:rPr>
            </w:pPr>
            <w:r>
              <w:rPr>
                <w:szCs w:val="21"/>
              </w:rPr>
              <w:t>34.2</w:t>
            </w:r>
          </w:p>
        </w:tc>
        <w:tc>
          <w:tcPr>
            <w:tcW w:w="1101" w:type="dxa"/>
            <w:shd w:val="clear" w:color="auto" w:fill="FFFFFF"/>
            <w:vAlign w:val="center"/>
          </w:tcPr>
          <w:p>
            <w:pPr>
              <w:adjustRightInd w:val="0"/>
              <w:snapToGrid w:val="0"/>
              <w:jc w:val="center"/>
              <w:rPr>
                <w:szCs w:val="21"/>
              </w:rPr>
            </w:pPr>
            <w:r>
              <w:rPr>
                <w:szCs w:val="21"/>
              </w:rPr>
              <w:t>%</w:t>
            </w:r>
          </w:p>
        </w:tc>
        <w:tc>
          <w:tcPr>
            <w:tcW w:w="2976" w:type="dxa"/>
            <w:shd w:val="clear" w:color="auto" w:fill="FFFFFF"/>
            <w:vAlign w:val="center"/>
          </w:tcPr>
          <w:p>
            <w:pPr>
              <w:adjustRightInd w:val="0"/>
              <w:snapToGrid w:val="0"/>
              <w:jc w:val="center"/>
              <w:rPr>
                <w:szCs w:val="21"/>
              </w:rPr>
            </w:pPr>
            <w:r>
              <w:rPr>
                <w:szCs w:val="21"/>
              </w:rPr>
              <w:t>新建，部分利旧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47" w:type="dxa"/>
            <w:gridSpan w:val="2"/>
            <w:shd w:val="clear" w:color="auto" w:fill="FFFFFF"/>
            <w:vAlign w:val="center"/>
          </w:tcPr>
          <w:p>
            <w:pPr>
              <w:adjustRightInd w:val="0"/>
              <w:snapToGrid w:val="0"/>
              <w:jc w:val="center"/>
              <w:rPr>
                <w:szCs w:val="21"/>
              </w:rPr>
            </w:pPr>
            <w:r>
              <w:rPr>
                <w:szCs w:val="21"/>
              </w:rPr>
              <w:t>总停车位</w:t>
            </w:r>
          </w:p>
        </w:tc>
        <w:tc>
          <w:tcPr>
            <w:tcW w:w="1365" w:type="dxa"/>
            <w:shd w:val="clear" w:color="auto" w:fill="FFFFFF"/>
            <w:vAlign w:val="center"/>
          </w:tcPr>
          <w:p>
            <w:pPr>
              <w:adjustRightInd w:val="0"/>
              <w:snapToGrid w:val="0"/>
              <w:jc w:val="center"/>
              <w:rPr>
                <w:szCs w:val="21"/>
              </w:rPr>
            </w:pPr>
            <w:r>
              <w:rPr>
                <w:szCs w:val="21"/>
              </w:rPr>
              <w:t>461</w:t>
            </w:r>
          </w:p>
        </w:tc>
        <w:tc>
          <w:tcPr>
            <w:tcW w:w="1101" w:type="dxa"/>
            <w:shd w:val="clear" w:color="auto" w:fill="FFFFFF"/>
            <w:vAlign w:val="center"/>
          </w:tcPr>
          <w:p>
            <w:pPr>
              <w:adjustRightInd w:val="0"/>
              <w:snapToGrid w:val="0"/>
              <w:jc w:val="center"/>
              <w:rPr>
                <w:szCs w:val="21"/>
              </w:rPr>
            </w:pPr>
            <w:r>
              <w:rPr>
                <w:szCs w:val="21"/>
              </w:rPr>
              <w:t>个</w:t>
            </w:r>
          </w:p>
        </w:tc>
        <w:tc>
          <w:tcPr>
            <w:tcW w:w="2976" w:type="dxa"/>
            <w:shd w:val="clear" w:color="auto" w:fill="FFFFFF"/>
            <w:vAlign w:val="center"/>
          </w:tcPr>
          <w:p>
            <w:pPr>
              <w:adjustRightInd w:val="0"/>
              <w:snapToGrid w:val="0"/>
              <w:jc w:val="center"/>
              <w:rPr>
                <w:szCs w:val="21"/>
              </w:rPr>
            </w:pPr>
            <w:r>
              <w:rPr>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restart"/>
            <w:shd w:val="clear" w:color="auto" w:fill="FFFFFF"/>
            <w:vAlign w:val="center"/>
          </w:tcPr>
          <w:p>
            <w:pPr>
              <w:adjustRightInd w:val="0"/>
              <w:snapToGrid w:val="0"/>
              <w:jc w:val="center"/>
              <w:rPr>
                <w:szCs w:val="21"/>
              </w:rPr>
            </w:pPr>
            <w:r>
              <w:rPr>
                <w:szCs w:val="21"/>
              </w:rPr>
              <w:t>其中</w:t>
            </w:r>
          </w:p>
        </w:tc>
        <w:tc>
          <w:tcPr>
            <w:tcW w:w="2130" w:type="dxa"/>
            <w:shd w:val="clear" w:color="auto" w:fill="FFFFFF"/>
            <w:vAlign w:val="center"/>
          </w:tcPr>
          <w:p>
            <w:pPr>
              <w:adjustRightInd w:val="0"/>
              <w:snapToGrid w:val="0"/>
              <w:jc w:val="center"/>
              <w:rPr>
                <w:szCs w:val="21"/>
              </w:rPr>
            </w:pPr>
            <w:r>
              <w:rPr>
                <w:szCs w:val="21"/>
              </w:rPr>
              <w:t>地上</w:t>
            </w:r>
          </w:p>
        </w:tc>
        <w:tc>
          <w:tcPr>
            <w:tcW w:w="1365" w:type="dxa"/>
            <w:shd w:val="clear" w:color="auto" w:fill="FFFFFF"/>
            <w:vAlign w:val="center"/>
          </w:tcPr>
          <w:p>
            <w:pPr>
              <w:adjustRightInd w:val="0"/>
              <w:snapToGrid w:val="0"/>
              <w:jc w:val="center"/>
              <w:rPr>
                <w:szCs w:val="21"/>
              </w:rPr>
            </w:pPr>
            <w:r>
              <w:rPr>
                <w:szCs w:val="21"/>
              </w:rPr>
              <w:t>361</w:t>
            </w:r>
          </w:p>
        </w:tc>
        <w:tc>
          <w:tcPr>
            <w:tcW w:w="1101" w:type="dxa"/>
            <w:shd w:val="clear" w:color="auto" w:fill="FFFFFF"/>
            <w:vAlign w:val="center"/>
          </w:tcPr>
          <w:p>
            <w:pPr>
              <w:adjustRightInd w:val="0"/>
              <w:snapToGrid w:val="0"/>
              <w:jc w:val="center"/>
              <w:rPr>
                <w:szCs w:val="21"/>
              </w:rPr>
            </w:pPr>
            <w:r>
              <w:rPr>
                <w:szCs w:val="21"/>
              </w:rPr>
              <w:t>个</w:t>
            </w:r>
          </w:p>
        </w:tc>
        <w:tc>
          <w:tcPr>
            <w:tcW w:w="2976" w:type="dxa"/>
            <w:shd w:val="clear" w:color="auto" w:fill="FFFFFF"/>
            <w:vAlign w:val="center"/>
          </w:tcPr>
          <w:p>
            <w:pPr>
              <w:adjustRightInd w:val="0"/>
              <w:snapToGrid w:val="0"/>
              <w:spacing w:line="307" w:lineRule="exact"/>
              <w:jc w:val="center"/>
              <w:rPr>
                <w:szCs w:val="21"/>
              </w:rPr>
            </w:pPr>
            <w:r>
              <w:rPr>
                <w:szCs w:val="21"/>
              </w:rPr>
              <w:t>其中地面55个停车位（含5个救护车位），立体停车位306个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17" w:type="dxa"/>
            <w:vMerge w:val="continue"/>
            <w:shd w:val="clear" w:color="auto" w:fill="FFFFFF"/>
            <w:vAlign w:val="center"/>
          </w:tcPr>
          <w:p>
            <w:pPr>
              <w:snapToGrid w:val="0"/>
              <w:spacing w:line="307" w:lineRule="exact"/>
              <w:jc w:val="left"/>
              <w:rPr>
                <w:rFonts w:eastAsia="黑体"/>
                <w:color w:val="2A2B2C"/>
                <w:kern w:val="0"/>
                <w:sz w:val="22"/>
                <w:szCs w:val="22"/>
                <w:lang w:val="zh-CN"/>
              </w:rPr>
            </w:pPr>
          </w:p>
        </w:tc>
        <w:tc>
          <w:tcPr>
            <w:tcW w:w="2130" w:type="dxa"/>
            <w:shd w:val="clear" w:color="auto" w:fill="FFFFFF"/>
            <w:vAlign w:val="center"/>
          </w:tcPr>
          <w:p>
            <w:pPr>
              <w:adjustRightInd w:val="0"/>
              <w:snapToGrid w:val="0"/>
              <w:jc w:val="center"/>
              <w:rPr>
                <w:szCs w:val="21"/>
              </w:rPr>
            </w:pPr>
            <w:r>
              <w:rPr>
                <w:szCs w:val="21"/>
              </w:rPr>
              <w:t>地下</w:t>
            </w:r>
          </w:p>
        </w:tc>
        <w:tc>
          <w:tcPr>
            <w:tcW w:w="1365" w:type="dxa"/>
            <w:shd w:val="clear" w:color="auto" w:fill="FFFFFF"/>
            <w:vAlign w:val="center"/>
          </w:tcPr>
          <w:p>
            <w:pPr>
              <w:adjustRightInd w:val="0"/>
              <w:snapToGrid w:val="0"/>
              <w:jc w:val="center"/>
              <w:rPr>
                <w:szCs w:val="21"/>
              </w:rPr>
            </w:pPr>
            <w:r>
              <w:rPr>
                <w:szCs w:val="21"/>
              </w:rPr>
              <w:t>100</w:t>
            </w:r>
          </w:p>
        </w:tc>
        <w:tc>
          <w:tcPr>
            <w:tcW w:w="1101" w:type="dxa"/>
            <w:shd w:val="clear" w:color="auto" w:fill="FFFFFF"/>
            <w:vAlign w:val="center"/>
          </w:tcPr>
          <w:p>
            <w:pPr>
              <w:adjustRightInd w:val="0"/>
              <w:snapToGrid w:val="0"/>
              <w:jc w:val="center"/>
              <w:rPr>
                <w:szCs w:val="21"/>
              </w:rPr>
            </w:pPr>
            <w:r>
              <w:rPr>
                <w:szCs w:val="21"/>
              </w:rPr>
              <w:t>个</w:t>
            </w:r>
          </w:p>
        </w:tc>
        <w:tc>
          <w:tcPr>
            <w:tcW w:w="2976" w:type="dxa"/>
            <w:shd w:val="clear" w:color="auto" w:fill="FFFFFF"/>
            <w:vAlign w:val="center"/>
          </w:tcPr>
          <w:p>
            <w:pPr>
              <w:adjustRightInd w:val="0"/>
              <w:snapToGrid w:val="0"/>
              <w:jc w:val="center"/>
              <w:rPr>
                <w:szCs w:val="21"/>
              </w:rPr>
            </w:pPr>
            <w:r>
              <w:rPr>
                <w:szCs w:val="21"/>
              </w:rPr>
              <w:t>/</w:t>
            </w:r>
          </w:p>
        </w:tc>
      </w:tr>
    </w:tbl>
    <w:p>
      <w:pPr>
        <w:pStyle w:val="4"/>
        <w:snapToGrid w:val="0"/>
        <w:spacing w:before="0" w:after="0" w:line="360" w:lineRule="auto"/>
        <w:rPr>
          <w:rFonts w:eastAsiaTheme="minorEastAsia"/>
          <w:kern w:val="0"/>
          <w:sz w:val="24"/>
        </w:rPr>
      </w:pPr>
      <w:r>
        <w:rPr>
          <w:rFonts w:eastAsiaTheme="minorEastAsia"/>
          <w:kern w:val="0"/>
          <w:sz w:val="24"/>
        </w:rPr>
        <w:t>4.1.3 总平面布置</w:t>
      </w:r>
    </w:p>
    <w:p>
      <w:pPr>
        <w:snapToGrid w:val="0"/>
        <w:spacing w:line="360" w:lineRule="auto"/>
        <w:ind w:firstLine="480" w:firstLineChars="200"/>
        <w:jc w:val="left"/>
        <w:rPr>
          <w:rFonts w:eastAsiaTheme="minorEastAsia"/>
          <w:sz w:val="24"/>
        </w:rPr>
      </w:pPr>
      <w:r>
        <w:rPr>
          <w:rFonts w:eastAsiaTheme="minorEastAsia"/>
          <w:sz w:val="24"/>
        </w:rPr>
        <w:t>项目拟建地东侧紧邻先锋路，西侧紧邻建新路，建新路直接连接至滨江路。项目主出口位于地块南侧，项目至南朝北依次设置主出入口（西侧为停车位）、门急诊医技综合楼、住院大楼，西侧为2#住宿楼、3#住宿楼、4#住宿楼、5#住宿楼，西南侧为8#住宿楼、9#住宿楼、10#住宿楼，东侧为食堂。</w:t>
      </w:r>
    </w:p>
    <w:p>
      <w:pPr>
        <w:snapToGrid w:val="0"/>
        <w:spacing w:line="360" w:lineRule="auto"/>
        <w:ind w:firstLine="480" w:firstLineChars="200"/>
        <w:jc w:val="left"/>
        <w:rPr>
          <w:rFonts w:eastAsiaTheme="minorEastAsia"/>
          <w:sz w:val="24"/>
        </w:rPr>
      </w:pPr>
      <w:r>
        <w:rPr>
          <w:rFonts w:eastAsiaTheme="minorEastAsia"/>
          <w:sz w:val="24"/>
        </w:rPr>
        <w:t>污水处理站设在项目西侧，属于院区主导风向的侧风向，；医疗废物暂存间及生活垃圾暂存间均位于地下室内，收集后的医疗废物和生活垃圾经西侧车行出口运出。</w:t>
      </w:r>
    </w:p>
    <w:p>
      <w:pPr>
        <w:snapToGrid w:val="0"/>
        <w:spacing w:line="360" w:lineRule="auto"/>
        <w:ind w:firstLine="480" w:firstLineChars="200"/>
        <w:jc w:val="left"/>
        <w:rPr>
          <w:rFonts w:eastAsiaTheme="minorEastAsia"/>
          <w:sz w:val="24"/>
        </w:rPr>
      </w:pPr>
      <w:r>
        <w:rPr>
          <w:rFonts w:eastAsiaTheme="minorEastAsia"/>
          <w:sz w:val="24"/>
        </w:rPr>
        <w:t>项目配套设施水泵、电热锅炉、柴油发电机、制冷设备等较大噪声源设备全部置于地下一层，通过设置单独的水泵房、锅炉房、设备间，采取隔声、消声、吸声、减振等措施降低噪声。</w:t>
      </w:r>
    </w:p>
    <w:p>
      <w:pPr>
        <w:snapToGrid w:val="0"/>
        <w:spacing w:line="360" w:lineRule="auto"/>
        <w:ind w:firstLine="480" w:firstLineChars="200"/>
        <w:jc w:val="left"/>
        <w:rPr>
          <w:rFonts w:eastAsiaTheme="minorEastAsia"/>
          <w:sz w:val="24"/>
        </w:rPr>
      </w:pPr>
      <w:r>
        <w:rPr>
          <w:rFonts w:eastAsiaTheme="minorEastAsia"/>
          <w:sz w:val="24"/>
        </w:rPr>
        <w:t>本项目总平面设计功能分区合理，各种流线组织清晰；洁污、医患、人车等路线清楚，避免了交叉感染；建筑布局紧凑，交通便捷，管理方便；减少能耗；最大可能保持可持续发展的空间；保证了住院部等处的环境安静。</w:t>
      </w:r>
    </w:p>
    <w:p>
      <w:pPr>
        <w:pStyle w:val="4"/>
        <w:snapToGrid w:val="0"/>
        <w:spacing w:before="0" w:after="0" w:line="360" w:lineRule="auto"/>
        <w:rPr>
          <w:rFonts w:eastAsiaTheme="minorEastAsia"/>
          <w:kern w:val="0"/>
          <w:sz w:val="24"/>
        </w:rPr>
      </w:pPr>
      <w:r>
        <w:rPr>
          <w:rFonts w:eastAsiaTheme="minorEastAsia"/>
          <w:kern w:val="0"/>
          <w:sz w:val="24"/>
        </w:rPr>
        <w:t>4.1.4 主要医疗设备</w:t>
      </w:r>
    </w:p>
    <w:p>
      <w:pPr>
        <w:snapToGrid w:val="0"/>
        <w:spacing w:line="360" w:lineRule="auto"/>
        <w:ind w:firstLine="480" w:firstLineChars="200"/>
        <w:jc w:val="left"/>
        <w:rPr>
          <w:rFonts w:eastAsiaTheme="minorEastAsia"/>
          <w:sz w:val="24"/>
        </w:rPr>
      </w:pPr>
      <w:r>
        <w:rPr>
          <w:rFonts w:eastAsiaTheme="minorEastAsia"/>
          <w:sz w:val="24"/>
        </w:rPr>
        <w:t>项目建成后</w:t>
      </w:r>
      <w:r>
        <w:rPr>
          <w:rFonts w:hint="eastAsia" w:eastAsiaTheme="minorEastAsia"/>
          <w:sz w:val="24"/>
        </w:rPr>
        <w:t>，建设单位拟</w:t>
      </w:r>
      <w:r>
        <w:rPr>
          <w:rFonts w:eastAsiaTheme="minorEastAsia"/>
          <w:sz w:val="24"/>
        </w:rPr>
        <w:t>根据实际需要增加部分设备数量；污水处理站等环保设备无法搬迁的就地重建。本项目主要医疗设备及与现有项目的变化情况详见下表。</w:t>
      </w:r>
    </w:p>
    <w:p>
      <w:pPr>
        <w:snapToGrid w:val="0"/>
        <w:spacing w:line="360" w:lineRule="auto"/>
        <w:jc w:val="center"/>
        <w:rPr>
          <w:rFonts w:eastAsiaTheme="minorEastAsia"/>
          <w:b/>
          <w:bCs/>
          <w:sz w:val="24"/>
        </w:rPr>
      </w:pPr>
      <w:r>
        <w:rPr>
          <w:rFonts w:eastAsiaTheme="minorEastAsia"/>
          <w:b/>
          <w:bCs/>
          <w:sz w:val="24"/>
        </w:rPr>
        <w:t>表4.1-4  本项目主要医疗设备一览表</w:t>
      </w:r>
    </w:p>
    <w:tbl>
      <w:tblPr>
        <w:tblStyle w:val="79"/>
        <w:tblW w:w="907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15" w:type="dxa"/>
          <w:left w:w="15" w:type="dxa"/>
          <w:bottom w:w="15" w:type="dxa"/>
          <w:right w:w="15" w:type="dxa"/>
        </w:tblCellMar>
      </w:tblPr>
      <w:tblGrid>
        <w:gridCol w:w="734"/>
        <w:gridCol w:w="2026"/>
        <w:gridCol w:w="659"/>
        <w:gridCol w:w="735"/>
        <w:gridCol w:w="1168"/>
        <w:gridCol w:w="1875"/>
        <w:gridCol w:w="18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b/>
                <w:bCs/>
                <w:szCs w:val="21"/>
                <w:u w:val="single"/>
              </w:rPr>
            </w:pPr>
            <w:r>
              <w:rPr>
                <w:b/>
                <w:bCs/>
                <w:kern w:val="0"/>
                <w:szCs w:val="21"/>
                <w:u w:val="single"/>
              </w:rPr>
              <w:t>序号</w:t>
            </w:r>
          </w:p>
        </w:tc>
        <w:tc>
          <w:tcPr>
            <w:tcW w:w="2482" w:type="dxa"/>
            <w:shd w:val="clear" w:color="auto" w:fill="FFFFFF"/>
            <w:vAlign w:val="center"/>
          </w:tcPr>
          <w:p>
            <w:pPr>
              <w:widowControl/>
              <w:adjustRightInd w:val="0"/>
              <w:snapToGrid w:val="0"/>
              <w:jc w:val="center"/>
              <w:textAlignment w:val="center"/>
              <w:rPr>
                <w:b/>
                <w:bCs/>
                <w:szCs w:val="21"/>
                <w:u w:val="single"/>
              </w:rPr>
            </w:pPr>
            <w:r>
              <w:rPr>
                <w:b/>
                <w:bCs/>
                <w:kern w:val="0"/>
                <w:szCs w:val="21"/>
                <w:u w:val="single"/>
              </w:rPr>
              <w:t>设备名称</w:t>
            </w:r>
          </w:p>
        </w:tc>
        <w:tc>
          <w:tcPr>
            <w:tcW w:w="800" w:type="dxa"/>
            <w:shd w:val="clear" w:color="auto" w:fill="FFFFFF"/>
            <w:vAlign w:val="center"/>
          </w:tcPr>
          <w:p>
            <w:pPr>
              <w:widowControl/>
              <w:adjustRightInd w:val="0"/>
              <w:snapToGrid w:val="0"/>
              <w:jc w:val="center"/>
              <w:textAlignment w:val="center"/>
              <w:rPr>
                <w:b/>
                <w:bCs/>
                <w:szCs w:val="21"/>
                <w:u w:val="single"/>
              </w:rPr>
            </w:pPr>
            <w:r>
              <w:rPr>
                <w:b/>
                <w:bCs/>
                <w:kern w:val="0"/>
                <w:szCs w:val="21"/>
                <w:u w:val="single"/>
              </w:rPr>
              <w:t>单位</w:t>
            </w:r>
          </w:p>
        </w:tc>
        <w:tc>
          <w:tcPr>
            <w:tcW w:w="893" w:type="dxa"/>
            <w:shd w:val="clear" w:color="auto" w:fill="FFFFFF"/>
            <w:vAlign w:val="center"/>
          </w:tcPr>
          <w:p>
            <w:pPr>
              <w:widowControl/>
              <w:adjustRightInd w:val="0"/>
              <w:snapToGrid w:val="0"/>
              <w:jc w:val="center"/>
              <w:textAlignment w:val="center"/>
              <w:rPr>
                <w:b/>
                <w:bCs/>
                <w:szCs w:val="21"/>
                <w:u w:val="single"/>
              </w:rPr>
            </w:pPr>
            <w:r>
              <w:rPr>
                <w:b/>
                <w:bCs/>
                <w:kern w:val="0"/>
                <w:szCs w:val="21"/>
                <w:u w:val="single"/>
              </w:rPr>
              <w:t>数量</w:t>
            </w:r>
          </w:p>
        </w:tc>
        <w:tc>
          <w:tcPr>
            <w:tcW w:w="1426" w:type="dxa"/>
            <w:shd w:val="clear" w:color="auto" w:fill="FFFFFF"/>
            <w:vAlign w:val="center"/>
          </w:tcPr>
          <w:p>
            <w:pPr>
              <w:widowControl/>
              <w:adjustRightInd w:val="0"/>
              <w:snapToGrid w:val="0"/>
              <w:jc w:val="center"/>
              <w:textAlignment w:val="center"/>
              <w:rPr>
                <w:b/>
                <w:bCs/>
                <w:szCs w:val="21"/>
                <w:u w:val="single"/>
              </w:rPr>
            </w:pPr>
            <w:r>
              <w:rPr>
                <w:b/>
                <w:bCs/>
                <w:kern w:val="0"/>
                <w:szCs w:val="21"/>
                <w:u w:val="single"/>
              </w:rPr>
              <w:t>使用部门</w:t>
            </w:r>
          </w:p>
        </w:tc>
        <w:tc>
          <w:tcPr>
            <w:tcW w:w="2296" w:type="dxa"/>
            <w:shd w:val="clear" w:color="auto" w:fill="FFFFFF"/>
            <w:vAlign w:val="center"/>
          </w:tcPr>
          <w:p>
            <w:pPr>
              <w:widowControl/>
              <w:adjustRightInd w:val="0"/>
              <w:snapToGrid w:val="0"/>
              <w:jc w:val="center"/>
              <w:textAlignment w:val="center"/>
              <w:rPr>
                <w:b/>
                <w:bCs/>
                <w:kern w:val="0"/>
                <w:szCs w:val="21"/>
                <w:u w:val="single"/>
              </w:rPr>
            </w:pPr>
            <w:r>
              <w:rPr>
                <w:b/>
                <w:bCs/>
                <w:kern w:val="0"/>
                <w:szCs w:val="21"/>
                <w:u w:val="single"/>
              </w:rPr>
              <w:t>型号</w:t>
            </w:r>
          </w:p>
        </w:tc>
        <w:tc>
          <w:tcPr>
            <w:tcW w:w="2296" w:type="dxa"/>
            <w:shd w:val="clear" w:color="auto" w:fill="FFFFFF"/>
            <w:vAlign w:val="center"/>
          </w:tcPr>
          <w:p>
            <w:pPr>
              <w:widowControl/>
              <w:adjustRightInd w:val="0"/>
              <w:snapToGrid w:val="0"/>
              <w:jc w:val="center"/>
              <w:textAlignment w:val="center"/>
              <w:rPr>
                <w:b/>
                <w:bCs/>
                <w:kern w:val="0"/>
                <w:szCs w:val="21"/>
                <w:u w:val="single"/>
              </w:rPr>
            </w:pPr>
            <w:r>
              <w:rPr>
                <w:b/>
                <w:bCs/>
                <w:kern w:val="0"/>
                <w:szCs w:val="21"/>
                <w:u w:val="singl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300微安X光机</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2</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放射科</w:t>
            </w:r>
          </w:p>
        </w:tc>
        <w:tc>
          <w:tcPr>
            <w:tcW w:w="2296" w:type="dxa"/>
            <w:shd w:val="clear" w:color="auto" w:fill="FFFFFF"/>
            <w:vAlign w:val="center"/>
          </w:tcPr>
          <w:p>
            <w:pPr>
              <w:widowControl/>
              <w:adjustRightInd w:val="0"/>
              <w:snapToGrid w:val="0"/>
              <w:jc w:val="center"/>
              <w:textAlignment w:val="center"/>
              <w:rPr>
                <w:kern w:val="0"/>
                <w:szCs w:val="21"/>
                <w:u w:val="single"/>
              </w:rPr>
            </w:pPr>
            <w:r>
              <w:rPr>
                <w:color w:val="333333"/>
                <w:sz w:val="20"/>
                <w:szCs w:val="20"/>
                <w:u w:val="single"/>
                <w:shd w:val="clear" w:color="auto" w:fill="FFFFFF"/>
              </w:rPr>
              <w:t>KVP mA Sec</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2</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KD-</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妇科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KD-9122</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3</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空气消毒机</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30</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各科室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KJ230G-D46</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新增15台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4</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动态心电</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2</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功能科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世纪3000</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5</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心电图机</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5</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心电图室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MAC800</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新增2台</w:t>
            </w:r>
            <w:r>
              <w:rPr>
                <w:rFonts w:hint="eastAsia"/>
                <w:kern w:val="0"/>
                <w:szCs w:val="21"/>
                <w:u w:val="single"/>
              </w:rPr>
              <w:t>，废弃1台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6</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胃肠镜消毒设备</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2</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功能科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U字型SQ-X168</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7</w:t>
            </w:r>
          </w:p>
        </w:tc>
        <w:tc>
          <w:tcPr>
            <w:tcW w:w="2482" w:type="dxa"/>
            <w:shd w:val="clear" w:color="auto" w:fill="FFFFFF"/>
            <w:vAlign w:val="center"/>
          </w:tcPr>
          <w:p>
            <w:pPr>
              <w:widowControl/>
              <w:adjustRightInd w:val="0"/>
              <w:snapToGrid w:val="0"/>
              <w:jc w:val="center"/>
              <w:textAlignment w:val="center"/>
              <w:rPr>
                <w:szCs w:val="21"/>
                <w:u w:val="single"/>
              </w:rPr>
            </w:pPr>
            <w:bookmarkStart w:id="77" w:name="OLE_LINK44"/>
            <w:bookmarkStart w:id="78" w:name="OLE_LINK45"/>
            <w:bookmarkStart w:id="79" w:name="OLE_LINK46"/>
            <w:r>
              <w:rPr>
                <w:kern w:val="0"/>
                <w:szCs w:val="21"/>
                <w:u w:val="single"/>
              </w:rPr>
              <w:t>数字胃肠机</w:t>
            </w:r>
            <w:bookmarkEnd w:id="77"/>
            <w:bookmarkEnd w:id="78"/>
            <w:bookmarkEnd w:id="79"/>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功能科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PLD8700</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8</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经颅多普勒</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功能科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JYQ TCD-2000</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9</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电子纤维镜</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功能科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ZX7M-TBS-F801</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10</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电子胃肠镜</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功能科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GIF-N260</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11</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彩超</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5</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功能科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ACUSON X150</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新增2台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12</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消毒供应配套设备</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套</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供应室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13</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颈椎牵引器</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2</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外科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HLSQY-I型</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14</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全自动洗胃机</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2</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急诊科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DFX-XW·E型</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新增1台</w:t>
            </w:r>
            <w:r>
              <w:rPr>
                <w:rFonts w:hint="eastAsia"/>
                <w:kern w:val="0"/>
                <w:szCs w:val="21"/>
                <w:u w:val="single"/>
              </w:rPr>
              <w:t>，废弃1台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15</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显微镜</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4</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检验科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显微镜</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新增2台</w:t>
            </w:r>
            <w:r>
              <w:rPr>
                <w:rFonts w:hint="eastAsia"/>
                <w:kern w:val="0"/>
                <w:szCs w:val="21"/>
                <w:u w:val="single"/>
              </w:rPr>
              <w:t>，废弃2台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kern w:val="0"/>
                <w:szCs w:val="21"/>
                <w:u w:val="single"/>
              </w:rPr>
              <w:t>16</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微生物鉴定及药敏分析仪</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检验科</w:t>
            </w:r>
          </w:p>
        </w:tc>
        <w:tc>
          <w:tcPr>
            <w:tcW w:w="2296" w:type="dxa"/>
            <w:shd w:val="clear" w:color="auto" w:fill="FFFFFF"/>
            <w:vAlign w:val="center"/>
          </w:tcPr>
          <w:p>
            <w:pPr>
              <w:widowControl/>
              <w:adjustRightInd w:val="0"/>
              <w:snapToGrid w:val="0"/>
              <w:textAlignment w:val="center"/>
              <w:rPr>
                <w:kern w:val="0"/>
                <w:szCs w:val="21"/>
                <w:u w:val="single"/>
              </w:rPr>
            </w:pPr>
            <w:r>
              <w:rPr>
                <w:kern w:val="0"/>
                <w:szCs w:val="21"/>
                <w:u w:val="single"/>
              </w:rPr>
              <w:t>BMM-230BD DIC</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17</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全自动凝血分析仪</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2</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检验科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C2000-A</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18</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尿液分析仪</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检验科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PFT-300B</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19</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离心机</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3</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检验科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TDZ4</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20</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电解质分析仪</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检验科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IMS-972</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21</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电化学发光分析仪</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检验科</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cobase411</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22</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内窥镜</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UNK-001 2</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23</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手术无影灯</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8</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TOPLITE-6000</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新增4台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24</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麻醉监护仪</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3</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NW-9002S</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25</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麻醉机</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3</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WATO EX-55/65</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26</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麻醉喉镜</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3</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MY-A-1</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新增2台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27</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微创设备</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套</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DH-M60</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28</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高频电刀</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4</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CM-350C</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29</w:t>
            </w:r>
          </w:p>
        </w:tc>
        <w:tc>
          <w:tcPr>
            <w:tcW w:w="2482" w:type="dxa"/>
            <w:shd w:val="clear" w:color="auto" w:fill="FFFFFF"/>
            <w:vAlign w:val="center"/>
          </w:tcPr>
          <w:p>
            <w:pPr>
              <w:widowControl/>
              <w:adjustRightInd w:val="0"/>
              <w:snapToGrid w:val="0"/>
              <w:jc w:val="center"/>
              <w:textAlignment w:val="center"/>
              <w:rPr>
                <w:szCs w:val="21"/>
                <w:u w:val="single"/>
              </w:rPr>
            </w:pPr>
            <w:bookmarkStart w:id="80" w:name="OLE_LINK47"/>
            <w:bookmarkStart w:id="81" w:name="OLE_LINK48"/>
            <w:r>
              <w:rPr>
                <w:kern w:val="0"/>
                <w:szCs w:val="21"/>
                <w:u w:val="single"/>
              </w:rPr>
              <w:t>多参数监护仪</w:t>
            </w:r>
            <w:bookmarkEnd w:id="80"/>
            <w:bookmarkEnd w:id="81"/>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30</w:t>
            </w:r>
          </w:p>
        </w:tc>
        <w:tc>
          <w:tcPr>
            <w:tcW w:w="1426" w:type="dxa"/>
            <w:shd w:val="clear" w:color="auto" w:fill="FFFFFF"/>
            <w:vAlign w:val="center"/>
          </w:tcPr>
          <w:p>
            <w:pPr>
              <w:widowControl/>
              <w:adjustRightInd w:val="0"/>
              <w:snapToGrid w:val="0"/>
              <w:jc w:val="center"/>
              <w:textAlignment w:val="center"/>
              <w:rPr>
                <w:szCs w:val="21"/>
                <w:u w:val="single"/>
              </w:rPr>
            </w:pPr>
            <w:r>
              <w:rPr>
                <w:szCs w:val="21"/>
                <w:u w:val="single"/>
              </w:rPr>
              <w:t>各科室</w:t>
            </w:r>
          </w:p>
        </w:tc>
        <w:tc>
          <w:tcPr>
            <w:tcW w:w="2296" w:type="dxa"/>
            <w:shd w:val="clear" w:color="auto" w:fill="FFFFFF"/>
            <w:vAlign w:val="center"/>
          </w:tcPr>
          <w:p>
            <w:pPr>
              <w:widowControl/>
              <w:adjustRightInd w:val="0"/>
              <w:snapToGrid w:val="0"/>
              <w:jc w:val="center"/>
              <w:textAlignment w:val="center"/>
              <w:rPr>
                <w:szCs w:val="21"/>
                <w:u w:val="single"/>
              </w:rPr>
            </w:pPr>
            <w:r>
              <w:rPr>
                <w:szCs w:val="21"/>
                <w:u w:val="single"/>
              </w:rPr>
              <w:t>NBF_6000L</w:t>
            </w:r>
          </w:p>
        </w:tc>
        <w:tc>
          <w:tcPr>
            <w:tcW w:w="2296" w:type="dxa"/>
            <w:shd w:val="clear" w:color="auto" w:fill="FFFFFF"/>
            <w:vAlign w:val="center"/>
          </w:tcPr>
          <w:p>
            <w:pPr>
              <w:widowControl/>
              <w:adjustRightInd w:val="0"/>
              <w:snapToGrid w:val="0"/>
              <w:jc w:val="center"/>
              <w:textAlignment w:val="center"/>
              <w:rPr>
                <w:szCs w:val="21"/>
                <w:u w:val="single"/>
              </w:rPr>
            </w:pPr>
            <w:r>
              <w:rPr>
                <w:rFonts w:hint="eastAsia"/>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30</w:t>
            </w:r>
          </w:p>
        </w:tc>
        <w:tc>
          <w:tcPr>
            <w:tcW w:w="2482" w:type="dxa"/>
            <w:shd w:val="clear" w:color="auto" w:fill="FFFFFF"/>
            <w:vAlign w:val="center"/>
          </w:tcPr>
          <w:p>
            <w:pPr>
              <w:widowControl/>
              <w:adjustRightInd w:val="0"/>
              <w:snapToGrid w:val="0"/>
              <w:jc w:val="center"/>
              <w:textAlignment w:val="center"/>
              <w:rPr>
                <w:szCs w:val="21"/>
                <w:u w:val="single"/>
              </w:rPr>
            </w:pPr>
            <w:r>
              <w:rPr>
                <w:kern w:val="0"/>
                <w:szCs w:val="21"/>
                <w:u w:val="single"/>
              </w:rPr>
              <w:t>动态血压</w:t>
            </w:r>
          </w:p>
        </w:tc>
        <w:tc>
          <w:tcPr>
            <w:tcW w:w="800" w:type="dxa"/>
            <w:shd w:val="clear" w:color="auto" w:fill="FFFFFF"/>
            <w:vAlign w:val="center"/>
          </w:tcPr>
          <w:p>
            <w:pPr>
              <w:widowControl/>
              <w:adjustRightInd w:val="0"/>
              <w:snapToGrid w:val="0"/>
              <w:jc w:val="center"/>
              <w:textAlignment w:val="center"/>
              <w:rPr>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szCs w:val="21"/>
                <w:u w:val="single"/>
              </w:rPr>
            </w:pPr>
            <w:r>
              <w:rPr>
                <w:kern w:val="0"/>
                <w:szCs w:val="21"/>
                <w:u w:val="single"/>
              </w:rPr>
              <w:t>2</w:t>
            </w:r>
          </w:p>
        </w:tc>
        <w:tc>
          <w:tcPr>
            <w:tcW w:w="1426" w:type="dxa"/>
            <w:shd w:val="clear" w:color="auto" w:fill="FFFFFF"/>
            <w:vAlign w:val="center"/>
          </w:tcPr>
          <w:p>
            <w:pPr>
              <w:widowControl/>
              <w:adjustRightInd w:val="0"/>
              <w:snapToGrid w:val="0"/>
              <w:jc w:val="center"/>
              <w:textAlignment w:val="center"/>
              <w:rPr>
                <w:szCs w:val="21"/>
                <w:u w:val="single"/>
              </w:rPr>
            </w:pPr>
            <w:r>
              <w:rPr>
                <w:kern w:val="0"/>
                <w:szCs w:val="21"/>
                <w:u w:val="single"/>
              </w:rPr>
              <w:t>手术室</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BR-102 2</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新增1台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31</w:t>
            </w:r>
          </w:p>
        </w:tc>
        <w:tc>
          <w:tcPr>
            <w:tcW w:w="2482"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病床</w:t>
            </w:r>
          </w:p>
        </w:tc>
        <w:tc>
          <w:tcPr>
            <w:tcW w:w="800"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张</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500</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病房</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HE-6600</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利旧300张，新增208张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32</w:t>
            </w:r>
          </w:p>
        </w:tc>
        <w:tc>
          <w:tcPr>
            <w:tcW w:w="2482"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备用柴油发电机</w:t>
            </w:r>
          </w:p>
        </w:tc>
        <w:tc>
          <w:tcPr>
            <w:tcW w:w="800"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发电机房</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SQL20A1200V</w:t>
            </w:r>
          </w:p>
        </w:tc>
        <w:tc>
          <w:tcPr>
            <w:tcW w:w="2296" w:type="dxa"/>
            <w:shd w:val="clear" w:color="auto" w:fill="FFFFFF"/>
            <w:vAlign w:val="center"/>
          </w:tcPr>
          <w:p>
            <w:pPr>
              <w:widowControl/>
              <w:adjustRightInd w:val="0"/>
              <w:snapToGrid w:val="0"/>
              <w:jc w:val="center"/>
              <w:textAlignment w:val="center"/>
              <w:rPr>
                <w:kern w:val="0"/>
                <w:szCs w:val="21"/>
                <w:u w:val="single"/>
              </w:rPr>
            </w:pPr>
            <w:r>
              <w:rPr>
                <w:rFonts w:hint="eastAsia"/>
                <w:kern w:val="0"/>
                <w:szCs w:val="21"/>
                <w:u w:val="single"/>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15" w:type="dxa"/>
            <w:left w:w="15" w:type="dxa"/>
            <w:bottom w:w="15" w:type="dxa"/>
            <w:right w:w="15" w:type="dxa"/>
          </w:tblCellMar>
        </w:tblPrEx>
        <w:trPr>
          <w:trHeight w:val="397" w:hRule="atLeast"/>
          <w:jc w:val="center"/>
        </w:trPr>
        <w:tc>
          <w:tcPr>
            <w:tcW w:w="892" w:type="dxa"/>
            <w:shd w:val="clear" w:color="auto" w:fill="FFFFFF"/>
            <w:vAlign w:val="center"/>
          </w:tcPr>
          <w:p>
            <w:pPr>
              <w:widowControl/>
              <w:adjustRightInd w:val="0"/>
              <w:snapToGrid w:val="0"/>
              <w:jc w:val="center"/>
              <w:textAlignment w:val="center"/>
              <w:rPr>
                <w:szCs w:val="21"/>
                <w:u w:val="single"/>
              </w:rPr>
            </w:pPr>
            <w:r>
              <w:rPr>
                <w:szCs w:val="21"/>
                <w:u w:val="single"/>
              </w:rPr>
              <w:t>33</w:t>
            </w:r>
          </w:p>
        </w:tc>
        <w:tc>
          <w:tcPr>
            <w:tcW w:w="2482"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锅炉</w:t>
            </w:r>
          </w:p>
        </w:tc>
        <w:tc>
          <w:tcPr>
            <w:tcW w:w="800"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台</w:t>
            </w:r>
          </w:p>
        </w:tc>
        <w:tc>
          <w:tcPr>
            <w:tcW w:w="893"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1</w:t>
            </w:r>
          </w:p>
        </w:tc>
        <w:tc>
          <w:tcPr>
            <w:tcW w:w="142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锅炉房</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LSS0.2-0.04-Y(Q)</w:t>
            </w:r>
          </w:p>
        </w:tc>
        <w:tc>
          <w:tcPr>
            <w:tcW w:w="2296" w:type="dxa"/>
            <w:shd w:val="clear" w:color="auto" w:fill="FFFFFF"/>
            <w:vAlign w:val="center"/>
          </w:tcPr>
          <w:p>
            <w:pPr>
              <w:widowControl/>
              <w:adjustRightInd w:val="0"/>
              <w:snapToGrid w:val="0"/>
              <w:jc w:val="center"/>
              <w:textAlignment w:val="center"/>
              <w:rPr>
                <w:kern w:val="0"/>
                <w:szCs w:val="21"/>
                <w:u w:val="single"/>
              </w:rPr>
            </w:pPr>
            <w:r>
              <w:rPr>
                <w:kern w:val="0"/>
                <w:szCs w:val="21"/>
                <w:u w:val="single"/>
              </w:rPr>
              <w:t>新建（电能）</w:t>
            </w:r>
          </w:p>
        </w:tc>
      </w:tr>
    </w:tbl>
    <w:p>
      <w:pPr>
        <w:snapToGrid w:val="0"/>
        <w:ind w:left="141" w:leftChars="67"/>
        <w:rPr>
          <w:rFonts w:eastAsiaTheme="minorEastAsia"/>
          <w:b/>
          <w:bCs/>
        </w:rPr>
      </w:pPr>
      <w:r>
        <w:rPr>
          <w:rFonts w:eastAsiaTheme="minorEastAsia"/>
          <w:b/>
          <w:bCs/>
        </w:rPr>
        <w:t>注：放射科医用射线装置应根据国家相关要求，另行办理环保手续。未作说明设备为原有设备。</w:t>
      </w:r>
    </w:p>
    <w:p>
      <w:pPr>
        <w:pStyle w:val="4"/>
        <w:snapToGrid w:val="0"/>
        <w:spacing w:before="0" w:after="0" w:line="360" w:lineRule="auto"/>
        <w:rPr>
          <w:rFonts w:eastAsiaTheme="minorEastAsia"/>
          <w:kern w:val="0"/>
          <w:sz w:val="24"/>
        </w:rPr>
      </w:pPr>
      <w:r>
        <w:rPr>
          <w:rFonts w:eastAsiaTheme="minorEastAsia"/>
          <w:kern w:val="0"/>
          <w:sz w:val="24"/>
        </w:rPr>
        <w:t>4.1.5 能源消耗</w:t>
      </w:r>
    </w:p>
    <w:p>
      <w:pPr>
        <w:pStyle w:val="45"/>
        <w:snapToGrid w:val="0"/>
        <w:spacing w:line="360" w:lineRule="auto"/>
        <w:ind w:left="0" w:leftChars="0" w:firstLine="480" w:firstLineChars="200"/>
        <w:rPr>
          <w:rFonts w:eastAsiaTheme="minorEastAsia"/>
          <w:sz w:val="24"/>
        </w:rPr>
      </w:pPr>
      <w:r>
        <w:rPr>
          <w:rFonts w:eastAsiaTheme="minorEastAsia"/>
          <w:sz w:val="24"/>
        </w:rPr>
        <w:t>本项目资源消耗主要为水、电、燃气、柴油。其主要能源消耗详见下表。</w:t>
      </w:r>
    </w:p>
    <w:p>
      <w:pPr>
        <w:snapToGrid w:val="0"/>
        <w:spacing w:line="360" w:lineRule="auto"/>
        <w:jc w:val="center"/>
        <w:rPr>
          <w:rFonts w:eastAsiaTheme="minorEastAsia"/>
          <w:b/>
          <w:color w:val="FF0000"/>
        </w:rPr>
      </w:pPr>
      <w:r>
        <w:rPr>
          <w:rFonts w:eastAsiaTheme="minorEastAsia"/>
          <w:b/>
          <w:bCs/>
          <w:sz w:val="24"/>
        </w:rPr>
        <w:t>表4.1-5  本项目主要能源消耗表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92"/>
        <w:gridCol w:w="2695"/>
        <w:gridCol w:w="3233"/>
        <w:gridCol w:w="18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5" w:type="pct"/>
            <w:vAlign w:val="center"/>
          </w:tcPr>
          <w:p>
            <w:pPr>
              <w:snapToGrid w:val="0"/>
              <w:jc w:val="center"/>
              <w:rPr>
                <w:rFonts w:eastAsiaTheme="minorEastAsia"/>
                <w:b/>
              </w:rPr>
            </w:pPr>
            <w:r>
              <w:rPr>
                <w:rFonts w:eastAsiaTheme="minorEastAsia"/>
                <w:b/>
              </w:rPr>
              <w:t>序号</w:t>
            </w:r>
          </w:p>
        </w:tc>
        <w:tc>
          <w:tcPr>
            <w:tcW w:w="1533" w:type="pct"/>
            <w:vAlign w:val="center"/>
          </w:tcPr>
          <w:p>
            <w:pPr>
              <w:snapToGrid w:val="0"/>
              <w:jc w:val="center"/>
              <w:rPr>
                <w:rFonts w:eastAsiaTheme="minorEastAsia"/>
                <w:b/>
              </w:rPr>
            </w:pPr>
            <w:r>
              <w:rPr>
                <w:rFonts w:eastAsiaTheme="minorEastAsia"/>
                <w:b/>
              </w:rPr>
              <w:t>能源名称</w:t>
            </w:r>
          </w:p>
        </w:tc>
        <w:tc>
          <w:tcPr>
            <w:tcW w:w="1839" w:type="pct"/>
            <w:vAlign w:val="center"/>
          </w:tcPr>
          <w:p>
            <w:pPr>
              <w:snapToGrid w:val="0"/>
              <w:jc w:val="center"/>
              <w:rPr>
                <w:rFonts w:eastAsiaTheme="minorEastAsia"/>
                <w:b/>
              </w:rPr>
            </w:pPr>
            <w:r>
              <w:rPr>
                <w:rFonts w:eastAsiaTheme="minorEastAsia"/>
                <w:b/>
              </w:rPr>
              <w:t>消耗量</w:t>
            </w:r>
          </w:p>
        </w:tc>
        <w:tc>
          <w:tcPr>
            <w:tcW w:w="1063" w:type="pct"/>
            <w:vAlign w:val="center"/>
          </w:tcPr>
          <w:p>
            <w:pPr>
              <w:snapToGrid w:val="0"/>
              <w:jc w:val="center"/>
              <w:rPr>
                <w:rFonts w:eastAsiaTheme="minorEastAsia"/>
                <w:b/>
              </w:rPr>
            </w:pPr>
            <w:r>
              <w:rPr>
                <w:rFonts w:eastAsiaTheme="minorEastAsia"/>
                <w:b/>
              </w:rPr>
              <w:t>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5" w:type="pct"/>
            <w:vAlign w:val="center"/>
          </w:tcPr>
          <w:p>
            <w:pPr>
              <w:snapToGrid w:val="0"/>
              <w:jc w:val="center"/>
              <w:rPr>
                <w:rFonts w:eastAsiaTheme="minorEastAsia"/>
              </w:rPr>
            </w:pPr>
            <w:r>
              <w:rPr>
                <w:rFonts w:eastAsiaTheme="minorEastAsia"/>
              </w:rPr>
              <w:t>1</w:t>
            </w:r>
          </w:p>
        </w:tc>
        <w:tc>
          <w:tcPr>
            <w:tcW w:w="1533" w:type="pct"/>
            <w:vAlign w:val="center"/>
          </w:tcPr>
          <w:p>
            <w:pPr>
              <w:snapToGrid w:val="0"/>
              <w:jc w:val="center"/>
              <w:rPr>
                <w:rFonts w:eastAsiaTheme="minorEastAsia"/>
              </w:rPr>
            </w:pPr>
            <w:r>
              <w:rPr>
                <w:rFonts w:eastAsiaTheme="minorEastAsia"/>
              </w:rPr>
              <w:t>水</w:t>
            </w:r>
          </w:p>
        </w:tc>
        <w:tc>
          <w:tcPr>
            <w:tcW w:w="1839" w:type="pct"/>
            <w:vAlign w:val="center"/>
          </w:tcPr>
          <w:p>
            <w:pPr>
              <w:snapToGrid w:val="0"/>
              <w:jc w:val="center"/>
              <w:rPr>
                <w:rFonts w:eastAsiaTheme="minorEastAsia"/>
              </w:rPr>
            </w:pPr>
            <w:r>
              <w:rPr>
                <w:rFonts w:eastAsiaTheme="minorEastAsia"/>
              </w:rPr>
              <w:t>135680</w:t>
            </w:r>
          </w:p>
        </w:tc>
        <w:tc>
          <w:tcPr>
            <w:tcW w:w="1063" w:type="pct"/>
            <w:vAlign w:val="center"/>
          </w:tcPr>
          <w:p>
            <w:pPr>
              <w:snapToGrid w:val="0"/>
              <w:jc w:val="center"/>
              <w:rPr>
                <w:rFonts w:eastAsiaTheme="minorEastAsia"/>
              </w:rPr>
            </w:pPr>
            <w:r>
              <w:rPr>
                <w:rFonts w:eastAsiaTheme="minorEastAsi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5" w:type="pct"/>
            <w:vAlign w:val="center"/>
          </w:tcPr>
          <w:p>
            <w:pPr>
              <w:snapToGrid w:val="0"/>
              <w:jc w:val="center"/>
              <w:rPr>
                <w:rFonts w:eastAsiaTheme="minorEastAsia"/>
              </w:rPr>
            </w:pPr>
            <w:r>
              <w:rPr>
                <w:rFonts w:eastAsiaTheme="minorEastAsia"/>
              </w:rPr>
              <w:t>2</w:t>
            </w:r>
          </w:p>
        </w:tc>
        <w:tc>
          <w:tcPr>
            <w:tcW w:w="1533" w:type="pct"/>
            <w:vAlign w:val="center"/>
          </w:tcPr>
          <w:p>
            <w:pPr>
              <w:snapToGrid w:val="0"/>
              <w:jc w:val="center"/>
              <w:rPr>
                <w:rFonts w:eastAsiaTheme="minorEastAsia"/>
              </w:rPr>
            </w:pPr>
            <w:r>
              <w:rPr>
                <w:rFonts w:eastAsiaTheme="minorEastAsia"/>
              </w:rPr>
              <w:t>电</w:t>
            </w:r>
          </w:p>
        </w:tc>
        <w:tc>
          <w:tcPr>
            <w:tcW w:w="1839" w:type="pct"/>
            <w:vAlign w:val="center"/>
          </w:tcPr>
          <w:p>
            <w:pPr>
              <w:snapToGrid w:val="0"/>
              <w:jc w:val="center"/>
              <w:rPr>
                <w:rFonts w:eastAsiaTheme="minorEastAsia"/>
              </w:rPr>
            </w:pPr>
            <w:r>
              <w:rPr>
                <w:rFonts w:eastAsiaTheme="minorEastAsia"/>
              </w:rPr>
              <w:t>1000</w:t>
            </w:r>
          </w:p>
        </w:tc>
        <w:tc>
          <w:tcPr>
            <w:tcW w:w="1063" w:type="pct"/>
            <w:vAlign w:val="center"/>
          </w:tcPr>
          <w:p>
            <w:pPr>
              <w:snapToGrid w:val="0"/>
              <w:jc w:val="center"/>
              <w:rPr>
                <w:rFonts w:eastAsiaTheme="minorEastAsia"/>
              </w:rPr>
            </w:pPr>
            <w:r>
              <w:rPr>
                <w:rFonts w:eastAsiaTheme="minorEastAsia"/>
              </w:rPr>
              <w:t>万kW·h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5" w:type="pct"/>
            <w:vAlign w:val="center"/>
          </w:tcPr>
          <w:p>
            <w:pPr>
              <w:snapToGrid w:val="0"/>
              <w:jc w:val="center"/>
              <w:rPr>
                <w:rFonts w:eastAsiaTheme="minorEastAsia"/>
              </w:rPr>
            </w:pPr>
            <w:r>
              <w:rPr>
                <w:rFonts w:eastAsiaTheme="minorEastAsia"/>
              </w:rPr>
              <w:t>3</w:t>
            </w:r>
          </w:p>
        </w:tc>
        <w:tc>
          <w:tcPr>
            <w:tcW w:w="1533" w:type="pct"/>
            <w:vAlign w:val="center"/>
          </w:tcPr>
          <w:p>
            <w:pPr>
              <w:snapToGrid w:val="0"/>
              <w:jc w:val="center"/>
              <w:rPr>
                <w:rFonts w:eastAsiaTheme="minorEastAsia"/>
              </w:rPr>
            </w:pPr>
            <w:r>
              <w:rPr>
                <w:rFonts w:eastAsiaTheme="minorEastAsia"/>
              </w:rPr>
              <w:t>天然气</w:t>
            </w:r>
          </w:p>
        </w:tc>
        <w:tc>
          <w:tcPr>
            <w:tcW w:w="1839" w:type="pct"/>
            <w:vAlign w:val="center"/>
          </w:tcPr>
          <w:p>
            <w:pPr>
              <w:snapToGrid w:val="0"/>
              <w:jc w:val="center"/>
              <w:rPr>
                <w:rFonts w:eastAsiaTheme="minorEastAsia"/>
              </w:rPr>
            </w:pPr>
            <w:r>
              <w:rPr>
                <w:rFonts w:eastAsiaTheme="minorEastAsia"/>
              </w:rPr>
              <w:t>26.43</w:t>
            </w:r>
          </w:p>
        </w:tc>
        <w:tc>
          <w:tcPr>
            <w:tcW w:w="1063" w:type="pct"/>
            <w:vAlign w:val="center"/>
          </w:tcPr>
          <w:p>
            <w:pPr>
              <w:snapToGrid w:val="0"/>
              <w:jc w:val="center"/>
              <w:rPr>
                <w:rFonts w:eastAsiaTheme="minorEastAsia"/>
              </w:rPr>
            </w:pPr>
            <w:r>
              <w:rPr>
                <w:rFonts w:eastAsiaTheme="minorEastAsia"/>
              </w:rPr>
              <w:t>万m</w:t>
            </w:r>
            <w:r>
              <w:rPr>
                <w:rFonts w:eastAsiaTheme="minorEastAsia"/>
                <w:vertAlign w:val="superscript"/>
              </w:rPr>
              <w:t>3</w:t>
            </w:r>
            <w:r>
              <w:rPr>
                <w:rFonts w:eastAsiaTheme="minorEastAsia"/>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65" w:type="pct"/>
            <w:vAlign w:val="center"/>
          </w:tcPr>
          <w:p>
            <w:pPr>
              <w:snapToGrid w:val="0"/>
              <w:jc w:val="center"/>
              <w:rPr>
                <w:rFonts w:eastAsiaTheme="minorEastAsia"/>
              </w:rPr>
            </w:pPr>
            <w:r>
              <w:rPr>
                <w:rFonts w:eastAsiaTheme="minorEastAsia"/>
              </w:rPr>
              <w:t>4</w:t>
            </w:r>
          </w:p>
        </w:tc>
        <w:tc>
          <w:tcPr>
            <w:tcW w:w="1533" w:type="pct"/>
            <w:vAlign w:val="center"/>
          </w:tcPr>
          <w:p>
            <w:pPr>
              <w:snapToGrid w:val="0"/>
              <w:jc w:val="center"/>
              <w:rPr>
                <w:rFonts w:eastAsiaTheme="minorEastAsia"/>
              </w:rPr>
            </w:pPr>
            <w:r>
              <w:rPr>
                <w:rFonts w:eastAsiaTheme="minorEastAsia"/>
              </w:rPr>
              <w:t>柴油</w:t>
            </w:r>
          </w:p>
        </w:tc>
        <w:tc>
          <w:tcPr>
            <w:tcW w:w="1839" w:type="pct"/>
            <w:vAlign w:val="center"/>
          </w:tcPr>
          <w:p>
            <w:pPr>
              <w:snapToGrid w:val="0"/>
              <w:jc w:val="center"/>
              <w:rPr>
                <w:rFonts w:eastAsiaTheme="minorEastAsia"/>
              </w:rPr>
            </w:pPr>
            <w:r>
              <w:rPr>
                <w:rFonts w:eastAsiaTheme="minorEastAsia"/>
              </w:rPr>
              <w:t>3296</w:t>
            </w:r>
          </w:p>
        </w:tc>
        <w:tc>
          <w:tcPr>
            <w:tcW w:w="1063" w:type="pct"/>
            <w:vAlign w:val="center"/>
          </w:tcPr>
          <w:p>
            <w:pPr>
              <w:snapToGrid w:val="0"/>
              <w:jc w:val="center"/>
              <w:rPr>
                <w:rFonts w:eastAsiaTheme="minorEastAsia"/>
              </w:rPr>
            </w:pPr>
            <w:r>
              <w:rPr>
                <w:rFonts w:eastAsiaTheme="minorEastAsia"/>
              </w:rPr>
              <w:t>L/a</w:t>
            </w:r>
          </w:p>
        </w:tc>
      </w:tr>
    </w:tbl>
    <w:p>
      <w:pPr>
        <w:pStyle w:val="4"/>
        <w:snapToGrid w:val="0"/>
        <w:spacing w:before="0" w:after="0" w:line="360" w:lineRule="auto"/>
        <w:rPr>
          <w:rFonts w:eastAsiaTheme="minorEastAsia"/>
          <w:kern w:val="0"/>
          <w:sz w:val="24"/>
        </w:rPr>
      </w:pPr>
      <w:r>
        <w:rPr>
          <w:rFonts w:eastAsiaTheme="minorEastAsia"/>
          <w:kern w:val="0"/>
          <w:sz w:val="24"/>
        </w:rPr>
        <w:t>4.1.6 原材料消耗</w:t>
      </w:r>
    </w:p>
    <w:p>
      <w:pPr>
        <w:pStyle w:val="45"/>
        <w:snapToGrid w:val="0"/>
        <w:spacing w:line="360" w:lineRule="auto"/>
        <w:ind w:left="0" w:leftChars="0" w:firstLine="480" w:firstLineChars="200"/>
        <w:rPr>
          <w:rFonts w:eastAsiaTheme="minorEastAsia"/>
          <w:sz w:val="24"/>
        </w:rPr>
      </w:pPr>
      <w:r>
        <w:rPr>
          <w:rFonts w:eastAsiaTheme="minorEastAsia"/>
          <w:sz w:val="24"/>
        </w:rPr>
        <w:t>根据建设单位提供的资料，本项目主要原辅材料消耗详见下表。</w:t>
      </w:r>
    </w:p>
    <w:p/>
    <w:p/>
    <w:p/>
    <w:p>
      <w:pPr>
        <w:snapToGrid w:val="0"/>
        <w:spacing w:line="360" w:lineRule="auto"/>
        <w:jc w:val="center"/>
        <w:rPr>
          <w:rFonts w:eastAsiaTheme="minorEastAsia"/>
          <w:b/>
          <w:bCs/>
          <w:sz w:val="24"/>
        </w:rPr>
      </w:pPr>
      <w:r>
        <w:rPr>
          <w:rFonts w:eastAsiaTheme="minorEastAsia"/>
          <w:b/>
          <w:bCs/>
          <w:sz w:val="24"/>
        </w:rPr>
        <w:t>表4.1-6  本项目主要原材料消耗一览表</w:t>
      </w:r>
    </w:p>
    <w:tbl>
      <w:tblPr>
        <w:tblStyle w:val="80"/>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2"/>
        <w:gridCol w:w="2874"/>
        <w:gridCol w:w="2475"/>
        <w:gridCol w:w="24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b/>
                <w:szCs w:val="21"/>
                <w:u w:val="single"/>
              </w:rPr>
            </w:pPr>
            <w:r>
              <w:rPr>
                <w:rFonts w:hint="eastAsia" w:eastAsiaTheme="minorEastAsia"/>
                <w:b/>
                <w:szCs w:val="21"/>
                <w:u w:val="single"/>
              </w:rPr>
              <w:t>序号</w:t>
            </w:r>
          </w:p>
        </w:tc>
        <w:tc>
          <w:tcPr>
            <w:tcW w:w="1584" w:type="pct"/>
            <w:vAlign w:val="center"/>
          </w:tcPr>
          <w:p>
            <w:pPr>
              <w:snapToGrid w:val="0"/>
              <w:jc w:val="center"/>
              <w:rPr>
                <w:rFonts w:eastAsiaTheme="minorEastAsia"/>
                <w:b/>
                <w:szCs w:val="21"/>
                <w:u w:val="single"/>
              </w:rPr>
            </w:pPr>
            <w:r>
              <w:rPr>
                <w:rFonts w:eastAsiaTheme="minorEastAsia"/>
                <w:b/>
                <w:szCs w:val="21"/>
                <w:u w:val="single"/>
              </w:rPr>
              <w:t>品名</w:t>
            </w:r>
          </w:p>
        </w:tc>
        <w:tc>
          <w:tcPr>
            <w:tcW w:w="1364" w:type="pct"/>
            <w:vAlign w:val="center"/>
          </w:tcPr>
          <w:p>
            <w:pPr>
              <w:snapToGrid w:val="0"/>
              <w:jc w:val="center"/>
              <w:rPr>
                <w:rFonts w:eastAsiaTheme="minorEastAsia"/>
                <w:b/>
                <w:szCs w:val="21"/>
                <w:u w:val="single"/>
              </w:rPr>
            </w:pPr>
            <w:r>
              <w:rPr>
                <w:rFonts w:eastAsiaTheme="minorEastAsia"/>
                <w:b/>
                <w:szCs w:val="21"/>
                <w:u w:val="single"/>
              </w:rPr>
              <w:t>每年使用量</w:t>
            </w:r>
          </w:p>
        </w:tc>
        <w:tc>
          <w:tcPr>
            <w:tcW w:w="1362" w:type="pct"/>
            <w:vAlign w:val="center"/>
          </w:tcPr>
          <w:p>
            <w:pPr>
              <w:snapToGrid w:val="0"/>
              <w:jc w:val="center"/>
              <w:rPr>
                <w:rFonts w:eastAsiaTheme="minorEastAsia"/>
                <w:b/>
                <w:szCs w:val="21"/>
                <w:u w:val="single"/>
              </w:rPr>
            </w:pPr>
            <w:r>
              <w:rPr>
                <w:rFonts w:hint="eastAsia" w:eastAsiaTheme="minorEastAsia"/>
                <w:b/>
                <w:szCs w:val="21"/>
                <w:u w:val="singl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手术刀</w:t>
            </w:r>
          </w:p>
        </w:tc>
        <w:tc>
          <w:tcPr>
            <w:tcW w:w="1364" w:type="pct"/>
            <w:shd w:val="clear" w:color="auto" w:fill="FFFFFF"/>
            <w:vAlign w:val="center"/>
          </w:tcPr>
          <w:p>
            <w:pPr>
              <w:snapToGrid w:val="0"/>
              <w:jc w:val="center"/>
              <w:rPr>
                <w:rFonts w:eastAsiaTheme="minorEastAsia"/>
                <w:szCs w:val="21"/>
                <w:u w:val="single"/>
              </w:rPr>
            </w:pPr>
            <w:r>
              <w:rPr>
                <w:kern w:val="0"/>
                <w:szCs w:val="21"/>
                <w:u w:val="single"/>
              </w:rPr>
              <w:t>13000把</w:t>
            </w:r>
          </w:p>
        </w:tc>
        <w:tc>
          <w:tcPr>
            <w:tcW w:w="1362" w:type="pct"/>
            <w:vMerge w:val="restart"/>
            <w:shd w:val="clear" w:color="auto" w:fill="FFFFFF"/>
            <w:vAlign w:val="center"/>
          </w:tcPr>
          <w:p>
            <w:pPr>
              <w:snapToGrid w:val="0"/>
              <w:jc w:val="center"/>
              <w:rPr>
                <w:kern w:val="0"/>
                <w:szCs w:val="21"/>
                <w:u w:val="single"/>
              </w:rPr>
            </w:pPr>
            <w:r>
              <w:rPr>
                <w:rFonts w:hint="eastAsia"/>
                <w:kern w:val="0"/>
                <w:szCs w:val="21"/>
                <w:u w:val="single"/>
              </w:rPr>
              <w:t>运营期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2</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手术剪</w:t>
            </w:r>
          </w:p>
        </w:tc>
        <w:tc>
          <w:tcPr>
            <w:tcW w:w="1364" w:type="pct"/>
            <w:shd w:val="clear" w:color="auto" w:fill="FFFFFF"/>
            <w:vAlign w:val="center"/>
          </w:tcPr>
          <w:p>
            <w:pPr>
              <w:snapToGrid w:val="0"/>
              <w:jc w:val="center"/>
              <w:rPr>
                <w:rFonts w:eastAsiaTheme="minorEastAsia"/>
                <w:szCs w:val="21"/>
                <w:u w:val="single"/>
              </w:rPr>
            </w:pPr>
            <w:r>
              <w:rPr>
                <w:kern w:val="0"/>
                <w:szCs w:val="21"/>
                <w:u w:val="single"/>
              </w:rPr>
              <w:t>400把</w:t>
            </w:r>
          </w:p>
        </w:tc>
        <w:tc>
          <w:tcPr>
            <w:tcW w:w="1362" w:type="pct"/>
            <w:vMerge w:val="continue"/>
            <w:shd w:val="clear" w:color="auto" w:fill="FFFFFF"/>
            <w:vAlign w:val="center"/>
          </w:tcPr>
          <w:p>
            <w:pPr>
              <w:snapToGrid w:val="0"/>
              <w:jc w:val="center"/>
              <w:rPr>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3</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手术钳</w:t>
            </w:r>
          </w:p>
        </w:tc>
        <w:tc>
          <w:tcPr>
            <w:tcW w:w="1364" w:type="pct"/>
            <w:shd w:val="clear" w:color="auto" w:fill="FFFFFF"/>
            <w:vAlign w:val="center"/>
          </w:tcPr>
          <w:p>
            <w:pPr>
              <w:snapToGrid w:val="0"/>
              <w:jc w:val="center"/>
              <w:rPr>
                <w:rFonts w:eastAsiaTheme="minorEastAsia"/>
                <w:szCs w:val="21"/>
                <w:u w:val="single"/>
              </w:rPr>
            </w:pPr>
            <w:r>
              <w:rPr>
                <w:kern w:val="0"/>
                <w:szCs w:val="21"/>
                <w:u w:val="single"/>
              </w:rPr>
              <w:t>2500把</w:t>
            </w:r>
          </w:p>
        </w:tc>
        <w:tc>
          <w:tcPr>
            <w:tcW w:w="1362" w:type="pct"/>
            <w:vMerge w:val="continue"/>
            <w:shd w:val="clear" w:color="auto" w:fill="FFFFFF"/>
            <w:vAlign w:val="center"/>
          </w:tcPr>
          <w:p>
            <w:pPr>
              <w:snapToGrid w:val="0"/>
              <w:jc w:val="center"/>
              <w:rPr>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4</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塑胶手套</w:t>
            </w:r>
          </w:p>
        </w:tc>
        <w:tc>
          <w:tcPr>
            <w:tcW w:w="1364" w:type="pct"/>
            <w:shd w:val="clear" w:color="auto" w:fill="FFFFFF"/>
            <w:vAlign w:val="center"/>
          </w:tcPr>
          <w:p>
            <w:pPr>
              <w:snapToGrid w:val="0"/>
              <w:jc w:val="center"/>
              <w:rPr>
                <w:rFonts w:eastAsiaTheme="minorEastAsia"/>
                <w:szCs w:val="21"/>
                <w:u w:val="single"/>
              </w:rPr>
            </w:pPr>
            <w:r>
              <w:rPr>
                <w:kern w:val="0"/>
                <w:szCs w:val="21"/>
                <w:u w:val="single"/>
              </w:rPr>
              <w:t>600000双</w:t>
            </w:r>
          </w:p>
        </w:tc>
        <w:tc>
          <w:tcPr>
            <w:tcW w:w="1362" w:type="pct"/>
            <w:vMerge w:val="continue"/>
            <w:shd w:val="clear" w:color="auto" w:fill="FFFFFF"/>
            <w:vAlign w:val="center"/>
          </w:tcPr>
          <w:p>
            <w:pPr>
              <w:snapToGrid w:val="0"/>
              <w:jc w:val="center"/>
              <w:rPr>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5</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输液器</w:t>
            </w:r>
          </w:p>
        </w:tc>
        <w:tc>
          <w:tcPr>
            <w:tcW w:w="1364" w:type="pct"/>
            <w:shd w:val="clear" w:color="auto" w:fill="FFFFFF"/>
            <w:vAlign w:val="center"/>
          </w:tcPr>
          <w:p>
            <w:pPr>
              <w:snapToGrid w:val="0"/>
              <w:jc w:val="center"/>
              <w:rPr>
                <w:rFonts w:eastAsiaTheme="minorEastAsia"/>
                <w:szCs w:val="21"/>
                <w:u w:val="single"/>
              </w:rPr>
            </w:pPr>
            <w:r>
              <w:rPr>
                <w:kern w:val="0"/>
                <w:szCs w:val="21"/>
                <w:u w:val="single"/>
              </w:rPr>
              <w:t>400000个</w:t>
            </w:r>
          </w:p>
        </w:tc>
        <w:tc>
          <w:tcPr>
            <w:tcW w:w="1362" w:type="pct"/>
            <w:vMerge w:val="continue"/>
            <w:shd w:val="clear" w:color="auto" w:fill="FFFFFF"/>
            <w:vAlign w:val="center"/>
          </w:tcPr>
          <w:p>
            <w:pPr>
              <w:snapToGrid w:val="0"/>
              <w:jc w:val="center"/>
              <w:rPr>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6</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输血器</w:t>
            </w:r>
          </w:p>
        </w:tc>
        <w:tc>
          <w:tcPr>
            <w:tcW w:w="1364" w:type="pct"/>
            <w:shd w:val="clear" w:color="auto" w:fill="FFFFFF"/>
            <w:vAlign w:val="center"/>
          </w:tcPr>
          <w:p>
            <w:pPr>
              <w:snapToGrid w:val="0"/>
              <w:jc w:val="center"/>
              <w:rPr>
                <w:rFonts w:eastAsiaTheme="minorEastAsia"/>
                <w:szCs w:val="21"/>
                <w:u w:val="single"/>
              </w:rPr>
            </w:pPr>
            <w:r>
              <w:rPr>
                <w:kern w:val="0"/>
                <w:szCs w:val="21"/>
                <w:u w:val="single"/>
              </w:rPr>
              <w:t>12000条</w:t>
            </w:r>
          </w:p>
        </w:tc>
        <w:tc>
          <w:tcPr>
            <w:tcW w:w="1362" w:type="pct"/>
            <w:vMerge w:val="continue"/>
            <w:shd w:val="clear" w:color="auto" w:fill="FFFFFF"/>
            <w:vAlign w:val="center"/>
          </w:tcPr>
          <w:p>
            <w:pPr>
              <w:snapToGrid w:val="0"/>
              <w:jc w:val="center"/>
              <w:rPr>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7</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一次性针筒</w:t>
            </w:r>
          </w:p>
        </w:tc>
        <w:tc>
          <w:tcPr>
            <w:tcW w:w="1364" w:type="pct"/>
            <w:shd w:val="clear" w:color="auto" w:fill="FFFFFF"/>
            <w:vAlign w:val="center"/>
          </w:tcPr>
          <w:p>
            <w:pPr>
              <w:snapToGrid w:val="0"/>
              <w:jc w:val="center"/>
              <w:rPr>
                <w:rFonts w:eastAsiaTheme="minorEastAsia"/>
                <w:szCs w:val="21"/>
                <w:u w:val="single"/>
              </w:rPr>
            </w:pPr>
            <w:r>
              <w:rPr>
                <w:rFonts w:eastAsiaTheme="minorEastAsia"/>
                <w:szCs w:val="21"/>
                <w:u w:val="single"/>
              </w:rPr>
              <w:t>140万只</w:t>
            </w:r>
          </w:p>
        </w:tc>
        <w:tc>
          <w:tcPr>
            <w:tcW w:w="1362" w:type="pct"/>
            <w:vMerge w:val="continue"/>
            <w:shd w:val="clear" w:color="auto" w:fill="FFFFFF"/>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8</w:t>
            </w:r>
          </w:p>
        </w:tc>
        <w:tc>
          <w:tcPr>
            <w:tcW w:w="1584" w:type="pct"/>
            <w:shd w:val="clear" w:color="auto" w:fill="FFFFFF"/>
            <w:vAlign w:val="center"/>
          </w:tcPr>
          <w:p>
            <w:pPr>
              <w:snapToGrid w:val="0"/>
              <w:jc w:val="center"/>
              <w:rPr>
                <w:rFonts w:eastAsiaTheme="minorEastAsia"/>
                <w:szCs w:val="21"/>
                <w:u w:val="single"/>
              </w:rPr>
            </w:pPr>
            <w:r>
              <w:rPr>
                <w:kern w:val="0"/>
                <w:szCs w:val="21"/>
                <w:u w:val="single"/>
              </w:rPr>
              <w:t>纱布</w:t>
            </w:r>
          </w:p>
        </w:tc>
        <w:tc>
          <w:tcPr>
            <w:tcW w:w="1364" w:type="pct"/>
            <w:shd w:val="clear" w:color="auto" w:fill="FFFFFF"/>
            <w:vAlign w:val="center"/>
          </w:tcPr>
          <w:p>
            <w:pPr>
              <w:snapToGrid w:val="0"/>
              <w:jc w:val="center"/>
              <w:rPr>
                <w:rFonts w:eastAsiaTheme="minorEastAsia"/>
                <w:szCs w:val="21"/>
                <w:u w:val="single"/>
              </w:rPr>
            </w:pPr>
            <w:r>
              <w:rPr>
                <w:kern w:val="0"/>
                <w:szCs w:val="21"/>
                <w:u w:val="single"/>
              </w:rPr>
              <w:t>300000块</w:t>
            </w:r>
          </w:p>
        </w:tc>
        <w:tc>
          <w:tcPr>
            <w:tcW w:w="1362" w:type="pct"/>
            <w:vMerge w:val="continue"/>
            <w:shd w:val="clear" w:color="auto" w:fill="FFFFFF"/>
            <w:vAlign w:val="center"/>
          </w:tcPr>
          <w:p>
            <w:pPr>
              <w:snapToGrid w:val="0"/>
              <w:jc w:val="center"/>
              <w:rPr>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9</w:t>
            </w:r>
          </w:p>
        </w:tc>
        <w:tc>
          <w:tcPr>
            <w:tcW w:w="1584" w:type="pct"/>
            <w:vAlign w:val="center"/>
          </w:tcPr>
          <w:p>
            <w:pPr>
              <w:snapToGrid w:val="0"/>
              <w:jc w:val="center"/>
              <w:rPr>
                <w:rFonts w:eastAsiaTheme="minorEastAsia"/>
                <w:szCs w:val="21"/>
                <w:u w:val="single"/>
              </w:rPr>
            </w:pPr>
            <w:r>
              <w:rPr>
                <w:rFonts w:eastAsiaTheme="minorEastAsia"/>
                <w:szCs w:val="21"/>
                <w:u w:val="single"/>
              </w:rPr>
              <w:t>84消毒剂</w:t>
            </w:r>
          </w:p>
        </w:tc>
        <w:tc>
          <w:tcPr>
            <w:tcW w:w="1364" w:type="pct"/>
            <w:vAlign w:val="center"/>
          </w:tcPr>
          <w:p>
            <w:pPr>
              <w:snapToGrid w:val="0"/>
              <w:jc w:val="center"/>
              <w:rPr>
                <w:rFonts w:eastAsiaTheme="minorEastAsia"/>
                <w:szCs w:val="21"/>
                <w:u w:val="single"/>
              </w:rPr>
            </w:pPr>
            <w:r>
              <w:rPr>
                <w:rFonts w:eastAsiaTheme="minorEastAsia"/>
                <w:szCs w:val="21"/>
                <w:u w:val="single"/>
              </w:rPr>
              <w:t>6.4 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10</w:t>
            </w:r>
          </w:p>
        </w:tc>
        <w:tc>
          <w:tcPr>
            <w:tcW w:w="1584" w:type="pct"/>
            <w:vAlign w:val="center"/>
          </w:tcPr>
          <w:p>
            <w:pPr>
              <w:snapToGrid w:val="0"/>
              <w:jc w:val="center"/>
              <w:rPr>
                <w:rFonts w:eastAsiaTheme="minorEastAsia"/>
                <w:szCs w:val="21"/>
                <w:u w:val="single"/>
              </w:rPr>
            </w:pPr>
            <w:r>
              <w:rPr>
                <w:rFonts w:eastAsiaTheme="minorEastAsia"/>
                <w:szCs w:val="21"/>
                <w:u w:val="single"/>
              </w:rPr>
              <w:t>络合碘</w:t>
            </w:r>
          </w:p>
        </w:tc>
        <w:tc>
          <w:tcPr>
            <w:tcW w:w="1364" w:type="pct"/>
            <w:vAlign w:val="center"/>
          </w:tcPr>
          <w:p>
            <w:pPr>
              <w:snapToGrid w:val="0"/>
              <w:jc w:val="center"/>
              <w:rPr>
                <w:rFonts w:eastAsiaTheme="minorEastAsia"/>
                <w:szCs w:val="21"/>
                <w:u w:val="single"/>
              </w:rPr>
            </w:pPr>
            <w:r>
              <w:rPr>
                <w:rFonts w:eastAsiaTheme="minorEastAsia"/>
                <w:szCs w:val="21"/>
                <w:u w:val="single"/>
              </w:rPr>
              <w:t>1 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11</w:t>
            </w:r>
          </w:p>
        </w:tc>
        <w:tc>
          <w:tcPr>
            <w:tcW w:w="1584" w:type="pct"/>
            <w:vAlign w:val="center"/>
          </w:tcPr>
          <w:p>
            <w:pPr>
              <w:snapToGrid w:val="0"/>
              <w:jc w:val="center"/>
              <w:rPr>
                <w:rFonts w:eastAsiaTheme="minorEastAsia"/>
                <w:szCs w:val="21"/>
                <w:u w:val="single"/>
              </w:rPr>
            </w:pPr>
            <w:r>
              <w:rPr>
                <w:rFonts w:eastAsiaTheme="minorEastAsia"/>
                <w:szCs w:val="21"/>
                <w:u w:val="single"/>
              </w:rPr>
              <w:t>医用酒精</w:t>
            </w:r>
          </w:p>
        </w:tc>
        <w:tc>
          <w:tcPr>
            <w:tcW w:w="1364" w:type="pct"/>
            <w:vAlign w:val="center"/>
          </w:tcPr>
          <w:p>
            <w:pPr>
              <w:snapToGrid w:val="0"/>
              <w:jc w:val="center"/>
              <w:rPr>
                <w:rFonts w:eastAsiaTheme="minorEastAsia"/>
                <w:szCs w:val="21"/>
                <w:u w:val="single"/>
              </w:rPr>
            </w:pPr>
            <w:r>
              <w:rPr>
                <w:rFonts w:eastAsiaTheme="minorEastAsia"/>
                <w:szCs w:val="21"/>
                <w:u w:val="single"/>
              </w:rPr>
              <w:t>0.4 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12</w:t>
            </w:r>
          </w:p>
        </w:tc>
        <w:tc>
          <w:tcPr>
            <w:tcW w:w="1584" w:type="pct"/>
            <w:vAlign w:val="center"/>
          </w:tcPr>
          <w:p>
            <w:pPr>
              <w:snapToGrid w:val="0"/>
              <w:jc w:val="center"/>
              <w:rPr>
                <w:rFonts w:eastAsiaTheme="minorEastAsia"/>
                <w:szCs w:val="21"/>
                <w:u w:val="single"/>
              </w:rPr>
            </w:pPr>
            <w:r>
              <w:rPr>
                <w:rFonts w:eastAsiaTheme="minorEastAsia"/>
                <w:szCs w:val="21"/>
                <w:u w:val="single"/>
              </w:rPr>
              <w:t>戊二醛</w:t>
            </w:r>
          </w:p>
        </w:tc>
        <w:tc>
          <w:tcPr>
            <w:tcW w:w="1364" w:type="pct"/>
            <w:vAlign w:val="center"/>
          </w:tcPr>
          <w:p>
            <w:pPr>
              <w:snapToGrid w:val="0"/>
              <w:jc w:val="center"/>
              <w:rPr>
                <w:rFonts w:eastAsiaTheme="minorEastAsia"/>
                <w:szCs w:val="21"/>
                <w:u w:val="single"/>
              </w:rPr>
            </w:pPr>
            <w:r>
              <w:rPr>
                <w:rFonts w:eastAsiaTheme="minorEastAsia"/>
                <w:szCs w:val="21"/>
                <w:u w:val="single"/>
              </w:rPr>
              <w:t>0.4 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13</w:t>
            </w:r>
          </w:p>
        </w:tc>
        <w:tc>
          <w:tcPr>
            <w:tcW w:w="1584" w:type="pct"/>
            <w:vAlign w:val="center"/>
          </w:tcPr>
          <w:p>
            <w:pPr>
              <w:snapToGrid w:val="0"/>
              <w:jc w:val="center"/>
              <w:rPr>
                <w:rFonts w:eastAsiaTheme="minorEastAsia"/>
                <w:szCs w:val="21"/>
                <w:u w:val="single"/>
              </w:rPr>
            </w:pPr>
            <w:r>
              <w:rPr>
                <w:rFonts w:eastAsiaTheme="minorEastAsia"/>
                <w:szCs w:val="21"/>
                <w:u w:val="single"/>
              </w:rPr>
              <w:t>消毒棉签</w:t>
            </w:r>
          </w:p>
        </w:tc>
        <w:tc>
          <w:tcPr>
            <w:tcW w:w="1364" w:type="pct"/>
            <w:vAlign w:val="center"/>
          </w:tcPr>
          <w:p>
            <w:pPr>
              <w:snapToGrid w:val="0"/>
              <w:jc w:val="center"/>
              <w:rPr>
                <w:rFonts w:eastAsiaTheme="minorEastAsia"/>
                <w:szCs w:val="21"/>
                <w:u w:val="single"/>
              </w:rPr>
            </w:pPr>
            <w:r>
              <w:rPr>
                <w:rFonts w:eastAsiaTheme="minorEastAsia"/>
                <w:szCs w:val="21"/>
                <w:u w:val="single"/>
              </w:rPr>
              <w:t>2.6万袋</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14</w:t>
            </w:r>
          </w:p>
        </w:tc>
        <w:tc>
          <w:tcPr>
            <w:tcW w:w="1584" w:type="pct"/>
            <w:vAlign w:val="center"/>
          </w:tcPr>
          <w:p>
            <w:pPr>
              <w:snapToGrid w:val="0"/>
              <w:jc w:val="center"/>
              <w:rPr>
                <w:rFonts w:eastAsiaTheme="minorEastAsia"/>
                <w:szCs w:val="21"/>
                <w:u w:val="single"/>
              </w:rPr>
            </w:pPr>
            <w:r>
              <w:rPr>
                <w:rFonts w:eastAsiaTheme="minorEastAsia"/>
                <w:szCs w:val="21"/>
                <w:u w:val="single"/>
              </w:rPr>
              <w:t>甲醛</w:t>
            </w:r>
          </w:p>
        </w:tc>
        <w:tc>
          <w:tcPr>
            <w:tcW w:w="1364" w:type="pct"/>
            <w:vAlign w:val="center"/>
          </w:tcPr>
          <w:p>
            <w:pPr>
              <w:snapToGrid w:val="0"/>
              <w:jc w:val="center"/>
              <w:rPr>
                <w:rFonts w:eastAsiaTheme="minorEastAsia"/>
                <w:szCs w:val="21"/>
                <w:u w:val="single"/>
              </w:rPr>
            </w:pPr>
            <w:r>
              <w:rPr>
                <w:rFonts w:eastAsiaTheme="minorEastAsia"/>
                <w:szCs w:val="21"/>
                <w:u w:val="single"/>
              </w:rPr>
              <w:t>0.1 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15</w:t>
            </w:r>
          </w:p>
        </w:tc>
        <w:tc>
          <w:tcPr>
            <w:tcW w:w="1584" w:type="pct"/>
            <w:vAlign w:val="center"/>
          </w:tcPr>
          <w:p>
            <w:pPr>
              <w:snapToGrid w:val="0"/>
              <w:jc w:val="center"/>
              <w:rPr>
                <w:rFonts w:eastAsiaTheme="minorEastAsia"/>
                <w:szCs w:val="21"/>
                <w:u w:val="single"/>
              </w:rPr>
            </w:pPr>
            <w:r>
              <w:rPr>
                <w:rFonts w:eastAsiaTheme="minorEastAsia"/>
                <w:szCs w:val="21"/>
                <w:u w:val="single"/>
              </w:rPr>
              <w:t>盐酸</w:t>
            </w:r>
          </w:p>
        </w:tc>
        <w:tc>
          <w:tcPr>
            <w:tcW w:w="1364" w:type="pct"/>
            <w:vAlign w:val="center"/>
          </w:tcPr>
          <w:p>
            <w:pPr>
              <w:snapToGrid w:val="0"/>
              <w:jc w:val="center"/>
              <w:rPr>
                <w:rFonts w:eastAsiaTheme="minorEastAsia"/>
                <w:szCs w:val="21"/>
                <w:u w:val="single"/>
              </w:rPr>
            </w:pPr>
            <w:r>
              <w:rPr>
                <w:rFonts w:eastAsiaTheme="minorEastAsia"/>
                <w:szCs w:val="21"/>
                <w:u w:val="single"/>
              </w:rPr>
              <w:t>5.5t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eastAsiaTheme="minorEastAsia"/>
                <w:szCs w:val="21"/>
                <w:u w:val="single"/>
              </w:rPr>
              <w:t>16</w:t>
            </w:r>
          </w:p>
        </w:tc>
        <w:tc>
          <w:tcPr>
            <w:tcW w:w="1584" w:type="pct"/>
            <w:vAlign w:val="center"/>
          </w:tcPr>
          <w:p>
            <w:pPr>
              <w:snapToGrid w:val="0"/>
              <w:jc w:val="center"/>
              <w:rPr>
                <w:rFonts w:eastAsiaTheme="minorEastAsia"/>
                <w:szCs w:val="21"/>
                <w:u w:val="single"/>
              </w:rPr>
            </w:pPr>
            <w:r>
              <w:rPr>
                <w:rFonts w:eastAsiaTheme="minorEastAsia"/>
                <w:szCs w:val="21"/>
                <w:u w:val="single"/>
              </w:rPr>
              <w:t>氯酸钠</w:t>
            </w:r>
          </w:p>
        </w:tc>
        <w:tc>
          <w:tcPr>
            <w:tcW w:w="1364" w:type="pct"/>
            <w:vAlign w:val="center"/>
          </w:tcPr>
          <w:p>
            <w:pPr>
              <w:snapToGrid w:val="0"/>
              <w:jc w:val="center"/>
              <w:rPr>
                <w:rFonts w:eastAsiaTheme="minorEastAsia"/>
                <w:szCs w:val="21"/>
                <w:u w:val="single"/>
              </w:rPr>
            </w:pPr>
            <w:r>
              <w:rPr>
                <w:rFonts w:eastAsiaTheme="minorEastAsia"/>
                <w:szCs w:val="21"/>
                <w:u w:val="single"/>
              </w:rPr>
              <w:t>6.8t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17</w:t>
            </w:r>
          </w:p>
        </w:tc>
        <w:tc>
          <w:tcPr>
            <w:tcW w:w="1584" w:type="pct"/>
            <w:vAlign w:val="center"/>
          </w:tcPr>
          <w:p>
            <w:pPr>
              <w:snapToGrid w:val="0"/>
              <w:jc w:val="center"/>
              <w:rPr>
                <w:rFonts w:eastAsiaTheme="minorEastAsia"/>
                <w:szCs w:val="21"/>
                <w:u w:val="single"/>
              </w:rPr>
            </w:pPr>
            <w:r>
              <w:rPr>
                <w:color w:val="000000" w:themeColor="text1"/>
                <w:u w:val="single"/>
              </w:rPr>
              <w:t>一次性尿袋、尿管</w:t>
            </w:r>
          </w:p>
        </w:tc>
        <w:tc>
          <w:tcPr>
            <w:tcW w:w="1364" w:type="pct"/>
            <w:vAlign w:val="center"/>
          </w:tcPr>
          <w:p>
            <w:pPr>
              <w:snapToGrid w:val="0"/>
              <w:jc w:val="center"/>
              <w:rPr>
                <w:rFonts w:eastAsiaTheme="minorEastAsia"/>
                <w:szCs w:val="21"/>
                <w:u w:val="single"/>
              </w:rPr>
            </w:pPr>
            <w:r>
              <w:rPr>
                <w:color w:val="000000" w:themeColor="text1"/>
                <w:szCs w:val="21"/>
                <w:u w:val="single"/>
              </w:rPr>
              <w:t>0.3</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18</w:t>
            </w:r>
          </w:p>
        </w:tc>
        <w:tc>
          <w:tcPr>
            <w:tcW w:w="1584" w:type="pct"/>
            <w:vAlign w:val="center"/>
          </w:tcPr>
          <w:p>
            <w:pPr>
              <w:snapToGrid w:val="0"/>
              <w:jc w:val="center"/>
              <w:rPr>
                <w:rFonts w:eastAsiaTheme="minorEastAsia"/>
                <w:szCs w:val="21"/>
                <w:u w:val="single"/>
              </w:rPr>
            </w:pPr>
            <w:r>
              <w:rPr>
                <w:color w:val="000000" w:themeColor="text1"/>
                <w:u w:val="single"/>
              </w:rPr>
              <w:t>青霉素针液</w:t>
            </w:r>
          </w:p>
        </w:tc>
        <w:tc>
          <w:tcPr>
            <w:tcW w:w="1364" w:type="pct"/>
            <w:vAlign w:val="center"/>
          </w:tcPr>
          <w:p>
            <w:pPr>
              <w:snapToGrid w:val="0"/>
              <w:jc w:val="center"/>
              <w:rPr>
                <w:rFonts w:eastAsiaTheme="minorEastAsia"/>
                <w:szCs w:val="21"/>
                <w:u w:val="single"/>
              </w:rPr>
            </w:pPr>
            <w:r>
              <w:rPr>
                <w:color w:val="000000" w:themeColor="text1"/>
                <w:szCs w:val="21"/>
                <w:u w:val="single"/>
              </w:rPr>
              <w:t>2.0</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19</w:t>
            </w:r>
          </w:p>
        </w:tc>
        <w:tc>
          <w:tcPr>
            <w:tcW w:w="1584" w:type="pct"/>
            <w:vAlign w:val="center"/>
          </w:tcPr>
          <w:p>
            <w:pPr>
              <w:snapToGrid w:val="0"/>
              <w:jc w:val="center"/>
              <w:rPr>
                <w:rFonts w:eastAsiaTheme="minorEastAsia"/>
                <w:szCs w:val="21"/>
                <w:u w:val="single"/>
              </w:rPr>
            </w:pPr>
            <w:r>
              <w:rPr>
                <w:color w:val="000000" w:themeColor="text1"/>
                <w:u w:val="single"/>
              </w:rPr>
              <w:t>头炮曲松钠</w:t>
            </w:r>
          </w:p>
        </w:tc>
        <w:tc>
          <w:tcPr>
            <w:tcW w:w="1364" w:type="pct"/>
            <w:vAlign w:val="center"/>
          </w:tcPr>
          <w:p>
            <w:pPr>
              <w:snapToGrid w:val="0"/>
              <w:jc w:val="center"/>
              <w:rPr>
                <w:rFonts w:eastAsiaTheme="minorEastAsia"/>
                <w:szCs w:val="21"/>
                <w:u w:val="single"/>
              </w:rPr>
            </w:pPr>
            <w:r>
              <w:rPr>
                <w:color w:val="000000" w:themeColor="text1"/>
                <w:szCs w:val="21"/>
                <w:u w:val="single"/>
              </w:rPr>
              <w:t>1.0</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20</w:t>
            </w:r>
          </w:p>
        </w:tc>
        <w:tc>
          <w:tcPr>
            <w:tcW w:w="1584" w:type="pct"/>
            <w:vAlign w:val="center"/>
          </w:tcPr>
          <w:p>
            <w:pPr>
              <w:snapToGrid w:val="0"/>
              <w:jc w:val="center"/>
              <w:rPr>
                <w:rFonts w:eastAsiaTheme="minorEastAsia"/>
                <w:szCs w:val="21"/>
                <w:u w:val="single"/>
              </w:rPr>
            </w:pPr>
            <w:r>
              <w:rPr>
                <w:color w:val="000000" w:themeColor="text1"/>
                <w:u w:val="single"/>
              </w:rPr>
              <w:t>注射头炮他啶</w:t>
            </w:r>
          </w:p>
        </w:tc>
        <w:tc>
          <w:tcPr>
            <w:tcW w:w="1364" w:type="pct"/>
            <w:vAlign w:val="center"/>
          </w:tcPr>
          <w:p>
            <w:pPr>
              <w:snapToGrid w:val="0"/>
              <w:jc w:val="center"/>
              <w:rPr>
                <w:rFonts w:eastAsiaTheme="minorEastAsia"/>
                <w:szCs w:val="21"/>
                <w:u w:val="single"/>
              </w:rPr>
            </w:pPr>
            <w:r>
              <w:rPr>
                <w:color w:val="000000" w:themeColor="text1"/>
                <w:szCs w:val="21"/>
                <w:u w:val="single"/>
              </w:rPr>
              <w:t>1.0</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21</w:t>
            </w:r>
          </w:p>
        </w:tc>
        <w:tc>
          <w:tcPr>
            <w:tcW w:w="1584" w:type="pct"/>
            <w:vAlign w:val="center"/>
          </w:tcPr>
          <w:p>
            <w:pPr>
              <w:snapToGrid w:val="0"/>
              <w:jc w:val="center"/>
              <w:rPr>
                <w:rFonts w:eastAsiaTheme="minorEastAsia"/>
                <w:szCs w:val="21"/>
                <w:u w:val="single"/>
              </w:rPr>
            </w:pPr>
            <w:r>
              <w:rPr>
                <w:color w:val="000000" w:themeColor="text1"/>
                <w:u w:val="single"/>
              </w:rPr>
              <w:t>注射用乳糖酸阿奇霉素</w:t>
            </w:r>
          </w:p>
        </w:tc>
        <w:tc>
          <w:tcPr>
            <w:tcW w:w="1364" w:type="pct"/>
            <w:vAlign w:val="center"/>
          </w:tcPr>
          <w:p>
            <w:pPr>
              <w:snapToGrid w:val="0"/>
              <w:jc w:val="center"/>
              <w:rPr>
                <w:rFonts w:eastAsiaTheme="minorEastAsia"/>
                <w:szCs w:val="21"/>
                <w:u w:val="single"/>
              </w:rPr>
            </w:pPr>
            <w:r>
              <w:rPr>
                <w:color w:val="000000" w:themeColor="text1"/>
                <w:szCs w:val="21"/>
                <w:u w:val="single"/>
              </w:rPr>
              <w:t>0.3</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22</w:t>
            </w:r>
          </w:p>
        </w:tc>
        <w:tc>
          <w:tcPr>
            <w:tcW w:w="1584" w:type="pct"/>
            <w:vAlign w:val="center"/>
          </w:tcPr>
          <w:p>
            <w:pPr>
              <w:snapToGrid w:val="0"/>
              <w:jc w:val="center"/>
              <w:rPr>
                <w:rFonts w:eastAsiaTheme="minorEastAsia"/>
                <w:szCs w:val="21"/>
                <w:u w:val="single"/>
              </w:rPr>
            </w:pPr>
            <w:r>
              <w:rPr>
                <w:color w:val="000000" w:themeColor="text1"/>
                <w:u w:val="single"/>
              </w:rPr>
              <w:t>阿莫西林</w:t>
            </w:r>
          </w:p>
        </w:tc>
        <w:tc>
          <w:tcPr>
            <w:tcW w:w="1364" w:type="pct"/>
            <w:vAlign w:val="center"/>
          </w:tcPr>
          <w:p>
            <w:pPr>
              <w:snapToGrid w:val="0"/>
              <w:jc w:val="center"/>
              <w:rPr>
                <w:rFonts w:eastAsiaTheme="minorEastAsia"/>
                <w:szCs w:val="21"/>
                <w:u w:val="single"/>
              </w:rPr>
            </w:pPr>
            <w:r>
              <w:rPr>
                <w:rFonts w:hint="eastAsia"/>
                <w:color w:val="000000" w:themeColor="text1"/>
                <w:szCs w:val="21"/>
                <w:u w:val="single"/>
              </w:rPr>
              <w:t>0.1</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23</w:t>
            </w:r>
          </w:p>
        </w:tc>
        <w:tc>
          <w:tcPr>
            <w:tcW w:w="1584" w:type="pct"/>
            <w:vAlign w:val="center"/>
          </w:tcPr>
          <w:p>
            <w:pPr>
              <w:snapToGrid w:val="0"/>
              <w:jc w:val="center"/>
              <w:rPr>
                <w:rFonts w:eastAsiaTheme="minorEastAsia"/>
                <w:szCs w:val="21"/>
                <w:u w:val="single"/>
              </w:rPr>
            </w:pPr>
            <w:r>
              <w:rPr>
                <w:rFonts w:hint="eastAsia"/>
                <w:color w:val="000000" w:themeColor="text1"/>
                <w:u w:val="single"/>
              </w:rPr>
              <w:t>生理盐水</w:t>
            </w:r>
          </w:p>
        </w:tc>
        <w:tc>
          <w:tcPr>
            <w:tcW w:w="1364" w:type="pct"/>
            <w:vAlign w:val="center"/>
          </w:tcPr>
          <w:p>
            <w:pPr>
              <w:snapToGrid w:val="0"/>
              <w:jc w:val="center"/>
              <w:rPr>
                <w:rFonts w:eastAsiaTheme="minorEastAsia"/>
                <w:szCs w:val="21"/>
                <w:u w:val="single"/>
              </w:rPr>
            </w:pPr>
            <w:r>
              <w:rPr>
                <w:rFonts w:hint="eastAsia"/>
                <w:color w:val="000000" w:themeColor="text1"/>
                <w:szCs w:val="21"/>
                <w:u w:val="single"/>
              </w:rPr>
              <w:t>10000</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24</w:t>
            </w:r>
          </w:p>
        </w:tc>
        <w:tc>
          <w:tcPr>
            <w:tcW w:w="1584" w:type="pct"/>
            <w:vAlign w:val="center"/>
          </w:tcPr>
          <w:p>
            <w:pPr>
              <w:snapToGrid w:val="0"/>
              <w:jc w:val="center"/>
              <w:rPr>
                <w:rFonts w:eastAsiaTheme="minorEastAsia"/>
                <w:szCs w:val="21"/>
                <w:u w:val="single"/>
              </w:rPr>
            </w:pPr>
            <w:r>
              <w:rPr>
                <w:color w:val="000000" w:themeColor="text1"/>
                <w:u w:val="single"/>
              </w:rPr>
              <w:t>10%、5%葡萄糖注射液</w:t>
            </w:r>
          </w:p>
        </w:tc>
        <w:tc>
          <w:tcPr>
            <w:tcW w:w="1364" w:type="pct"/>
            <w:vAlign w:val="center"/>
          </w:tcPr>
          <w:p>
            <w:pPr>
              <w:snapToGrid w:val="0"/>
              <w:jc w:val="center"/>
              <w:rPr>
                <w:rFonts w:eastAsiaTheme="minorEastAsia"/>
                <w:szCs w:val="21"/>
                <w:u w:val="single"/>
              </w:rPr>
            </w:pPr>
            <w:r>
              <w:rPr>
                <w:rFonts w:hint="eastAsia"/>
                <w:color w:val="000000" w:themeColor="text1"/>
                <w:szCs w:val="21"/>
                <w:u w:val="single"/>
              </w:rPr>
              <w:t>10000</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25</w:t>
            </w:r>
          </w:p>
        </w:tc>
        <w:tc>
          <w:tcPr>
            <w:tcW w:w="1584" w:type="pct"/>
            <w:vAlign w:val="center"/>
          </w:tcPr>
          <w:p>
            <w:pPr>
              <w:snapToGrid w:val="0"/>
              <w:jc w:val="center"/>
              <w:rPr>
                <w:rFonts w:eastAsiaTheme="minorEastAsia"/>
                <w:szCs w:val="21"/>
                <w:u w:val="single"/>
              </w:rPr>
            </w:pPr>
            <w:r>
              <w:rPr>
                <w:color w:val="000000" w:themeColor="text1"/>
                <w:u w:val="single"/>
              </w:rPr>
              <w:t>维生素C注射液</w:t>
            </w:r>
          </w:p>
        </w:tc>
        <w:tc>
          <w:tcPr>
            <w:tcW w:w="1364" w:type="pct"/>
            <w:vAlign w:val="center"/>
          </w:tcPr>
          <w:p>
            <w:pPr>
              <w:snapToGrid w:val="0"/>
              <w:jc w:val="center"/>
              <w:rPr>
                <w:rFonts w:eastAsiaTheme="minorEastAsia"/>
                <w:szCs w:val="21"/>
                <w:u w:val="single"/>
              </w:rPr>
            </w:pPr>
            <w:r>
              <w:rPr>
                <w:rFonts w:hint="eastAsia"/>
                <w:color w:val="000000" w:themeColor="text1"/>
                <w:szCs w:val="21"/>
                <w:u w:val="single"/>
              </w:rPr>
              <w:t>10000</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26</w:t>
            </w:r>
          </w:p>
        </w:tc>
        <w:tc>
          <w:tcPr>
            <w:tcW w:w="1584" w:type="pct"/>
            <w:vAlign w:val="center"/>
          </w:tcPr>
          <w:p>
            <w:pPr>
              <w:snapToGrid w:val="0"/>
              <w:jc w:val="center"/>
              <w:rPr>
                <w:rFonts w:eastAsiaTheme="minorEastAsia"/>
                <w:szCs w:val="21"/>
                <w:u w:val="single"/>
              </w:rPr>
            </w:pPr>
            <w:r>
              <w:rPr>
                <w:color w:val="000000" w:themeColor="text1"/>
                <w:u w:val="single"/>
              </w:rPr>
              <w:t>维生素B1注射液</w:t>
            </w:r>
          </w:p>
        </w:tc>
        <w:tc>
          <w:tcPr>
            <w:tcW w:w="1364" w:type="pct"/>
            <w:vAlign w:val="center"/>
          </w:tcPr>
          <w:p>
            <w:pPr>
              <w:snapToGrid w:val="0"/>
              <w:jc w:val="center"/>
              <w:rPr>
                <w:rFonts w:eastAsiaTheme="minorEastAsia"/>
                <w:szCs w:val="21"/>
                <w:u w:val="single"/>
              </w:rPr>
            </w:pPr>
            <w:r>
              <w:rPr>
                <w:rFonts w:hint="eastAsia"/>
                <w:color w:val="000000" w:themeColor="text1"/>
                <w:szCs w:val="21"/>
                <w:u w:val="single"/>
              </w:rPr>
              <w:t>10000</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27</w:t>
            </w:r>
          </w:p>
        </w:tc>
        <w:tc>
          <w:tcPr>
            <w:tcW w:w="1584" w:type="pct"/>
            <w:vAlign w:val="center"/>
          </w:tcPr>
          <w:p>
            <w:pPr>
              <w:snapToGrid w:val="0"/>
              <w:jc w:val="center"/>
              <w:rPr>
                <w:rFonts w:eastAsiaTheme="minorEastAsia"/>
                <w:szCs w:val="21"/>
                <w:u w:val="single"/>
              </w:rPr>
            </w:pPr>
            <w:r>
              <w:rPr>
                <w:rFonts w:hint="eastAsia" w:eastAsiaTheme="minorEastAsia"/>
                <w:szCs w:val="21"/>
                <w:u w:val="single"/>
              </w:rPr>
              <w:t>香蕉水</w:t>
            </w:r>
          </w:p>
        </w:tc>
        <w:tc>
          <w:tcPr>
            <w:tcW w:w="1364" w:type="pct"/>
            <w:vAlign w:val="center"/>
          </w:tcPr>
          <w:p>
            <w:pPr>
              <w:snapToGrid w:val="0"/>
              <w:jc w:val="center"/>
              <w:rPr>
                <w:rFonts w:eastAsiaTheme="minorEastAsia"/>
                <w:szCs w:val="21"/>
                <w:u w:val="single"/>
              </w:rPr>
            </w:pPr>
            <w:r>
              <w:rPr>
                <w:rFonts w:hint="eastAsia" w:eastAsiaTheme="minorEastAsia"/>
                <w:szCs w:val="21"/>
                <w:u w:val="single"/>
              </w:rPr>
              <w:t>260kg</w:t>
            </w:r>
          </w:p>
        </w:tc>
        <w:tc>
          <w:tcPr>
            <w:tcW w:w="1362" w:type="pct"/>
            <w:vMerge w:val="restart"/>
            <w:vAlign w:val="center"/>
          </w:tcPr>
          <w:p>
            <w:pPr>
              <w:snapToGrid w:val="0"/>
              <w:jc w:val="center"/>
              <w:rPr>
                <w:rFonts w:eastAsiaTheme="minorEastAsia"/>
                <w:szCs w:val="21"/>
                <w:u w:val="single"/>
              </w:rPr>
            </w:pPr>
            <w:r>
              <w:rPr>
                <w:rFonts w:hint="eastAsia" w:eastAsiaTheme="minorEastAsia"/>
                <w:szCs w:val="21"/>
                <w:u w:val="single"/>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28</w:t>
            </w:r>
          </w:p>
        </w:tc>
        <w:tc>
          <w:tcPr>
            <w:tcW w:w="1584" w:type="pct"/>
            <w:vAlign w:val="center"/>
          </w:tcPr>
          <w:p>
            <w:pPr>
              <w:snapToGrid w:val="0"/>
              <w:jc w:val="center"/>
              <w:rPr>
                <w:rFonts w:eastAsiaTheme="minorEastAsia"/>
                <w:szCs w:val="21"/>
                <w:u w:val="single"/>
              </w:rPr>
            </w:pPr>
            <w:r>
              <w:rPr>
                <w:rFonts w:hint="eastAsia" w:eastAsiaTheme="minorEastAsia"/>
                <w:szCs w:val="21"/>
                <w:u w:val="single"/>
              </w:rPr>
              <w:t>油漆</w:t>
            </w:r>
          </w:p>
        </w:tc>
        <w:tc>
          <w:tcPr>
            <w:tcW w:w="1364" w:type="pct"/>
            <w:vAlign w:val="center"/>
          </w:tcPr>
          <w:p>
            <w:pPr>
              <w:snapToGrid w:val="0"/>
              <w:jc w:val="center"/>
              <w:rPr>
                <w:rFonts w:eastAsiaTheme="minorEastAsia"/>
                <w:szCs w:val="21"/>
                <w:u w:val="single"/>
              </w:rPr>
            </w:pPr>
            <w:r>
              <w:rPr>
                <w:rFonts w:hint="eastAsia" w:eastAsiaTheme="minorEastAsia"/>
                <w:szCs w:val="21"/>
                <w:u w:val="single"/>
              </w:rPr>
              <w:t>3.647t</w:t>
            </w:r>
          </w:p>
        </w:tc>
        <w:tc>
          <w:tcPr>
            <w:tcW w:w="1362" w:type="pct"/>
            <w:vMerge w:val="continue"/>
            <w:vAlign w:val="center"/>
          </w:tcPr>
          <w:p>
            <w:pPr>
              <w:snapToGrid w:val="0"/>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0" w:type="pct"/>
            <w:vAlign w:val="center"/>
          </w:tcPr>
          <w:p>
            <w:pPr>
              <w:snapToGrid w:val="0"/>
              <w:jc w:val="center"/>
              <w:rPr>
                <w:rFonts w:eastAsiaTheme="minorEastAsia"/>
                <w:szCs w:val="21"/>
                <w:u w:val="single"/>
              </w:rPr>
            </w:pPr>
            <w:r>
              <w:rPr>
                <w:rFonts w:hint="eastAsia" w:eastAsiaTheme="minorEastAsia"/>
                <w:szCs w:val="21"/>
                <w:u w:val="single"/>
              </w:rPr>
              <w:t>29</w:t>
            </w:r>
          </w:p>
        </w:tc>
        <w:tc>
          <w:tcPr>
            <w:tcW w:w="1584" w:type="pct"/>
            <w:vAlign w:val="center"/>
          </w:tcPr>
          <w:p>
            <w:pPr>
              <w:snapToGrid w:val="0"/>
              <w:jc w:val="center"/>
              <w:rPr>
                <w:rFonts w:eastAsiaTheme="minorEastAsia"/>
                <w:szCs w:val="21"/>
                <w:u w:val="single"/>
              </w:rPr>
            </w:pPr>
            <w:r>
              <w:rPr>
                <w:rFonts w:hint="eastAsia" w:eastAsiaTheme="minorEastAsia"/>
                <w:szCs w:val="21"/>
                <w:u w:val="single"/>
              </w:rPr>
              <w:t>商品混凝土</w:t>
            </w:r>
          </w:p>
        </w:tc>
        <w:tc>
          <w:tcPr>
            <w:tcW w:w="1364" w:type="pct"/>
            <w:vAlign w:val="center"/>
          </w:tcPr>
          <w:p>
            <w:pPr>
              <w:snapToGrid w:val="0"/>
              <w:jc w:val="center"/>
              <w:rPr>
                <w:rFonts w:eastAsiaTheme="minorEastAsia"/>
                <w:szCs w:val="21"/>
                <w:u w:val="single"/>
              </w:rPr>
            </w:pPr>
            <w:r>
              <w:rPr>
                <w:rFonts w:hint="eastAsia" w:eastAsiaTheme="minorEastAsia"/>
                <w:szCs w:val="21"/>
                <w:u w:val="single"/>
              </w:rPr>
              <w:t>10000m</w:t>
            </w:r>
            <w:r>
              <w:rPr>
                <w:rFonts w:hint="eastAsia" w:eastAsiaTheme="minorEastAsia"/>
                <w:szCs w:val="21"/>
                <w:u w:val="single"/>
                <w:vertAlign w:val="superscript"/>
              </w:rPr>
              <w:t>3</w:t>
            </w:r>
          </w:p>
        </w:tc>
        <w:tc>
          <w:tcPr>
            <w:tcW w:w="1362" w:type="pct"/>
            <w:vMerge w:val="continue"/>
            <w:vAlign w:val="center"/>
          </w:tcPr>
          <w:p>
            <w:pPr>
              <w:snapToGrid w:val="0"/>
              <w:jc w:val="center"/>
              <w:rPr>
                <w:rFonts w:eastAsiaTheme="minorEastAsia"/>
                <w:szCs w:val="21"/>
                <w:u w:val="single"/>
              </w:rPr>
            </w:pPr>
          </w:p>
        </w:tc>
      </w:tr>
    </w:tbl>
    <w:p>
      <w:pPr>
        <w:pStyle w:val="3"/>
        <w:snapToGrid w:val="0"/>
        <w:spacing w:before="0" w:after="0" w:line="360" w:lineRule="auto"/>
        <w:rPr>
          <w:rFonts w:ascii="Times New Roman" w:hAnsi="Times New Roman" w:eastAsiaTheme="minorEastAsia"/>
          <w:sz w:val="28"/>
          <w:lang w:val="zh-CN"/>
        </w:rPr>
      </w:pPr>
      <w:bookmarkStart w:id="82" w:name="_Toc61026598"/>
      <w:r>
        <w:rPr>
          <w:rFonts w:ascii="Times New Roman" w:hAnsi="Times New Roman" w:eastAsiaTheme="minorEastAsia"/>
          <w:sz w:val="28"/>
          <w:lang w:val="zh-CN"/>
        </w:rPr>
        <w:t>4.2 主体建筑工程</w:t>
      </w:r>
      <w:bookmarkEnd w:id="82"/>
    </w:p>
    <w:p>
      <w:pPr>
        <w:pStyle w:val="4"/>
        <w:snapToGrid w:val="0"/>
        <w:spacing w:before="0" w:after="0" w:line="360" w:lineRule="auto"/>
        <w:rPr>
          <w:rFonts w:eastAsiaTheme="minorEastAsia"/>
          <w:kern w:val="0"/>
          <w:sz w:val="24"/>
        </w:rPr>
      </w:pPr>
      <w:r>
        <w:rPr>
          <w:rFonts w:eastAsiaTheme="minorEastAsia"/>
          <w:kern w:val="0"/>
          <w:sz w:val="24"/>
        </w:rPr>
        <w:t>4.2.1 主体建筑工程概况</w:t>
      </w:r>
    </w:p>
    <w:p>
      <w:pPr>
        <w:widowControl/>
        <w:shd w:val="clear" w:color="auto" w:fill="FFFFFF"/>
        <w:snapToGrid w:val="0"/>
        <w:spacing w:line="360" w:lineRule="auto"/>
        <w:ind w:firstLine="480" w:firstLineChars="200"/>
        <w:rPr>
          <w:rFonts w:eastAsiaTheme="minorEastAsia"/>
          <w:sz w:val="24"/>
          <w:u w:val="single"/>
        </w:rPr>
      </w:pPr>
      <w:r>
        <w:rPr>
          <w:rFonts w:eastAsiaTheme="minorEastAsia"/>
          <w:sz w:val="24"/>
          <w:u w:val="single"/>
        </w:rPr>
        <w:t>本项目分为三</w:t>
      </w:r>
      <w:r>
        <w:rPr>
          <w:rFonts w:hint="eastAsia" w:eastAsiaTheme="minorEastAsia"/>
          <w:sz w:val="24"/>
          <w:u w:val="single"/>
        </w:rPr>
        <w:t>个区域</w:t>
      </w:r>
      <w:r>
        <w:rPr>
          <w:rFonts w:eastAsiaTheme="minorEastAsia"/>
          <w:sz w:val="24"/>
          <w:u w:val="single"/>
        </w:rPr>
        <w:t>建设（详细见附图</w:t>
      </w:r>
      <w:r>
        <w:rPr>
          <w:rFonts w:hint="eastAsia" w:eastAsiaTheme="minorEastAsia"/>
          <w:sz w:val="24"/>
          <w:u w:val="single"/>
        </w:rPr>
        <w:t>4</w:t>
      </w:r>
      <w:r>
        <w:rPr>
          <w:rFonts w:eastAsiaTheme="minorEastAsia"/>
          <w:sz w:val="24"/>
          <w:u w:val="single"/>
        </w:rPr>
        <w:t>），各地块主体建筑工程建设情况如下：</w:t>
      </w:r>
    </w:p>
    <w:p>
      <w:pPr>
        <w:snapToGrid w:val="0"/>
        <w:spacing w:line="360" w:lineRule="auto"/>
        <w:jc w:val="center"/>
        <w:rPr>
          <w:rFonts w:eastAsiaTheme="minorEastAsia"/>
          <w:b/>
          <w:bCs/>
          <w:sz w:val="24"/>
        </w:rPr>
      </w:pPr>
      <w:r>
        <w:rPr>
          <w:rFonts w:eastAsiaTheme="minorEastAsia"/>
          <w:b/>
          <w:bCs/>
          <w:sz w:val="24"/>
        </w:rPr>
        <w:t>4.2-1湘阴县中医院</w:t>
      </w:r>
      <w:bookmarkStart w:id="83" w:name="_Hlk60775297"/>
      <w:r>
        <w:rPr>
          <w:rFonts w:hint="eastAsia" w:eastAsiaTheme="minorEastAsia"/>
          <w:b/>
          <w:bCs/>
          <w:sz w:val="24"/>
        </w:rPr>
        <w:t>区域</w:t>
      </w:r>
      <w:bookmarkEnd w:id="83"/>
      <w:r>
        <w:rPr>
          <w:rFonts w:eastAsiaTheme="minorEastAsia"/>
          <w:b/>
          <w:bCs/>
          <w:sz w:val="24"/>
        </w:rPr>
        <w:t>一技术指标</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06"/>
        <w:gridCol w:w="2552"/>
        <w:gridCol w:w="1559"/>
        <w:gridCol w:w="1276"/>
        <w:gridCol w:w="22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b/>
                <w:bCs/>
              </w:rPr>
            </w:pPr>
            <w:r>
              <w:rPr>
                <w:rFonts w:eastAsiaTheme="minorEastAsia"/>
                <w:b/>
                <w:bCs/>
              </w:rPr>
              <w:t>项目</w:t>
            </w:r>
          </w:p>
        </w:tc>
        <w:tc>
          <w:tcPr>
            <w:tcW w:w="1559" w:type="dxa"/>
            <w:shd w:val="clear" w:color="auto" w:fill="FFFFFF"/>
            <w:vAlign w:val="center"/>
          </w:tcPr>
          <w:p>
            <w:pPr>
              <w:snapToGrid w:val="0"/>
              <w:spacing w:line="360" w:lineRule="exact"/>
              <w:jc w:val="center"/>
              <w:rPr>
                <w:rFonts w:eastAsiaTheme="minorEastAsia"/>
                <w:b/>
                <w:bCs/>
              </w:rPr>
            </w:pPr>
            <w:r>
              <w:rPr>
                <w:rFonts w:eastAsiaTheme="minorEastAsia"/>
                <w:b/>
                <w:bCs/>
              </w:rPr>
              <w:t>数量</w:t>
            </w:r>
          </w:p>
        </w:tc>
        <w:tc>
          <w:tcPr>
            <w:tcW w:w="1276" w:type="dxa"/>
            <w:shd w:val="clear" w:color="auto" w:fill="FFFFFF"/>
            <w:vAlign w:val="center"/>
          </w:tcPr>
          <w:p>
            <w:pPr>
              <w:snapToGrid w:val="0"/>
              <w:jc w:val="center"/>
              <w:rPr>
                <w:rFonts w:eastAsiaTheme="minorEastAsia"/>
                <w:b/>
                <w:bCs/>
              </w:rPr>
            </w:pPr>
            <w:r>
              <w:rPr>
                <w:rFonts w:eastAsiaTheme="minorEastAsia"/>
                <w:b/>
                <w:bCs/>
              </w:rPr>
              <w:t>单位</w:t>
            </w:r>
          </w:p>
        </w:tc>
        <w:tc>
          <w:tcPr>
            <w:tcW w:w="2296" w:type="dxa"/>
            <w:shd w:val="clear" w:color="auto" w:fill="FFFFFF"/>
            <w:vAlign w:val="center"/>
          </w:tcPr>
          <w:p>
            <w:pPr>
              <w:snapToGrid w:val="0"/>
              <w:jc w:val="center"/>
              <w:rPr>
                <w:rFonts w:eastAsiaTheme="minorEastAsia"/>
                <w:b/>
                <w:bCs/>
              </w:rPr>
            </w:pPr>
            <w:r>
              <w:rPr>
                <w:rFonts w:eastAsiaTheme="minorEastAsia"/>
                <w:b/>
                <w:bCs/>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项目用地面积</w:t>
            </w:r>
          </w:p>
        </w:tc>
        <w:tc>
          <w:tcPr>
            <w:tcW w:w="1559" w:type="dxa"/>
            <w:shd w:val="clear" w:color="auto" w:fill="FFFFFF"/>
            <w:vAlign w:val="center"/>
          </w:tcPr>
          <w:p>
            <w:pPr>
              <w:snapToGrid w:val="0"/>
              <w:jc w:val="center"/>
              <w:rPr>
                <w:rFonts w:eastAsiaTheme="minorEastAsia"/>
              </w:rPr>
            </w:pPr>
            <w:r>
              <w:rPr>
                <w:rFonts w:eastAsiaTheme="minorEastAsia"/>
              </w:rPr>
              <w:t>6978.6</w:t>
            </w:r>
          </w:p>
        </w:tc>
        <w:tc>
          <w:tcPr>
            <w:tcW w:w="1276" w:type="dxa"/>
            <w:shd w:val="clear" w:color="auto" w:fill="FFFFFF"/>
            <w:vAlign w:val="center"/>
          </w:tcPr>
          <w:p>
            <w:pPr>
              <w:snapToGrid w:val="0"/>
              <w:jc w:val="center"/>
              <w:rPr>
                <w:rFonts w:eastAsiaTheme="minorEastAsia"/>
              </w:rPr>
            </w:pPr>
            <w:r>
              <w:rPr>
                <w:szCs w:val="21"/>
              </w:rPr>
              <w:t>平方米</w:t>
            </w:r>
          </w:p>
        </w:tc>
        <w:tc>
          <w:tcPr>
            <w:tcW w:w="2296" w:type="dxa"/>
            <w:shd w:val="clear" w:color="auto" w:fill="FFFFFF"/>
            <w:vAlign w:val="center"/>
          </w:tcPr>
          <w:p>
            <w:pPr>
              <w:snapToGrid w:val="0"/>
              <w:jc w:val="center"/>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建筑总面积</w:t>
            </w:r>
          </w:p>
        </w:tc>
        <w:tc>
          <w:tcPr>
            <w:tcW w:w="1559" w:type="dxa"/>
            <w:shd w:val="clear" w:color="auto" w:fill="FFFFFF"/>
            <w:vAlign w:val="center"/>
          </w:tcPr>
          <w:p>
            <w:pPr>
              <w:snapToGrid w:val="0"/>
              <w:jc w:val="center"/>
              <w:rPr>
                <w:rFonts w:eastAsiaTheme="minorEastAsia"/>
              </w:rPr>
            </w:pPr>
            <w:r>
              <w:rPr>
                <w:rFonts w:eastAsiaTheme="minorEastAsia"/>
              </w:rPr>
              <w:t>14847.45</w:t>
            </w:r>
          </w:p>
        </w:tc>
        <w:tc>
          <w:tcPr>
            <w:tcW w:w="1276" w:type="dxa"/>
            <w:shd w:val="clear" w:color="auto" w:fill="FFFFFF"/>
            <w:vAlign w:val="center"/>
          </w:tcPr>
          <w:p>
            <w:pPr>
              <w:snapToGrid w:val="0"/>
              <w:jc w:val="center"/>
              <w:rPr>
                <w:rFonts w:eastAsiaTheme="minorEastAsia"/>
              </w:rPr>
            </w:pPr>
            <w:r>
              <w:rPr>
                <w:szCs w:val="21"/>
              </w:rPr>
              <w:t>平方米</w:t>
            </w:r>
          </w:p>
        </w:tc>
        <w:tc>
          <w:tcPr>
            <w:tcW w:w="2296" w:type="dxa"/>
            <w:shd w:val="clear" w:color="auto" w:fill="FFFFFF"/>
            <w:vAlign w:val="center"/>
          </w:tcPr>
          <w:p>
            <w:pPr>
              <w:snapToGrid w:val="0"/>
              <w:jc w:val="center"/>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计容总面积</w:t>
            </w:r>
          </w:p>
        </w:tc>
        <w:tc>
          <w:tcPr>
            <w:tcW w:w="1559" w:type="dxa"/>
            <w:shd w:val="clear" w:color="auto" w:fill="FFFFFF"/>
            <w:vAlign w:val="center"/>
          </w:tcPr>
          <w:p>
            <w:pPr>
              <w:snapToGrid w:val="0"/>
              <w:jc w:val="center"/>
              <w:rPr>
                <w:rFonts w:eastAsiaTheme="minorEastAsia"/>
              </w:rPr>
            </w:pPr>
            <w:r>
              <w:rPr>
                <w:rFonts w:eastAsiaTheme="minorEastAsia"/>
              </w:rPr>
              <w:t>14847.45</w:t>
            </w:r>
          </w:p>
        </w:tc>
        <w:tc>
          <w:tcPr>
            <w:tcW w:w="1276" w:type="dxa"/>
            <w:shd w:val="clear" w:color="auto" w:fill="FFFFFF"/>
            <w:vAlign w:val="center"/>
          </w:tcPr>
          <w:p>
            <w:pPr>
              <w:snapToGrid w:val="0"/>
              <w:jc w:val="center"/>
              <w:rPr>
                <w:rFonts w:eastAsiaTheme="minorEastAsia"/>
              </w:rPr>
            </w:pPr>
            <w:r>
              <w:rPr>
                <w:szCs w:val="21"/>
              </w:rPr>
              <w:t>平方米</w:t>
            </w:r>
          </w:p>
        </w:tc>
        <w:tc>
          <w:tcPr>
            <w:tcW w:w="2296" w:type="dxa"/>
            <w:shd w:val="clear" w:color="auto" w:fill="FFFFFF"/>
            <w:vAlign w:val="center"/>
          </w:tcPr>
          <w:p>
            <w:pPr>
              <w:snapToGrid w:val="0"/>
              <w:jc w:val="center"/>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建筑基地</w:t>
            </w:r>
          </w:p>
        </w:tc>
        <w:tc>
          <w:tcPr>
            <w:tcW w:w="1559" w:type="dxa"/>
            <w:shd w:val="clear" w:color="auto" w:fill="FFFFFF"/>
            <w:vAlign w:val="center"/>
          </w:tcPr>
          <w:p>
            <w:pPr>
              <w:snapToGrid w:val="0"/>
              <w:jc w:val="center"/>
              <w:rPr>
                <w:rFonts w:eastAsiaTheme="minorEastAsia"/>
              </w:rPr>
            </w:pPr>
            <w:r>
              <w:rPr>
                <w:rFonts w:eastAsiaTheme="minorEastAsia"/>
              </w:rPr>
              <w:t>2287.42</w:t>
            </w:r>
          </w:p>
        </w:tc>
        <w:tc>
          <w:tcPr>
            <w:tcW w:w="1276" w:type="dxa"/>
            <w:shd w:val="clear" w:color="auto" w:fill="FFFFFF"/>
            <w:vAlign w:val="center"/>
          </w:tcPr>
          <w:p>
            <w:pPr>
              <w:snapToGrid w:val="0"/>
              <w:jc w:val="center"/>
              <w:rPr>
                <w:rFonts w:eastAsiaTheme="minorEastAsia"/>
              </w:rPr>
            </w:pPr>
            <w:r>
              <w:rPr>
                <w:szCs w:val="21"/>
              </w:rPr>
              <w:t>平方米</w:t>
            </w:r>
          </w:p>
        </w:tc>
        <w:tc>
          <w:tcPr>
            <w:tcW w:w="2296" w:type="dxa"/>
            <w:shd w:val="clear" w:color="auto" w:fill="FFFFFF"/>
            <w:vAlign w:val="center"/>
          </w:tcPr>
          <w:p>
            <w:pPr>
              <w:snapToGrid w:val="0"/>
              <w:jc w:val="center"/>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06" w:type="dxa"/>
            <w:vMerge w:val="restart"/>
            <w:shd w:val="clear" w:color="auto" w:fill="FFFFFF"/>
            <w:vAlign w:val="center"/>
          </w:tcPr>
          <w:p>
            <w:pPr>
              <w:snapToGrid w:val="0"/>
              <w:jc w:val="center"/>
              <w:rPr>
                <w:rFonts w:eastAsiaTheme="minorEastAsia"/>
              </w:rPr>
            </w:pPr>
            <w:r>
              <w:rPr>
                <w:rFonts w:eastAsiaTheme="minorEastAsia"/>
              </w:rPr>
              <w:t>其中</w:t>
            </w:r>
          </w:p>
        </w:tc>
        <w:tc>
          <w:tcPr>
            <w:tcW w:w="2552" w:type="dxa"/>
            <w:shd w:val="clear" w:color="auto" w:fill="FFFFFF"/>
            <w:vAlign w:val="center"/>
          </w:tcPr>
          <w:p>
            <w:pPr>
              <w:snapToGrid w:val="0"/>
              <w:jc w:val="center"/>
              <w:rPr>
                <w:rFonts w:eastAsiaTheme="minorEastAsia"/>
              </w:rPr>
            </w:pPr>
            <w:r>
              <w:rPr>
                <w:rFonts w:eastAsiaTheme="minorEastAsia"/>
              </w:rPr>
              <w:t>1号立体车库</w:t>
            </w:r>
          </w:p>
        </w:tc>
        <w:tc>
          <w:tcPr>
            <w:tcW w:w="1559" w:type="dxa"/>
            <w:shd w:val="clear" w:color="auto" w:fill="FFFFFF"/>
            <w:vAlign w:val="center"/>
          </w:tcPr>
          <w:p>
            <w:pPr>
              <w:snapToGrid w:val="0"/>
              <w:jc w:val="center"/>
              <w:rPr>
                <w:rFonts w:eastAsiaTheme="minorEastAsia"/>
              </w:rPr>
            </w:pPr>
            <w:r>
              <w:rPr>
                <w:rFonts w:eastAsiaTheme="minorEastAsia"/>
              </w:rPr>
              <w:t>1540</w:t>
            </w:r>
          </w:p>
        </w:tc>
        <w:tc>
          <w:tcPr>
            <w:tcW w:w="1276" w:type="dxa"/>
            <w:shd w:val="clear" w:color="auto" w:fill="FFFFFF"/>
            <w:vAlign w:val="center"/>
          </w:tcPr>
          <w:p>
            <w:pPr>
              <w:snapToGrid w:val="0"/>
              <w:jc w:val="center"/>
              <w:rPr>
                <w:rFonts w:eastAsiaTheme="minorEastAsia"/>
              </w:rPr>
            </w:pPr>
            <w:r>
              <w:rPr>
                <w:szCs w:val="21"/>
              </w:rPr>
              <w:t>平方米</w:t>
            </w:r>
          </w:p>
        </w:tc>
        <w:tc>
          <w:tcPr>
            <w:tcW w:w="2296" w:type="dxa"/>
            <w:shd w:val="clear" w:color="auto" w:fill="FFFFFF"/>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06" w:type="dxa"/>
            <w:vMerge w:val="continue"/>
            <w:shd w:val="clear" w:color="auto" w:fill="FFFFFF"/>
            <w:vAlign w:val="center"/>
          </w:tcPr>
          <w:p>
            <w:pPr>
              <w:snapToGrid w:val="0"/>
              <w:jc w:val="center"/>
              <w:rPr>
                <w:rFonts w:eastAsiaTheme="minorEastAsia"/>
              </w:rPr>
            </w:pPr>
          </w:p>
        </w:tc>
        <w:tc>
          <w:tcPr>
            <w:tcW w:w="2552" w:type="dxa"/>
            <w:shd w:val="clear" w:color="auto" w:fill="FFFFFF"/>
            <w:vAlign w:val="center"/>
          </w:tcPr>
          <w:p>
            <w:pPr>
              <w:snapToGrid w:val="0"/>
              <w:jc w:val="center"/>
              <w:rPr>
                <w:rFonts w:eastAsiaTheme="minorEastAsia"/>
              </w:rPr>
            </w:pPr>
            <w:r>
              <w:rPr>
                <w:rFonts w:eastAsiaTheme="minorEastAsia"/>
              </w:rPr>
              <w:t>2号立体车库</w:t>
            </w:r>
          </w:p>
        </w:tc>
        <w:tc>
          <w:tcPr>
            <w:tcW w:w="1559" w:type="dxa"/>
            <w:shd w:val="clear" w:color="auto" w:fill="FFFFFF"/>
            <w:vAlign w:val="center"/>
          </w:tcPr>
          <w:p>
            <w:pPr>
              <w:snapToGrid w:val="0"/>
              <w:jc w:val="center"/>
              <w:rPr>
                <w:rFonts w:eastAsiaTheme="minorEastAsia"/>
              </w:rPr>
            </w:pPr>
            <w:r>
              <w:rPr>
                <w:rFonts w:eastAsiaTheme="minorEastAsia"/>
              </w:rPr>
              <w:t>989.08</w:t>
            </w:r>
          </w:p>
        </w:tc>
        <w:tc>
          <w:tcPr>
            <w:tcW w:w="1276" w:type="dxa"/>
            <w:shd w:val="clear" w:color="auto" w:fill="FFFFFF"/>
            <w:vAlign w:val="center"/>
          </w:tcPr>
          <w:p>
            <w:pPr>
              <w:snapToGrid w:val="0"/>
              <w:jc w:val="center"/>
              <w:rPr>
                <w:rFonts w:eastAsiaTheme="minorEastAsia"/>
              </w:rPr>
            </w:pPr>
            <w:r>
              <w:rPr>
                <w:szCs w:val="21"/>
              </w:rPr>
              <w:t>平方米</w:t>
            </w:r>
          </w:p>
        </w:tc>
        <w:tc>
          <w:tcPr>
            <w:tcW w:w="2296" w:type="dxa"/>
            <w:shd w:val="clear" w:color="auto" w:fill="FFFFFF"/>
            <w:vAlign w:val="center"/>
          </w:tcPr>
          <w:p>
            <w:pPr>
              <w:snapToGrid w:val="0"/>
              <w:jc w:val="center"/>
              <w:rPr>
                <w:rFonts w:eastAsiaTheme="minorEastAsia"/>
              </w:rPr>
            </w:pPr>
            <w:r>
              <w:rPr>
                <w:rFonts w:eastAsiaTheme="minorEastAsia"/>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106" w:type="dxa"/>
            <w:vMerge w:val="continue"/>
            <w:shd w:val="clear" w:color="auto" w:fill="FFFFFF"/>
            <w:vAlign w:val="center"/>
          </w:tcPr>
          <w:p>
            <w:pPr>
              <w:snapToGrid w:val="0"/>
              <w:jc w:val="center"/>
              <w:rPr>
                <w:rFonts w:eastAsiaTheme="minorEastAsia"/>
              </w:rPr>
            </w:pPr>
          </w:p>
        </w:tc>
        <w:tc>
          <w:tcPr>
            <w:tcW w:w="2552" w:type="dxa"/>
            <w:shd w:val="clear" w:color="auto" w:fill="FFFFFF"/>
            <w:vAlign w:val="center"/>
          </w:tcPr>
          <w:p>
            <w:pPr>
              <w:snapToGrid w:val="0"/>
              <w:jc w:val="center"/>
              <w:rPr>
                <w:rFonts w:eastAsiaTheme="minorEastAsia"/>
              </w:rPr>
            </w:pPr>
            <w:r>
              <w:rPr>
                <w:rFonts w:eastAsiaTheme="minorEastAsia"/>
              </w:rPr>
              <w:t>6#住院大楼</w:t>
            </w:r>
          </w:p>
        </w:tc>
        <w:tc>
          <w:tcPr>
            <w:tcW w:w="1559" w:type="dxa"/>
            <w:shd w:val="clear" w:color="auto" w:fill="FFFFFF"/>
            <w:vAlign w:val="center"/>
          </w:tcPr>
          <w:p>
            <w:pPr>
              <w:snapToGrid w:val="0"/>
              <w:jc w:val="center"/>
              <w:rPr>
                <w:rFonts w:eastAsiaTheme="minorEastAsia"/>
              </w:rPr>
            </w:pPr>
            <w:r>
              <w:rPr>
                <w:rFonts w:eastAsiaTheme="minorEastAsia"/>
              </w:rPr>
              <w:t>13307.45</w:t>
            </w:r>
          </w:p>
        </w:tc>
        <w:tc>
          <w:tcPr>
            <w:tcW w:w="1276" w:type="dxa"/>
            <w:shd w:val="clear" w:color="auto" w:fill="FFFFFF"/>
            <w:vAlign w:val="center"/>
          </w:tcPr>
          <w:p>
            <w:pPr>
              <w:snapToGrid w:val="0"/>
              <w:jc w:val="center"/>
              <w:rPr>
                <w:rFonts w:eastAsiaTheme="minorEastAsia"/>
              </w:rPr>
            </w:pPr>
            <w:r>
              <w:rPr>
                <w:szCs w:val="21"/>
              </w:rPr>
              <w:t>平方米</w:t>
            </w:r>
          </w:p>
        </w:tc>
        <w:tc>
          <w:tcPr>
            <w:tcW w:w="2296" w:type="dxa"/>
            <w:shd w:val="clear" w:color="auto" w:fill="FFFFFF"/>
            <w:vAlign w:val="center"/>
          </w:tcPr>
          <w:p>
            <w:pPr>
              <w:snapToGrid w:val="0"/>
              <w:jc w:val="center"/>
              <w:rPr>
                <w:rFonts w:eastAsiaTheme="minorEastAsia"/>
              </w:rPr>
            </w:pPr>
            <w:r>
              <w:rPr>
                <w:rFonts w:eastAsiaTheme="minorEastAsia"/>
              </w:rPr>
              <w:t>原有建筑改造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建筑密度</w:t>
            </w:r>
          </w:p>
        </w:tc>
        <w:tc>
          <w:tcPr>
            <w:tcW w:w="1559" w:type="dxa"/>
            <w:shd w:val="clear" w:color="auto" w:fill="FFFFFF"/>
            <w:vAlign w:val="center"/>
          </w:tcPr>
          <w:p>
            <w:pPr>
              <w:snapToGrid w:val="0"/>
              <w:jc w:val="center"/>
              <w:rPr>
                <w:rFonts w:eastAsiaTheme="minorEastAsia"/>
              </w:rPr>
            </w:pPr>
            <w:r>
              <w:rPr>
                <w:rFonts w:eastAsiaTheme="minorEastAsia"/>
              </w:rPr>
              <w:t>32.8</w:t>
            </w:r>
          </w:p>
        </w:tc>
        <w:tc>
          <w:tcPr>
            <w:tcW w:w="1276" w:type="dxa"/>
            <w:shd w:val="clear" w:color="auto" w:fill="FFFFFF"/>
            <w:vAlign w:val="center"/>
          </w:tcPr>
          <w:p>
            <w:pPr>
              <w:snapToGrid w:val="0"/>
              <w:jc w:val="center"/>
              <w:rPr>
                <w:rFonts w:eastAsiaTheme="minorEastAsia"/>
              </w:rPr>
            </w:pPr>
          </w:p>
        </w:tc>
        <w:tc>
          <w:tcPr>
            <w:tcW w:w="2296" w:type="dxa"/>
            <w:shd w:val="clear" w:color="auto" w:fill="FFFFFF"/>
            <w:vAlign w:val="center"/>
          </w:tcPr>
          <w:p>
            <w:pPr>
              <w:snapToGrid w:val="0"/>
              <w:jc w:val="center"/>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容积率</w:t>
            </w:r>
          </w:p>
        </w:tc>
        <w:tc>
          <w:tcPr>
            <w:tcW w:w="1559" w:type="dxa"/>
            <w:shd w:val="clear" w:color="auto" w:fill="FFFFFF"/>
            <w:vAlign w:val="center"/>
          </w:tcPr>
          <w:p>
            <w:pPr>
              <w:snapToGrid w:val="0"/>
              <w:jc w:val="center"/>
              <w:rPr>
                <w:rFonts w:eastAsiaTheme="minorEastAsia"/>
              </w:rPr>
            </w:pPr>
            <w:r>
              <w:rPr>
                <w:rFonts w:eastAsiaTheme="minorEastAsia"/>
              </w:rPr>
              <w:t>2.18</w:t>
            </w:r>
          </w:p>
        </w:tc>
        <w:tc>
          <w:tcPr>
            <w:tcW w:w="1276" w:type="dxa"/>
            <w:shd w:val="clear" w:color="auto" w:fill="FFFFFF"/>
            <w:vAlign w:val="center"/>
          </w:tcPr>
          <w:p>
            <w:pPr>
              <w:snapToGrid w:val="0"/>
              <w:jc w:val="center"/>
              <w:rPr>
                <w:rFonts w:eastAsiaTheme="minorEastAsia"/>
              </w:rPr>
            </w:pPr>
            <w:r>
              <w:rPr>
                <w:rFonts w:eastAsiaTheme="minorEastAsia"/>
              </w:rPr>
              <w:t>%</w:t>
            </w:r>
          </w:p>
        </w:tc>
        <w:tc>
          <w:tcPr>
            <w:tcW w:w="2296" w:type="dxa"/>
            <w:shd w:val="clear" w:color="auto" w:fill="FFFFFF"/>
            <w:vAlign w:val="center"/>
          </w:tcPr>
          <w:p>
            <w:pPr>
              <w:snapToGrid w:val="0"/>
              <w:jc w:val="center"/>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绿化率</w:t>
            </w:r>
          </w:p>
        </w:tc>
        <w:tc>
          <w:tcPr>
            <w:tcW w:w="1559" w:type="dxa"/>
            <w:shd w:val="clear" w:color="auto" w:fill="FFFFFF"/>
            <w:vAlign w:val="center"/>
          </w:tcPr>
          <w:p>
            <w:pPr>
              <w:snapToGrid w:val="0"/>
              <w:jc w:val="center"/>
              <w:rPr>
                <w:rFonts w:eastAsiaTheme="minorEastAsia"/>
              </w:rPr>
            </w:pPr>
            <w:r>
              <w:rPr>
                <w:rFonts w:eastAsiaTheme="minorEastAsia"/>
              </w:rPr>
              <w:t>10</w:t>
            </w:r>
          </w:p>
        </w:tc>
        <w:tc>
          <w:tcPr>
            <w:tcW w:w="1276" w:type="dxa"/>
            <w:shd w:val="clear" w:color="auto" w:fill="FFFFFF"/>
            <w:vAlign w:val="center"/>
          </w:tcPr>
          <w:p>
            <w:pPr>
              <w:snapToGrid w:val="0"/>
              <w:jc w:val="center"/>
              <w:rPr>
                <w:rFonts w:eastAsiaTheme="minorEastAsia"/>
              </w:rPr>
            </w:pPr>
            <w:r>
              <w:rPr>
                <w:rFonts w:eastAsiaTheme="minorEastAsia"/>
              </w:rPr>
              <w:t>%</w:t>
            </w:r>
          </w:p>
        </w:tc>
        <w:tc>
          <w:tcPr>
            <w:tcW w:w="2296" w:type="dxa"/>
            <w:shd w:val="clear" w:color="auto" w:fill="FFFFFF"/>
            <w:vAlign w:val="center"/>
          </w:tcPr>
          <w:p>
            <w:pPr>
              <w:snapToGrid w:val="0"/>
              <w:jc w:val="center"/>
              <w:rPr>
                <w:rFonts w:eastAsiaTheme="minorEastAsia"/>
              </w:rPr>
            </w:pPr>
            <w:r>
              <w:rPr>
                <w:rFonts w:hint="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658" w:type="dxa"/>
            <w:gridSpan w:val="2"/>
            <w:shd w:val="clear" w:color="auto" w:fill="FFFFFF"/>
            <w:vAlign w:val="center"/>
          </w:tcPr>
          <w:p>
            <w:pPr>
              <w:snapToGrid w:val="0"/>
              <w:jc w:val="center"/>
              <w:rPr>
                <w:rFonts w:eastAsiaTheme="minorEastAsia"/>
              </w:rPr>
            </w:pPr>
            <w:r>
              <w:rPr>
                <w:rFonts w:eastAsiaTheme="minorEastAsia"/>
              </w:rPr>
              <w:t>总停车位</w:t>
            </w:r>
          </w:p>
        </w:tc>
        <w:tc>
          <w:tcPr>
            <w:tcW w:w="1559" w:type="dxa"/>
            <w:shd w:val="clear" w:color="auto" w:fill="FFFFFF"/>
            <w:vAlign w:val="center"/>
          </w:tcPr>
          <w:p>
            <w:pPr>
              <w:snapToGrid w:val="0"/>
              <w:jc w:val="center"/>
              <w:rPr>
                <w:rFonts w:eastAsiaTheme="minorEastAsia"/>
              </w:rPr>
            </w:pPr>
            <w:r>
              <w:rPr>
                <w:rFonts w:eastAsiaTheme="minorEastAsia"/>
              </w:rPr>
              <w:t>222</w:t>
            </w:r>
          </w:p>
        </w:tc>
        <w:tc>
          <w:tcPr>
            <w:tcW w:w="1276" w:type="dxa"/>
            <w:shd w:val="clear" w:color="auto" w:fill="FFFFFF"/>
            <w:vAlign w:val="center"/>
          </w:tcPr>
          <w:p>
            <w:pPr>
              <w:snapToGrid w:val="0"/>
              <w:jc w:val="center"/>
              <w:rPr>
                <w:rFonts w:eastAsiaTheme="minorEastAsia"/>
              </w:rPr>
            </w:pPr>
            <w:r>
              <w:rPr>
                <w:rFonts w:eastAsiaTheme="minorEastAsia"/>
              </w:rPr>
              <w:t>个</w:t>
            </w:r>
          </w:p>
        </w:tc>
        <w:tc>
          <w:tcPr>
            <w:tcW w:w="2296" w:type="dxa"/>
            <w:shd w:val="clear" w:color="auto" w:fill="FFFFFF"/>
            <w:vAlign w:val="center"/>
          </w:tcPr>
          <w:p>
            <w:pPr>
              <w:snapToGrid w:val="0"/>
              <w:jc w:val="center"/>
              <w:rPr>
                <w:rFonts w:eastAsiaTheme="minorEastAsia"/>
              </w:rPr>
            </w:pPr>
            <w:r>
              <w:rPr>
                <w:rFonts w:eastAsiaTheme="minorEastAsia"/>
              </w:rPr>
              <w:t>38个地面车位,184</w:t>
            </w:r>
          </w:p>
          <w:p>
            <w:pPr>
              <w:snapToGrid w:val="0"/>
              <w:jc w:val="center"/>
              <w:rPr>
                <w:rFonts w:eastAsiaTheme="minorEastAsia"/>
              </w:rPr>
            </w:pPr>
            <w:r>
              <w:rPr>
                <w:rFonts w:eastAsiaTheme="minorEastAsia"/>
              </w:rPr>
              <w:t>个立体车位</w:t>
            </w:r>
          </w:p>
        </w:tc>
      </w:tr>
    </w:tbl>
    <w:p>
      <w:pPr>
        <w:widowControl/>
        <w:shd w:val="clear" w:color="auto" w:fill="FFFFFF"/>
        <w:snapToGrid w:val="0"/>
        <w:spacing w:line="360" w:lineRule="auto"/>
        <w:jc w:val="center"/>
        <w:rPr>
          <w:rFonts w:eastAsiaTheme="minorEastAsia"/>
          <w:b/>
          <w:bCs/>
          <w:sz w:val="24"/>
        </w:rPr>
      </w:pPr>
      <w:r>
        <w:rPr>
          <w:rFonts w:eastAsiaTheme="minorEastAsia"/>
          <w:b/>
          <w:bCs/>
          <w:sz w:val="24"/>
        </w:rPr>
        <w:t>4.2-2湘阴县中医院</w:t>
      </w:r>
      <w:r>
        <w:rPr>
          <w:rFonts w:hint="eastAsia" w:eastAsiaTheme="minorEastAsia"/>
          <w:b/>
          <w:bCs/>
          <w:sz w:val="24"/>
        </w:rPr>
        <w:t>区域</w:t>
      </w:r>
      <w:r>
        <w:rPr>
          <w:rFonts w:eastAsiaTheme="minorEastAsia"/>
          <w:b/>
          <w:bCs/>
          <w:sz w:val="24"/>
        </w:rPr>
        <w:t>二技术指标</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48"/>
        <w:gridCol w:w="2125"/>
        <w:gridCol w:w="1350"/>
        <w:gridCol w:w="1361"/>
        <w:gridCol w:w="27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b/>
                <w:bCs/>
                <w:kern w:val="0"/>
                <w:szCs w:val="21"/>
              </w:rPr>
            </w:pPr>
            <w:r>
              <w:rPr>
                <w:b/>
                <w:bCs/>
                <w:kern w:val="0"/>
                <w:szCs w:val="21"/>
              </w:rPr>
              <w:t>项目</w:t>
            </w:r>
          </w:p>
        </w:tc>
        <w:tc>
          <w:tcPr>
            <w:tcW w:w="1350" w:type="dxa"/>
            <w:shd w:val="clear" w:color="auto" w:fill="FFFFFF"/>
            <w:vAlign w:val="center"/>
          </w:tcPr>
          <w:p>
            <w:pPr>
              <w:snapToGrid w:val="0"/>
              <w:spacing w:line="360" w:lineRule="exact"/>
              <w:jc w:val="center"/>
              <w:rPr>
                <w:b/>
                <w:bCs/>
                <w:kern w:val="0"/>
                <w:szCs w:val="21"/>
              </w:rPr>
            </w:pPr>
            <w:r>
              <w:rPr>
                <w:b/>
                <w:bCs/>
                <w:kern w:val="0"/>
                <w:szCs w:val="21"/>
              </w:rPr>
              <w:t>数量</w:t>
            </w:r>
          </w:p>
        </w:tc>
        <w:tc>
          <w:tcPr>
            <w:tcW w:w="1361" w:type="dxa"/>
            <w:shd w:val="clear" w:color="auto" w:fill="FFFFFF"/>
            <w:vAlign w:val="center"/>
          </w:tcPr>
          <w:p>
            <w:pPr>
              <w:snapToGrid w:val="0"/>
              <w:jc w:val="center"/>
              <w:rPr>
                <w:b/>
                <w:bCs/>
                <w:kern w:val="0"/>
                <w:szCs w:val="21"/>
              </w:rPr>
            </w:pPr>
            <w:r>
              <w:rPr>
                <w:b/>
                <w:bCs/>
                <w:kern w:val="0"/>
                <w:szCs w:val="21"/>
              </w:rPr>
              <w:t>单位</w:t>
            </w:r>
          </w:p>
        </w:tc>
        <w:tc>
          <w:tcPr>
            <w:tcW w:w="2705" w:type="dxa"/>
            <w:shd w:val="clear" w:color="auto" w:fill="FFFFFF"/>
            <w:vAlign w:val="center"/>
          </w:tcPr>
          <w:p>
            <w:pPr>
              <w:snapToGrid w:val="0"/>
              <w:jc w:val="center"/>
              <w:rPr>
                <w:b/>
                <w:bCs/>
                <w:kern w:val="0"/>
                <w:szCs w:val="21"/>
              </w:rPr>
            </w:pPr>
            <w:r>
              <w:rPr>
                <w:b/>
                <w:bCs/>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项目用地面积</w:t>
            </w:r>
          </w:p>
        </w:tc>
        <w:tc>
          <w:tcPr>
            <w:tcW w:w="1350" w:type="dxa"/>
            <w:shd w:val="clear" w:color="auto" w:fill="FFFFFF"/>
            <w:vAlign w:val="center"/>
          </w:tcPr>
          <w:p>
            <w:pPr>
              <w:snapToGrid w:val="0"/>
              <w:jc w:val="center"/>
              <w:rPr>
                <w:kern w:val="0"/>
                <w:szCs w:val="21"/>
              </w:rPr>
            </w:pPr>
            <w:r>
              <w:rPr>
                <w:kern w:val="0"/>
                <w:szCs w:val="21"/>
              </w:rPr>
              <w:t>18158.3</w:t>
            </w:r>
          </w:p>
        </w:tc>
        <w:tc>
          <w:tcPr>
            <w:tcW w:w="1361" w:type="dxa"/>
            <w:shd w:val="clear" w:color="auto" w:fill="FFFFFF"/>
            <w:vAlign w:val="center"/>
          </w:tcPr>
          <w:p>
            <w:pPr>
              <w:snapToGrid w:val="0"/>
              <w:jc w:val="center"/>
              <w:rPr>
                <w:kern w:val="0"/>
                <w:szCs w:val="21"/>
              </w:rPr>
            </w:pPr>
            <w:r>
              <w:rPr>
                <w:szCs w:val="21"/>
              </w:rPr>
              <w:t>平方米</w:t>
            </w: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建筑总面积</w:t>
            </w:r>
          </w:p>
        </w:tc>
        <w:tc>
          <w:tcPr>
            <w:tcW w:w="1350" w:type="dxa"/>
            <w:shd w:val="clear" w:color="auto" w:fill="FFFFFF"/>
            <w:vAlign w:val="center"/>
          </w:tcPr>
          <w:p>
            <w:pPr>
              <w:snapToGrid w:val="0"/>
              <w:jc w:val="center"/>
              <w:rPr>
                <w:kern w:val="0"/>
                <w:szCs w:val="21"/>
              </w:rPr>
            </w:pPr>
            <w:r>
              <w:rPr>
                <w:kern w:val="0"/>
                <w:szCs w:val="21"/>
              </w:rPr>
              <w:t>39775.43</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计容总面积</w:t>
            </w:r>
          </w:p>
        </w:tc>
        <w:tc>
          <w:tcPr>
            <w:tcW w:w="1350" w:type="dxa"/>
            <w:shd w:val="clear" w:color="auto" w:fill="FFFFFF"/>
            <w:vAlign w:val="center"/>
          </w:tcPr>
          <w:p>
            <w:pPr>
              <w:snapToGrid w:val="0"/>
              <w:jc w:val="center"/>
              <w:rPr>
                <w:kern w:val="0"/>
                <w:szCs w:val="21"/>
              </w:rPr>
            </w:pPr>
            <w:r>
              <w:rPr>
                <w:kern w:val="0"/>
                <w:szCs w:val="21"/>
              </w:rPr>
              <w:t>33173.29</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建筑基地面积</w:t>
            </w:r>
          </w:p>
        </w:tc>
        <w:tc>
          <w:tcPr>
            <w:tcW w:w="1350" w:type="dxa"/>
            <w:shd w:val="clear" w:color="auto" w:fill="FFFFFF"/>
            <w:vAlign w:val="center"/>
          </w:tcPr>
          <w:p>
            <w:pPr>
              <w:snapToGrid w:val="0"/>
              <w:jc w:val="center"/>
              <w:rPr>
                <w:kern w:val="0"/>
                <w:szCs w:val="21"/>
              </w:rPr>
            </w:pPr>
            <w:r>
              <w:rPr>
                <w:kern w:val="0"/>
                <w:szCs w:val="21"/>
              </w:rPr>
              <w:t>5181.3</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restart"/>
            <w:shd w:val="clear" w:color="auto" w:fill="FFFFFF"/>
            <w:vAlign w:val="center"/>
          </w:tcPr>
          <w:p>
            <w:pPr>
              <w:snapToGrid w:val="0"/>
              <w:jc w:val="center"/>
              <w:rPr>
                <w:kern w:val="0"/>
                <w:szCs w:val="21"/>
              </w:rPr>
            </w:pPr>
            <w:r>
              <w:rPr>
                <w:kern w:val="0"/>
                <w:szCs w:val="21"/>
              </w:rPr>
              <w:t>其中</w:t>
            </w:r>
          </w:p>
        </w:tc>
        <w:tc>
          <w:tcPr>
            <w:tcW w:w="2125" w:type="dxa"/>
            <w:shd w:val="clear" w:color="auto" w:fill="FFFFFF"/>
            <w:vAlign w:val="center"/>
          </w:tcPr>
          <w:p>
            <w:pPr>
              <w:snapToGrid w:val="0"/>
              <w:jc w:val="center"/>
              <w:rPr>
                <w:kern w:val="0"/>
                <w:szCs w:val="21"/>
              </w:rPr>
            </w:pPr>
            <w:r>
              <w:rPr>
                <w:kern w:val="0"/>
                <w:szCs w:val="21"/>
              </w:rPr>
              <w:t>1#门诊综合楼</w:t>
            </w:r>
          </w:p>
        </w:tc>
        <w:tc>
          <w:tcPr>
            <w:tcW w:w="1350" w:type="dxa"/>
            <w:shd w:val="clear" w:color="auto" w:fill="FFFFFF"/>
            <w:vAlign w:val="center"/>
          </w:tcPr>
          <w:p>
            <w:pPr>
              <w:snapToGrid w:val="0"/>
              <w:jc w:val="center"/>
              <w:rPr>
                <w:kern w:val="0"/>
                <w:szCs w:val="21"/>
              </w:rPr>
            </w:pPr>
            <w:r>
              <w:rPr>
                <w:kern w:val="0"/>
                <w:szCs w:val="21"/>
              </w:rPr>
              <w:t>13478.92</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2#住宿楼</w:t>
            </w:r>
          </w:p>
        </w:tc>
        <w:tc>
          <w:tcPr>
            <w:tcW w:w="1350" w:type="dxa"/>
            <w:shd w:val="clear" w:color="auto" w:fill="FFFFFF"/>
            <w:vAlign w:val="center"/>
          </w:tcPr>
          <w:p>
            <w:pPr>
              <w:snapToGrid w:val="0"/>
              <w:jc w:val="center"/>
              <w:rPr>
                <w:kern w:val="0"/>
                <w:szCs w:val="21"/>
              </w:rPr>
            </w:pPr>
            <w:r>
              <w:rPr>
                <w:kern w:val="0"/>
                <w:szCs w:val="21"/>
              </w:rPr>
              <w:t>2145.9</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3#住宿楼</w:t>
            </w:r>
          </w:p>
        </w:tc>
        <w:tc>
          <w:tcPr>
            <w:tcW w:w="1350" w:type="dxa"/>
            <w:shd w:val="clear" w:color="auto" w:fill="FFFFFF"/>
            <w:vAlign w:val="center"/>
          </w:tcPr>
          <w:p>
            <w:pPr>
              <w:snapToGrid w:val="0"/>
              <w:jc w:val="center"/>
              <w:rPr>
                <w:kern w:val="0"/>
                <w:szCs w:val="21"/>
              </w:rPr>
            </w:pPr>
            <w:r>
              <w:rPr>
                <w:kern w:val="0"/>
                <w:szCs w:val="21"/>
              </w:rPr>
              <w:t>5035.44</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4#住宿楼</w:t>
            </w:r>
          </w:p>
        </w:tc>
        <w:tc>
          <w:tcPr>
            <w:tcW w:w="1350" w:type="dxa"/>
            <w:shd w:val="clear" w:color="auto" w:fill="FFFFFF"/>
            <w:vAlign w:val="center"/>
          </w:tcPr>
          <w:p>
            <w:pPr>
              <w:snapToGrid w:val="0"/>
              <w:jc w:val="center"/>
              <w:rPr>
                <w:kern w:val="0"/>
                <w:szCs w:val="21"/>
              </w:rPr>
            </w:pPr>
            <w:r>
              <w:rPr>
                <w:kern w:val="0"/>
                <w:szCs w:val="21"/>
              </w:rPr>
              <w:t>1469.95</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ind w:hanging="12"/>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5#住宿楼</w:t>
            </w:r>
          </w:p>
        </w:tc>
        <w:tc>
          <w:tcPr>
            <w:tcW w:w="1350" w:type="dxa"/>
            <w:shd w:val="clear" w:color="auto" w:fill="FFFFFF"/>
            <w:vAlign w:val="center"/>
          </w:tcPr>
          <w:p>
            <w:pPr>
              <w:snapToGrid w:val="0"/>
              <w:jc w:val="center"/>
              <w:rPr>
                <w:kern w:val="0"/>
                <w:szCs w:val="21"/>
              </w:rPr>
            </w:pPr>
            <w:r>
              <w:rPr>
                <w:kern w:val="0"/>
                <w:szCs w:val="21"/>
              </w:rPr>
              <w:t>1441.7</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7#食堂</w:t>
            </w:r>
          </w:p>
        </w:tc>
        <w:tc>
          <w:tcPr>
            <w:tcW w:w="1350" w:type="dxa"/>
            <w:shd w:val="clear" w:color="auto" w:fill="FFFFFF"/>
            <w:vAlign w:val="center"/>
          </w:tcPr>
          <w:p>
            <w:pPr>
              <w:snapToGrid w:val="0"/>
              <w:jc w:val="center"/>
              <w:rPr>
                <w:kern w:val="0"/>
                <w:szCs w:val="21"/>
              </w:rPr>
            </w:pPr>
            <w:r>
              <w:rPr>
                <w:kern w:val="0"/>
                <w:szCs w:val="21"/>
              </w:rPr>
              <w:t>1068.33</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8#住宿楼</w:t>
            </w:r>
          </w:p>
        </w:tc>
        <w:tc>
          <w:tcPr>
            <w:tcW w:w="1350" w:type="dxa"/>
            <w:shd w:val="clear" w:color="auto" w:fill="FFFFFF"/>
            <w:vAlign w:val="center"/>
          </w:tcPr>
          <w:p>
            <w:pPr>
              <w:snapToGrid w:val="0"/>
              <w:jc w:val="center"/>
              <w:rPr>
                <w:kern w:val="0"/>
                <w:szCs w:val="21"/>
              </w:rPr>
            </w:pPr>
            <w:r>
              <w:rPr>
                <w:kern w:val="0"/>
                <w:szCs w:val="21"/>
              </w:rPr>
              <w:t>5458.32</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9#住宿楼</w:t>
            </w:r>
          </w:p>
        </w:tc>
        <w:tc>
          <w:tcPr>
            <w:tcW w:w="1350" w:type="dxa"/>
            <w:shd w:val="clear" w:color="auto" w:fill="FFFFFF"/>
            <w:vAlign w:val="center"/>
          </w:tcPr>
          <w:p>
            <w:pPr>
              <w:snapToGrid w:val="0"/>
              <w:jc w:val="center"/>
              <w:rPr>
                <w:kern w:val="0"/>
                <w:szCs w:val="21"/>
              </w:rPr>
            </w:pPr>
            <w:r>
              <w:rPr>
                <w:kern w:val="0"/>
                <w:szCs w:val="21"/>
              </w:rPr>
              <w:t>1156.38</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10#住宿楼</w:t>
            </w:r>
          </w:p>
        </w:tc>
        <w:tc>
          <w:tcPr>
            <w:tcW w:w="1350" w:type="dxa"/>
            <w:shd w:val="clear" w:color="auto" w:fill="FFFFFF"/>
            <w:vAlign w:val="center"/>
          </w:tcPr>
          <w:p>
            <w:pPr>
              <w:snapToGrid w:val="0"/>
              <w:jc w:val="center"/>
              <w:rPr>
                <w:kern w:val="0"/>
                <w:szCs w:val="21"/>
              </w:rPr>
            </w:pPr>
            <w:r>
              <w:rPr>
                <w:kern w:val="0"/>
                <w:szCs w:val="21"/>
              </w:rPr>
              <w:t>1918.35</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原有建筑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地下室面积</w:t>
            </w:r>
          </w:p>
        </w:tc>
        <w:tc>
          <w:tcPr>
            <w:tcW w:w="1350" w:type="dxa"/>
            <w:shd w:val="clear" w:color="auto" w:fill="FFFFFF"/>
            <w:vAlign w:val="center"/>
          </w:tcPr>
          <w:p>
            <w:pPr>
              <w:snapToGrid w:val="0"/>
              <w:jc w:val="center"/>
              <w:rPr>
                <w:kern w:val="0"/>
                <w:szCs w:val="21"/>
              </w:rPr>
            </w:pPr>
            <w:r>
              <w:rPr>
                <w:kern w:val="0"/>
                <w:szCs w:val="21"/>
              </w:rPr>
              <w:t>6602.14</w:t>
            </w:r>
          </w:p>
        </w:tc>
        <w:tc>
          <w:tcPr>
            <w:tcW w:w="1361" w:type="dxa"/>
            <w:shd w:val="clear" w:color="auto" w:fill="FFFFFF"/>
            <w:vAlign w:val="center"/>
          </w:tcPr>
          <w:p>
            <w:pPr>
              <w:snapToGrid w:val="0"/>
              <w:jc w:val="center"/>
              <w:rPr>
                <w:szCs w:val="21"/>
              </w:rPr>
            </w:pPr>
            <w:r>
              <w:rPr>
                <w:szCs w:val="21"/>
              </w:rPr>
              <w:t>平方米</w:t>
            </w:r>
          </w:p>
        </w:tc>
        <w:tc>
          <w:tcPr>
            <w:tcW w:w="2705" w:type="dxa"/>
            <w:shd w:val="clear" w:color="auto" w:fill="FFFFFF"/>
            <w:vAlign w:val="center"/>
          </w:tcPr>
          <w:p>
            <w:pPr>
              <w:snapToGrid w:val="0"/>
              <w:jc w:val="center"/>
              <w:rPr>
                <w:kern w:val="0"/>
                <w:szCs w:val="21"/>
              </w:rPr>
            </w:pPr>
            <w:r>
              <w:rPr>
                <w:kern w:val="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建筑密度</w:t>
            </w:r>
          </w:p>
        </w:tc>
        <w:tc>
          <w:tcPr>
            <w:tcW w:w="1350" w:type="dxa"/>
            <w:shd w:val="clear" w:color="auto" w:fill="FFFFFF"/>
            <w:vAlign w:val="center"/>
          </w:tcPr>
          <w:p>
            <w:pPr>
              <w:snapToGrid w:val="0"/>
              <w:jc w:val="center"/>
              <w:rPr>
                <w:kern w:val="0"/>
                <w:szCs w:val="21"/>
              </w:rPr>
            </w:pPr>
            <w:r>
              <w:rPr>
                <w:kern w:val="0"/>
                <w:szCs w:val="21"/>
              </w:rPr>
              <w:t>28.6</w:t>
            </w:r>
          </w:p>
        </w:tc>
        <w:tc>
          <w:tcPr>
            <w:tcW w:w="1361" w:type="dxa"/>
            <w:shd w:val="clear" w:color="auto" w:fill="FFFFFF"/>
            <w:vAlign w:val="center"/>
          </w:tcPr>
          <w:p>
            <w:pPr>
              <w:snapToGrid w:val="0"/>
              <w:jc w:val="center"/>
              <w:rPr>
                <w:szCs w:val="21"/>
              </w:rPr>
            </w:pPr>
            <w:r>
              <w:rPr>
                <w:szCs w:val="21"/>
              </w:rPr>
              <w:t>%</w:t>
            </w: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容积率</w:t>
            </w:r>
          </w:p>
        </w:tc>
        <w:tc>
          <w:tcPr>
            <w:tcW w:w="1350" w:type="dxa"/>
            <w:shd w:val="clear" w:color="auto" w:fill="FFFFFF"/>
            <w:vAlign w:val="center"/>
          </w:tcPr>
          <w:p>
            <w:pPr>
              <w:snapToGrid w:val="0"/>
              <w:jc w:val="center"/>
              <w:rPr>
                <w:kern w:val="0"/>
                <w:szCs w:val="21"/>
              </w:rPr>
            </w:pPr>
            <w:r>
              <w:rPr>
                <w:kern w:val="0"/>
                <w:szCs w:val="21"/>
              </w:rPr>
              <w:t>1.83</w:t>
            </w:r>
          </w:p>
        </w:tc>
        <w:tc>
          <w:tcPr>
            <w:tcW w:w="1361" w:type="dxa"/>
            <w:shd w:val="clear" w:color="auto" w:fill="FFFFFF"/>
            <w:vAlign w:val="center"/>
          </w:tcPr>
          <w:p>
            <w:pPr>
              <w:snapToGrid w:val="0"/>
              <w:jc w:val="center"/>
              <w:rPr>
                <w:szCs w:val="21"/>
              </w:rPr>
            </w:pP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绿化率</w:t>
            </w:r>
          </w:p>
        </w:tc>
        <w:tc>
          <w:tcPr>
            <w:tcW w:w="1350" w:type="dxa"/>
            <w:shd w:val="clear" w:color="auto" w:fill="FFFFFF"/>
            <w:vAlign w:val="center"/>
          </w:tcPr>
          <w:p>
            <w:pPr>
              <w:snapToGrid w:val="0"/>
              <w:jc w:val="center"/>
              <w:rPr>
                <w:kern w:val="0"/>
                <w:szCs w:val="21"/>
              </w:rPr>
            </w:pPr>
            <w:r>
              <w:rPr>
                <w:kern w:val="0"/>
                <w:szCs w:val="21"/>
              </w:rPr>
              <w:t>33.5</w:t>
            </w:r>
          </w:p>
        </w:tc>
        <w:tc>
          <w:tcPr>
            <w:tcW w:w="1361" w:type="dxa"/>
            <w:shd w:val="clear" w:color="auto" w:fill="FFFFFF"/>
            <w:vAlign w:val="center"/>
          </w:tcPr>
          <w:p>
            <w:pPr>
              <w:snapToGrid w:val="0"/>
              <w:jc w:val="center"/>
              <w:rPr>
                <w:szCs w:val="21"/>
              </w:rPr>
            </w:pPr>
            <w:r>
              <w:rPr>
                <w:szCs w:val="21"/>
              </w:rPr>
              <w:t>%</w:t>
            </w: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373" w:type="dxa"/>
            <w:gridSpan w:val="2"/>
            <w:shd w:val="clear" w:color="auto" w:fill="FFFFFF"/>
            <w:vAlign w:val="center"/>
          </w:tcPr>
          <w:p>
            <w:pPr>
              <w:snapToGrid w:val="0"/>
              <w:jc w:val="center"/>
              <w:rPr>
                <w:kern w:val="0"/>
                <w:szCs w:val="21"/>
              </w:rPr>
            </w:pPr>
            <w:r>
              <w:rPr>
                <w:kern w:val="0"/>
                <w:szCs w:val="21"/>
              </w:rPr>
              <w:t>总停车位</w:t>
            </w:r>
          </w:p>
        </w:tc>
        <w:tc>
          <w:tcPr>
            <w:tcW w:w="1350" w:type="dxa"/>
            <w:shd w:val="clear" w:color="auto" w:fill="FFFFFF"/>
            <w:vAlign w:val="center"/>
          </w:tcPr>
          <w:p>
            <w:pPr>
              <w:snapToGrid w:val="0"/>
              <w:jc w:val="center"/>
              <w:rPr>
                <w:kern w:val="0"/>
                <w:szCs w:val="21"/>
              </w:rPr>
            </w:pPr>
            <w:r>
              <w:rPr>
                <w:kern w:val="0"/>
                <w:szCs w:val="21"/>
              </w:rPr>
              <w:t>117</w:t>
            </w:r>
          </w:p>
        </w:tc>
        <w:tc>
          <w:tcPr>
            <w:tcW w:w="1361" w:type="dxa"/>
            <w:shd w:val="clear" w:color="auto" w:fill="FFFFFF"/>
            <w:vAlign w:val="center"/>
          </w:tcPr>
          <w:p>
            <w:pPr>
              <w:snapToGrid w:val="0"/>
              <w:jc w:val="center"/>
              <w:rPr>
                <w:szCs w:val="21"/>
              </w:rPr>
            </w:pPr>
            <w:r>
              <w:rPr>
                <w:szCs w:val="21"/>
              </w:rPr>
              <w:t>个</w:t>
            </w:r>
          </w:p>
        </w:tc>
        <w:tc>
          <w:tcPr>
            <w:tcW w:w="2705" w:type="dxa"/>
            <w:shd w:val="clear" w:color="auto" w:fill="FFFFFF"/>
            <w:vAlign w:val="center"/>
          </w:tcPr>
          <w:p>
            <w:pPr>
              <w:snapToGrid w:val="0"/>
              <w:jc w:val="center"/>
              <w:rPr>
                <w:kern w:val="0"/>
                <w:szCs w:val="21"/>
              </w:rPr>
            </w:pPr>
            <w:r>
              <w:rPr>
                <w:rFonts w:hint="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restart"/>
            <w:shd w:val="clear" w:color="auto" w:fill="FFFFFF"/>
            <w:vAlign w:val="center"/>
          </w:tcPr>
          <w:p>
            <w:pPr>
              <w:snapToGrid w:val="0"/>
              <w:jc w:val="center"/>
              <w:rPr>
                <w:kern w:val="0"/>
                <w:szCs w:val="21"/>
              </w:rPr>
            </w:pPr>
            <w:r>
              <w:rPr>
                <w:kern w:val="0"/>
                <w:szCs w:val="21"/>
              </w:rPr>
              <w:t>其中</w:t>
            </w:r>
          </w:p>
        </w:tc>
        <w:tc>
          <w:tcPr>
            <w:tcW w:w="2125" w:type="dxa"/>
            <w:shd w:val="clear" w:color="auto" w:fill="FFFFFF"/>
            <w:vAlign w:val="center"/>
          </w:tcPr>
          <w:p>
            <w:pPr>
              <w:snapToGrid w:val="0"/>
              <w:jc w:val="center"/>
              <w:rPr>
                <w:kern w:val="0"/>
                <w:szCs w:val="21"/>
              </w:rPr>
            </w:pPr>
            <w:r>
              <w:rPr>
                <w:kern w:val="0"/>
                <w:szCs w:val="21"/>
              </w:rPr>
              <w:t>地上</w:t>
            </w:r>
          </w:p>
        </w:tc>
        <w:tc>
          <w:tcPr>
            <w:tcW w:w="1350" w:type="dxa"/>
            <w:shd w:val="clear" w:color="auto" w:fill="FFFFFF"/>
            <w:vAlign w:val="center"/>
          </w:tcPr>
          <w:p>
            <w:pPr>
              <w:snapToGrid w:val="0"/>
              <w:jc w:val="center"/>
              <w:rPr>
                <w:kern w:val="0"/>
                <w:szCs w:val="21"/>
              </w:rPr>
            </w:pPr>
            <w:r>
              <w:rPr>
                <w:kern w:val="0"/>
                <w:szCs w:val="21"/>
              </w:rPr>
              <w:t>17</w:t>
            </w:r>
          </w:p>
        </w:tc>
        <w:tc>
          <w:tcPr>
            <w:tcW w:w="1361" w:type="dxa"/>
            <w:shd w:val="clear" w:color="auto" w:fill="FFFFFF"/>
            <w:vAlign w:val="center"/>
          </w:tcPr>
          <w:p>
            <w:pPr>
              <w:snapToGrid w:val="0"/>
              <w:jc w:val="center"/>
              <w:rPr>
                <w:szCs w:val="21"/>
              </w:rPr>
            </w:pPr>
            <w:r>
              <w:rPr>
                <w:szCs w:val="21"/>
              </w:rPr>
              <w:t>个</w:t>
            </w:r>
          </w:p>
        </w:tc>
        <w:tc>
          <w:tcPr>
            <w:tcW w:w="2705" w:type="dxa"/>
            <w:shd w:val="clear" w:color="auto" w:fill="FFFFFF"/>
            <w:vAlign w:val="center"/>
          </w:tcPr>
          <w:p>
            <w:pPr>
              <w:snapToGrid w:val="0"/>
              <w:spacing w:line="334" w:lineRule="exact"/>
              <w:jc w:val="center"/>
              <w:rPr>
                <w:kern w:val="0"/>
                <w:szCs w:val="21"/>
              </w:rPr>
            </w:pPr>
            <w:r>
              <w:rPr>
                <w:kern w:val="0"/>
                <w:szCs w:val="21"/>
              </w:rPr>
              <w:t>其中医院部17个停车 位（含5个救护车 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8" w:type="dxa"/>
            <w:vMerge w:val="continue"/>
            <w:shd w:val="clear" w:color="auto" w:fill="FFFFFF"/>
            <w:vAlign w:val="center"/>
          </w:tcPr>
          <w:p>
            <w:pPr>
              <w:snapToGrid w:val="0"/>
              <w:jc w:val="center"/>
              <w:rPr>
                <w:kern w:val="0"/>
                <w:szCs w:val="21"/>
              </w:rPr>
            </w:pPr>
          </w:p>
        </w:tc>
        <w:tc>
          <w:tcPr>
            <w:tcW w:w="2125" w:type="dxa"/>
            <w:shd w:val="clear" w:color="auto" w:fill="FFFFFF"/>
            <w:vAlign w:val="center"/>
          </w:tcPr>
          <w:p>
            <w:pPr>
              <w:snapToGrid w:val="0"/>
              <w:jc w:val="center"/>
              <w:rPr>
                <w:kern w:val="0"/>
                <w:szCs w:val="21"/>
              </w:rPr>
            </w:pPr>
            <w:r>
              <w:rPr>
                <w:kern w:val="0"/>
                <w:szCs w:val="21"/>
              </w:rPr>
              <w:t>地下</w:t>
            </w:r>
          </w:p>
        </w:tc>
        <w:tc>
          <w:tcPr>
            <w:tcW w:w="1350" w:type="dxa"/>
            <w:shd w:val="clear" w:color="auto" w:fill="FFFFFF"/>
            <w:vAlign w:val="center"/>
          </w:tcPr>
          <w:p>
            <w:pPr>
              <w:snapToGrid w:val="0"/>
              <w:jc w:val="center"/>
              <w:rPr>
                <w:kern w:val="0"/>
                <w:szCs w:val="21"/>
              </w:rPr>
            </w:pPr>
            <w:r>
              <w:rPr>
                <w:kern w:val="0"/>
                <w:szCs w:val="21"/>
              </w:rPr>
              <w:t>100</w:t>
            </w:r>
          </w:p>
        </w:tc>
        <w:tc>
          <w:tcPr>
            <w:tcW w:w="1361" w:type="dxa"/>
            <w:shd w:val="clear" w:color="auto" w:fill="FFFFFF"/>
            <w:vAlign w:val="center"/>
          </w:tcPr>
          <w:p>
            <w:pPr>
              <w:snapToGrid w:val="0"/>
              <w:jc w:val="center"/>
              <w:rPr>
                <w:szCs w:val="21"/>
              </w:rPr>
            </w:pPr>
            <w:r>
              <w:rPr>
                <w:szCs w:val="21"/>
              </w:rPr>
              <w:t>个</w:t>
            </w:r>
          </w:p>
        </w:tc>
        <w:tc>
          <w:tcPr>
            <w:tcW w:w="2705" w:type="dxa"/>
            <w:shd w:val="clear" w:color="auto" w:fill="FFFFFF"/>
            <w:vAlign w:val="center"/>
          </w:tcPr>
          <w:p>
            <w:pPr>
              <w:snapToGrid w:val="0"/>
              <w:jc w:val="center"/>
              <w:rPr>
                <w:kern w:val="0"/>
                <w:szCs w:val="21"/>
              </w:rPr>
            </w:pPr>
            <w:r>
              <w:rPr>
                <w:rFonts w:hint="eastAsia"/>
                <w:kern w:val="0"/>
                <w:szCs w:val="21"/>
              </w:rPr>
              <w:t>/</w:t>
            </w:r>
          </w:p>
        </w:tc>
      </w:tr>
    </w:tbl>
    <w:p>
      <w:pPr>
        <w:widowControl/>
        <w:shd w:val="clear" w:color="auto" w:fill="FFFFFF"/>
        <w:snapToGrid w:val="0"/>
        <w:spacing w:line="360" w:lineRule="auto"/>
        <w:jc w:val="center"/>
        <w:rPr>
          <w:rFonts w:eastAsiaTheme="minorEastAsia"/>
          <w:b/>
          <w:bCs/>
          <w:sz w:val="24"/>
        </w:rPr>
      </w:pPr>
      <w:r>
        <w:rPr>
          <w:rFonts w:eastAsiaTheme="minorEastAsia"/>
          <w:b/>
          <w:bCs/>
          <w:sz w:val="24"/>
        </w:rPr>
        <w:t>4.2-3湘阴县中医院</w:t>
      </w:r>
      <w:r>
        <w:rPr>
          <w:rFonts w:hint="eastAsia" w:eastAsiaTheme="minorEastAsia"/>
          <w:b/>
          <w:bCs/>
          <w:sz w:val="24"/>
        </w:rPr>
        <w:t>区域</w:t>
      </w:r>
      <w:r>
        <w:rPr>
          <w:rFonts w:eastAsiaTheme="minorEastAsia"/>
          <w:b/>
          <w:bCs/>
          <w:sz w:val="24"/>
        </w:rPr>
        <w:t>三技术指标</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400"/>
        <w:gridCol w:w="1353"/>
        <w:gridCol w:w="1380"/>
        <w:gridCol w:w="26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b/>
                <w:bCs/>
                <w:kern w:val="0"/>
                <w:szCs w:val="21"/>
              </w:rPr>
            </w:pPr>
            <w:r>
              <w:rPr>
                <w:b/>
                <w:bCs/>
                <w:kern w:val="0"/>
                <w:szCs w:val="21"/>
              </w:rPr>
              <w:t>项目</w:t>
            </w:r>
          </w:p>
        </w:tc>
        <w:tc>
          <w:tcPr>
            <w:tcW w:w="1238" w:type="dxa"/>
            <w:shd w:val="clear" w:color="auto" w:fill="FFFFFF"/>
            <w:vAlign w:val="center"/>
          </w:tcPr>
          <w:p>
            <w:pPr>
              <w:snapToGrid w:val="0"/>
              <w:spacing w:line="367" w:lineRule="exact"/>
              <w:jc w:val="center"/>
              <w:rPr>
                <w:b/>
                <w:bCs/>
                <w:kern w:val="0"/>
                <w:szCs w:val="21"/>
              </w:rPr>
            </w:pPr>
            <w:r>
              <w:rPr>
                <w:b/>
                <w:bCs/>
                <w:kern w:val="0"/>
                <w:szCs w:val="21"/>
              </w:rPr>
              <w:t>数量</w:t>
            </w:r>
          </w:p>
        </w:tc>
        <w:tc>
          <w:tcPr>
            <w:tcW w:w="1262" w:type="dxa"/>
            <w:shd w:val="clear" w:color="auto" w:fill="FFFFFF"/>
            <w:vAlign w:val="center"/>
          </w:tcPr>
          <w:p>
            <w:pPr>
              <w:snapToGrid w:val="0"/>
              <w:jc w:val="center"/>
              <w:rPr>
                <w:b/>
                <w:bCs/>
                <w:kern w:val="0"/>
                <w:szCs w:val="21"/>
              </w:rPr>
            </w:pPr>
            <w:r>
              <w:rPr>
                <w:b/>
                <w:bCs/>
                <w:kern w:val="0"/>
                <w:szCs w:val="21"/>
              </w:rPr>
              <w:t>单位</w:t>
            </w:r>
          </w:p>
        </w:tc>
        <w:tc>
          <w:tcPr>
            <w:tcW w:w="2429" w:type="dxa"/>
            <w:shd w:val="clear" w:color="auto" w:fill="FFFFFF"/>
            <w:vAlign w:val="center"/>
          </w:tcPr>
          <w:p>
            <w:pPr>
              <w:snapToGrid w:val="0"/>
              <w:jc w:val="center"/>
              <w:rPr>
                <w:b/>
                <w:bCs/>
                <w:kern w:val="0"/>
                <w:szCs w:val="21"/>
              </w:rPr>
            </w:pPr>
            <w:r>
              <w:rPr>
                <w:b/>
                <w:bCs/>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项目用地面积</w:t>
            </w:r>
          </w:p>
        </w:tc>
        <w:tc>
          <w:tcPr>
            <w:tcW w:w="1238" w:type="dxa"/>
            <w:shd w:val="clear" w:color="auto" w:fill="FFFFFF"/>
            <w:vAlign w:val="center"/>
          </w:tcPr>
          <w:p>
            <w:pPr>
              <w:snapToGrid w:val="0"/>
              <w:jc w:val="center"/>
              <w:rPr>
                <w:kern w:val="0"/>
                <w:szCs w:val="21"/>
              </w:rPr>
            </w:pPr>
            <w:r>
              <w:rPr>
                <w:kern w:val="0"/>
                <w:szCs w:val="21"/>
              </w:rPr>
              <w:t>1850.69</w:t>
            </w:r>
          </w:p>
        </w:tc>
        <w:tc>
          <w:tcPr>
            <w:tcW w:w="1262" w:type="dxa"/>
            <w:shd w:val="clear" w:color="auto" w:fill="FFFFFF"/>
            <w:vAlign w:val="center"/>
          </w:tcPr>
          <w:p>
            <w:pPr>
              <w:snapToGrid w:val="0"/>
              <w:jc w:val="center"/>
              <w:rPr>
                <w:kern w:val="0"/>
                <w:szCs w:val="21"/>
              </w:rPr>
            </w:pPr>
            <w:r>
              <w:rPr>
                <w:szCs w:val="21"/>
              </w:rPr>
              <w:t>平方米</w:t>
            </w:r>
          </w:p>
        </w:tc>
        <w:tc>
          <w:tcPr>
            <w:tcW w:w="2429" w:type="dxa"/>
            <w:shd w:val="clear" w:color="auto" w:fill="FFFFFF"/>
            <w:vAlign w:val="center"/>
          </w:tcPr>
          <w:p>
            <w:pPr>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建筑总面积</w:t>
            </w:r>
          </w:p>
        </w:tc>
        <w:tc>
          <w:tcPr>
            <w:tcW w:w="1238" w:type="dxa"/>
            <w:shd w:val="clear" w:color="auto" w:fill="FFFFFF"/>
            <w:vAlign w:val="center"/>
          </w:tcPr>
          <w:p>
            <w:pPr>
              <w:snapToGrid w:val="0"/>
              <w:jc w:val="center"/>
              <w:rPr>
                <w:kern w:val="0"/>
                <w:szCs w:val="21"/>
              </w:rPr>
            </w:pPr>
            <w:r>
              <w:rPr>
                <w:kern w:val="0"/>
                <w:szCs w:val="21"/>
              </w:rPr>
              <w:t>1760</w:t>
            </w:r>
          </w:p>
        </w:tc>
        <w:tc>
          <w:tcPr>
            <w:tcW w:w="1262" w:type="dxa"/>
            <w:shd w:val="clear" w:color="auto" w:fill="FFFFFF"/>
            <w:vAlign w:val="center"/>
          </w:tcPr>
          <w:p>
            <w:pPr>
              <w:snapToGrid w:val="0"/>
              <w:jc w:val="center"/>
              <w:rPr>
                <w:kern w:val="0"/>
                <w:szCs w:val="21"/>
              </w:rPr>
            </w:pPr>
            <w:r>
              <w:rPr>
                <w:szCs w:val="21"/>
              </w:rPr>
              <w:t>平方米</w:t>
            </w:r>
          </w:p>
        </w:tc>
        <w:tc>
          <w:tcPr>
            <w:tcW w:w="2429" w:type="dxa"/>
            <w:shd w:val="clear" w:color="auto" w:fill="FFFFFF"/>
            <w:vAlign w:val="center"/>
          </w:tcPr>
          <w:p>
            <w:pPr>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计容总面积</w:t>
            </w:r>
          </w:p>
        </w:tc>
        <w:tc>
          <w:tcPr>
            <w:tcW w:w="1238" w:type="dxa"/>
            <w:shd w:val="clear" w:color="auto" w:fill="FFFFFF"/>
            <w:vAlign w:val="center"/>
          </w:tcPr>
          <w:p>
            <w:pPr>
              <w:snapToGrid w:val="0"/>
              <w:jc w:val="center"/>
              <w:rPr>
                <w:kern w:val="0"/>
                <w:szCs w:val="21"/>
              </w:rPr>
            </w:pPr>
            <w:r>
              <w:rPr>
                <w:kern w:val="0"/>
                <w:szCs w:val="21"/>
              </w:rPr>
              <w:t>1760</w:t>
            </w:r>
          </w:p>
        </w:tc>
        <w:tc>
          <w:tcPr>
            <w:tcW w:w="1262" w:type="dxa"/>
            <w:shd w:val="clear" w:color="auto" w:fill="FFFFFF"/>
            <w:vAlign w:val="center"/>
          </w:tcPr>
          <w:p>
            <w:pPr>
              <w:snapToGrid w:val="0"/>
              <w:jc w:val="center"/>
              <w:rPr>
                <w:kern w:val="0"/>
                <w:szCs w:val="21"/>
              </w:rPr>
            </w:pPr>
            <w:r>
              <w:rPr>
                <w:szCs w:val="21"/>
              </w:rPr>
              <w:t>平方米</w:t>
            </w:r>
          </w:p>
        </w:tc>
        <w:tc>
          <w:tcPr>
            <w:tcW w:w="2429" w:type="dxa"/>
            <w:shd w:val="clear" w:color="auto" w:fill="FFFFFF"/>
            <w:vAlign w:val="center"/>
          </w:tcPr>
          <w:p>
            <w:pPr>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建筑基地面积</w:t>
            </w:r>
          </w:p>
        </w:tc>
        <w:tc>
          <w:tcPr>
            <w:tcW w:w="1238" w:type="dxa"/>
            <w:shd w:val="clear" w:color="auto" w:fill="FFFFFF"/>
            <w:vAlign w:val="center"/>
          </w:tcPr>
          <w:p>
            <w:pPr>
              <w:snapToGrid w:val="0"/>
              <w:jc w:val="center"/>
              <w:rPr>
                <w:kern w:val="0"/>
                <w:szCs w:val="21"/>
              </w:rPr>
            </w:pPr>
            <w:r>
              <w:rPr>
                <w:kern w:val="0"/>
                <w:szCs w:val="21"/>
              </w:rPr>
              <w:t>440</w:t>
            </w:r>
          </w:p>
        </w:tc>
        <w:tc>
          <w:tcPr>
            <w:tcW w:w="1262" w:type="dxa"/>
            <w:shd w:val="clear" w:color="auto" w:fill="FFFFFF"/>
            <w:vAlign w:val="center"/>
          </w:tcPr>
          <w:p>
            <w:pPr>
              <w:snapToGrid w:val="0"/>
              <w:jc w:val="center"/>
              <w:rPr>
                <w:kern w:val="0"/>
                <w:szCs w:val="21"/>
              </w:rPr>
            </w:pPr>
            <w:r>
              <w:rPr>
                <w:szCs w:val="21"/>
              </w:rPr>
              <w:t>平方米</w:t>
            </w:r>
          </w:p>
        </w:tc>
        <w:tc>
          <w:tcPr>
            <w:tcW w:w="2429" w:type="dxa"/>
            <w:shd w:val="clear" w:color="auto" w:fill="FFFFFF"/>
            <w:vAlign w:val="center"/>
          </w:tcPr>
          <w:p>
            <w:pPr>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2号立体车库</w:t>
            </w:r>
          </w:p>
        </w:tc>
        <w:tc>
          <w:tcPr>
            <w:tcW w:w="1238" w:type="dxa"/>
            <w:shd w:val="clear" w:color="auto" w:fill="FFFFFF"/>
            <w:vAlign w:val="center"/>
          </w:tcPr>
          <w:p>
            <w:pPr>
              <w:snapToGrid w:val="0"/>
              <w:jc w:val="center"/>
              <w:rPr>
                <w:kern w:val="0"/>
                <w:szCs w:val="21"/>
              </w:rPr>
            </w:pPr>
            <w:r>
              <w:rPr>
                <w:kern w:val="0"/>
                <w:szCs w:val="21"/>
              </w:rPr>
              <w:t>1760</w:t>
            </w:r>
          </w:p>
        </w:tc>
        <w:tc>
          <w:tcPr>
            <w:tcW w:w="1262" w:type="dxa"/>
            <w:shd w:val="clear" w:color="auto" w:fill="FFFFFF"/>
            <w:vAlign w:val="center"/>
          </w:tcPr>
          <w:p>
            <w:pPr>
              <w:snapToGrid w:val="0"/>
              <w:jc w:val="center"/>
              <w:rPr>
                <w:kern w:val="0"/>
                <w:szCs w:val="21"/>
              </w:rPr>
            </w:pPr>
            <w:r>
              <w:rPr>
                <w:szCs w:val="21"/>
              </w:rPr>
              <w:t>平方米</w:t>
            </w:r>
          </w:p>
        </w:tc>
        <w:tc>
          <w:tcPr>
            <w:tcW w:w="2429" w:type="dxa"/>
            <w:shd w:val="clear" w:color="auto" w:fill="FFFFFF"/>
            <w:vAlign w:val="center"/>
          </w:tcPr>
          <w:p>
            <w:pPr>
              <w:snapToGrid w:val="0"/>
              <w:jc w:val="center"/>
              <w:rPr>
                <w:kern w:val="0"/>
                <w:szCs w:val="21"/>
              </w:rPr>
            </w:pPr>
            <w:r>
              <w:rPr>
                <w:kern w:val="0"/>
                <w:szCs w:val="21"/>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建筑密度</w:t>
            </w:r>
          </w:p>
        </w:tc>
        <w:tc>
          <w:tcPr>
            <w:tcW w:w="1238" w:type="dxa"/>
            <w:shd w:val="clear" w:color="auto" w:fill="FFFFFF"/>
            <w:vAlign w:val="center"/>
          </w:tcPr>
          <w:p>
            <w:pPr>
              <w:snapToGrid w:val="0"/>
              <w:jc w:val="center"/>
              <w:rPr>
                <w:kern w:val="0"/>
                <w:szCs w:val="21"/>
              </w:rPr>
            </w:pPr>
            <w:r>
              <w:rPr>
                <w:kern w:val="0"/>
                <w:szCs w:val="21"/>
              </w:rPr>
              <w:t>23.8</w:t>
            </w:r>
          </w:p>
        </w:tc>
        <w:tc>
          <w:tcPr>
            <w:tcW w:w="1262" w:type="dxa"/>
            <w:shd w:val="clear" w:color="auto" w:fill="FFFFFF"/>
            <w:vAlign w:val="center"/>
          </w:tcPr>
          <w:p>
            <w:pPr>
              <w:snapToGrid w:val="0"/>
              <w:jc w:val="center"/>
              <w:rPr>
                <w:kern w:val="0"/>
                <w:szCs w:val="21"/>
              </w:rPr>
            </w:pPr>
            <w:r>
              <w:rPr>
                <w:kern w:val="0"/>
                <w:szCs w:val="21"/>
              </w:rPr>
              <w:t>%</w:t>
            </w:r>
          </w:p>
        </w:tc>
        <w:tc>
          <w:tcPr>
            <w:tcW w:w="2429" w:type="dxa"/>
            <w:shd w:val="clear" w:color="auto" w:fill="FFFFFF"/>
            <w:vAlign w:val="center"/>
          </w:tcPr>
          <w:p>
            <w:pPr>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容积率</w:t>
            </w:r>
          </w:p>
        </w:tc>
        <w:tc>
          <w:tcPr>
            <w:tcW w:w="1238" w:type="dxa"/>
            <w:shd w:val="clear" w:color="auto" w:fill="FFFFFF"/>
            <w:vAlign w:val="center"/>
          </w:tcPr>
          <w:p>
            <w:pPr>
              <w:snapToGrid w:val="0"/>
              <w:jc w:val="center"/>
              <w:rPr>
                <w:kern w:val="0"/>
                <w:szCs w:val="21"/>
              </w:rPr>
            </w:pPr>
            <w:r>
              <w:rPr>
                <w:kern w:val="0"/>
                <w:szCs w:val="21"/>
              </w:rPr>
              <w:t>0.95</w:t>
            </w:r>
          </w:p>
        </w:tc>
        <w:tc>
          <w:tcPr>
            <w:tcW w:w="1262" w:type="dxa"/>
            <w:shd w:val="clear" w:color="auto" w:fill="FFFFFF"/>
            <w:vAlign w:val="center"/>
          </w:tcPr>
          <w:p>
            <w:pPr>
              <w:snapToGrid w:val="0"/>
              <w:jc w:val="center"/>
              <w:rPr>
                <w:kern w:val="0"/>
                <w:szCs w:val="21"/>
              </w:rPr>
            </w:pPr>
          </w:p>
        </w:tc>
        <w:tc>
          <w:tcPr>
            <w:tcW w:w="2429" w:type="dxa"/>
            <w:shd w:val="clear" w:color="auto" w:fill="FFFFFF"/>
            <w:vAlign w:val="center"/>
          </w:tcPr>
          <w:p>
            <w:pPr>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绿化率</w:t>
            </w:r>
          </w:p>
        </w:tc>
        <w:tc>
          <w:tcPr>
            <w:tcW w:w="1238" w:type="dxa"/>
            <w:shd w:val="clear" w:color="auto" w:fill="FFFFFF"/>
            <w:vAlign w:val="center"/>
          </w:tcPr>
          <w:p>
            <w:pPr>
              <w:snapToGrid w:val="0"/>
              <w:jc w:val="center"/>
              <w:rPr>
                <w:kern w:val="0"/>
                <w:szCs w:val="21"/>
              </w:rPr>
            </w:pPr>
            <w:r>
              <w:rPr>
                <w:kern w:val="0"/>
                <w:szCs w:val="21"/>
              </w:rPr>
              <w:t>8</w:t>
            </w:r>
          </w:p>
        </w:tc>
        <w:tc>
          <w:tcPr>
            <w:tcW w:w="1262" w:type="dxa"/>
            <w:shd w:val="clear" w:color="auto" w:fill="FFFFFF"/>
            <w:vAlign w:val="center"/>
          </w:tcPr>
          <w:p>
            <w:pPr>
              <w:snapToGrid w:val="0"/>
              <w:jc w:val="center"/>
              <w:rPr>
                <w:kern w:val="0"/>
                <w:szCs w:val="21"/>
              </w:rPr>
            </w:pPr>
            <w:r>
              <w:rPr>
                <w:kern w:val="0"/>
                <w:szCs w:val="21"/>
              </w:rPr>
              <w:t>%</w:t>
            </w:r>
          </w:p>
        </w:tc>
        <w:tc>
          <w:tcPr>
            <w:tcW w:w="2429" w:type="dxa"/>
            <w:shd w:val="clear" w:color="auto" w:fill="FFFFFF"/>
            <w:vAlign w:val="center"/>
          </w:tcPr>
          <w:p>
            <w:pPr>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3110" w:type="dxa"/>
            <w:shd w:val="clear" w:color="auto" w:fill="FFFFFF"/>
            <w:vAlign w:val="center"/>
          </w:tcPr>
          <w:p>
            <w:pPr>
              <w:snapToGrid w:val="0"/>
              <w:jc w:val="center"/>
              <w:rPr>
                <w:kern w:val="0"/>
                <w:szCs w:val="21"/>
              </w:rPr>
            </w:pPr>
            <w:r>
              <w:rPr>
                <w:kern w:val="0"/>
                <w:szCs w:val="21"/>
              </w:rPr>
              <w:t>总停车位</w:t>
            </w:r>
          </w:p>
        </w:tc>
        <w:tc>
          <w:tcPr>
            <w:tcW w:w="1238" w:type="dxa"/>
            <w:shd w:val="clear" w:color="auto" w:fill="FFFFFF"/>
            <w:vAlign w:val="center"/>
          </w:tcPr>
          <w:p>
            <w:pPr>
              <w:snapToGrid w:val="0"/>
              <w:jc w:val="center"/>
              <w:rPr>
                <w:kern w:val="0"/>
                <w:szCs w:val="21"/>
              </w:rPr>
            </w:pPr>
            <w:r>
              <w:rPr>
                <w:kern w:val="0"/>
                <w:szCs w:val="21"/>
              </w:rPr>
              <w:t>122</w:t>
            </w:r>
          </w:p>
        </w:tc>
        <w:tc>
          <w:tcPr>
            <w:tcW w:w="1262" w:type="dxa"/>
            <w:shd w:val="clear" w:color="auto" w:fill="FFFFFF"/>
            <w:vAlign w:val="center"/>
          </w:tcPr>
          <w:p>
            <w:pPr>
              <w:snapToGrid w:val="0"/>
              <w:jc w:val="center"/>
              <w:rPr>
                <w:kern w:val="0"/>
                <w:szCs w:val="21"/>
              </w:rPr>
            </w:pPr>
            <w:r>
              <w:rPr>
                <w:kern w:val="0"/>
                <w:szCs w:val="21"/>
              </w:rPr>
              <w:t>个</w:t>
            </w:r>
          </w:p>
        </w:tc>
        <w:tc>
          <w:tcPr>
            <w:tcW w:w="2429" w:type="dxa"/>
            <w:shd w:val="clear" w:color="auto" w:fill="FFFFFF"/>
            <w:vAlign w:val="center"/>
          </w:tcPr>
          <w:p>
            <w:pPr>
              <w:snapToGrid w:val="0"/>
              <w:jc w:val="center"/>
              <w:rPr>
                <w:kern w:val="0"/>
                <w:szCs w:val="21"/>
              </w:rPr>
            </w:pPr>
          </w:p>
        </w:tc>
      </w:tr>
    </w:tbl>
    <w:p>
      <w:pPr>
        <w:pStyle w:val="4"/>
        <w:snapToGrid w:val="0"/>
        <w:spacing w:before="0" w:after="0" w:line="360" w:lineRule="auto"/>
        <w:rPr>
          <w:rFonts w:eastAsiaTheme="minorEastAsia"/>
          <w:kern w:val="0"/>
          <w:sz w:val="24"/>
        </w:rPr>
      </w:pPr>
      <w:r>
        <w:rPr>
          <w:rFonts w:eastAsiaTheme="minorEastAsia"/>
          <w:kern w:val="0"/>
          <w:sz w:val="24"/>
        </w:rPr>
        <w:t>4.2.2</w:t>
      </w:r>
      <w:r>
        <w:rPr>
          <w:rFonts w:eastAsiaTheme="minorEastAsia"/>
          <w:kern w:val="0"/>
          <w:sz w:val="24"/>
        </w:rPr>
        <w:tab/>
      </w:r>
      <w:r>
        <w:rPr>
          <w:rFonts w:eastAsiaTheme="minorEastAsia"/>
          <w:kern w:val="0"/>
          <w:sz w:val="24"/>
        </w:rPr>
        <w:t>建筑内交通组织</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1、入口分布及流线组织</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门诊、急诊、住院设置相应的人行广场，避免进出车流交叉；进入院区车辆可利用地下车库出入口车道进入地下车库停车、通过落客区进入地下电梯厅，通过电梯到达相应楼层。</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2、竖向交通设施</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门诊综合楼：设置18部自动扶梯、14台电梯，医护人员和工作人员、物流电梯分开设置。</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住院部楼：设置21部电梯，其中病患电梯12台，医护人员电梯4台，污物电梯2台，送餐电梯2台，物流电梯1台。</w:t>
      </w:r>
    </w:p>
    <w:p>
      <w:pPr>
        <w:pStyle w:val="3"/>
        <w:snapToGrid w:val="0"/>
        <w:spacing w:before="0" w:after="0" w:line="360" w:lineRule="auto"/>
        <w:rPr>
          <w:rFonts w:ascii="Times New Roman" w:hAnsi="Times New Roman" w:eastAsiaTheme="minorEastAsia"/>
          <w:sz w:val="28"/>
          <w:lang w:val="zh-CN"/>
        </w:rPr>
      </w:pPr>
      <w:bookmarkStart w:id="84" w:name="_Toc61026599"/>
      <w:r>
        <w:rPr>
          <w:rFonts w:ascii="Times New Roman" w:hAnsi="Times New Roman" w:eastAsiaTheme="minorEastAsia"/>
          <w:sz w:val="28"/>
          <w:lang w:val="zh-CN"/>
        </w:rPr>
        <w:t>4.3 公用工程</w:t>
      </w:r>
      <w:bookmarkEnd w:id="84"/>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本项目位于先锋路北侧</w:t>
      </w:r>
      <w:r>
        <w:rPr>
          <w:rFonts w:hint="eastAsia" w:eastAsiaTheme="minorEastAsia"/>
          <w:sz w:val="24"/>
        </w:rPr>
        <w:t>和西侧</w:t>
      </w:r>
      <w:r>
        <w:rPr>
          <w:rFonts w:eastAsiaTheme="minorEastAsia"/>
          <w:sz w:val="24"/>
        </w:rPr>
        <w:t>，先锋路为城市主干道，已有完善的市政管网，且周边均为规划道路，预计与医院同步建设完成，周边道路均将随路铺设完备的给排水、电力、燃气、通讯等市政管线，可满足本项目的需要。</w:t>
      </w:r>
    </w:p>
    <w:p>
      <w:pPr>
        <w:pStyle w:val="4"/>
        <w:snapToGrid w:val="0"/>
        <w:spacing w:before="0" w:after="0" w:line="360" w:lineRule="auto"/>
        <w:rPr>
          <w:rFonts w:eastAsiaTheme="minorEastAsia"/>
          <w:kern w:val="0"/>
          <w:sz w:val="24"/>
        </w:rPr>
      </w:pPr>
      <w:r>
        <w:rPr>
          <w:rFonts w:eastAsiaTheme="minorEastAsia"/>
          <w:kern w:val="0"/>
          <w:sz w:val="24"/>
        </w:rPr>
        <w:t>4.3.1 给水工程</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（1）水源</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工程供水接自市政给水干管。本设计拟沿先锋路市政给水干管引入一根DN500给水管，在室外连成环状，主干管采用钢塑复合管，室内给水管材采用给水PPR管明装，热熔粘接。地下室设置一个消防水池和消防水泵房，消防水池总有效容积为688m</w:t>
      </w:r>
      <w:r>
        <w:rPr>
          <w:rFonts w:eastAsiaTheme="minorEastAsia"/>
          <w:sz w:val="24"/>
          <w:vertAlign w:val="superscript"/>
        </w:rPr>
        <w:t>3</w:t>
      </w:r>
      <w:r>
        <w:rPr>
          <w:rFonts w:eastAsiaTheme="minorEastAsia"/>
          <w:sz w:val="24"/>
        </w:rPr>
        <w:t>。</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（2）用水量</w:t>
      </w:r>
    </w:p>
    <w:p>
      <w:pPr>
        <w:widowControl/>
        <w:shd w:val="clear" w:color="auto" w:fill="FFFFFF"/>
        <w:snapToGrid w:val="0"/>
        <w:spacing w:line="360" w:lineRule="auto"/>
        <w:ind w:firstLine="480" w:firstLineChars="200"/>
        <w:rPr>
          <w:rFonts w:eastAsiaTheme="minorEastAsia"/>
          <w:sz w:val="24"/>
          <w:u w:val="single"/>
        </w:rPr>
      </w:pPr>
      <w:r>
        <w:rPr>
          <w:rFonts w:eastAsiaTheme="minorEastAsia"/>
          <w:sz w:val="24"/>
          <w:u w:val="single"/>
        </w:rPr>
        <w:t>参考《湖南省用水定额》（DB43T388-2020）以及《建筑给排水设计规范2009版》中相关标准，确定本项目日用水量按400L/床•d计算，门急诊及体检人员用水量按15L/人次计，医务人员</w:t>
      </w:r>
      <w:r>
        <w:rPr>
          <w:rFonts w:hint="eastAsia" w:eastAsiaTheme="minorEastAsia"/>
          <w:sz w:val="24"/>
          <w:u w:val="single"/>
        </w:rPr>
        <w:t>生活</w:t>
      </w:r>
      <w:r>
        <w:rPr>
          <w:rFonts w:eastAsiaTheme="minorEastAsia"/>
          <w:sz w:val="24"/>
          <w:u w:val="single"/>
        </w:rPr>
        <w:t>用水量按150L/人·d计</w:t>
      </w:r>
      <w:r>
        <w:rPr>
          <w:rFonts w:hint="eastAsia" w:eastAsiaTheme="minorEastAsia"/>
          <w:sz w:val="24"/>
          <w:u w:val="single"/>
        </w:rPr>
        <w:t>（包含住宿楼废水）</w:t>
      </w:r>
      <w:r>
        <w:rPr>
          <w:rFonts w:eastAsiaTheme="minorEastAsia"/>
          <w:sz w:val="24"/>
          <w:u w:val="single"/>
        </w:rPr>
        <w:t>，食堂用水量按 20L/人·次计，绿化浇洒用水量按2L/m</w:t>
      </w:r>
      <w:r>
        <w:rPr>
          <w:rFonts w:eastAsiaTheme="minorEastAsia"/>
          <w:sz w:val="24"/>
          <w:u w:val="single"/>
          <w:vertAlign w:val="superscript"/>
        </w:rPr>
        <w:t>2</w:t>
      </w:r>
      <w:r>
        <w:rPr>
          <w:rFonts w:eastAsiaTheme="minorEastAsia"/>
          <w:sz w:val="24"/>
          <w:u w:val="single"/>
        </w:rPr>
        <w:t>•天计，根据建设单位提供资料，年用煎药用水约为292m</w:t>
      </w:r>
      <w:r>
        <w:rPr>
          <w:rFonts w:eastAsiaTheme="minorEastAsia"/>
          <w:sz w:val="24"/>
          <w:u w:val="single"/>
          <w:vertAlign w:val="superscript"/>
        </w:rPr>
        <w:t>3</w:t>
      </w:r>
      <w:r>
        <w:rPr>
          <w:rFonts w:eastAsiaTheme="minorEastAsia"/>
          <w:sz w:val="24"/>
          <w:u w:val="single"/>
        </w:rPr>
        <w:t>/a（800L/d）。</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本项目医护人员数量约为480人，医院病床为508张，年门诊人数约9.92万人·次（每天平均271人次），食堂规模为700人（早、中、晚餐用餐规模共计约2800人次/天）。各用水项目用水量统计见下表。</w:t>
      </w:r>
    </w:p>
    <w:p>
      <w:pPr>
        <w:widowControl/>
        <w:shd w:val="clear" w:color="auto" w:fill="FFFFFF"/>
        <w:snapToGrid w:val="0"/>
        <w:spacing w:line="360" w:lineRule="auto"/>
        <w:jc w:val="center"/>
        <w:rPr>
          <w:rFonts w:eastAsiaTheme="minorEastAsia"/>
          <w:b/>
          <w:bCs/>
          <w:sz w:val="24"/>
        </w:rPr>
      </w:pPr>
      <w:r>
        <w:rPr>
          <w:rFonts w:eastAsiaTheme="minorEastAsia"/>
          <w:b/>
          <w:bCs/>
          <w:sz w:val="24"/>
        </w:rPr>
        <w:t>表4.3-1  各用水项目用水量汇总表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2125"/>
        <w:gridCol w:w="2268"/>
        <w:gridCol w:w="1419"/>
        <w:gridCol w:w="1134"/>
        <w:gridCol w:w="11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b/>
                <w:szCs w:val="21"/>
              </w:rPr>
            </w:pPr>
            <w:r>
              <w:rPr>
                <w:rFonts w:eastAsiaTheme="minorEastAsia"/>
                <w:b/>
                <w:szCs w:val="21"/>
              </w:rPr>
              <w:t>序号</w:t>
            </w:r>
          </w:p>
        </w:tc>
        <w:tc>
          <w:tcPr>
            <w:tcW w:w="1209" w:type="pct"/>
            <w:vAlign w:val="center"/>
          </w:tcPr>
          <w:p>
            <w:pPr>
              <w:widowControl/>
              <w:snapToGrid w:val="0"/>
              <w:jc w:val="center"/>
              <w:rPr>
                <w:rFonts w:eastAsiaTheme="minorEastAsia"/>
                <w:b/>
                <w:szCs w:val="21"/>
              </w:rPr>
            </w:pPr>
            <w:r>
              <w:rPr>
                <w:rFonts w:eastAsiaTheme="minorEastAsia"/>
                <w:b/>
                <w:szCs w:val="21"/>
              </w:rPr>
              <w:t>用水项目名称</w:t>
            </w:r>
          </w:p>
        </w:tc>
        <w:tc>
          <w:tcPr>
            <w:tcW w:w="1290" w:type="pct"/>
            <w:vAlign w:val="center"/>
          </w:tcPr>
          <w:p>
            <w:pPr>
              <w:widowControl/>
              <w:snapToGrid w:val="0"/>
              <w:jc w:val="center"/>
              <w:rPr>
                <w:rFonts w:eastAsiaTheme="minorEastAsia"/>
                <w:b/>
                <w:szCs w:val="21"/>
              </w:rPr>
            </w:pPr>
            <w:r>
              <w:rPr>
                <w:rFonts w:eastAsiaTheme="minorEastAsia"/>
                <w:b/>
                <w:szCs w:val="21"/>
              </w:rPr>
              <w:t>用水单位数</w:t>
            </w:r>
          </w:p>
        </w:tc>
        <w:tc>
          <w:tcPr>
            <w:tcW w:w="806" w:type="pct"/>
            <w:vAlign w:val="center"/>
          </w:tcPr>
          <w:p>
            <w:pPr>
              <w:widowControl/>
              <w:snapToGrid w:val="0"/>
              <w:jc w:val="center"/>
              <w:rPr>
                <w:rFonts w:eastAsiaTheme="minorEastAsia"/>
                <w:b/>
                <w:szCs w:val="21"/>
              </w:rPr>
            </w:pPr>
            <w:r>
              <w:rPr>
                <w:rFonts w:eastAsiaTheme="minorEastAsia"/>
                <w:b/>
                <w:szCs w:val="21"/>
              </w:rPr>
              <w:t>用水量标准</w:t>
            </w:r>
          </w:p>
        </w:tc>
        <w:tc>
          <w:tcPr>
            <w:tcW w:w="645" w:type="pct"/>
            <w:vAlign w:val="center"/>
          </w:tcPr>
          <w:p>
            <w:pPr>
              <w:widowControl/>
              <w:snapToGrid w:val="0"/>
              <w:jc w:val="center"/>
              <w:rPr>
                <w:rFonts w:eastAsiaTheme="minorEastAsia"/>
                <w:b/>
                <w:szCs w:val="21"/>
              </w:rPr>
            </w:pPr>
            <w:r>
              <w:rPr>
                <w:rFonts w:eastAsiaTheme="minorEastAsia"/>
                <w:b/>
                <w:szCs w:val="21"/>
              </w:rPr>
              <w:t>日用水量m</w:t>
            </w:r>
            <w:r>
              <w:rPr>
                <w:rFonts w:eastAsiaTheme="minorEastAsia"/>
                <w:b/>
                <w:szCs w:val="21"/>
                <w:vertAlign w:val="superscript"/>
              </w:rPr>
              <w:t>3</w:t>
            </w:r>
            <w:r>
              <w:rPr>
                <w:rFonts w:eastAsiaTheme="minorEastAsia"/>
                <w:b/>
                <w:szCs w:val="21"/>
              </w:rPr>
              <w:t>/d</w:t>
            </w:r>
          </w:p>
        </w:tc>
        <w:tc>
          <w:tcPr>
            <w:tcW w:w="645" w:type="pct"/>
            <w:vAlign w:val="center"/>
          </w:tcPr>
          <w:p>
            <w:pPr>
              <w:widowControl/>
              <w:snapToGrid w:val="0"/>
              <w:jc w:val="center"/>
              <w:rPr>
                <w:rFonts w:eastAsiaTheme="minorEastAsia"/>
                <w:b/>
                <w:szCs w:val="21"/>
              </w:rPr>
            </w:pPr>
            <w:r>
              <w:rPr>
                <w:rFonts w:eastAsiaTheme="minorEastAsia"/>
                <w:b/>
                <w:szCs w:val="21"/>
              </w:rPr>
              <w:t>年用水量m</w:t>
            </w:r>
            <w:r>
              <w:rPr>
                <w:rFonts w:eastAsiaTheme="minorEastAsia"/>
                <w:b/>
                <w:szCs w:val="21"/>
                <w:vertAlign w:val="superscript"/>
              </w:rPr>
              <w:t>3</w:t>
            </w:r>
            <w:r>
              <w:rPr>
                <w:rFonts w:eastAsiaTheme="minorEastAsia"/>
                <w:b/>
                <w:szCs w:val="21"/>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1</w:t>
            </w:r>
          </w:p>
        </w:tc>
        <w:tc>
          <w:tcPr>
            <w:tcW w:w="1209" w:type="pct"/>
            <w:vAlign w:val="center"/>
          </w:tcPr>
          <w:p>
            <w:pPr>
              <w:widowControl/>
              <w:snapToGrid w:val="0"/>
              <w:jc w:val="center"/>
              <w:rPr>
                <w:rFonts w:eastAsiaTheme="minorEastAsia"/>
                <w:szCs w:val="21"/>
              </w:rPr>
            </w:pPr>
            <w:r>
              <w:rPr>
                <w:rFonts w:eastAsiaTheme="minorEastAsia"/>
                <w:szCs w:val="21"/>
              </w:rPr>
              <w:t>医院住院部综合用水</w:t>
            </w:r>
          </w:p>
        </w:tc>
        <w:tc>
          <w:tcPr>
            <w:tcW w:w="1290" w:type="pct"/>
            <w:vAlign w:val="center"/>
          </w:tcPr>
          <w:p>
            <w:pPr>
              <w:widowControl/>
              <w:snapToGrid w:val="0"/>
              <w:jc w:val="center"/>
              <w:rPr>
                <w:rFonts w:eastAsiaTheme="minorEastAsia"/>
                <w:szCs w:val="21"/>
              </w:rPr>
            </w:pPr>
            <w:r>
              <w:rPr>
                <w:rFonts w:eastAsiaTheme="minorEastAsia"/>
                <w:szCs w:val="21"/>
              </w:rPr>
              <w:t>50</w:t>
            </w:r>
            <w:r>
              <w:rPr>
                <w:rFonts w:hint="eastAsia" w:eastAsiaTheme="minorEastAsia"/>
                <w:szCs w:val="21"/>
              </w:rPr>
              <w:t>8</w:t>
            </w:r>
            <w:r>
              <w:rPr>
                <w:rFonts w:eastAsiaTheme="minorEastAsia"/>
                <w:szCs w:val="21"/>
              </w:rPr>
              <w:t>床</w:t>
            </w:r>
          </w:p>
        </w:tc>
        <w:tc>
          <w:tcPr>
            <w:tcW w:w="806" w:type="pct"/>
            <w:vAlign w:val="center"/>
          </w:tcPr>
          <w:p>
            <w:pPr>
              <w:widowControl/>
              <w:snapToGrid w:val="0"/>
              <w:jc w:val="center"/>
              <w:rPr>
                <w:rFonts w:eastAsiaTheme="minorEastAsia"/>
                <w:szCs w:val="21"/>
              </w:rPr>
            </w:pPr>
            <w:r>
              <w:rPr>
                <w:rFonts w:eastAsiaTheme="minorEastAsia"/>
                <w:szCs w:val="21"/>
              </w:rPr>
              <w:t>400L/床·d</w:t>
            </w:r>
          </w:p>
        </w:tc>
        <w:tc>
          <w:tcPr>
            <w:tcW w:w="645" w:type="pct"/>
            <w:vAlign w:val="center"/>
          </w:tcPr>
          <w:p>
            <w:pPr>
              <w:widowControl/>
              <w:snapToGrid w:val="0"/>
              <w:jc w:val="center"/>
              <w:rPr>
                <w:rFonts w:eastAsiaTheme="minorEastAsia"/>
                <w:szCs w:val="21"/>
              </w:rPr>
            </w:pPr>
            <w:r>
              <w:rPr>
                <w:rFonts w:eastAsiaTheme="minorEastAsia"/>
                <w:szCs w:val="21"/>
              </w:rPr>
              <w:t>20</w:t>
            </w:r>
            <w:r>
              <w:rPr>
                <w:rFonts w:hint="eastAsia" w:eastAsiaTheme="minorEastAsia"/>
                <w:szCs w:val="21"/>
              </w:rPr>
              <w:t>3.2</w:t>
            </w:r>
          </w:p>
        </w:tc>
        <w:tc>
          <w:tcPr>
            <w:tcW w:w="645" w:type="pct"/>
            <w:vAlign w:val="center"/>
          </w:tcPr>
          <w:p>
            <w:pPr>
              <w:snapToGrid w:val="0"/>
              <w:jc w:val="center"/>
              <w:rPr>
                <w:rFonts w:eastAsiaTheme="minorEastAsia"/>
                <w:szCs w:val="21"/>
              </w:rPr>
            </w:pPr>
            <w:r>
              <w:rPr>
                <w:rFonts w:eastAsiaTheme="minorEastAsia"/>
                <w:szCs w:val="21"/>
              </w:rPr>
              <w:t>7</w:t>
            </w:r>
            <w:r>
              <w:rPr>
                <w:rFonts w:hint="eastAsia" w:eastAsiaTheme="minorEastAsia"/>
                <w:szCs w:val="21"/>
              </w:rPr>
              <w:t>4168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u w:val="single"/>
              </w:rPr>
            </w:pPr>
            <w:r>
              <w:rPr>
                <w:rFonts w:eastAsiaTheme="minorEastAsia"/>
                <w:szCs w:val="21"/>
                <w:u w:val="single"/>
              </w:rPr>
              <w:t>2</w:t>
            </w:r>
          </w:p>
        </w:tc>
        <w:tc>
          <w:tcPr>
            <w:tcW w:w="1209" w:type="pct"/>
            <w:vAlign w:val="center"/>
          </w:tcPr>
          <w:p>
            <w:pPr>
              <w:widowControl/>
              <w:snapToGrid w:val="0"/>
              <w:jc w:val="center"/>
              <w:rPr>
                <w:rFonts w:eastAsiaTheme="minorEastAsia"/>
                <w:szCs w:val="21"/>
                <w:u w:val="single"/>
              </w:rPr>
            </w:pPr>
            <w:r>
              <w:rPr>
                <w:rFonts w:eastAsiaTheme="minorEastAsia"/>
                <w:szCs w:val="21"/>
                <w:u w:val="single"/>
              </w:rPr>
              <w:t>医务人员</w:t>
            </w:r>
            <w:r>
              <w:rPr>
                <w:rFonts w:hint="eastAsia" w:eastAsiaTheme="minorEastAsia"/>
                <w:szCs w:val="21"/>
                <w:u w:val="single"/>
              </w:rPr>
              <w:t>生活</w:t>
            </w:r>
            <w:r>
              <w:rPr>
                <w:rFonts w:eastAsiaTheme="minorEastAsia"/>
                <w:szCs w:val="21"/>
                <w:u w:val="single"/>
              </w:rPr>
              <w:t>用水</w:t>
            </w:r>
          </w:p>
        </w:tc>
        <w:tc>
          <w:tcPr>
            <w:tcW w:w="1290" w:type="pct"/>
            <w:vAlign w:val="center"/>
          </w:tcPr>
          <w:p>
            <w:pPr>
              <w:widowControl/>
              <w:snapToGrid w:val="0"/>
              <w:jc w:val="center"/>
              <w:rPr>
                <w:rFonts w:eastAsiaTheme="minorEastAsia"/>
                <w:szCs w:val="21"/>
                <w:u w:val="single"/>
              </w:rPr>
            </w:pPr>
            <w:r>
              <w:rPr>
                <w:rFonts w:eastAsiaTheme="minorEastAsia"/>
                <w:szCs w:val="21"/>
                <w:u w:val="single"/>
              </w:rPr>
              <w:t>480人</w:t>
            </w:r>
          </w:p>
        </w:tc>
        <w:tc>
          <w:tcPr>
            <w:tcW w:w="806" w:type="pct"/>
            <w:vAlign w:val="center"/>
          </w:tcPr>
          <w:p>
            <w:pPr>
              <w:widowControl/>
              <w:snapToGrid w:val="0"/>
              <w:jc w:val="center"/>
              <w:rPr>
                <w:rFonts w:eastAsiaTheme="minorEastAsia"/>
                <w:szCs w:val="21"/>
                <w:u w:val="single"/>
              </w:rPr>
            </w:pPr>
            <w:r>
              <w:rPr>
                <w:rFonts w:eastAsiaTheme="minorEastAsia"/>
                <w:szCs w:val="21"/>
                <w:u w:val="single"/>
              </w:rPr>
              <w:t>150L/人·d</w:t>
            </w:r>
          </w:p>
        </w:tc>
        <w:tc>
          <w:tcPr>
            <w:tcW w:w="645" w:type="pct"/>
            <w:vAlign w:val="center"/>
          </w:tcPr>
          <w:p>
            <w:pPr>
              <w:widowControl/>
              <w:snapToGrid w:val="0"/>
              <w:jc w:val="center"/>
              <w:rPr>
                <w:rFonts w:eastAsiaTheme="minorEastAsia"/>
                <w:szCs w:val="21"/>
                <w:u w:val="single"/>
              </w:rPr>
            </w:pPr>
            <w:r>
              <w:rPr>
                <w:rFonts w:eastAsiaTheme="minorEastAsia"/>
                <w:szCs w:val="21"/>
                <w:u w:val="single"/>
              </w:rPr>
              <w:t>72</w:t>
            </w:r>
          </w:p>
        </w:tc>
        <w:tc>
          <w:tcPr>
            <w:tcW w:w="645" w:type="pct"/>
            <w:vAlign w:val="center"/>
          </w:tcPr>
          <w:p>
            <w:pPr>
              <w:snapToGrid w:val="0"/>
              <w:jc w:val="center"/>
              <w:rPr>
                <w:rFonts w:eastAsiaTheme="minorEastAsia"/>
                <w:szCs w:val="21"/>
                <w:u w:val="single"/>
              </w:rPr>
            </w:pPr>
            <w:r>
              <w:rPr>
                <w:rFonts w:eastAsiaTheme="minorEastAsia"/>
                <w:szCs w:val="21"/>
                <w:u w:val="single"/>
              </w:rPr>
              <w:t>26280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3</w:t>
            </w:r>
          </w:p>
        </w:tc>
        <w:tc>
          <w:tcPr>
            <w:tcW w:w="1209" w:type="pct"/>
            <w:vAlign w:val="center"/>
          </w:tcPr>
          <w:p>
            <w:pPr>
              <w:widowControl/>
              <w:snapToGrid w:val="0"/>
              <w:jc w:val="center"/>
              <w:rPr>
                <w:rFonts w:eastAsiaTheme="minorEastAsia"/>
                <w:szCs w:val="21"/>
              </w:rPr>
            </w:pPr>
            <w:r>
              <w:rPr>
                <w:rFonts w:eastAsiaTheme="minorEastAsia"/>
                <w:szCs w:val="21"/>
              </w:rPr>
              <w:t>医院门诊用水</w:t>
            </w:r>
          </w:p>
        </w:tc>
        <w:tc>
          <w:tcPr>
            <w:tcW w:w="1290" w:type="pct"/>
            <w:vAlign w:val="center"/>
          </w:tcPr>
          <w:p>
            <w:pPr>
              <w:widowControl/>
              <w:snapToGrid w:val="0"/>
              <w:jc w:val="center"/>
              <w:rPr>
                <w:rFonts w:eastAsiaTheme="minorEastAsia"/>
                <w:szCs w:val="21"/>
              </w:rPr>
            </w:pPr>
            <w:r>
              <w:rPr>
                <w:rFonts w:eastAsiaTheme="minorEastAsia"/>
                <w:szCs w:val="21"/>
              </w:rPr>
              <w:t>271人·次</w:t>
            </w:r>
          </w:p>
        </w:tc>
        <w:tc>
          <w:tcPr>
            <w:tcW w:w="806" w:type="pct"/>
            <w:vAlign w:val="center"/>
          </w:tcPr>
          <w:p>
            <w:pPr>
              <w:widowControl/>
              <w:snapToGrid w:val="0"/>
              <w:jc w:val="center"/>
              <w:rPr>
                <w:rFonts w:eastAsiaTheme="minorEastAsia"/>
                <w:szCs w:val="21"/>
              </w:rPr>
            </w:pPr>
            <w:r>
              <w:rPr>
                <w:rFonts w:eastAsiaTheme="minorEastAsia"/>
                <w:szCs w:val="21"/>
              </w:rPr>
              <w:t>15 L/人·次</w:t>
            </w:r>
          </w:p>
        </w:tc>
        <w:tc>
          <w:tcPr>
            <w:tcW w:w="645" w:type="pct"/>
            <w:vAlign w:val="center"/>
          </w:tcPr>
          <w:p>
            <w:pPr>
              <w:widowControl/>
              <w:snapToGrid w:val="0"/>
              <w:jc w:val="center"/>
              <w:rPr>
                <w:rFonts w:eastAsiaTheme="minorEastAsia"/>
                <w:szCs w:val="21"/>
              </w:rPr>
            </w:pPr>
            <w:r>
              <w:rPr>
                <w:rFonts w:eastAsiaTheme="minorEastAsia"/>
                <w:szCs w:val="21"/>
              </w:rPr>
              <w:t>4.065</w:t>
            </w:r>
          </w:p>
        </w:tc>
        <w:tc>
          <w:tcPr>
            <w:tcW w:w="645" w:type="pct"/>
            <w:vAlign w:val="center"/>
          </w:tcPr>
          <w:p>
            <w:pPr>
              <w:snapToGrid w:val="0"/>
              <w:jc w:val="center"/>
              <w:rPr>
                <w:rFonts w:eastAsiaTheme="minorEastAsia"/>
                <w:szCs w:val="21"/>
              </w:rPr>
            </w:pPr>
            <w:r>
              <w:rPr>
                <w:rFonts w:eastAsiaTheme="minorEastAsia"/>
                <w:szCs w:val="21"/>
              </w:rPr>
              <w:t>1484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4</w:t>
            </w:r>
          </w:p>
        </w:tc>
        <w:tc>
          <w:tcPr>
            <w:tcW w:w="1209" w:type="pct"/>
            <w:vAlign w:val="center"/>
          </w:tcPr>
          <w:p>
            <w:pPr>
              <w:widowControl/>
              <w:snapToGrid w:val="0"/>
              <w:jc w:val="center"/>
              <w:rPr>
                <w:rFonts w:eastAsiaTheme="minorEastAsia"/>
                <w:szCs w:val="21"/>
              </w:rPr>
            </w:pPr>
            <w:r>
              <w:rPr>
                <w:rFonts w:eastAsiaTheme="minorEastAsia"/>
                <w:szCs w:val="21"/>
              </w:rPr>
              <w:t>食堂餐饮用水</w:t>
            </w:r>
          </w:p>
        </w:tc>
        <w:tc>
          <w:tcPr>
            <w:tcW w:w="1290" w:type="pct"/>
            <w:vAlign w:val="center"/>
          </w:tcPr>
          <w:p>
            <w:pPr>
              <w:widowControl/>
              <w:snapToGrid w:val="0"/>
              <w:jc w:val="center"/>
              <w:rPr>
                <w:rFonts w:eastAsiaTheme="minorEastAsia"/>
                <w:szCs w:val="21"/>
              </w:rPr>
            </w:pPr>
            <w:r>
              <w:rPr>
                <w:rFonts w:eastAsiaTheme="minorEastAsia"/>
                <w:szCs w:val="21"/>
              </w:rPr>
              <w:t>2800人·次</w:t>
            </w:r>
          </w:p>
        </w:tc>
        <w:tc>
          <w:tcPr>
            <w:tcW w:w="806" w:type="pct"/>
            <w:vAlign w:val="center"/>
          </w:tcPr>
          <w:p>
            <w:pPr>
              <w:widowControl/>
              <w:snapToGrid w:val="0"/>
              <w:jc w:val="center"/>
              <w:rPr>
                <w:rFonts w:eastAsiaTheme="minorEastAsia"/>
                <w:szCs w:val="21"/>
              </w:rPr>
            </w:pPr>
            <w:r>
              <w:rPr>
                <w:rFonts w:eastAsiaTheme="minorEastAsia"/>
                <w:szCs w:val="21"/>
              </w:rPr>
              <w:t>20 L/人·次</w:t>
            </w:r>
          </w:p>
        </w:tc>
        <w:tc>
          <w:tcPr>
            <w:tcW w:w="645" w:type="pct"/>
            <w:vAlign w:val="center"/>
          </w:tcPr>
          <w:p>
            <w:pPr>
              <w:widowControl/>
              <w:snapToGrid w:val="0"/>
              <w:jc w:val="center"/>
              <w:rPr>
                <w:rFonts w:eastAsiaTheme="minorEastAsia"/>
                <w:szCs w:val="21"/>
              </w:rPr>
            </w:pPr>
            <w:r>
              <w:rPr>
                <w:rFonts w:eastAsiaTheme="minorEastAsia"/>
                <w:szCs w:val="21"/>
              </w:rPr>
              <w:t>56</w:t>
            </w:r>
          </w:p>
        </w:tc>
        <w:tc>
          <w:tcPr>
            <w:tcW w:w="645" w:type="pct"/>
            <w:vAlign w:val="center"/>
          </w:tcPr>
          <w:p>
            <w:pPr>
              <w:snapToGrid w:val="0"/>
              <w:jc w:val="center"/>
              <w:rPr>
                <w:rFonts w:eastAsiaTheme="minorEastAsia"/>
                <w:szCs w:val="21"/>
              </w:rPr>
            </w:pPr>
            <w:r>
              <w:rPr>
                <w:rFonts w:eastAsiaTheme="minorEastAsia"/>
                <w:szCs w:val="21"/>
              </w:rPr>
              <w:t>20440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5</w:t>
            </w:r>
          </w:p>
        </w:tc>
        <w:tc>
          <w:tcPr>
            <w:tcW w:w="1209" w:type="pct"/>
            <w:vAlign w:val="center"/>
          </w:tcPr>
          <w:p>
            <w:pPr>
              <w:widowControl/>
              <w:snapToGrid w:val="0"/>
              <w:jc w:val="center"/>
              <w:rPr>
                <w:rFonts w:eastAsiaTheme="minorEastAsia"/>
                <w:szCs w:val="21"/>
              </w:rPr>
            </w:pPr>
            <w:r>
              <w:rPr>
                <w:rFonts w:eastAsiaTheme="minorEastAsia"/>
                <w:szCs w:val="21"/>
              </w:rPr>
              <w:t>检验室检验用水</w:t>
            </w:r>
          </w:p>
        </w:tc>
        <w:tc>
          <w:tcPr>
            <w:tcW w:w="1290" w:type="pct"/>
            <w:vAlign w:val="center"/>
          </w:tcPr>
          <w:p>
            <w:pPr>
              <w:widowControl/>
              <w:snapToGrid w:val="0"/>
              <w:jc w:val="center"/>
              <w:rPr>
                <w:rFonts w:eastAsiaTheme="minorEastAsia"/>
                <w:szCs w:val="21"/>
              </w:rPr>
            </w:pPr>
            <w:r>
              <w:rPr>
                <w:rFonts w:eastAsiaTheme="minorEastAsia"/>
                <w:szCs w:val="21"/>
              </w:rPr>
              <w:t>/</w:t>
            </w:r>
          </w:p>
        </w:tc>
        <w:tc>
          <w:tcPr>
            <w:tcW w:w="806" w:type="pct"/>
            <w:vAlign w:val="center"/>
          </w:tcPr>
          <w:p>
            <w:pPr>
              <w:widowControl/>
              <w:snapToGrid w:val="0"/>
              <w:jc w:val="center"/>
              <w:rPr>
                <w:rFonts w:eastAsiaTheme="minorEastAsia"/>
                <w:szCs w:val="21"/>
              </w:rPr>
            </w:pPr>
            <w:r>
              <w:rPr>
                <w:rFonts w:eastAsiaTheme="minorEastAsia"/>
                <w:szCs w:val="21"/>
              </w:rPr>
              <w:t>/</w:t>
            </w:r>
          </w:p>
        </w:tc>
        <w:tc>
          <w:tcPr>
            <w:tcW w:w="645" w:type="pct"/>
            <w:vAlign w:val="center"/>
          </w:tcPr>
          <w:p>
            <w:pPr>
              <w:widowControl/>
              <w:snapToGrid w:val="0"/>
              <w:jc w:val="center"/>
              <w:rPr>
                <w:rFonts w:eastAsiaTheme="minorEastAsia"/>
                <w:szCs w:val="21"/>
              </w:rPr>
            </w:pPr>
            <w:r>
              <w:rPr>
                <w:rFonts w:eastAsiaTheme="minorEastAsia"/>
                <w:szCs w:val="21"/>
              </w:rPr>
              <w:t>1</w:t>
            </w:r>
          </w:p>
        </w:tc>
        <w:tc>
          <w:tcPr>
            <w:tcW w:w="645" w:type="pct"/>
            <w:vAlign w:val="center"/>
          </w:tcPr>
          <w:p>
            <w:pPr>
              <w:snapToGrid w:val="0"/>
              <w:jc w:val="center"/>
              <w:rPr>
                <w:rFonts w:eastAsiaTheme="minorEastAsia"/>
                <w:szCs w:val="21"/>
              </w:rPr>
            </w:pPr>
            <w:r>
              <w:rPr>
                <w:rFonts w:eastAsiaTheme="minorEastAsia"/>
                <w:szCs w:val="21"/>
              </w:rPr>
              <w:t>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6</w:t>
            </w:r>
          </w:p>
        </w:tc>
        <w:tc>
          <w:tcPr>
            <w:tcW w:w="1209" w:type="pct"/>
            <w:vAlign w:val="center"/>
          </w:tcPr>
          <w:p>
            <w:pPr>
              <w:widowControl/>
              <w:snapToGrid w:val="0"/>
              <w:jc w:val="center"/>
              <w:rPr>
                <w:rFonts w:eastAsiaTheme="minorEastAsia"/>
                <w:szCs w:val="21"/>
              </w:rPr>
            </w:pPr>
            <w:r>
              <w:rPr>
                <w:rFonts w:eastAsiaTheme="minorEastAsia"/>
                <w:szCs w:val="21"/>
              </w:rPr>
              <w:t>口腔科用水</w:t>
            </w:r>
          </w:p>
        </w:tc>
        <w:tc>
          <w:tcPr>
            <w:tcW w:w="1290" w:type="pct"/>
            <w:vAlign w:val="center"/>
          </w:tcPr>
          <w:p>
            <w:pPr>
              <w:widowControl/>
              <w:snapToGrid w:val="0"/>
              <w:jc w:val="center"/>
              <w:rPr>
                <w:rFonts w:eastAsiaTheme="minorEastAsia"/>
                <w:szCs w:val="21"/>
              </w:rPr>
            </w:pPr>
            <w:r>
              <w:rPr>
                <w:rFonts w:eastAsiaTheme="minorEastAsia"/>
                <w:szCs w:val="21"/>
              </w:rPr>
              <w:t>/</w:t>
            </w:r>
          </w:p>
        </w:tc>
        <w:tc>
          <w:tcPr>
            <w:tcW w:w="806" w:type="pct"/>
            <w:vAlign w:val="center"/>
          </w:tcPr>
          <w:p>
            <w:pPr>
              <w:widowControl/>
              <w:snapToGrid w:val="0"/>
              <w:jc w:val="center"/>
              <w:rPr>
                <w:rFonts w:eastAsiaTheme="minorEastAsia"/>
                <w:szCs w:val="21"/>
              </w:rPr>
            </w:pPr>
            <w:r>
              <w:rPr>
                <w:rFonts w:eastAsiaTheme="minorEastAsia"/>
                <w:szCs w:val="21"/>
              </w:rPr>
              <w:t>/</w:t>
            </w:r>
          </w:p>
        </w:tc>
        <w:tc>
          <w:tcPr>
            <w:tcW w:w="645" w:type="pct"/>
            <w:vAlign w:val="center"/>
          </w:tcPr>
          <w:p>
            <w:pPr>
              <w:widowControl/>
              <w:snapToGrid w:val="0"/>
              <w:jc w:val="center"/>
              <w:rPr>
                <w:rFonts w:eastAsiaTheme="minorEastAsia"/>
                <w:szCs w:val="21"/>
              </w:rPr>
            </w:pPr>
            <w:r>
              <w:rPr>
                <w:rFonts w:eastAsiaTheme="minorEastAsia"/>
                <w:szCs w:val="21"/>
              </w:rPr>
              <w:t>1</w:t>
            </w:r>
          </w:p>
        </w:tc>
        <w:tc>
          <w:tcPr>
            <w:tcW w:w="645" w:type="pct"/>
            <w:vAlign w:val="center"/>
          </w:tcPr>
          <w:p>
            <w:pPr>
              <w:snapToGrid w:val="0"/>
              <w:jc w:val="center"/>
              <w:rPr>
                <w:rFonts w:eastAsiaTheme="minorEastAsia"/>
                <w:szCs w:val="21"/>
              </w:rPr>
            </w:pPr>
            <w:r>
              <w:rPr>
                <w:rFonts w:eastAsiaTheme="minorEastAsia"/>
                <w:szCs w:val="21"/>
              </w:rPr>
              <w:t>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7</w:t>
            </w:r>
          </w:p>
        </w:tc>
        <w:tc>
          <w:tcPr>
            <w:tcW w:w="1209" w:type="pct"/>
            <w:vAlign w:val="center"/>
          </w:tcPr>
          <w:p>
            <w:pPr>
              <w:widowControl/>
              <w:snapToGrid w:val="0"/>
              <w:jc w:val="center"/>
              <w:rPr>
                <w:rFonts w:eastAsiaTheme="minorEastAsia"/>
                <w:szCs w:val="21"/>
              </w:rPr>
            </w:pPr>
            <w:r>
              <w:rPr>
                <w:rFonts w:eastAsiaTheme="minorEastAsia"/>
                <w:szCs w:val="21"/>
              </w:rPr>
              <w:t>蒸汽锅炉补充用水</w:t>
            </w:r>
          </w:p>
        </w:tc>
        <w:tc>
          <w:tcPr>
            <w:tcW w:w="1290" w:type="pct"/>
            <w:vAlign w:val="center"/>
          </w:tcPr>
          <w:p>
            <w:pPr>
              <w:widowControl/>
              <w:snapToGrid w:val="0"/>
              <w:jc w:val="center"/>
              <w:rPr>
                <w:rFonts w:eastAsiaTheme="minorEastAsia"/>
                <w:szCs w:val="21"/>
              </w:rPr>
            </w:pPr>
            <w:r>
              <w:rPr>
                <w:rFonts w:eastAsiaTheme="minorEastAsia"/>
              </w:rPr>
              <w:t>1台2t/h，每天运行8h。</w:t>
            </w:r>
          </w:p>
        </w:tc>
        <w:tc>
          <w:tcPr>
            <w:tcW w:w="806" w:type="pct"/>
            <w:vAlign w:val="center"/>
          </w:tcPr>
          <w:p>
            <w:pPr>
              <w:widowControl/>
              <w:snapToGrid w:val="0"/>
              <w:jc w:val="center"/>
              <w:rPr>
                <w:rFonts w:eastAsiaTheme="minorEastAsia"/>
                <w:szCs w:val="21"/>
              </w:rPr>
            </w:pPr>
            <w:r>
              <w:rPr>
                <w:rFonts w:eastAsiaTheme="minorEastAsia"/>
                <w:szCs w:val="21"/>
              </w:rPr>
              <w:t>/</w:t>
            </w:r>
          </w:p>
        </w:tc>
        <w:tc>
          <w:tcPr>
            <w:tcW w:w="645" w:type="pct"/>
            <w:vAlign w:val="center"/>
          </w:tcPr>
          <w:p>
            <w:pPr>
              <w:widowControl/>
              <w:snapToGrid w:val="0"/>
              <w:jc w:val="center"/>
              <w:rPr>
                <w:rFonts w:eastAsiaTheme="minorEastAsia"/>
                <w:szCs w:val="21"/>
              </w:rPr>
            </w:pPr>
            <w:r>
              <w:rPr>
                <w:rFonts w:eastAsiaTheme="minorEastAsia"/>
                <w:szCs w:val="21"/>
              </w:rPr>
              <w:t>16</w:t>
            </w:r>
          </w:p>
        </w:tc>
        <w:tc>
          <w:tcPr>
            <w:tcW w:w="645" w:type="pct"/>
            <w:vAlign w:val="center"/>
          </w:tcPr>
          <w:p>
            <w:pPr>
              <w:snapToGrid w:val="0"/>
              <w:jc w:val="center"/>
              <w:rPr>
                <w:rFonts w:eastAsiaTheme="minorEastAsia"/>
                <w:szCs w:val="21"/>
              </w:rPr>
            </w:pPr>
            <w:r>
              <w:rPr>
                <w:rFonts w:eastAsiaTheme="minorEastAsia"/>
                <w:szCs w:val="21"/>
              </w:rPr>
              <w:t>5840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8</w:t>
            </w:r>
          </w:p>
        </w:tc>
        <w:tc>
          <w:tcPr>
            <w:tcW w:w="1209" w:type="pct"/>
            <w:vAlign w:val="center"/>
          </w:tcPr>
          <w:p>
            <w:pPr>
              <w:widowControl/>
              <w:snapToGrid w:val="0"/>
              <w:jc w:val="center"/>
              <w:rPr>
                <w:rFonts w:eastAsiaTheme="minorEastAsia"/>
                <w:szCs w:val="21"/>
              </w:rPr>
            </w:pPr>
            <w:r>
              <w:rPr>
                <w:rFonts w:eastAsiaTheme="minorEastAsia"/>
                <w:szCs w:val="21"/>
              </w:rPr>
              <w:t>绿化用水</w:t>
            </w:r>
          </w:p>
        </w:tc>
        <w:tc>
          <w:tcPr>
            <w:tcW w:w="1290" w:type="pct"/>
            <w:vAlign w:val="center"/>
          </w:tcPr>
          <w:p>
            <w:pPr>
              <w:widowControl/>
              <w:snapToGrid w:val="0"/>
              <w:jc w:val="center"/>
              <w:rPr>
                <w:rFonts w:eastAsiaTheme="minorEastAsia"/>
                <w:szCs w:val="21"/>
              </w:rPr>
            </w:pPr>
            <w:r>
              <w:rPr>
                <w:rFonts w:eastAsiaTheme="minorEastAsia"/>
                <w:szCs w:val="21"/>
              </w:rPr>
              <w:t>9230m</w:t>
            </w:r>
            <w:r>
              <w:rPr>
                <w:rFonts w:eastAsiaTheme="minorEastAsia"/>
                <w:szCs w:val="21"/>
                <w:vertAlign w:val="superscript"/>
              </w:rPr>
              <w:t>2</w:t>
            </w:r>
          </w:p>
        </w:tc>
        <w:tc>
          <w:tcPr>
            <w:tcW w:w="806" w:type="pct"/>
            <w:vAlign w:val="center"/>
          </w:tcPr>
          <w:p>
            <w:pPr>
              <w:widowControl/>
              <w:snapToGrid w:val="0"/>
              <w:jc w:val="center"/>
              <w:rPr>
                <w:rFonts w:eastAsiaTheme="minorEastAsia"/>
                <w:szCs w:val="21"/>
              </w:rPr>
            </w:pPr>
            <w:r>
              <w:rPr>
                <w:rFonts w:eastAsiaTheme="minorEastAsia"/>
                <w:szCs w:val="21"/>
              </w:rPr>
              <w:t>2L/m</w:t>
            </w:r>
            <w:r>
              <w:rPr>
                <w:rFonts w:eastAsiaTheme="minorEastAsia"/>
                <w:szCs w:val="21"/>
                <w:vertAlign w:val="superscript"/>
              </w:rPr>
              <w:t>2</w:t>
            </w:r>
            <w:r>
              <w:rPr>
                <w:rFonts w:eastAsiaTheme="minorEastAsia"/>
                <w:szCs w:val="21"/>
              </w:rPr>
              <w:t>•天</w:t>
            </w:r>
          </w:p>
        </w:tc>
        <w:tc>
          <w:tcPr>
            <w:tcW w:w="645" w:type="pct"/>
            <w:vAlign w:val="center"/>
          </w:tcPr>
          <w:p>
            <w:pPr>
              <w:widowControl/>
              <w:snapToGrid w:val="0"/>
              <w:jc w:val="center"/>
              <w:rPr>
                <w:rFonts w:eastAsiaTheme="minorEastAsia"/>
                <w:szCs w:val="21"/>
              </w:rPr>
            </w:pPr>
            <w:r>
              <w:rPr>
                <w:rFonts w:eastAsiaTheme="minorEastAsia"/>
                <w:szCs w:val="21"/>
              </w:rPr>
              <w:t>18.46</w:t>
            </w:r>
          </w:p>
        </w:tc>
        <w:tc>
          <w:tcPr>
            <w:tcW w:w="645" w:type="pct"/>
            <w:vAlign w:val="center"/>
          </w:tcPr>
          <w:p>
            <w:pPr>
              <w:snapToGrid w:val="0"/>
              <w:jc w:val="center"/>
              <w:rPr>
                <w:rFonts w:eastAsiaTheme="minorEastAsia"/>
                <w:szCs w:val="21"/>
              </w:rPr>
            </w:pPr>
            <w:r>
              <w:rPr>
                <w:rFonts w:eastAsiaTheme="minorEastAsia"/>
                <w:szCs w:val="21"/>
              </w:rPr>
              <w:t>6738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4" w:type="pct"/>
            <w:vAlign w:val="center"/>
          </w:tcPr>
          <w:p>
            <w:pPr>
              <w:widowControl/>
              <w:snapToGrid w:val="0"/>
              <w:jc w:val="center"/>
              <w:rPr>
                <w:rFonts w:eastAsiaTheme="minorEastAsia"/>
                <w:szCs w:val="21"/>
              </w:rPr>
            </w:pPr>
            <w:r>
              <w:rPr>
                <w:rFonts w:eastAsiaTheme="minorEastAsia"/>
                <w:szCs w:val="21"/>
              </w:rPr>
              <w:t>9</w:t>
            </w:r>
          </w:p>
        </w:tc>
        <w:tc>
          <w:tcPr>
            <w:tcW w:w="1209" w:type="pct"/>
            <w:vAlign w:val="center"/>
          </w:tcPr>
          <w:p>
            <w:pPr>
              <w:widowControl/>
              <w:snapToGrid w:val="0"/>
              <w:jc w:val="center"/>
              <w:rPr>
                <w:rFonts w:eastAsiaTheme="minorEastAsia"/>
                <w:szCs w:val="21"/>
              </w:rPr>
            </w:pPr>
            <w:r>
              <w:rPr>
                <w:rFonts w:eastAsiaTheme="minorEastAsia"/>
                <w:szCs w:val="21"/>
              </w:rPr>
              <w:t>煎药用水</w:t>
            </w:r>
          </w:p>
        </w:tc>
        <w:tc>
          <w:tcPr>
            <w:tcW w:w="1290" w:type="pct"/>
            <w:vAlign w:val="center"/>
          </w:tcPr>
          <w:p>
            <w:pPr>
              <w:widowControl/>
              <w:snapToGrid w:val="0"/>
              <w:jc w:val="center"/>
              <w:rPr>
                <w:rFonts w:eastAsiaTheme="minorEastAsia"/>
                <w:szCs w:val="21"/>
              </w:rPr>
            </w:pPr>
            <w:r>
              <w:rPr>
                <w:rFonts w:eastAsiaTheme="minorEastAsia"/>
                <w:szCs w:val="21"/>
              </w:rPr>
              <w:t>/</w:t>
            </w:r>
          </w:p>
        </w:tc>
        <w:tc>
          <w:tcPr>
            <w:tcW w:w="806" w:type="pct"/>
            <w:vAlign w:val="center"/>
          </w:tcPr>
          <w:p>
            <w:pPr>
              <w:widowControl/>
              <w:snapToGrid w:val="0"/>
              <w:jc w:val="center"/>
              <w:rPr>
                <w:rFonts w:eastAsiaTheme="minorEastAsia"/>
                <w:szCs w:val="21"/>
              </w:rPr>
            </w:pPr>
            <w:r>
              <w:rPr>
                <w:rFonts w:eastAsiaTheme="minorEastAsia"/>
                <w:szCs w:val="21"/>
              </w:rPr>
              <w:t>/</w:t>
            </w:r>
          </w:p>
        </w:tc>
        <w:tc>
          <w:tcPr>
            <w:tcW w:w="645" w:type="pct"/>
            <w:vAlign w:val="center"/>
          </w:tcPr>
          <w:p>
            <w:pPr>
              <w:widowControl/>
              <w:snapToGrid w:val="0"/>
              <w:jc w:val="center"/>
              <w:rPr>
                <w:rFonts w:eastAsiaTheme="minorEastAsia"/>
                <w:szCs w:val="21"/>
              </w:rPr>
            </w:pPr>
            <w:r>
              <w:rPr>
                <w:rFonts w:eastAsiaTheme="minorEastAsia"/>
                <w:szCs w:val="21"/>
              </w:rPr>
              <w:t>0.8</w:t>
            </w:r>
          </w:p>
        </w:tc>
        <w:tc>
          <w:tcPr>
            <w:tcW w:w="645" w:type="pct"/>
            <w:vAlign w:val="center"/>
          </w:tcPr>
          <w:p>
            <w:pPr>
              <w:snapToGrid w:val="0"/>
              <w:jc w:val="center"/>
              <w:rPr>
                <w:rFonts w:eastAsiaTheme="minorEastAsia"/>
                <w:szCs w:val="21"/>
              </w:rPr>
            </w:pPr>
            <w:r>
              <w:rPr>
                <w:rFonts w:eastAsiaTheme="minorEastAsia"/>
                <w:szCs w:val="21"/>
              </w:rPr>
              <w:t>292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10" w:type="pct"/>
            <w:gridSpan w:val="4"/>
            <w:vAlign w:val="center"/>
          </w:tcPr>
          <w:p>
            <w:pPr>
              <w:widowControl/>
              <w:snapToGrid w:val="0"/>
              <w:jc w:val="center"/>
              <w:rPr>
                <w:rFonts w:eastAsiaTheme="minorEastAsia"/>
                <w:szCs w:val="21"/>
              </w:rPr>
            </w:pPr>
            <w:r>
              <w:rPr>
                <w:rFonts w:eastAsiaTheme="minorEastAsia"/>
                <w:szCs w:val="21"/>
              </w:rPr>
              <w:t>合计</w:t>
            </w:r>
          </w:p>
        </w:tc>
        <w:tc>
          <w:tcPr>
            <w:tcW w:w="645" w:type="pct"/>
            <w:vAlign w:val="center"/>
          </w:tcPr>
          <w:p>
            <w:pPr>
              <w:snapToGrid w:val="0"/>
              <w:jc w:val="center"/>
              <w:rPr>
                <w:rFonts w:eastAsiaTheme="minorEastAsia"/>
                <w:szCs w:val="21"/>
              </w:rPr>
            </w:pPr>
            <w:r>
              <w:rPr>
                <w:rFonts w:eastAsiaTheme="minorEastAsia"/>
                <w:szCs w:val="21"/>
              </w:rPr>
              <w:t>369.3</w:t>
            </w:r>
          </w:p>
        </w:tc>
        <w:tc>
          <w:tcPr>
            <w:tcW w:w="645" w:type="pct"/>
            <w:vAlign w:val="center"/>
          </w:tcPr>
          <w:p>
            <w:pPr>
              <w:snapToGrid w:val="0"/>
              <w:jc w:val="center"/>
              <w:rPr>
                <w:rFonts w:eastAsiaTheme="minorEastAsia"/>
                <w:szCs w:val="21"/>
              </w:rPr>
            </w:pPr>
            <w:r>
              <w:rPr>
                <w:rFonts w:eastAsiaTheme="minorEastAsia"/>
                <w:szCs w:val="21"/>
              </w:rPr>
              <w:t>134804</w:t>
            </w:r>
          </w:p>
        </w:tc>
      </w:tr>
    </w:tbl>
    <w:p>
      <w:pPr>
        <w:pStyle w:val="4"/>
        <w:snapToGrid w:val="0"/>
        <w:spacing w:before="0" w:after="0" w:line="360" w:lineRule="auto"/>
        <w:rPr>
          <w:rFonts w:eastAsiaTheme="minorEastAsia"/>
          <w:kern w:val="0"/>
          <w:sz w:val="24"/>
        </w:rPr>
      </w:pPr>
      <w:r>
        <w:rPr>
          <w:rFonts w:eastAsiaTheme="minorEastAsia"/>
          <w:kern w:val="0"/>
          <w:sz w:val="24"/>
        </w:rPr>
        <w:t>4.3.2 排水工程</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（1）排水系统</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本项目排水采用雨污分流、污污分流制，屋面雨水、室外场地雨水经管道、沟渠收集后排入市政雨水管网。</w:t>
      </w:r>
    </w:p>
    <w:p>
      <w:pPr>
        <w:snapToGrid w:val="0"/>
        <w:spacing w:line="360" w:lineRule="auto"/>
        <w:ind w:firstLine="480" w:firstLineChars="200"/>
        <w:rPr>
          <w:rFonts w:eastAsiaTheme="minorEastAsia"/>
          <w:sz w:val="24"/>
        </w:rPr>
      </w:pPr>
      <w:r>
        <w:rPr>
          <w:rFonts w:eastAsiaTheme="minorEastAsia"/>
          <w:sz w:val="24"/>
        </w:rPr>
        <w:t>本项目废水主要包括医疗废水（医院住院部综合废水、医务人员废水、医院门诊废水）、特殊医疗废水（检验室检验废水、口腔科废水）和食堂餐饮废水。本项目产生的废水需分类收集、分别单独预处理后，方可进入污水处理站，具体如下：</w:t>
      </w:r>
    </w:p>
    <w:p>
      <w:pPr>
        <w:widowControl/>
        <w:shd w:val="clear" w:color="auto" w:fill="FFFFFF"/>
        <w:snapToGrid w:val="0"/>
        <w:spacing w:line="360" w:lineRule="auto"/>
        <w:ind w:firstLine="480" w:firstLineChars="200"/>
        <w:rPr>
          <w:rFonts w:eastAsiaTheme="minorEastAsia"/>
          <w:sz w:val="24"/>
        </w:rPr>
      </w:pPr>
      <w:r>
        <w:rPr>
          <w:rFonts w:eastAsiaTheme="minorEastAsia"/>
          <w:sz w:val="24"/>
          <w:u w:val="single"/>
        </w:rPr>
        <w:t>食堂废水经隔油预处理后</w:t>
      </w:r>
      <w:r>
        <w:rPr>
          <w:rFonts w:hint="eastAsia" w:eastAsiaTheme="minorEastAsia"/>
          <w:sz w:val="24"/>
          <w:u w:val="single"/>
        </w:rPr>
        <w:t>与医护人员生活废水合并排入化粪池，经化粪池处理并达到湘阴县第一污水处理厂接管标准后排入市政污水管网</w:t>
      </w:r>
      <w:r>
        <w:rPr>
          <w:rFonts w:hint="eastAsia" w:eastAsiaTheme="minorEastAsia"/>
          <w:sz w:val="24"/>
        </w:rPr>
        <w:t>；</w:t>
      </w:r>
      <w:r>
        <w:rPr>
          <w:rFonts w:eastAsiaTheme="minorEastAsia"/>
          <w:sz w:val="24"/>
        </w:rPr>
        <w:t>检验室废水经预处酸碱理槽中和预处理，含氰废水采用预处理槽碱式氯化法预处理，检验科生化标本清洗废水经84消毒液（次氯酸钠）预处理后，排入污水处理站；检验室产生的少量含重金属废水在废液桶内收集作为危废交有资质单位处理；口腔科漱口废水经84消毒液（次氯酸钠）消毒后排入污水处理站</w:t>
      </w:r>
      <w:r>
        <w:rPr>
          <w:rFonts w:hint="eastAsia" w:eastAsiaTheme="minorEastAsia"/>
          <w:sz w:val="24"/>
        </w:rPr>
        <w:t>；</w:t>
      </w:r>
      <w:r>
        <w:rPr>
          <w:rFonts w:hint="eastAsia" w:eastAsiaTheme="minorEastAsia"/>
          <w:sz w:val="24"/>
          <w:u w:val="single"/>
        </w:rPr>
        <w:t>住院部废水经化粪池处理后排入污水处理站。项目综合</w:t>
      </w:r>
      <w:r>
        <w:rPr>
          <w:rFonts w:eastAsiaTheme="minorEastAsia"/>
          <w:sz w:val="24"/>
          <w:u w:val="single"/>
        </w:rPr>
        <w:t>医疗废水经化粪池、自建的污水处理站处理达到《医疗机构水污染物排放标准》（GB18466-2005）表2预处理标准后排入建新路市政污水管网</w:t>
      </w:r>
      <w:r>
        <w:rPr>
          <w:rFonts w:hint="eastAsia" w:eastAsiaTheme="minorEastAsia"/>
          <w:sz w:val="24"/>
          <w:u w:val="single"/>
        </w:rPr>
        <w:t>，最终进入</w:t>
      </w:r>
      <w:bookmarkStart w:id="85" w:name="OLE_LINK13"/>
      <w:r>
        <w:rPr>
          <w:rFonts w:hint="eastAsia" w:eastAsiaTheme="minorEastAsia"/>
          <w:sz w:val="24"/>
          <w:u w:val="single"/>
        </w:rPr>
        <w:t>湘阴县第</w:t>
      </w:r>
      <w:bookmarkEnd w:id="85"/>
      <w:r>
        <w:rPr>
          <w:rFonts w:hint="eastAsia" w:eastAsiaTheme="minorEastAsia"/>
          <w:sz w:val="24"/>
          <w:u w:val="single"/>
        </w:rPr>
        <w:t>一污水处理厂</w:t>
      </w:r>
      <w:r>
        <w:rPr>
          <w:rFonts w:eastAsiaTheme="minorEastAsia"/>
          <w:sz w:val="24"/>
          <w:u w:val="single"/>
        </w:rPr>
        <w:t>。</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（2）排水量</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经估算，本项目用水量为368.5m</w:t>
      </w:r>
      <w:r>
        <w:rPr>
          <w:rFonts w:eastAsiaTheme="minorEastAsia"/>
          <w:sz w:val="24"/>
          <w:vertAlign w:val="superscript"/>
        </w:rPr>
        <w:t>3</w:t>
      </w:r>
      <w:r>
        <w:rPr>
          <w:rFonts w:eastAsiaTheme="minorEastAsia"/>
          <w:sz w:val="24"/>
        </w:rPr>
        <w:t>/d（134512m</w:t>
      </w:r>
      <w:r>
        <w:rPr>
          <w:rFonts w:eastAsiaTheme="minorEastAsia"/>
          <w:sz w:val="24"/>
          <w:vertAlign w:val="superscript"/>
        </w:rPr>
        <w:t>3</w:t>
      </w:r>
      <w:r>
        <w:rPr>
          <w:rFonts w:eastAsiaTheme="minorEastAsia"/>
          <w:sz w:val="24"/>
        </w:rPr>
        <w:t>/a）项目排水按用水量的85%计算，本项目废水总排放量为286.68m</w:t>
      </w:r>
      <w:r>
        <w:rPr>
          <w:rFonts w:eastAsiaTheme="minorEastAsia"/>
          <w:sz w:val="24"/>
          <w:vertAlign w:val="superscript"/>
        </w:rPr>
        <w:t>3</w:t>
      </w:r>
      <w:r>
        <w:rPr>
          <w:rFonts w:eastAsiaTheme="minorEastAsia"/>
          <w:sz w:val="24"/>
        </w:rPr>
        <w:t>/d，104636.47m</w:t>
      </w:r>
      <w:r>
        <w:rPr>
          <w:rFonts w:eastAsiaTheme="minorEastAsia"/>
          <w:sz w:val="24"/>
          <w:vertAlign w:val="superscript"/>
        </w:rPr>
        <w:t>3</w:t>
      </w:r>
      <w:r>
        <w:rPr>
          <w:rFonts w:eastAsiaTheme="minorEastAsia"/>
          <w:sz w:val="24"/>
        </w:rPr>
        <w:t>/a。具体详见下表。</w:t>
      </w:r>
    </w:p>
    <w:p>
      <w:pPr>
        <w:widowControl/>
        <w:shd w:val="clear" w:color="auto" w:fill="FFFFFF"/>
        <w:snapToGrid w:val="0"/>
        <w:spacing w:line="360" w:lineRule="auto"/>
        <w:jc w:val="center"/>
        <w:rPr>
          <w:rFonts w:eastAsiaTheme="minorEastAsia"/>
          <w:b/>
          <w:bCs/>
          <w:sz w:val="24"/>
        </w:rPr>
      </w:pPr>
      <w:r>
        <w:rPr>
          <w:rFonts w:eastAsiaTheme="minorEastAsia"/>
          <w:b/>
          <w:bCs/>
          <w:sz w:val="24"/>
        </w:rPr>
        <w:t>表4.3-2  项目污水排放量统计表</w:t>
      </w:r>
    </w:p>
    <w:tbl>
      <w:tblPr>
        <w:tblStyle w:val="80"/>
        <w:tblW w:w="87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04"/>
        <w:gridCol w:w="2428"/>
        <w:gridCol w:w="1899"/>
        <w:gridCol w:w="1709"/>
        <w:gridCol w:w="18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b/>
                <w:szCs w:val="21"/>
              </w:rPr>
            </w:pPr>
            <w:r>
              <w:rPr>
                <w:rFonts w:eastAsiaTheme="minorEastAsia"/>
                <w:b/>
                <w:szCs w:val="21"/>
              </w:rPr>
              <w:t>序号</w:t>
            </w:r>
          </w:p>
        </w:tc>
        <w:tc>
          <w:tcPr>
            <w:tcW w:w="1381" w:type="pct"/>
            <w:vAlign w:val="center"/>
          </w:tcPr>
          <w:p>
            <w:pPr>
              <w:widowControl/>
              <w:snapToGrid w:val="0"/>
              <w:jc w:val="center"/>
              <w:rPr>
                <w:rFonts w:eastAsiaTheme="minorEastAsia"/>
                <w:b/>
                <w:szCs w:val="21"/>
              </w:rPr>
            </w:pPr>
            <w:r>
              <w:rPr>
                <w:rFonts w:eastAsiaTheme="minorEastAsia"/>
                <w:b/>
                <w:szCs w:val="21"/>
              </w:rPr>
              <w:t>用水项目名称</w:t>
            </w:r>
          </w:p>
        </w:tc>
        <w:tc>
          <w:tcPr>
            <w:tcW w:w="1080" w:type="pct"/>
            <w:vAlign w:val="center"/>
          </w:tcPr>
          <w:p>
            <w:pPr>
              <w:widowControl/>
              <w:snapToGrid w:val="0"/>
              <w:jc w:val="center"/>
              <w:rPr>
                <w:rFonts w:eastAsiaTheme="minorEastAsia"/>
                <w:b/>
                <w:szCs w:val="21"/>
              </w:rPr>
            </w:pPr>
            <w:r>
              <w:rPr>
                <w:rFonts w:eastAsiaTheme="minorEastAsia"/>
                <w:b/>
                <w:szCs w:val="21"/>
              </w:rPr>
              <w:t>日用水量m</w:t>
            </w:r>
            <w:r>
              <w:rPr>
                <w:rFonts w:eastAsiaTheme="minorEastAsia"/>
                <w:b/>
                <w:szCs w:val="21"/>
                <w:vertAlign w:val="superscript"/>
              </w:rPr>
              <w:t>3</w:t>
            </w:r>
            <w:r>
              <w:rPr>
                <w:rFonts w:eastAsiaTheme="minorEastAsia"/>
                <w:b/>
                <w:szCs w:val="21"/>
              </w:rPr>
              <w:t>/d</w:t>
            </w:r>
          </w:p>
        </w:tc>
        <w:tc>
          <w:tcPr>
            <w:tcW w:w="972" w:type="pct"/>
            <w:vAlign w:val="center"/>
          </w:tcPr>
          <w:p>
            <w:pPr>
              <w:widowControl/>
              <w:snapToGrid w:val="0"/>
              <w:jc w:val="center"/>
              <w:rPr>
                <w:rFonts w:eastAsiaTheme="minorEastAsia"/>
                <w:b/>
                <w:szCs w:val="21"/>
              </w:rPr>
            </w:pPr>
            <w:r>
              <w:rPr>
                <w:rFonts w:eastAsiaTheme="minorEastAsia"/>
                <w:b/>
                <w:szCs w:val="21"/>
              </w:rPr>
              <w:t>日排水量m</w:t>
            </w:r>
            <w:r>
              <w:rPr>
                <w:rFonts w:eastAsiaTheme="minorEastAsia"/>
                <w:b/>
                <w:szCs w:val="21"/>
                <w:vertAlign w:val="superscript"/>
              </w:rPr>
              <w:t>3</w:t>
            </w:r>
            <w:r>
              <w:rPr>
                <w:rFonts w:eastAsiaTheme="minorEastAsia"/>
                <w:b/>
                <w:szCs w:val="21"/>
              </w:rPr>
              <w:t>/d</w:t>
            </w:r>
          </w:p>
        </w:tc>
        <w:tc>
          <w:tcPr>
            <w:tcW w:w="1053" w:type="pct"/>
            <w:vAlign w:val="center"/>
          </w:tcPr>
          <w:p>
            <w:pPr>
              <w:widowControl/>
              <w:snapToGrid w:val="0"/>
              <w:jc w:val="center"/>
              <w:rPr>
                <w:rFonts w:eastAsiaTheme="minorEastAsia"/>
                <w:b/>
                <w:szCs w:val="21"/>
              </w:rPr>
            </w:pPr>
            <w:r>
              <w:rPr>
                <w:rFonts w:eastAsiaTheme="minorEastAsia"/>
                <w:b/>
                <w:szCs w:val="21"/>
              </w:rPr>
              <w:t>年排水量m</w:t>
            </w:r>
            <w:r>
              <w:rPr>
                <w:rFonts w:eastAsiaTheme="minorEastAsia"/>
                <w:b/>
                <w:szCs w:val="21"/>
                <w:vertAlign w:val="superscript"/>
              </w:rPr>
              <w:t>3</w:t>
            </w:r>
            <w:r>
              <w:rPr>
                <w:rFonts w:eastAsiaTheme="minorEastAsia"/>
                <w:b/>
                <w:szCs w:val="21"/>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rPr>
            </w:pPr>
            <w:r>
              <w:rPr>
                <w:rFonts w:eastAsiaTheme="minorEastAsia"/>
                <w:szCs w:val="21"/>
              </w:rPr>
              <w:t>1</w:t>
            </w:r>
          </w:p>
        </w:tc>
        <w:tc>
          <w:tcPr>
            <w:tcW w:w="1381" w:type="pct"/>
            <w:vAlign w:val="center"/>
          </w:tcPr>
          <w:p>
            <w:pPr>
              <w:widowControl/>
              <w:snapToGrid w:val="0"/>
              <w:jc w:val="center"/>
              <w:rPr>
                <w:rFonts w:eastAsiaTheme="minorEastAsia"/>
                <w:szCs w:val="21"/>
              </w:rPr>
            </w:pPr>
            <w:r>
              <w:rPr>
                <w:rFonts w:eastAsiaTheme="minorEastAsia"/>
                <w:szCs w:val="21"/>
              </w:rPr>
              <w:t>医院住院部综合废水</w:t>
            </w:r>
          </w:p>
        </w:tc>
        <w:tc>
          <w:tcPr>
            <w:tcW w:w="1080" w:type="pct"/>
            <w:vAlign w:val="center"/>
          </w:tcPr>
          <w:p>
            <w:pPr>
              <w:widowControl/>
              <w:adjustRightInd w:val="0"/>
              <w:snapToGrid w:val="0"/>
              <w:jc w:val="center"/>
              <w:rPr>
                <w:rFonts w:eastAsiaTheme="minorEastAsia"/>
                <w:szCs w:val="21"/>
              </w:rPr>
            </w:pPr>
            <w:r>
              <w:rPr>
                <w:rFonts w:eastAsiaTheme="minorEastAsia"/>
                <w:szCs w:val="21"/>
              </w:rPr>
              <w:t>20</w:t>
            </w:r>
            <w:r>
              <w:rPr>
                <w:rFonts w:hint="eastAsia" w:eastAsiaTheme="minorEastAsia"/>
                <w:szCs w:val="21"/>
              </w:rPr>
              <w:t>3.2</w:t>
            </w:r>
          </w:p>
        </w:tc>
        <w:tc>
          <w:tcPr>
            <w:tcW w:w="972" w:type="pct"/>
            <w:vAlign w:val="center"/>
          </w:tcPr>
          <w:p>
            <w:pPr>
              <w:adjustRightInd w:val="0"/>
              <w:snapToGrid w:val="0"/>
              <w:jc w:val="center"/>
              <w:rPr>
                <w:rFonts w:eastAsiaTheme="minorEastAsia"/>
                <w:szCs w:val="21"/>
              </w:rPr>
            </w:pPr>
            <w:r>
              <w:rPr>
                <w:rFonts w:eastAsia="等线"/>
                <w:kern w:val="0"/>
                <w:szCs w:val="21"/>
              </w:rPr>
              <w:t>17</w:t>
            </w:r>
            <w:r>
              <w:rPr>
                <w:rFonts w:hint="eastAsia" w:eastAsia="等线"/>
                <w:kern w:val="0"/>
                <w:szCs w:val="21"/>
              </w:rPr>
              <w:t>2.72</w:t>
            </w:r>
            <w:r>
              <w:rPr>
                <w:rFonts w:eastAsia="等线"/>
                <w:kern w:val="0"/>
                <w:szCs w:val="21"/>
              </w:rPr>
              <w:t xml:space="preserve"> </w:t>
            </w:r>
          </w:p>
        </w:tc>
        <w:tc>
          <w:tcPr>
            <w:tcW w:w="1053" w:type="pct"/>
            <w:vAlign w:val="center"/>
          </w:tcPr>
          <w:p>
            <w:pPr>
              <w:adjustRightInd w:val="0"/>
              <w:snapToGrid w:val="0"/>
              <w:jc w:val="center"/>
              <w:rPr>
                <w:rFonts w:eastAsiaTheme="minorEastAsia"/>
                <w:szCs w:val="21"/>
              </w:rPr>
            </w:pPr>
            <w:r>
              <w:rPr>
                <w:rFonts w:eastAsia="等线"/>
                <w:kern w:val="0"/>
                <w:szCs w:val="21"/>
              </w:rPr>
              <w:t>6</w:t>
            </w:r>
            <w:r>
              <w:rPr>
                <w:rFonts w:hint="eastAsia" w:eastAsia="等线"/>
                <w:kern w:val="0"/>
                <w:szCs w:val="21"/>
              </w:rPr>
              <w:t>3042.8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u w:val="single"/>
              </w:rPr>
            </w:pPr>
            <w:r>
              <w:rPr>
                <w:rFonts w:eastAsiaTheme="minorEastAsia"/>
                <w:szCs w:val="21"/>
                <w:u w:val="single"/>
              </w:rPr>
              <w:t>2</w:t>
            </w:r>
          </w:p>
        </w:tc>
        <w:tc>
          <w:tcPr>
            <w:tcW w:w="1381" w:type="pct"/>
            <w:vAlign w:val="center"/>
          </w:tcPr>
          <w:p>
            <w:pPr>
              <w:widowControl/>
              <w:snapToGrid w:val="0"/>
              <w:jc w:val="center"/>
              <w:rPr>
                <w:rFonts w:eastAsiaTheme="minorEastAsia"/>
                <w:szCs w:val="21"/>
                <w:u w:val="single"/>
              </w:rPr>
            </w:pPr>
            <w:r>
              <w:rPr>
                <w:rFonts w:eastAsiaTheme="minorEastAsia"/>
                <w:szCs w:val="21"/>
                <w:u w:val="single"/>
              </w:rPr>
              <w:t>医务人员</w:t>
            </w:r>
            <w:r>
              <w:rPr>
                <w:rFonts w:hint="eastAsia" w:eastAsiaTheme="minorEastAsia"/>
                <w:szCs w:val="21"/>
                <w:u w:val="single"/>
              </w:rPr>
              <w:t>生活</w:t>
            </w:r>
            <w:r>
              <w:rPr>
                <w:rFonts w:eastAsiaTheme="minorEastAsia"/>
                <w:szCs w:val="21"/>
                <w:u w:val="single"/>
              </w:rPr>
              <w:t>废水</w:t>
            </w:r>
          </w:p>
        </w:tc>
        <w:tc>
          <w:tcPr>
            <w:tcW w:w="1080" w:type="pct"/>
            <w:vAlign w:val="center"/>
          </w:tcPr>
          <w:p>
            <w:pPr>
              <w:widowControl/>
              <w:adjustRightInd w:val="0"/>
              <w:snapToGrid w:val="0"/>
              <w:jc w:val="center"/>
              <w:rPr>
                <w:rFonts w:eastAsiaTheme="minorEastAsia"/>
                <w:szCs w:val="21"/>
                <w:u w:val="single"/>
              </w:rPr>
            </w:pPr>
            <w:r>
              <w:rPr>
                <w:rFonts w:eastAsiaTheme="minorEastAsia"/>
                <w:szCs w:val="21"/>
                <w:u w:val="single"/>
              </w:rPr>
              <w:t>72</w:t>
            </w:r>
          </w:p>
        </w:tc>
        <w:tc>
          <w:tcPr>
            <w:tcW w:w="972" w:type="pct"/>
            <w:vAlign w:val="center"/>
          </w:tcPr>
          <w:p>
            <w:pPr>
              <w:adjustRightInd w:val="0"/>
              <w:snapToGrid w:val="0"/>
              <w:jc w:val="center"/>
              <w:rPr>
                <w:rFonts w:eastAsiaTheme="minorEastAsia"/>
                <w:szCs w:val="21"/>
                <w:u w:val="single"/>
              </w:rPr>
            </w:pPr>
            <w:r>
              <w:rPr>
                <w:rFonts w:eastAsia="等线"/>
                <w:kern w:val="0"/>
                <w:szCs w:val="21"/>
                <w:u w:val="single"/>
              </w:rPr>
              <w:t xml:space="preserve">61.20 </w:t>
            </w:r>
          </w:p>
        </w:tc>
        <w:tc>
          <w:tcPr>
            <w:tcW w:w="1053" w:type="pct"/>
            <w:vAlign w:val="center"/>
          </w:tcPr>
          <w:p>
            <w:pPr>
              <w:adjustRightInd w:val="0"/>
              <w:snapToGrid w:val="0"/>
              <w:jc w:val="center"/>
              <w:rPr>
                <w:rFonts w:eastAsiaTheme="minorEastAsia"/>
                <w:szCs w:val="21"/>
                <w:u w:val="single"/>
              </w:rPr>
            </w:pPr>
            <w:r>
              <w:rPr>
                <w:rFonts w:eastAsia="等线"/>
                <w:kern w:val="0"/>
                <w:szCs w:val="21"/>
                <w:u w:val="single"/>
              </w:rPr>
              <w:t xml:space="preserve">22338.00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rPr>
            </w:pPr>
            <w:r>
              <w:rPr>
                <w:rFonts w:eastAsiaTheme="minorEastAsia"/>
                <w:szCs w:val="21"/>
              </w:rPr>
              <w:t>3</w:t>
            </w:r>
          </w:p>
        </w:tc>
        <w:tc>
          <w:tcPr>
            <w:tcW w:w="1381" w:type="pct"/>
            <w:vAlign w:val="center"/>
          </w:tcPr>
          <w:p>
            <w:pPr>
              <w:widowControl/>
              <w:snapToGrid w:val="0"/>
              <w:jc w:val="center"/>
              <w:rPr>
                <w:rFonts w:eastAsiaTheme="minorEastAsia"/>
                <w:szCs w:val="21"/>
              </w:rPr>
            </w:pPr>
            <w:r>
              <w:rPr>
                <w:rFonts w:eastAsiaTheme="minorEastAsia"/>
                <w:szCs w:val="21"/>
              </w:rPr>
              <w:t>医院门诊急诊废水</w:t>
            </w:r>
          </w:p>
        </w:tc>
        <w:tc>
          <w:tcPr>
            <w:tcW w:w="1080" w:type="pct"/>
            <w:vAlign w:val="center"/>
          </w:tcPr>
          <w:p>
            <w:pPr>
              <w:widowControl/>
              <w:adjustRightInd w:val="0"/>
              <w:snapToGrid w:val="0"/>
              <w:jc w:val="center"/>
              <w:rPr>
                <w:rFonts w:eastAsiaTheme="minorEastAsia"/>
                <w:szCs w:val="21"/>
              </w:rPr>
            </w:pPr>
            <w:r>
              <w:rPr>
                <w:rFonts w:eastAsiaTheme="minorEastAsia"/>
                <w:szCs w:val="21"/>
              </w:rPr>
              <w:t>4.065</w:t>
            </w:r>
          </w:p>
        </w:tc>
        <w:tc>
          <w:tcPr>
            <w:tcW w:w="972" w:type="pct"/>
            <w:vAlign w:val="center"/>
          </w:tcPr>
          <w:p>
            <w:pPr>
              <w:adjustRightInd w:val="0"/>
              <w:snapToGrid w:val="0"/>
              <w:jc w:val="center"/>
              <w:rPr>
                <w:rFonts w:eastAsiaTheme="minorEastAsia"/>
                <w:szCs w:val="21"/>
              </w:rPr>
            </w:pPr>
            <w:r>
              <w:rPr>
                <w:rFonts w:eastAsia="等线"/>
                <w:kern w:val="0"/>
                <w:szCs w:val="21"/>
              </w:rPr>
              <w:t xml:space="preserve">3.46 </w:t>
            </w:r>
          </w:p>
        </w:tc>
        <w:tc>
          <w:tcPr>
            <w:tcW w:w="1053" w:type="pct"/>
            <w:vAlign w:val="center"/>
          </w:tcPr>
          <w:p>
            <w:pPr>
              <w:adjustRightInd w:val="0"/>
              <w:snapToGrid w:val="0"/>
              <w:jc w:val="center"/>
              <w:rPr>
                <w:rFonts w:eastAsiaTheme="minorEastAsia"/>
                <w:szCs w:val="21"/>
              </w:rPr>
            </w:pPr>
            <w:r>
              <w:rPr>
                <w:rFonts w:eastAsia="等线"/>
                <w:kern w:val="0"/>
                <w:szCs w:val="21"/>
              </w:rPr>
              <w:t xml:space="preserve">1261.17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rPr>
            </w:pPr>
            <w:r>
              <w:rPr>
                <w:rFonts w:eastAsiaTheme="minorEastAsia"/>
                <w:szCs w:val="21"/>
              </w:rPr>
              <w:t>4</w:t>
            </w:r>
          </w:p>
        </w:tc>
        <w:tc>
          <w:tcPr>
            <w:tcW w:w="1381" w:type="pct"/>
            <w:vAlign w:val="center"/>
          </w:tcPr>
          <w:p>
            <w:pPr>
              <w:widowControl/>
              <w:snapToGrid w:val="0"/>
              <w:jc w:val="center"/>
              <w:rPr>
                <w:rFonts w:eastAsiaTheme="minorEastAsia"/>
                <w:szCs w:val="21"/>
              </w:rPr>
            </w:pPr>
            <w:r>
              <w:rPr>
                <w:rFonts w:eastAsiaTheme="minorEastAsia"/>
                <w:szCs w:val="21"/>
              </w:rPr>
              <w:t>食堂餐饮废水</w:t>
            </w:r>
          </w:p>
        </w:tc>
        <w:tc>
          <w:tcPr>
            <w:tcW w:w="1080" w:type="pct"/>
            <w:vAlign w:val="center"/>
          </w:tcPr>
          <w:p>
            <w:pPr>
              <w:widowControl/>
              <w:adjustRightInd w:val="0"/>
              <w:snapToGrid w:val="0"/>
              <w:jc w:val="center"/>
              <w:rPr>
                <w:rFonts w:eastAsiaTheme="minorEastAsia"/>
                <w:szCs w:val="21"/>
              </w:rPr>
            </w:pPr>
            <w:r>
              <w:rPr>
                <w:rFonts w:eastAsiaTheme="minorEastAsia"/>
                <w:szCs w:val="21"/>
              </w:rPr>
              <w:t>56</w:t>
            </w:r>
          </w:p>
        </w:tc>
        <w:tc>
          <w:tcPr>
            <w:tcW w:w="972" w:type="pct"/>
            <w:vAlign w:val="center"/>
          </w:tcPr>
          <w:p>
            <w:pPr>
              <w:adjustRightInd w:val="0"/>
              <w:snapToGrid w:val="0"/>
              <w:jc w:val="center"/>
              <w:rPr>
                <w:rFonts w:eastAsiaTheme="minorEastAsia"/>
                <w:szCs w:val="21"/>
              </w:rPr>
            </w:pPr>
            <w:r>
              <w:rPr>
                <w:rFonts w:eastAsia="等线"/>
                <w:kern w:val="0"/>
                <w:szCs w:val="21"/>
              </w:rPr>
              <w:t xml:space="preserve">47.60 </w:t>
            </w:r>
          </w:p>
        </w:tc>
        <w:tc>
          <w:tcPr>
            <w:tcW w:w="1053" w:type="pct"/>
            <w:vAlign w:val="center"/>
          </w:tcPr>
          <w:p>
            <w:pPr>
              <w:adjustRightInd w:val="0"/>
              <w:snapToGrid w:val="0"/>
              <w:jc w:val="center"/>
              <w:rPr>
                <w:rFonts w:eastAsiaTheme="minorEastAsia"/>
                <w:szCs w:val="21"/>
              </w:rPr>
            </w:pPr>
            <w:r>
              <w:rPr>
                <w:rFonts w:eastAsia="等线"/>
                <w:kern w:val="0"/>
                <w:szCs w:val="21"/>
              </w:rPr>
              <w:t xml:space="preserve">17374.00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rPr>
            </w:pPr>
            <w:r>
              <w:rPr>
                <w:rFonts w:eastAsiaTheme="minorEastAsia"/>
                <w:szCs w:val="21"/>
              </w:rPr>
              <w:t>5</w:t>
            </w:r>
          </w:p>
        </w:tc>
        <w:tc>
          <w:tcPr>
            <w:tcW w:w="1381" w:type="pct"/>
            <w:vAlign w:val="center"/>
          </w:tcPr>
          <w:p>
            <w:pPr>
              <w:widowControl/>
              <w:snapToGrid w:val="0"/>
              <w:jc w:val="center"/>
              <w:rPr>
                <w:rFonts w:eastAsiaTheme="minorEastAsia"/>
                <w:szCs w:val="21"/>
              </w:rPr>
            </w:pPr>
            <w:r>
              <w:rPr>
                <w:rFonts w:eastAsiaTheme="minorEastAsia"/>
                <w:szCs w:val="21"/>
              </w:rPr>
              <w:t>检验室检验废水</w:t>
            </w:r>
          </w:p>
        </w:tc>
        <w:tc>
          <w:tcPr>
            <w:tcW w:w="1080" w:type="pct"/>
            <w:vAlign w:val="center"/>
          </w:tcPr>
          <w:p>
            <w:pPr>
              <w:widowControl/>
              <w:adjustRightInd w:val="0"/>
              <w:snapToGrid w:val="0"/>
              <w:jc w:val="center"/>
              <w:rPr>
                <w:rFonts w:eastAsiaTheme="minorEastAsia"/>
                <w:szCs w:val="21"/>
              </w:rPr>
            </w:pPr>
            <w:r>
              <w:rPr>
                <w:rFonts w:eastAsiaTheme="minorEastAsia"/>
                <w:szCs w:val="21"/>
              </w:rPr>
              <w:t>1</w:t>
            </w:r>
          </w:p>
        </w:tc>
        <w:tc>
          <w:tcPr>
            <w:tcW w:w="972" w:type="pct"/>
            <w:vAlign w:val="center"/>
          </w:tcPr>
          <w:p>
            <w:pPr>
              <w:adjustRightInd w:val="0"/>
              <w:snapToGrid w:val="0"/>
              <w:jc w:val="center"/>
              <w:rPr>
                <w:rFonts w:eastAsiaTheme="minorEastAsia"/>
                <w:szCs w:val="21"/>
              </w:rPr>
            </w:pPr>
            <w:r>
              <w:rPr>
                <w:rFonts w:eastAsia="等线"/>
                <w:kern w:val="0"/>
                <w:szCs w:val="21"/>
              </w:rPr>
              <w:t xml:space="preserve">0.85 </w:t>
            </w:r>
          </w:p>
        </w:tc>
        <w:tc>
          <w:tcPr>
            <w:tcW w:w="1053" w:type="pct"/>
            <w:vAlign w:val="center"/>
          </w:tcPr>
          <w:p>
            <w:pPr>
              <w:adjustRightInd w:val="0"/>
              <w:snapToGrid w:val="0"/>
              <w:jc w:val="center"/>
              <w:rPr>
                <w:rFonts w:eastAsiaTheme="minorEastAsia"/>
                <w:szCs w:val="21"/>
              </w:rPr>
            </w:pPr>
            <w:r>
              <w:rPr>
                <w:rFonts w:eastAsia="等线"/>
                <w:kern w:val="0"/>
                <w:szCs w:val="21"/>
              </w:rPr>
              <w:t xml:space="preserve">310.25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rPr>
            </w:pPr>
            <w:r>
              <w:rPr>
                <w:rFonts w:eastAsiaTheme="minorEastAsia"/>
                <w:szCs w:val="21"/>
              </w:rPr>
              <w:t>6</w:t>
            </w:r>
          </w:p>
        </w:tc>
        <w:tc>
          <w:tcPr>
            <w:tcW w:w="1381" w:type="pct"/>
            <w:vAlign w:val="center"/>
          </w:tcPr>
          <w:p>
            <w:pPr>
              <w:widowControl/>
              <w:snapToGrid w:val="0"/>
              <w:jc w:val="center"/>
              <w:rPr>
                <w:rFonts w:eastAsiaTheme="minorEastAsia"/>
                <w:szCs w:val="21"/>
              </w:rPr>
            </w:pPr>
            <w:r>
              <w:rPr>
                <w:rFonts w:eastAsiaTheme="minorEastAsia"/>
                <w:szCs w:val="21"/>
              </w:rPr>
              <w:t>口腔科废水</w:t>
            </w:r>
          </w:p>
        </w:tc>
        <w:tc>
          <w:tcPr>
            <w:tcW w:w="1080" w:type="pct"/>
            <w:vAlign w:val="center"/>
          </w:tcPr>
          <w:p>
            <w:pPr>
              <w:widowControl/>
              <w:adjustRightInd w:val="0"/>
              <w:snapToGrid w:val="0"/>
              <w:jc w:val="center"/>
              <w:rPr>
                <w:rFonts w:eastAsiaTheme="minorEastAsia"/>
                <w:szCs w:val="21"/>
              </w:rPr>
            </w:pPr>
            <w:r>
              <w:rPr>
                <w:rFonts w:eastAsiaTheme="minorEastAsia"/>
                <w:szCs w:val="21"/>
              </w:rPr>
              <w:t>1</w:t>
            </w:r>
          </w:p>
        </w:tc>
        <w:tc>
          <w:tcPr>
            <w:tcW w:w="972" w:type="pct"/>
            <w:vAlign w:val="center"/>
          </w:tcPr>
          <w:p>
            <w:pPr>
              <w:adjustRightInd w:val="0"/>
              <w:snapToGrid w:val="0"/>
              <w:jc w:val="center"/>
              <w:rPr>
                <w:rFonts w:eastAsiaTheme="minorEastAsia"/>
                <w:szCs w:val="21"/>
              </w:rPr>
            </w:pPr>
            <w:r>
              <w:rPr>
                <w:rFonts w:eastAsia="等线"/>
                <w:kern w:val="0"/>
                <w:szCs w:val="21"/>
              </w:rPr>
              <w:t xml:space="preserve">0.85 </w:t>
            </w:r>
          </w:p>
        </w:tc>
        <w:tc>
          <w:tcPr>
            <w:tcW w:w="1053" w:type="pct"/>
            <w:vAlign w:val="center"/>
          </w:tcPr>
          <w:p>
            <w:pPr>
              <w:adjustRightInd w:val="0"/>
              <w:snapToGrid w:val="0"/>
              <w:jc w:val="center"/>
              <w:rPr>
                <w:rFonts w:eastAsiaTheme="minorEastAsia"/>
                <w:szCs w:val="21"/>
              </w:rPr>
            </w:pPr>
            <w:r>
              <w:rPr>
                <w:rFonts w:eastAsia="等线"/>
                <w:kern w:val="0"/>
                <w:szCs w:val="21"/>
              </w:rPr>
              <w:t xml:space="preserve">310.25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rPr>
            </w:pPr>
            <w:r>
              <w:rPr>
                <w:rFonts w:eastAsiaTheme="minorEastAsia"/>
                <w:szCs w:val="21"/>
              </w:rPr>
              <w:t>7</w:t>
            </w:r>
          </w:p>
        </w:tc>
        <w:tc>
          <w:tcPr>
            <w:tcW w:w="1381" w:type="pct"/>
            <w:vAlign w:val="center"/>
          </w:tcPr>
          <w:p>
            <w:pPr>
              <w:widowControl/>
              <w:snapToGrid w:val="0"/>
              <w:jc w:val="center"/>
              <w:rPr>
                <w:rFonts w:eastAsiaTheme="minorEastAsia"/>
                <w:szCs w:val="21"/>
              </w:rPr>
            </w:pPr>
            <w:r>
              <w:rPr>
                <w:rFonts w:eastAsiaTheme="minorEastAsia"/>
                <w:szCs w:val="21"/>
              </w:rPr>
              <w:t>蒸汽锅炉补充用水</w:t>
            </w:r>
          </w:p>
        </w:tc>
        <w:tc>
          <w:tcPr>
            <w:tcW w:w="1080" w:type="pct"/>
            <w:vAlign w:val="center"/>
          </w:tcPr>
          <w:p>
            <w:pPr>
              <w:widowControl/>
              <w:adjustRightInd w:val="0"/>
              <w:snapToGrid w:val="0"/>
              <w:jc w:val="center"/>
              <w:rPr>
                <w:rFonts w:eastAsiaTheme="minorEastAsia"/>
                <w:szCs w:val="21"/>
              </w:rPr>
            </w:pPr>
            <w:r>
              <w:rPr>
                <w:rFonts w:eastAsiaTheme="minorEastAsia"/>
                <w:szCs w:val="21"/>
              </w:rPr>
              <w:t>16</w:t>
            </w:r>
          </w:p>
        </w:tc>
        <w:tc>
          <w:tcPr>
            <w:tcW w:w="972" w:type="pct"/>
            <w:vAlign w:val="center"/>
          </w:tcPr>
          <w:p>
            <w:pPr>
              <w:widowControl/>
              <w:adjustRightInd w:val="0"/>
              <w:snapToGrid w:val="0"/>
              <w:jc w:val="center"/>
              <w:rPr>
                <w:rFonts w:eastAsiaTheme="minorEastAsia"/>
                <w:szCs w:val="21"/>
              </w:rPr>
            </w:pPr>
            <w:r>
              <w:rPr>
                <w:rFonts w:eastAsia="等线"/>
                <w:kern w:val="0"/>
                <w:szCs w:val="21"/>
              </w:rPr>
              <w:t>0</w:t>
            </w:r>
          </w:p>
        </w:tc>
        <w:tc>
          <w:tcPr>
            <w:tcW w:w="1053" w:type="pct"/>
            <w:vAlign w:val="center"/>
          </w:tcPr>
          <w:p>
            <w:pPr>
              <w:widowControl/>
              <w:adjustRightInd w:val="0"/>
              <w:snapToGrid w:val="0"/>
              <w:jc w:val="center"/>
              <w:rPr>
                <w:rFonts w:eastAsiaTheme="minorEastAsia"/>
                <w:szCs w:val="21"/>
              </w:rPr>
            </w:pPr>
            <w:r>
              <w:rPr>
                <w:rFonts w:eastAsia="等线"/>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14" w:type="pct"/>
            <w:vAlign w:val="center"/>
          </w:tcPr>
          <w:p>
            <w:pPr>
              <w:widowControl/>
              <w:snapToGrid w:val="0"/>
              <w:jc w:val="center"/>
              <w:rPr>
                <w:rFonts w:eastAsiaTheme="minorEastAsia"/>
                <w:szCs w:val="21"/>
              </w:rPr>
            </w:pPr>
            <w:r>
              <w:rPr>
                <w:rFonts w:eastAsiaTheme="minorEastAsia"/>
                <w:szCs w:val="21"/>
              </w:rPr>
              <w:t>8</w:t>
            </w:r>
          </w:p>
        </w:tc>
        <w:tc>
          <w:tcPr>
            <w:tcW w:w="1381" w:type="pct"/>
            <w:vAlign w:val="center"/>
          </w:tcPr>
          <w:p>
            <w:pPr>
              <w:widowControl/>
              <w:snapToGrid w:val="0"/>
              <w:jc w:val="center"/>
              <w:rPr>
                <w:rFonts w:eastAsiaTheme="minorEastAsia"/>
                <w:szCs w:val="21"/>
              </w:rPr>
            </w:pPr>
            <w:r>
              <w:rPr>
                <w:rFonts w:eastAsiaTheme="minorEastAsia"/>
                <w:szCs w:val="21"/>
              </w:rPr>
              <w:t>绿化用水</w:t>
            </w:r>
          </w:p>
        </w:tc>
        <w:tc>
          <w:tcPr>
            <w:tcW w:w="1080" w:type="pct"/>
            <w:vAlign w:val="center"/>
          </w:tcPr>
          <w:p>
            <w:pPr>
              <w:widowControl/>
              <w:adjustRightInd w:val="0"/>
              <w:snapToGrid w:val="0"/>
              <w:jc w:val="center"/>
              <w:rPr>
                <w:rFonts w:eastAsiaTheme="minorEastAsia"/>
                <w:szCs w:val="21"/>
              </w:rPr>
            </w:pPr>
            <w:r>
              <w:rPr>
                <w:rFonts w:eastAsiaTheme="minorEastAsia"/>
                <w:szCs w:val="21"/>
              </w:rPr>
              <w:t>18.46</w:t>
            </w:r>
          </w:p>
        </w:tc>
        <w:tc>
          <w:tcPr>
            <w:tcW w:w="972" w:type="pct"/>
            <w:vAlign w:val="center"/>
          </w:tcPr>
          <w:p>
            <w:pPr>
              <w:widowControl/>
              <w:adjustRightInd w:val="0"/>
              <w:snapToGrid w:val="0"/>
              <w:jc w:val="center"/>
              <w:rPr>
                <w:rFonts w:eastAsiaTheme="minorEastAsia"/>
                <w:szCs w:val="21"/>
              </w:rPr>
            </w:pPr>
            <w:r>
              <w:rPr>
                <w:rFonts w:eastAsia="等线"/>
                <w:kern w:val="0"/>
                <w:szCs w:val="21"/>
              </w:rPr>
              <w:t>0</w:t>
            </w:r>
          </w:p>
        </w:tc>
        <w:tc>
          <w:tcPr>
            <w:tcW w:w="1053" w:type="pct"/>
            <w:vAlign w:val="center"/>
          </w:tcPr>
          <w:p>
            <w:pPr>
              <w:widowControl/>
              <w:adjustRightInd w:val="0"/>
              <w:snapToGrid w:val="0"/>
              <w:jc w:val="center"/>
              <w:rPr>
                <w:rFonts w:eastAsiaTheme="minorEastAsia"/>
                <w:szCs w:val="21"/>
              </w:rPr>
            </w:pPr>
            <w:r>
              <w:rPr>
                <w:rFonts w:eastAsia="等线"/>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895" w:type="pct"/>
            <w:gridSpan w:val="2"/>
            <w:vAlign w:val="center"/>
          </w:tcPr>
          <w:p>
            <w:pPr>
              <w:widowControl/>
              <w:snapToGrid w:val="0"/>
              <w:jc w:val="center"/>
              <w:rPr>
                <w:rFonts w:eastAsiaTheme="minorEastAsia"/>
                <w:szCs w:val="21"/>
              </w:rPr>
            </w:pPr>
            <w:r>
              <w:rPr>
                <w:rFonts w:eastAsiaTheme="minorEastAsia"/>
                <w:szCs w:val="21"/>
              </w:rPr>
              <w:t>合计</w:t>
            </w:r>
          </w:p>
        </w:tc>
        <w:tc>
          <w:tcPr>
            <w:tcW w:w="1080" w:type="pct"/>
            <w:vAlign w:val="center"/>
          </w:tcPr>
          <w:p>
            <w:pPr>
              <w:widowControl/>
              <w:adjustRightInd w:val="0"/>
              <w:snapToGrid w:val="0"/>
              <w:jc w:val="center"/>
              <w:rPr>
                <w:rFonts w:eastAsiaTheme="minorEastAsia"/>
                <w:szCs w:val="21"/>
              </w:rPr>
            </w:pPr>
            <w:r>
              <w:rPr>
                <w:rFonts w:eastAsia="等线"/>
                <w:kern w:val="0"/>
                <w:szCs w:val="21"/>
              </w:rPr>
              <w:t>369.33</w:t>
            </w:r>
          </w:p>
        </w:tc>
        <w:tc>
          <w:tcPr>
            <w:tcW w:w="972" w:type="pct"/>
            <w:vAlign w:val="center"/>
          </w:tcPr>
          <w:p>
            <w:pPr>
              <w:adjustRightInd w:val="0"/>
              <w:snapToGrid w:val="0"/>
              <w:jc w:val="center"/>
              <w:rPr>
                <w:rFonts w:eastAsiaTheme="minorEastAsia"/>
                <w:szCs w:val="21"/>
              </w:rPr>
            </w:pPr>
            <w:r>
              <w:rPr>
                <w:rFonts w:eastAsia="等线"/>
                <w:kern w:val="0"/>
                <w:szCs w:val="21"/>
              </w:rPr>
              <w:t>286.68</w:t>
            </w:r>
          </w:p>
        </w:tc>
        <w:tc>
          <w:tcPr>
            <w:tcW w:w="1053" w:type="pct"/>
            <w:vAlign w:val="center"/>
          </w:tcPr>
          <w:p>
            <w:pPr>
              <w:widowControl/>
              <w:snapToGrid w:val="0"/>
              <w:jc w:val="center"/>
            </w:pPr>
            <w:bookmarkStart w:id="86" w:name="OLE_LINK3"/>
            <w:r>
              <w:rPr>
                <w:rFonts w:eastAsia="等线"/>
                <w:kern w:val="0"/>
                <w:szCs w:val="21"/>
              </w:rPr>
              <w:t>104636.47</w:t>
            </w:r>
            <w:bookmarkEnd w:id="86"/>
          </w:p>
        </w:tc>
      </w:tr>
    </w:tbl>
    <w:p>
      <w:pPr>
        <w:widowControl/>
        <w:shd w:val="clear" w:color="auto" w:fill="FFFFFF"/>
        <w:snapToGrid w:val="0"/>
        <w:spacing w:line="360" w:lineRule="auto"/>
        <w:ind w:firstLine="482" w:firstLineChars="200"/>
        <w:rPr>
          <w:rFonts w:eastAsiaTheme="minorEastAsia"/>
          <w:b/>
          <w:bCs/>
          <w:sz w:val="24"/>
        </w:rPr>
      </w:pPr>
      <w:r>
        <w:rPr>
          <w:rFonts w:eastAsiaTheme="minorEastAsia"/>
          <w:b/>
          <w:bCs/>
          <w:sz w:val="24"/>
        </w:rPr>
        <w:t>本项目水平衡图如下：</w:t>
      </w:r>
    </w:p>
    <w:p>
      <w:pPr>
        <w:widowControl/>
        <w:shd w:val="clear" w:color="auto" w:fill="FFFFFF"/>
        <w:snapToGrid w:val="0"/>
        <w:spacing w:line="360" w:lineRule="auto"/>
        <w:jc w:val="center"/>
        <w:rPr>
          <w:rFonts w:eastAsiaTheme="minorEastAsia"/>
          <w:b/>
          <w:bCs/>
          <w:sz w:val="24"/>
        </w:rPr>
      </w:pPr>
      <w:r>
        <w:object>
          <v:shape id="_x0000_i1025" o:spt="75" type="#_x0000_t75" style="height:311.1pt;width:375.6pt;" o:ole="t" filled="f" o:preferrelative="t" stroked="f" coordsize="21600,21600">
            <v:path/>
            <v:fill on="f" focussize="0,0"/>
            <v:stroke on="f" joinstyle="miter"/>
            <v:imagedata r:id="rId22" o:title=""/>
            <o:lock v:ext="edit" aspectratio="t"/>
            <w10:wrap type="none"/>
            <w10:anchorlock/>
          </v:shape>
          <o:OLEObject Type="Embed" ProgID="Visio.Drawing.11" ShapeID="_x0000_i1025" DrawAspect="Content" ObjectID="_1468075725" r:id="rId21">
            <o:LockedField>false</o:LockedField>
          </o:OLEObject>
        </w:object>
      </w:r>
    </w:p>
    <w:p>
      <w:pPr>
        <w:widowControl/>
        <w:shd w:val="clear" w:color="auto" w:fill="FFFFFF"/>
        <w:snapToGrid w:val="0"/>
        <w:spacing w:line="360" w:lineRule="auto"/>
        <w:jc w:val="center"/>
        <w:rPr>
          <w:rFonts w:eastAsiaTheme="minorEastAsia"/>
          <w:b/>
          <w:bCs/>
          <w:sz w:val="24"/>
          <w:u w:val="single"/>
        </w:rPr>
      </w:pPr>
      <w:r>
        <w:rPr>
          <w:rFonts w:eastAsiaTheme="minorEastAsia"/>
          <w:b/>
          <w:bCs/>
          <w:sz w:val="24"/>
          <w:u w:val="single"/>
        </w:rPr>
        <w:t>图4.3-1  拟建项目水平衡图  单位：m</w:t>
      </w:r>
      <w:r>
        <w:rPr>
          <w:rFonts w:eastAsiaTheme="minorEastAsia"/>
          <w:b/>
          <w:bCs/>
          <w:sz w:val="24"/>
          <w:u w:val="single"/>
          <w:vertAlign w:val="superscript"/>
        </w:rPr>
        <w:t>3</w:t>
      </w:r>
      <w:r>
        <w:rPr>
          <w:rFonts w:eastAsiaTheme="minorEastAsia"/>
          <w:b/>
          <w:bCs/>
          <w:sz w:val="24"/>
          <w:u w:val="single"/>
        </w:rPr>
        <w:t>/a</w:t>
      </w:r>
    </w:p>
    <w:p>
      <w:pPr>
        <w:pStyle w:val="4"/>
        <w:snapToGrid w:val="0"/>
        <w:spacing w:before="0" w:after="0" w:line="360" w:lineRule="auto"/>
        <w:rPr>
          <w:rFonts w:eastAsiaTheme="minorEastAsia"/>
          <w:kern w:val="0"/>
          <w:sz w:val="24"/>
        </w:rPr>
      </w:pPr>
      <w:r>
        <w:rPr>
          <w:rFonts w:eastAsiaTheme="minorEastAsia"/>
          <w:kern w:val="0"/>
          <w:sz w:val="24"/>
        </w:rPr>
        <w:t>4.3.3 通风及空调系统工程</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湘阴县中医医院应根据其所在地区的气象条件以及其各部门、各房间的功能要求，确定在全院或局部实施采暖与通风（自然与机械的），或一般空调，或净化空调。用散热器采暖的，应采用热水作为介质，不应采用蒸汽。散热器应作封闭装饰处理，凡是产生有味气味、水汽和潮湿作业的用房，必须设机械排风。湘阴县中医医院的通风与空调机应采用容易消毒、清洗，停机后容易保持干燥、无积水的专用医用通风空调机组。没有特殊要求不应在机组内安装紫外线灯等消毒装置。不得使用淋水式空气处理装置。空调机房位置设置和机组安置应考虑到机组的日常检查、维修及更新等因素，尽量将空调机设置在机房或技术夹层内，建议本项目采用节能型中央空调系统。施工设计时，根据各层用房的使用特点，可分层设置独立控制的空调系统。室外机放置在屋顶，不影响整个建筑物的立面效果，与建筑结构和谐配合。各层房间的机型根据房间自身的特点，结合装修，主要采用四面出风嵌入式室内机。</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制冷机房共设置2台离心式冷水机组，单台制冷量为3868kW；设置1台螺杆式冷水机组，单台制冷量为1406kW；当室外气象参数变化，出现部分负荷工况，可实现制冷机组台数控制，当出现极小负荷时可由螺杆式冷水机组实现极小负荷下的10~100%调节。冷却塔选用6台500m</w:t>
      </w:r>
      <w:r>
        <w:rPr>
          <w:rFonts w:eastAsiaTheme="minorEastAsia"/>
          <w:sz w:val="24"/>
          <w:vertAlign w:val="superscript"/>
        </w:rPr>
        <w:t>3</w:t>
      </w:r>
      <w:r>
        <w:rPr>
          <w:rFonts w:eastAsiaTheme="minorEastAsia"/>
          <w:sz w:val="24"/>
        </w:rPr>
        <w:t>/h，1台350m</w:t>
      </w:r>
      <w:r>
        <w:rPr>
          <w:rFonts w:eastAsiaTheme="minorEastAsia"/>
          <w:sz w:val="24"/>
          <w:vertAlign w:val="superscript"/>
        </w:rPr>
        <w:t>3</w:t>
      </w:r>
      <w:r>
        <w:rPr>
          <w:rFonts w:eastAsiaTheme="minorEastAsia"/>
          <w:sz w:val="24"/>
        </w:rPr>
        <w:t>/h的方形横流式冷却塔，冷却塔设置于门诊医技楼屋面；冷水供回水温度为7/13℃，冷却水供回水温度为37/32℃。</w:t>
      </w:r>
    </w:p>
    <w:p>
      <w:pPr>
        <w:pStyle w:val="4"/>
        <w:snapToGrid w:val="0"/>
        <w:spacing w:before="0" w:after="0" w:line="360" w:lineRule="auto"/>
        <w:rPr>
          <w:rFonts w:eastAsiaTheme="minorEastAsia"/>
          <w:kern w:val="0"/>
          <w:sz w:val="24"/>
        </w:rPr>
      </w:pPr>
      <w:r>
        <w:rPr>
          <w:rFonts w:eastAsiaTheme="minorEastAsia"/>
          <w:kern w:val="0"/>
          <w:sz w:val="24"/>
        </w:rPr>
        <w:t>4.3.4 电气工程</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湘阴县中医院供电宜采用二路电源。下列用房应有自备电源供电：手术室、产房、彩超室、B超室、配血室以及培养箱、冰箱、恒温箱和其他必须持续供电的精密医疗装备、各部门的消防和疏散设施。</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本项目需要安装变压器容量约2000kVA。需要安装SCB11-150kva 变压器两台。为了保证手术室等重要科室和电梯及消防通道等部位的连续供电，需要配备50kw发电机一台。 本项目的手术室、电梯及消防应急系统等部位为一级负荷，其余部位为二级负荷。</w:t>
      </w:r>
    </w:p>
    <w:p>
      <w:pPr>
        <w:pStyle w:val="4"/>
        <w:snapToGrid w:val="0"/>
        <w:spacing w:before="0" w:after="0" w:line="360" w:lineRule="auto"/>
        <w:rPr>
          <w:rFonts w:eastAsiaTheme="minorEastAsia"/>
          <w:kern w:val="0"/>
          <w:sz w:val="24"/>
        </w:rPr>
      </w:pPr>
      <w:r>
        <w:rPr>
          <w:rFonts w:eastAsiaTheme="minorEastAsia"/>
          <w:kern w:val="0"/>
          <w:sz w:val="24"/>
        </w:rPr>
        <w:t>4.3.5 消防工程</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本项目建筑防火等级为一类建筑，耐火等级为一级。</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室内消火栓的布置应符合下列要求：</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消火栓的布置应保证2股水柱同时到达任何位置，消火栓的首选位置是楼梯出口附近。</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本项目设置自动喷火系统，并应符合下列要求：设置自动喷水灭火系统的建筑物，除与水发生剧烈反应或不宜用水扑救的场所外的所有场所，均应设置自动喷水喷头。</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贵重设备房，如彩超室、X光检查室等贵重设备室，应设置七氟丙烷、一碘三氟甲烷和惰性气体等自动灭火系统。</w:t>
      </w:r>
    </w:p>
    <w:p>
      <w:pPr>
        <w:pStyle w:val="4"/>
        <w:snapToGrid w:val="0"/>
        <w:spacing w:before="0" w:after="0" w:line="360" w:lineRule="auto"/>
        <w:rPr>
          <w:rFonts w:eastAsiaTheme="minorEastAsia"/>
          <w:kern w:val="0"/>
          <w:sz w:val="24"/>
        </w:rPr>
      </w:pPr>
      <w:r>
        <w:rPr>
          <w:rFonts w:eastAsiaTheme="minorEastAsia"/>
          <w:kern w:val="0"/>
          <w:sz w:val="24"/>
        </w:rPr>
        <w:t>4.3.6 防雷</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项目建筑为二类防雷建构筑物，设置避雷带等，沿引下线接至地极，接地电阻R≤4欧。</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建筑物的防雷工程通常分为直击雷和感应雷两大部分。</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直击雷防御系统的主要组成部分为：接闪器（避雷针、避雷带）引下线接地网；感应雷防御系统的主要组成部分为：电磁蔽、电涌保护器、等电位联接。就本项目而言，整体防雷工程应从以下几个要素着手。</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（1）在湘阴县中医医院顶部安装5cm高的标准避雷针，且与女儿墙上 明设的避雷带四处连接，楼顶四角设独立的1M高避雷针，让雷电按指定的途径放入地，避免天线设备直接受雷电流而受损。</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（2）利用基础梁钢桩主筋作为接地极专设的避雷引下线引导强大的雷电流安全入地。</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（3）利用良好的接地网系统尽快地泄放雷电能量，降低雷电流的落地电位差，尽可能降低电位反击能量。</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（4）利用建筑物的钢筋凝土墙体、专用屏蔽罩及各种设备自身和金属屏蔽层，衰减雷击电磁脉冲产生的强大磁场对设备中的电子芯片的电磁危害。</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（5）利用等电位联接和相应的电涌保护器，在线路进机房的入口处，进行雷电能量拦截。使到达设备的雷电过电压，在设备可承受的范围之内。</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6）采用共地、等电位连接、地网均压环等措施。防止雷击电位差对设备的危害。就本项目而言，防直击雷工程部分需在各建筑物楼顶安装1个5米高避雷针，且与女儿墙上明高的避雷带四处连接，在楼顶四角设独立的1m高避雷针，并将连接后的避雷针及避雷带通过引下线接入地下。防感应雷工程部分需在建筑物内的关键用电部位和机房分别安装浪涌保护器。</w:t>
      </w:r>
    </w:p>
    <w:p>
      <w:pPr>
        <w:pStyle w:val="3"/>
        <w:snapToGrid w:val="0"/>
        <w:spacing w:before="0" w:after="0" w:line="360" w:lineRule="auto"/>
        <w:rPr>
          <w:rFonts w:ascii="Times New Roman" w:hAnsi="Times New Roman" w:eastAsiaTheme="minorEastAsia"/>
          <w:sz w:val="28"/>
        </w:rPr>
      </w:pPr>
      <w:bookmarkStart w:id="87" w:name="_Toc61026600"/>
      <w:r>
        <w:rPr>
          <w:rFonts w:ascii="Times New Roman" w:hAnsi="Times New Roman" w:eastAsiaTheme="minorEastAsia"/>
          <w:sz w:val="28"/>
        </w:rPr>
        <w:t xml:space="preserve">4.5 </w:t>
      </w:r>
      <w:r>
        <w:rPr>
          <w:rFonts w:ascii="Times New Roman" w:hAnsi="Times New Roman" w:eastAsiaTheme="minorEastAsia"/>
          <w:sz w:val="28"/>
          <w:lang w:val="zh-CN"/>
        </w:rPr>
        <w:t>施工期污染源分析</w:t>
      </w:r>
      <w:bookmarkEnd w:id="87"/>
    </w:p>
    <w:p>
      <w:pPr>
        <w:pStyle w:val="4"/>
        <w:snapToGrid w:val="0"/>
        <w:spacing w:before="0" w:after="0" w:line="360" w:lineRule="auto"/>
        <w:rPr>
          <w:rFonts w:eastAsiaTheme="minorEastAsia"/>
          <w:kern w:val="0"/>
          <w:sz w:val="24"/>
        </w:rPr>
      </w:pPr>
      <w:r>
        <w:rPr>
          <w:rFonts w:eastAsiaTheme="minorEastAsia"/>
          <w:kern w:val="0"/>
          <w:sz w:val="24"/>
        </w:rPr>
        <w:t>4.5.1 施工期工艺流程及产污环节</w:t>
      </w:r>
    </w:p>
    <w:p>
      <w:pPr>
        <w:snapToGrid w:val="0"/>
        <w:spacing w:line="360" w:lineRule="auto"/>
        <w:ind w:firstLine="480" w:firstLineChars="200"/>
        <w:rPr>
          <w:rFonts w:eastAsiaTheme="minorEastAsia"/>
          <w:sz w:val="24"/>
          <w:u w:val="single"/>
        </w:rPr>
      </w:pPr>
      <w:r>
        <w:rPr>
          <w:rFonts w:eastAsiaTheme="minorEastAsia"/>
          <w:sz w:val="24"/>
          <w:u w:val="single"/>
        </w:rPr>
        <w:t>根据现场调查，原湘阴县人民医院已全部搬走，未遗留</w:t>
      </w:r>
      <w:r>
        <w:rPr>
          <w:rFonts w:hint="eastAsia" w:eastAsiaTheme="minorEastAsia"/>
          <w:sz w:val="24"/>
          <w:u w:val="single"/>
        </w:rPr>
        <w:t>任何</w:t>
      </w:r>
      <w:r>
        <w:rPr>
          <w:rFonts w:eastAsiaTheme="minorEastAsia"/>
          <w:sz w:val="24"/>
          <w:u w:val="single"/>
        </w:rPr>
        <w:t>设备以及原有运营期间产生的废物，仅有一栋门诊楼、一栋住院大楼、七栋宿舍楼、一栋食堂楼等。由于现有门诊楼年久失修，建设单位拟将其拆除重建，仍设置为门诊楼，其余建筑均改造利用。此外，现有场地绿化植被较多，要求建设单位在搬迁建设期间，将大型植被先行移植待建设后重新移栽，以确保不破快当地绿化。</w:t>
      </w:r>
    </w:p>
    <w:p>
      <w:pPr>
        <w:snapToGrid w:val="0"/>
        <w:spacing w:line="360" w:lineRule="auto"/>
        <w:ind w:firstLine="480" w:firstLineChars="200"/>
        <w:rPr>
          <w:rFonts w:eastAsiaTheme="minorEastAsia"/>
          <w:sz w:val="24"/>
        </w:rPr>
      </w:pPr>
      <w:r>
        <w:rPr>
          <w:rFonts w:eastAsiaTheme="minorEastAsia"/>
          <w:sz w:val="24"/>
        </w:rPr>
        <w:t>本项目施工期内的主要污染因素有大气粉尘、施工废水、机械施工噪声、建筑垃圾、弃土及生态破坏、水土流失，根据项目可行性研究报告，本项目建设期约为17个月，项目施工期工艺流程及产污环节见图4-2。</w:t>
      </w:r>
    </w:p>
    <w:p>
      <w:pPr>
        <w:snapToGrid w:val="0"/>
        <w:jc w:val="center"/>
        <w:rPr>
          <w:rFonts w:eastAsiaTheme="minorEastAsia"/>
          <w:b/>
          <w:color w:val="FF0000"/>
          <w:szCs w:val="21"/>
        </w:rPr>
      </w:pPr>
      <w:r>
        <w:rPr>
          <w:rFonts w:eastAsiaTheme="minorEastAsia"/>
          <w:b/>
          <w:color w:val="FF0000"/>
          <w:szCs w:val="21"/>
        </w:rPr>
        <w:drawing>
          <wp:inline distT="0" distB="0" distL="0" distR="0">
            <wp:extent cx="4815840" cy="17995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cstate="print"/>
                    <a:stretch>
                      <a:fillRect/>
                    </a:stretch>
                  </pic:blipFill>
                  <pic:spPr>
                    <a:xfrm>
                      <a:off x="0" y="0"/>
                      <a:ext cx="4816352" cy="1800000"/>
                    </a:xfrm>
                    <a:prstGeom prst="rect">
                      <a:avLst/>
                    </a:prstGeom>
                  </pic:spPr>
                </pic:pic>
              </a:graphicData>
            </a:graphic>
          </wp:inline>
        </w:drawing>
      </w:r>
    </w:p>
    <w:p>
      <w:pPr>
        <w:snapToGrid w:val="0"/>
        <w:jc w:val="center"/>
        <w:rPr>
          <w:rFonts w:eastAsiaTheme="minorEastAsia"/>
          <w:b/>
          <w:sz w:val="24"/>
        </w:rPr>
      </w:pPr>
      <w:r>
        <w:rPr>
          <w:rFonts w:eastAsiaTheme="minorEastAsia"/>
          <w:b/>
          <w:sz w:val="24"/>
        </w:rPr>
        <w:t>图4.5-1    施工期流程及产污环节图</w:t>
      </w:r>
    </w:p>
    <w:p>
      <w:pPr>
        <w:pStyle w:val="4"/>
        <w:snapToGrid w:val="0"/>
        <w:spacing w:before="0" w:after="0" w:line="360" w:lineRule="auto"/>
        <w:rPr>
          <w:rFonts w:eastAsiaTheme="minorEastAsia"/>
          <w:kern w:val="0"/>
          <w:sz w:val="24"/>
        </w:rPr>
      </w:pPr>
      <w:r>
        <w:rPr>
          <w:rFonts w:eastAsiaTheme="minorEastAsia"/>
          <w:kern w:val="0"/>
          <w:sz w:val="24"/>
        </w:rPr>
        <w:t>4.5.2 施工期污染源分析</w:t>
      </w:r>
    </w:p>
    <w:p>
      <w:pPr>
        <w:snapToGrid w:val="0"/>
        <w:spacing w:line="360" w:lineRule="auto"/>
        <w:ind w:firstLine="482" w:firstLineChars="200"/>
        <w:rPr>
          <w:rFonts w:eastAsiaTheme="minorEastAsia"/>
          <w:b/>
          <w:sz w:val="24"/>
        </w:rPr>
      </w:pPr>
      <w:r>
        <w:rPr>
          <w:rFonts w:eastAsiaTheme="minorEastAsia"/>
          <w:b/>
          <w:sz w:val="24"/>
        </w:rPr>
        <w:t>一、施工期环境空气污染源</w:t>
      </w:r>
    </w:p>
    <w:p>
      <w:pPr>
        <w:snapToGrid w:val="0"/>
        <w:spacing w:line="360" w:lineRule="auto"/>
        <w:ind w:firstLine="480" w:firstLineChars="200"/>
        <w:rPr>
          <w:rFonts w:eastAsiaTheme="minorEastAsia"/>
          <w:sz w:val="24"/>
        </w:rPr>
      </w:pPr>
      <w:r>
        <w:rPr>
          <w:rFonts w:eastAsiaTheme="minorEastAsia"/>
          <w:sz w:val="24"/>
        </w:rPr>
        <w:t>施工期影响环境空气质量的主要是施工扬尘及施工设备、运输设备产生的汽车废气等，另外装修阶段产生的有机废气。</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扬尘</w:t>
      </w:r>
    </w:p>
    <w:p>
      <w:pPr>
        <w:snapToGrid w:val="0"/>
        <w:spacing w:line="360" w:lineRule="auto"/>
        <w:ind w:firstLine="480" w:firstLineChars="200"/>
        <w:rPr>
          <w:rFonts w:eastAsiaTheme="minorEastAsia"/>
          <w:sz w:val="24"/>
        </w:rPr>
      </w:pPr>
      <w:r>
        <w:rPr>
          <w:rFonts w:eastAsiaTheme="minorEastAsia"/>
          <w:sz w:val="24"/>
        </w:rPr>
        <w:t>扬尘主要来自门诊楼拆除、场地平整、地基开挖、推墙卸瓦、沙石料堆放、混凝土搅拌、建筑材料（白灰、水泥、沙子、石子、砖等）的现场搬运及堆放、施工垃圾的清理及堆放、运输车辆产生的道路扬尘。由于施工尘土的含水量比较低，颗粒较小，属于易飞扬的物料，影响范围随风速的加大会扩大影响范围。扬尘量与施工现场条件、管理水平、机械化程度及施工季节有关，是一个难以定量的问题。</w:t>
      </w:r>
    </w:p>
    <w:p>
      <w:pPr>
        <w:snapToGrid w:val="0"/>
        <w:spacing w:line="360" w:lineRule="auto"/>
        <w:ind w:firstLine="480" w:firstLineChars="200"/>
        <w:rPr>
          <w:rFonts w:eastAsiaTheme="minorEastAsia"/>
          <w:sz w:val="24"/>
        </w:rPr>
      </w:pPr>
      <w:r>
        <w:rPr>
          <w:rFonts w:eastAsiaTheme="minorEastAsia"/>
          <w:sz w:val="24"/>
        </w:rPr>
        <w:t>对建筑施工期扬尘，采用类比南方建筑施工工地扬尘实测资料进行综合分析，施工场地扬尘情况见下表。</w:t>
      </w:r>
    </w:p>
    <w:p>
      <w:pPr>
        <w:snapToGrid w:val="0"/>
        <w:spacing w:line="360" w:lineRule="auto"/>
        <w:jc w:val="center"/>
        <w:rPr>
          <w:rFonts w:eastAsiaTheme="minorEastAsia"/>
          <w:b/>
          <w:szCs w:val="21"/>
        </w:rPr>
      </w:pPr>
      <w:r>
        <w:rPr>
          <w:rFonts w:eastAsiaTheme="minorEastAsia"/>
          <w:b/>
          <w:sz w:val="24"/>
        </w:rPr>
        <w:t>表4.5-1  建筑施工工地扬尘污染情况</w:t>
      </w:r>
    </w:p>
    <w:p>
      <w:pPr>
        <w:snapToGrid w:val="0"/>
        <w:spacing w:line="360" w:lineRule="auto"/>
        <w:rPr>
          <w:rFonts w:eastAsiaTheme="minorEastAsia"/>
          <w:color w:val="FF0000"/>
          <w:sz w:val="24"/>
        </w:rPr>
      </w:pPr>
      <w:r>
        <w:rPr>
          <w:rFonts w:eastAsiaTheme="minorEastAsia"/>
          <w:color w:val="FF0000"/>
        </w:rPr>
        <w:drawing>
          <wp:inline distT="0" distB="0" distL="0" distR="0">
            <wp:extent cx="5837555" cy="7550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cstate="print"/>
                    <a:stretch>
                      <a:fillRect/>
                    </a:stretch>
                  </pic:blipFill>
                  <pic:spPr>
                    <a:xfrm>
                      <a:off x="0" y="0"/>
                      <a:ext cx="5856272" cy="757791"/>
                    </a:xfrm>
                    <a:prstGeom prst="rect">
                      <a:avLst/>
                    </a:prstGeom>
                  </pic:spPr>
                </pic:pic>
              </a:graphicData>
            </a:graphic>
          </wp:inline>
        </w:drawing>
      </w:r>
    </w:p>
    <w:p>
      <w:pPr>
        <w:snapToGrid w:val="0"/>
        <w:spacing w:line="360" w:lineRule="auto"/>
        <w:jc w:val="center"/>
        <w:rPr>
          <w:rFonts w:eastAsiaTheme="minorEastAsia"/>
          <w:b/>
          <w:sz w:val="24"/>
        </w:rPr>
      </w:pPr>
      <w:r>
        <w:rPr>
          <w:rFonts w:eastAsiaTheme="minorEastAsia"/>
          <w:b/>
          <w:sz w:val="24"/>
        </w:rPr>
        <w:t>表4.5-2  施工现场大气TSP浓度变化表</w:t>
      </w:r>
    </w:p>
    <w:p>
      <w:pPr>
        <w:snapToGrid w:val="0"/>
        <w:spacing w:line="360" w:lineRule="auto"/>
        <w:jc w:val="center"/>
        <w:rPr>
          <w:rFonts w:eastAsiaTheme="minorEastAsia"/>
          <w:color w:val="FF0000"/>
          <w:sz w:val="24"/>
        </w:rPr>
      </w:pPr>
      <w:r>
        <w:rPr>
          <w:rFonts w:eastAsiaTheme="minorEastAsia"/>
          <w:color w:val="FF0000"/>
        </w:rPr>
        <w:drawing>
          <wp:inline distT="0" distB="0" distL="0" distR="0">
            <wp:extent cx="5837555" cy="6108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stretch>
                      <a:fillRect/>
                    </a:stretch>
                  </pic:blipFill>
                  <pic:spPr>
                    <a:xfrm>
                      <a:off x="0" y="0"/>
                      <a:ext cx="5872636" cy="615137"/>
                    </a:xfrm>
                    <a:prstGeom prst="rect">
                      <a:avLst/>
                    </a:prstGeom>
                  </pic:spPr>
                </pic:pic>
              </a:graphicData>
            </a:graphic>
          </wp:inline>
        </w:drawing>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装修产生的有机废气</w:t>
      </w:r>
    </w:p>
    <w:p>
      <w:pPr>
        <w:snapToGrid w:val="0"/>
        <w:spacing w:line="360" w:lineRule="auto"/>
        <w:ind w:firstLine="480" w:firstLineChars="200"/>
        <w:rPr>
          <w:rFonts w:eastAsiaTheme="minorEastAsia"/>
          <w:sz w:val="24"/>
        </w:rPr>
      </w:pPr>
      <w:r>
        <w:rPr>
          <w:rFonts w:eastAsiaTheme="minorEastAsia"/>
          <w:sz w:val="24"/>
        </w:rPr>
        <w:t>建设期的其它废气主要来自墙体的粉刷及内屋的装修所用的涂料和油漆中的有机废气，属无组织排放。其主要成份为乙酸乙酯、乙酸丁酯、正丁酯、甲醛、甲苯、二甲苯、苯等，成份复杂。由于各类用房的性质不同，所以油漆的消耗量也不相同，再加上装修的时间有先后，因此该废气的排放对周围环境的影响也较难预测。本报告书只对该废气作一般性估算。</w:t>
      </w:r>
    </w:p>
    <w:p>
      <w:pPr>
        <w:snapToGrid w:val="0"/>
        <w:spacing w:line="360" w:lineRule="auto"/>
        <w:ind w:firstLine="480" w:firstLineChars="200"/>
        <w:rPr>
          <w:rFonts w:eastAsiaTheme="minorEastAsia"/>
          <w:sz w:val="24"/>
        </w:rPr>
      </w:pPr>
      <w:r>
        <w:rPr>
          <w:rFonts w:eastAsiaTheme="minorEastAsia"/>
          <w:sz w:val="24"/>
        </w:rPr>
        <w:t>据多家装修公司的调查统计，一般情况下使用面积70m</w:t>
      </w:r>
      <w:r>
        <w:rPr>
          <w:rFonts w:eastAsiaTheme="minorEastAsia"/>
          <w:sz w:val="24"/>
          <w:vertAlign w:val="superscript"/>
        </w:rPr>
        <w:t>2</w:t>
      </w:r>
      <w:r>
        <w:rPr>
          <w:rFonts w:eastAsiaTheme="minorEastAsia"/>
          <w:sz w:val="24"/>
        </w:rPr>
        <w:t>的家庭装修时需消耗香蕉水5kg，油漆10组份左右(包括地板漆、墙面漆、家具漆等)，每组份油漆约7kg。香蕉水的成份主要为：乙酸乙酯(15%)、乙酸丁酯(15%)、正丁醇(10～15%)、乙醇(10%)、丙酮(5～10%)、苯或甲苯(20%)、二甲苯(20%)。油漆的成份比较复杂，随不同的种类和厂家而不同。油漆时产生的废气中主要污染因子为二甲苯和甲苯，此外还有溶剂汽油、丁醇、丙酮等。油漆在油漆过程挥发成废气的含量约为油漆量的10%，该废气中含甲苯和二甲苯的含量约为20%。</w:t>
      </w:r>
    </w:p>
    <w:p>
      <w:pPr>
        <w:snapToGrid w:val="0"/>
        <w:spacing w:line="360" w:lineRule="auto"/>
        <w:ind w:firstLine="480" w:firstLineChars="200"/>
        <w:rPr>
          <w:rFonts w:eastAsiaTheme="minorEastAsia"/>
          <w:sz w:val="24"/>
        </w:rPr>
      </w:pPr>
      <w:r>
        <w:rPr>
          <w:rFonts w:eastAsiaTheme="minorEastAsia"/>
          <w:sz w:val="24"/>
        </w:rPr>
        <w:t>本项目工程新建建筑面积共59100m</w:t>
      </w:r>
      <w:r>
        <w:rPr>
          <w:rFonts w:eastAsiaTheme="minorEastAsia"/>
          <w:sz w:val="24"/>
          <w:vertAlign w:val="superscript"/>
        </w:rPr>
        <w:t>2</w:t>
      </w:r>
      <w:r>
        <w:rPr>
          <w:rFonts w:eastAsiaTheme="minorEastAsia"/>
          <w:sz w:val="24"/>
        </w:rPr>
        <w:t>，</w:t>
      </w:r>
      <w:r>
        <w:rPr>
          <w:rFonts w:eastAsiaTheme="minorEastAsia"/>
          <w:sz w:val="24"/>
          <w:u w:val="single"/>
        </w:rPr>
        <w:t>其装修按建筑面积100m</w:t>
      </w:r>
      <w:r>
        <w:rPr>
          <w:rFonts w:eastAsiaTheme="minorEastAsia"/>
          <w:sz w:val="24"/>
          <w:u w:val="single"/>
          <w:vertAlign w:val="superscript"/>
        </w:rPr>
        <w:t>2</w:t>
      </w:r>
      <w:r>
        <w:rPr>
          <w:rFonts w:eastAsiaTheme="minorEastAsia"/>
          <w:sz w:val="24"/>
          <w:u w:val="single"/>
        </w:rPr>
        <w:t>消耗油漆1</w:t>
      </w:r>
      <w:r>
        <w:rPr>
          <w:rFonts w:hint="eastAsia" w:eastAsiaTheme="minorEastAsia"/>
          <w:sz w:val="24"/>
          <w:u w:val="single"/>
        </w:rPr>
        <w:t>kg</w:t>
      </w:r>
      <w:r>
        <w:rPr>
          <w:rFonts w:eastAsiaTheme="minorEastAsia"/>
          <w:sz w:val="24"/>
          <w:u w:val="single"/>
        </w:rPr>
        <w:t>，香蕉水</w:t>
      </w:r>
      <w:r>
        <w:rPr>
          <w:rFonts w:hint="eastAsia" w:eastAsiaTheme="minorEastAsia"/>
          <w:sz w:val="24"/>
          <w:u w:val="single"/>
        </w:rPr>
        <w:t>0.</w:t>
      </w:r>
      <w:r>
        <w:rPr>
          <w:rFonts w:eastAsiaTheme="minorEastAsia"/>
          <w:sz w:val="24"/>
          <w:u w:val="single"/>
        </w:rPr>
        <w:t>5kg计，即需消耗油漆</w:t>
      </w:r>
      <w:r>
        <w:rPr>
          <w:rFonts w:hint="eastAsia" w:eastAsiaTheme="minorEastAsia"/>
          <w:sz w:val="24"/>
          <w:u w:val="single"/>
        </w:rPr>
        <w:t>5910</w:t>
      </w:r>
      <w:r>
        <w:rPr>
          <w:rFonts w:eastAsiaTheme="minorEastAsia"/>
          <w:sz w:val="24"/>
          <w:u w:val="single"/>
        </w:rPr>
        <w:t>kg，香蕉水约</w:t>
      </w:r>
      <w:r>
        <w:rPr>
          <w:rFonts w:hint="eastAsia" w:eastAsiaTheme="minorEastAsia"/>
          <w:sz w:val="24"/>
          <w:u w:val="single"/>
        </w:rPr>
        <w:t>2955</w:t>
      </w:r>
      <w:r>
        <w:rPr>
          <w:rFonts w:eastAsiaTheme="minorEastAsia"/>
          <w:sz w:val="24"/>
          <w:u w:val="single"/>
        </w:rPr>
        <w:t>kg。因此装修期间需向周围空气环境排放甲苯和二甲苯73kg。</w:t>
      </w:r>
      <w:r>
        <w:rPr>
          <w:rFonts w:hint="eastAsia" w:eastAsiaTheme="minorEastAsia"/>
          <w:sz w:val="24"/>
          <w:u w:val="single"/>
        </w:rPr>
        <w:t>因本工程相对较大，环评要求建设单位均采用符合相关标准要求的环保漆，尽可能减轻因甲苯等物质释放对周边环境的影响。其次，</w:t>
      </w:r>
      <w:r>
        <w:rPr>
          <w:rFonts w:eastAsiaTheme="minorEastAsia"/>
          <w:sz w:val="24"/>
        </w:rPr>
        <w:t>由于装修期相对较长，油漆废气的释放较缓慢，对周围环境影响不大。</w:t>
      </w:r>
    </w:p>
    <w:p>
      <w:pPr>
        <w:snapToGrid w:val="0"/>
        <w:spacing w:line="360" w:lineRule="auto"/>
        <w:ind w:firstLine="480" w:firstLineChars="200"/>
        <w:rPr>
          <w:rFonts w:eastAsiaTheme="minorEastAsia"/>
          <w:sz w:val="24"/>
        </w:rPr>
      </w:pPr>
      <w:r>
        <w:rPr>
          <w:rFonts w:eastAsiaTheme="minorEastAsia"/>
          <w:sz w:val="24"/>
        </w:rPr>
        <w:t>建设过程的施工期扬尘等对敏感点的影响主要集中在项目东面的湘阴县育才幼儿园，南侧湘阴县左宗棠中学以及靠近本项目的居民区。建设期拟采用建设防尘网和洒水降尘措施，但仍无法避免会有粉尘产生，但施工过程属暂时性质，施工完成后，粉尘污染也基本消失。</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车辆尾气</w:t>
      </w:r>
    </w:p>
    <w:p>
      <w:pPr>
        <w:snapToGrid w:val="0"/>
        <w:spacing w:line="360" w:lineRule="auto"/>
        <w:ind w:firstLine="480" w:firstLineChars="200"/>
        <w:rPr>
          <w:rFonts w:eastAsiaTheme="minorEastAsia"/>
          <w:sz w:val="24"/>
        </w:rPr>
      </w:pPr>
      <w:r>
        <w:rPr>
          <w:rFonts w:eastAsiaTheme="minorEastAsia"/>
          <w:sz w:val="24"/>
        </w:rPr>
        <w:t>施工期间燃油机械、运输车辆使用较频繁，燃油机械及运输汽车尾气排放量较大，排放的尾气污染物主要有一氧化碳、碳氢化合物、氮氧化合物、颗粒物（包括碳烟、硫酸盐、铅氧化物等）等。</w:t>
      </w:r>
    </w:p>
    <w:p>
      <w:pPr>
        <w:snapToGrid w:val="0"/>
        <w:spacing w:line="360" w:lineRule="auto"/>
        <w:ind w:firstLine="480" w:firstLineChars="200"/>
        <w:rPr>
          <w:rFonts w:eastAsiaTheme="minorEastAsia"/>
          <w:sz w:val="24"/>
        </w:rPr>
      </w:pPr>
      <w:r>
        <w:rPr>
          <w:rFonts w:eastAsiaTheme="minorEastAsia"/>
          <w:sz w:val="24"/>
        </w:rPr>
        <w:t>若工程施工机械及用车以20辆（台）计，以每车（台）1天耗油50L计算，则施工车辆（机械）每天排放的尾气中含一氧化碳27kg，碳氢化合物4.44kg，氮氧化合物4.44kg，二氧化硫3.24kg。</w:t>
      </w:r>
    </w:p>
    <w:p>
      <w:pPr>
        <w:snapToGrid w:val="0"/>
        <w:spacing w:line="360" w:lineRule="auto"/>
        <w:ind w:firstLine="482" w:firstLineChars="200"/>
        <w:rPr>
          <w:rFonts w:eastAsiaTheme="minorEastAsia"/>
          <w:b/>
          <w:sz w:val="24"/>
        </w:rPr>
      </w:pPr>
      <w:r>
        <w:rPr>
          <w:rFonts w:eastAsiaTheme="minorEastAsia"/>
          <w:b/>
          <w:sz w:val="24"/>
        </w:rPr>
        <w:t>二、施工期水环境污染源</w:t>
      </w:r>
    </w:p>
    <w:p>
      <w:pPr>
        <w:snapToGrid w:val="0"/>
        <w:spacing w:line="360" w:lineRule="auto"/>
        <w:ind w:firstLine="480" w:firstLineChars="200"/>
        <w:rPr>
          <w:rFonts w:eastAsiaTheme="minorEastAsia"/>
          <w:sz w:val="24"/>
        </w:rPr>
      </w:pPr>
      <w:r>
        <w:rPr>
          <w:rFonts w:eastAsiaTheme="minorEastAsia"/>
          <w:sz w:val="24"/>
        </w:rPr>
        <w:t>施工期的污水包括施工作业产生的生产废水、车辆清洗废水和施工人员生活污水，项目建设期间不同时段施工人员不尽相同。</w:t>
      </w:r>
    </w:p>
    <w:p>
      <w:pPr>
        <w:pStyle w:val="758"/>
        <w:numPr>
          <w:ilvl w:val="0"/>
          <w:numId w:val="2"/>
        </w:numPr>
        <w:snapToGrid w:val="0"/>
        <w:spacing w:line="360" w:lineRule="auto"/>
        <w:ind w:firstLineChars="0"/>
        <w:rPr>
          <w:rFonts w:ascii="Times New Roman" w:hAnsi="Times New Roman" w:eastAsiaTheme="minorEastAsia"/>
          <w:sz w:val="24"/>
        </w:rPr>
      </w:pPr>
      <w:r>
        <w:rPr>
          <w:rFonts w:ascii="Times New Roman" w:hAnsi="Times New Roman" w:eastAsiaTheme="minorEastAsia"/>
          <w:sz w:val="24"/>
        </w:rPr>
        <w:t>施工作业废水</w:t>
      </w:r>
    </w:p>
    <w:p>
      <w:pPr>
        <w:snapToGrid w:val="0"/>
        <w:spacing w:line="360" w:lineRule="auto"/>
        <w:ind w:firstLine="480" w:firstLineChars="200"/>
        <w:rPr>
          <w:rFonts w:eastAsiaTheme="minorEastAsia"/>
          <w:sz w:val="24"/>
        </w:rPr>
      </w:pPr>
      <w:r>
        <w:rPr>
          <w:rFonts w:eastAsiaTheme="minorEastAsia"/>
          <w:sz w:val="24"/>
        </w:rPr>
        <w:t>地基开挖、施工车辆的碾压，都会对地表和植被产生较大破坏，极容易产生水土流失。施工机械、渣土及材料运输车辆在运行和维修及外表的清洗中产生的少量含油污泥沙废水，其中主要污染物浓度一般为COD：25～200mg/L、石油类：10～30mg/L、SS：500～4000mg/L。此外，混凝土的浇注或混凝土物件养护过程中有少量含悬浮物废水排放，这部分废水对环境影响主要在于使地表水中的SS量增加。施工期施工废水经隔油沉淀后循环使用。</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施工人员生活污水</w:t>
      </w:r>
    </w:p>
    <w:p>
      <w:pPr>
        <w:snapToGrid w:val="0"/>
        <w:spacing w:line="360" w:lineRule="auto"/>
        <w:ind w:firstLine="480" w:firstLineChars="200"/>
        <w:rPr>
          <w:rFonts w:eastAsiaTheme="minorEastAsia"/>
          <w:sz w:val="24"/>
        </w:rPr>
      </w:pPr>
      <w:r>
        <w:rPr>
          <w:rFonts w:eastAsiaTheme="minorEastAsia"/>
          <w:sz w:val="24"/>
        </w:rPr>
        <w:t>施工人员产生的生活污水，主要来自临时食堂、浴室、厕所等。项目地块内设置有活动板房作为指挥部，施工人员生活安排在指挥部内。生活污水主要成份为COD、BOD</w:t>
      </w:r>
      <w:r>
        <w:rPr>
          <w:rFonts w:eastAsiaTheme="minorEastAsia"/>
          <w:sz w:val="24"/>
          <w:vertAlign w:val="subscript"/>
        </w:rPr>
        <w:t>5</w:t>
      </w:r>
      <w:r>
        <w:rPr>
          <w:rFonts w:eastAsiaTheme="minorEastAsia"/>
          <w:sz w:val="24"/>
        </w:rPr>
        <w:t>、NH</w:t>
      </w:r>
      <w:r>
        <w:rPr>
          <w:rFonts w:eastAsiaTheme="minorEastAsia"/>
          <w:sz w:val="24"/>
          <w:vertAlign w:val="subscript"/>
        </w:rPr>
        <w:t>3</w:t>
      </w:r>
      <w:r>
        <w:rPr>
          <w:rFonts w:eastAsiaTheme="minorEastAsia"/>
          <w:sz w:val="24"/>
        </w:rPr>
        <w:t>-N等有机物。施工人员每天生活用水量按100L计算，高峰期施工人员200人计，用水量约20m</w:t>
      </w:r>
      <w:r>
        <w:rPr>
          <w:rFonts w:eastAsiaTheme="minorEastAsia"/>
          <w:sz w:val="24"/>
          <w:vertAlign w:val="superscript"/>
        </w:rPr>
        <w:t>3</w:t>
      </w:r>
      <w:r>
        <w:rPr>
          <w:rFonts w:eastAsiaTheme="minorEastAsia"/>
          <w:sz w:val="24"/>
        </w:rPr>
        <w:t>/d，排水量以用水量的0.8计，则施工人员生活污水排放量为16m3/d，主要污染物浓度一般为COD：50～250mg/L，BOD</w:t>
      </w:r>
      <w:r>
        <w:rPr>
          <w:rFonts w:eastAsiaTheme="minorEastAsia"/>
          <w:sz w:val="24"/>
          <w:vertAlign w:val="subscript"/>
        </w:rPr>
        <w:t>5</w:t>
      </w:r>
      <w:r>
        <w:rPr>
          <w:rFonts w:eastAsiaTheme="minorEastAsia"/>
          <w:sz w:val="24"/>
        </w:rPr>
        <w:t>：25~150mg/L，NH</w:t>
      </w:r>
      <w:r>
        <w:rPr>
          <w:rFonts w:eastAsiaTheme="minorEastAsia"/>
          <w:sz w:val="24"/>
          <w:vertAlign w:val="subscript"/>
        </w:rPr>
        <w:t>3</w:t>
      </w:r>
      <w:r>
        <w:rPr>
          <w:rFonts w:eastAsiaTheme="minorEastAsia"/>
          <w:sz w:val="24"/>
        </w:rPr>
        <w:t>-N15-30mg/L。</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地下渗水及下雨形成的泥浆水和基坑积水</w:t>
      </w:r>
    </w:p>
    <w:p>
      <w:pPr>
        <w:snapToGrid w:val="0"/>
        <w:spacing w:line="360" w:lineRule="auto"/>
        <w:ind w:firstLine="480" w:firstLineChars="200"/>
        <w:rPr>
          <w:rFonts w:eastAsiaTheme="minorEastAsia"/>
          <w:sz w:val="24"/>
        </w:rPr>
      </w:pPr>
      <w:r>
        <w:rPr>
          <w:rFonts w:eastAsiaTheme="minorEastAsia"/>
          <w:sz w:val="24"/>
        </w:rPr>
        <w:t>地下渗水及下雨形成的泥浆水和基坑积水受到地下水位、气候等条件影响较大，通常无法预计，根据同类施工工程施工排水经验，主要污染物为SS，浓度为800～4000mg/L。</w:t>
      </w:r>
    </w:p>
    <w:p>
      <w:pPr>
        <w:snapToGrid w:val="0"/>
        <w:spacing w:line="360" w:lineRule="auto"/>
        <w:ind w:firstLine="482" w:firstLineChars="200"/>
        <w:rPr>
          <w:rFonts w:eastAsiaTheme="minorEastAsia"/>
          <w:b/>
          <w:sz w:val="24"/>
        </w:rPr>
      </w:pPr>
      <w:r>
        <w:rPr>
          <w:rFonts w:eastAsiaTheme="minorEastAsia"/>
          <w:b/>
          <w:sz w:val="24"/>
        </w:rPr>
        <w:t>三、施工期噪声污染源</w:t>
      </w:r>
    </w:p>
    <w:p>
      <w:pPr>
        <w:snapToGrid w:val="0"/>
        <w:spacing w:line="360" w:lineRule="auto"/>
        <w:ind w:firstLine="480" w:firstLineChars="200"/>
        <w:rPr>
          <w:rFonts w:eastAsiaTheme="minorEastAsia"/>
          <w:sz w:val="24"/>
        </w:rPr>
      </w:pPr>
      <w:r>
        <w:rPr>
          <w:rFonts w:eastAsiaTheme="minorEastAsia"/>
          <w:sz w:val="24"/>
        </w:rPr>
        <w:t>施工期间的噪声主要来自施工机械和运输车辆的噪声，施工期噪声具有阶段性、临时性和不固定性的特征。不同的施工设备产生的机械噪声声级见下表。</w:t>
      </w:r>
    </w:p>
    <w:p>
      <w:pPr>
        <w:snapToGrid w:val="0"/>
        <w:spacing w:line="360" w:lineRule="auto"/>
        <w:jc w:val="center"/>
        <w:rPr>
          <w:rFonts w:eastAsiaTheme="minorEastAsia"/>
          <w:b/>
          <w:sz w:val="24"/>
        </w:rPr>
      </w:pPr>
      <w:r>
        <w:rPr>
          <w:rFonts w:eastAsiaTheme="minorEastAsia"/>
          <w:b/>
          <w:sz w:val="24"/>
        </w:rPr>
        <w:t>表4.5-3  施工机械及其噪声源强</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57"/>
        <w:gridCol w:w="43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tcBorders>
              <w:tl2br w:val="single" w:color="auto" w:sz="4" w:space="0"/>
            </w:tcBorders>
            <w:vAlign w:val="center"/>
          </w:tcPr>
          <w:p>
            <w:pPr>
              <w:snapToGrid w:val="0"/>
              <w:ind w:firstLine="1739" w:firstLineChars="825"/>
              <w:jc w:val="center"/>
              <w:rPr>
                <w:rFonts w:eastAsiaTheme="minorEastAsia"/>
                <w:b/>
                <w:szCs w:val="21"/>
              </w:rPr>
            </w:pPr>
            <w:r>
              <w:rPr>
                <w:rFonts w:eastAsiaTheme="minorEastAsia"/>
                <w:b/>
                <w:szCs w:val="21"/>
              </w:rPr>
              <w:t>距离</w:t>
            </w:r>
          </w:p>
          <w:p>
            <w:pPr>
              <w:snapToGrid w:val="0"/>
              <w:ind w:left="-2" w:leftChars="-789" w:hanging="1655" w:hangingChars="785"/>
              <w:jc w:val="center"/>
              <w:rPr>
                <w:rFonts w:eastAsiaTheme="minorEastAsia"/>
                <w:b/>
                <w:szCs w:val="21"/>
              </w:rPr>
            </w:pPr>
            <w:r>
              <w:rPr>
                <w:rFonts w:eastAsiaTheme="minorEastAsia"/>
                <w:b/>
                <w:szCs w:val="21"/>
              </w:rPr>
              <w:t>机械类型</w:t>
            </w:r>
          </w:p>
        </w:tc>
        <w:tc>
          <w:tcPr>
            <w:tcW w:w="4644" w:type="dxa"/>
            <w:vAlign w:val="center"/>
          </w:tcPr>
          <w:p>
            <w:pPr>
              <w:snapToGrid w:val="0"/>
              <w:jc w:val="center"/>
              <w:rPr>
                <w:rFonts w:eastAsiaTheme="minorEastAsia"/>
                <w:b/>
                <w:szCs w:val="21"/>
              </w:rPr>
            </w:pPr>
            <w:r>
              <w:rPr>
                <w:rFonts w:eastAsiaTheme="minorEastAsia"/>
                <w:b/>
                <w:szCs w:val="21"/>
              </w:rPr>
              <w:t>5m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振捣机</w:t>
            </w:r>
          </w:p>
        </w:tc>
        <w:tc>
          <w:tcPr>
            <w:tcW w:w="4644" w:type="dxa"/>
            <w:vAlign w:val="center"/>
          </w:tcPr>
          <w:p>
            <w:pPr>
              <w:snapToGrid w:val="0"/>
              <w:jc w:val="center"/>
              <w:rPr>
                <w:rFonts w:eastAsiaTheme="minorEastAsia"/>
                <w:szCs w:val="21"/>
              </w:rPr>
            </w:pPr>
            <w:r>
              <w:rPr>
                <w:rFonts w:eastAsiaTheme="minorEastAsia"/>
                <w:szCs w:val="21"/>
              </w:rPr>
              <w:t>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轮式装载机</w:t>
            </w:r>
          </w:p>
        </w:tc>
        <w:tc>
          <w:tcPr>
            <w:tcW w:w="4644" w:type="dxa"/>
            <w:vAlign w:val="center"/>
          </w:tcPr>
          <w:p>
            <w:pPr>
              <w:snapToGrid w:val="0"/>
              <w:jc w:val="center"/>
              <w:rPr>
                <w:rFonts w:eastAsiaTheme="minorEastAsia"/>
                <w:szCs w:val="21"/>
              </w:rPr>
            </w:pPr>
            <w:r>
              <w:rPr>
                <w:rFonts w:eastAsiaTheme="minorEastAsia"/>
                <w:szCs w:val="21"/>
              </w:rPr>
              <w:t>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卡车</w:t>
            </w:r>
          </w:p>
        </w:tc>
        <w:tc>
          <w:tcPr>
            <w:tcW w:w="4644" w:type="dxa"/>
            <w:vAlign w:val="center"/>
          </w:tcPr>
          <w:p>
            <w:pPr>
              <w:snapToGrid w:val="0"/>
              <w:jc w:val="center"/>
              <w:rPr>
                <w:rFonts w:eastAsiaTheme="minorEastAsia"/>
                <w:szCs w:val="21"/>
              </w:rPr>
            </w:pPr>
            <w:r>
              <w:rPr>
                <w:rFonts w:eastAsiaTheme="minorEastAsia"/>
                <w:szCs w:val="21"/>
              </w:rPr>
              <w:t>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移动式吊车</w:t>
            </w:r>
          </w:p>
        </w:tc>
        <w:tc>
          <w:tcPr>
            <w:tcW w:w="4644" w:type="dxa"/>
            <w:vAlign w:val="center"/>
          </w:tcPr>
          <w:p>
            <w:pPr>
              <w:snapToGrid w:val="0"/>
              <w:jc w:val="center"/>
              <w:rPr>
                <w:rFonts w:eastAsiaTheme="minorEastAsia"/>
                <w:szCs w:val="21"/>
              </w:rPr>
            </w:pPr>
            <w:r>
              <w:rPr>
                <w:rFonts w:eastAsiaTheme="minorEastAsia"/>
                <w:szCs w:val="21"/>
              </w:rPr>
              <w:t>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气动扳手</w:t>
            </w:r>
          </w:p>
        </w:tc>
        <w:tc>
          <w:tcPr>
            <w:tcW w:w="4644" w:type="dxa"/>
            <w:vAlign w:val="center"/>
          </w:tcPr>
          <w:p>
            <w:pPr>
              <w:snapToGrid w:val="0"/>
              <w:jc w:val="center"/>
              <w:rPr>
                <w:rFonts w:eastAsiaTheme="minorEastAsia"/>
                <w:szCs w:val="21"/>
              </w:rPr>
            </w:pPr>
            <w:r>
              <w:rPr>
                <w:rFonts w:eastAsiaTheme="minorEastAsia"/>
                <w:szCs w:val="21"/>
              </w:rPr>
              <w:t>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夯土机</w:t>
            </w:r>
          </w:p>
        </w:tc>
        <w:tc>
          <w:tcPr>
            <w:tcW w:w="4644" w:type="dxa"/>
            <w:vAlign w:val="center"/>
          </w:tcPr>
          <w:p>
            <w:pPr>
              <w:snapToGrid w:val="0"/>
              <w:jc w:val="center"/>
              <w:rPr>
                <w:rFonts w:eastAsiaTheme="minorEastAsia"/>
                <w:szCs w:val="21"/>
              </w:rPr>
            </w:pPr>
            <w:r>
              <w:rPr>
                <w:rFonts w:eastAsiaTheme="minorEastAsia"/>
                <w:szCs w:val="21"/>
              </w:rPr>
              <w:t>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铲土机</w:t>
            </w:r>
          </w:p>
        </w:tc>
        <w:tc>
          <w:tcPr>
            <w:tcW w:w="4644" w:type="dxa"/>
            <w:vAlign w:val="center"/>
          </w:tcPr>
          <w:p>
            <w:pPr>
              <w:snapToGrid w:val="0"/>
              <w:jc w:val="center"/>
              <w:rPr>
                <w:rFonts w:eastAsiaTheme="minorEastAsia"/>
                <w:szCs w:val="21"/>
              </w:rPr>
            </w:pPr>
            <w:r>
              <w:rPr>
                <w:rFonts w:eastAsiaTheme="minorEastAsia"/>
                <w:szCs w:val="21"/>
              </w:rPr>
              <w:t>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推土机</w:t>
            </w:r>
          </w:p>
        </w:tc>
        <w:tc>
          <w:tcPr>
            <w:tcW w:w="4644" w:type="dxa"/>
            <w:vAlign w:val="center"/>
          </w:tcPr>
          <w:p>
            <w:pPr>
              <w:snapToGrid w:val="0"/>
              <w:jc w:val="center"/>
              <w:rPr>
                <w:rFonts w:eastAsiaTheme="minorEastAsia"/>
                <w:szCs w:val="21"/>
              </w:rPr>
            </w:pPr>
            <w:r>
              <w:rPr>
                <w:rFonts w:eastAsiaTheme="minorEastAsia"/>
                <w:szCs w:val="21"/>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钻土机</w:t>
            </w:r>
          </w:p>
        </w:tc>
        <w:tc>
          <w:tcPr>
            <w:tcW w:w="4644" w:type="dxa"/>
            <w:vAlign w:val="center"/>
          </w:tcPr>
          <w:p>
            <w:pPr>
              <w:snapToGrid w:val="0"/>
              <w:jc w:val="center"/>
              <w:rPr>
                <w:rFonts w:eastAsiaTheme="minorEastAsia"/>
                <w:szCs w:val="21"/>
              </w:rPr>
            </w:pPr>
            <w:r>
              <w:rPr>
                <w:rFonts w:eastAsiaTheme="minorEastAsia"/>
                <w:szCs w:val="21"/>
              </w:rPr>
              <w: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3" w:type="dxa"/>
            <w:vAlign w:val="center"/>
          </w:tcPr>
          <w:p>
            <w:pPr>
              <w:snapToGrid w:val="0"/>
              <w:jc w:val="center"/>
              <w:rPr>
                <w:rFonts w:eastAsiaTheme="minorEastAsia"/>
                <w:szCs w:val="21"/>
              </w:rPr>
            </w:pPr>
            <w:r>
              <w:rPr>
                <w:rFonts w:eastAsiaTheme="minorEastAsia"/>
                <w:szCs w:val="21"/>
              </w:rPr>
              <w:t>浇捣机</w:t>
            </w:r>
          </w:p>
        </w:tc>
        <w:tc>
          <w:tcPr>
            <w:tcW w:w="4644" w:type="dxa"/>
            <w:vAlign w:val="center"/>
          </w:tcPr>
          <w:p>
            <w:pPr>
              <w:snapToGrid w:val="0"/>
              <w:jc w:val="center"/>
              <w:rPr>
                <w:rFonts w:eastAsiaTheme="minorEastAsia"/>
                <w:szCs w:val="21"/>
              </w:rPr>
            </w:pPr>
            <w:r>
              <w:rPr>
                <w:rFonts w:eastAsiaTheme="minorEastAsia"/>
                <w:szCs w:val="21"/>
              </w:rPr>
              <w:t>92</w:t>
            </w:r>
          </w:p>
        </w:tc>
      </w:tr>
    </w:tbl>
    <w:p>
      <w:pPr>
        <w:snapToGrid w:val="0"/>
        <w:spacing w:line="360" w:lineRule="auto"/>
        <w:ind w:firstLine="482" w:firstLineChars="200"/>
        <w:rPr>
          <w:rFonts w:eastAsiaTheme="minorEastAsia"/>
          <w:b/>
          <w:sz w:val="24"/>
        </w:rPr>
      </w:pPr>
      <w:r>
        <w:rPr>
          <w:rFonts w:eastAsiaTheme="minorEastAsia"/>
          <w:b/>
          <w:sz w:val="24"/>
        </w:rPr>
        <w:t>四、施工期固体废物污染源</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建筑垃圾</w:t>
      </w:r>
    </w:p>
    <w:p>
      <w:pPr>
        <w:snapToGrid w:val="0"/>
        <w:spacing w:line="360" w:lineRule="auto"/>
        <w:ind w:firstLine="480" w:firstLineChars="200"/>
        <w:rPr>
          <w:rFonts w:eastAsiaTheme="minorEastAsia"/>
          <w:sz w:val="24"/>
        </w:rPr>
      </w:pPr>
      <w:r>
        <w:rPr>
          <w:rFonts w:eastAsiaTheme="minorEastAsia"/>
          <w:sz w:val="24"/>
        </w:rPr>
        <w:t>建筑垃圾主要包括施工过程产生的建筑垃圾（包括门诊大楼拆除、沙石、包装袋、碎木块、废水泥浇注体、碎玻璃、废金属等），根据《环境统计手册》，建筑垃圾产生系数约50kg/m</w:t>
      </w:r>
      <w:r>
        <w:rPr>
          <w:rFonts w:eastAsiaTheme="minorEastAsia"/>
          <w:sz w:val="24"/>
          <w:vertAlign w:val="superscript"/>
        </w:rPr>
        <w:t>2</w:t>
      </w:r>
      <w:r>
        <w:rPr>
          <w:rFonts w:eastAsiaTheme="minorEastAsia"/>
          <w:sz w:val="24"/>
        </w:rPr>
        <w:t>，本项目总建筑面积59100m</w:t>
      </w:r>
      <w:r>
        <w:rPr>
          <w:rFonts w:eastAsiaTheme="minorEastAsia"/>
          <w:sz w:val="24"/>
          <w:vertAlign w:val="superscript"/>
        </w:rPr>
        <w:t>2</w:t>
      </w:r>
      <w:r>
        <w:rPr>
          <w:rFonts w:eastAsiaTheme="minorEastAsia"/>
          <w:sz w:val="24"/>
        </w:rPr>
        <w:t>，施工期产生的建筑垃圾约4000t。这些废渣如处理不当，不仅占用土地，造成水土流失，对环境造成影响。</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弃土</w:t>
      </w:r>
    </w:p>
    <w:p>
      <w:pPr>
        <w:snapToGrid w:val="0"/>
        <w:spacing w:line="360" w:lineRule="auto"/>
        <w:ind w:firstLine="480" w:firstLineChars="200"/>
        <w:rPr>
          <w:rFonts w:eastAsiaTheme="minorEastAsia"/>
          <w:sz w:val="24"/>
        </w:rPr>
      </w:pPr>
      <w:r>
        <w:rPr>
          <w:rFonts w:eastAsiaTheme="minorEastAsia"/>
          <w:sz w:val="24"/>
        </w:rPr>
        <w:t>根据现场勘查，项目地块较为平整，由项目初步设计中土石方平衡计算，本项目填挖方量如下表：</w:t>
      </w:r>
    </w:p>
    <w:p>
      <w:pPr>
        <w:snapToGrid w:val="0"/>
        <w:spacing w:line="276" w:lineRule="auto"/>
        <w:jc w:val="center"/>
        <w:rPr>
          <w:rFonts w:eastAsiaTheme="minorEastAsia"/>
          <w:b/>
          <w:sz w:val="24"/>
        </w:rPr>
      </w:pPr>
      <w:r>
        <w:rPr>
          <w:rFonts w:eastAsiaTheme="minorEastAsia"/>
          <w:b/>
          <w:sz w:val="24"/>
        </w:rPr>
        <w:t>表4.5-4工程土石方平衡表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85"/>
        <w:gridCol w:w="2208"/>
        <w:gridCol w:w="2210"/>
        <w:gridCol w:w="21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2321" w:type="dxa"/>
            <w:vMerge w:val="restart"/>
            <w:vAlign w:val="center"/>
          </w:tcPr>
          <w:p>
            <w:pPr>
              <w:snapToGrid w:val="0"/>
              <w:jc w:val="center"/>
              <w:rPr>
                <w:rFonts w:eastAsiaTheme="minorEastAsia"/>
                <w:b/>
                <w:szCs w:val="21"/>
              </w:rPr>
            </w:pPr>
            <w:r>
              <w:rPr>
                <w:rFonts w:eastAsiaTheme="minorEastAsia"/>
                <w:b/>
                <w:szCs w:val="21"/>
              </w:rPr>
              <w:t>工程名称</w:t>
            </w:r>
          </w:p>
        </w:tc>
        <w:tc>
          <w:tcPr>
            <w:tcW w:w="4644" w:type="dxa"/>
            <w:gridSpan w:val="2"/>
            <w:vAlign w:val="center"/>
          </w:tcPr>
          <w:p>
            <w:pPr>
              <w:snapToGrid w:val="0"/>
              <w:jc w:val="center"/>
              <w:rPr>
                <w:rFonts w:eastAsiaTheme="minorEastAsia"/>
                <w:b/>
                <w:szCs w:val="21"/>
              </w:rPr>
            </w:pPr>
            <w:r>
              <w:rPr>
                <w:rFonts w:eastAsiaTheme="minorEastAsia"/>
                <w:b/>
                <w:szCs w:val="21"/>
              </w:rPr>
              <w:t>土方量（m</w:t>
            </w:r>
            <w:r>
              <w:rPr>
                <w:rFonts w:eastAsiaTheme="minorEastAsia"/>
                <w:b/>
                <w:szCs w:val="21"/>
                <w:vertAlign w:val="superscript"/>
              </w:rPr>
              <w:t>3</w:t>
            </w:r>
            <w:r>
              <w:rPr>
                <w:rFonts w:eastAsiaTheme="minorEastAsia"/>
                <w:b/>
                <w:szCs w:val="21"/>
              </w:rPr>
              <w:t>）</w:t>
            </w:r>
          </w:p>
        </w:tc>
        <w:tc>
          <w:tcPr>
            <w:tcW w:w="2322" w:type="dxa"/>
            <w:vMerge w:val="restart"/>
            <w:vAlign w:val="center"/>
          </w:tcPr>
          <w:p>
            <w:pPr>
              <w:snapToGrid w:val="0"/>
              <w:jc w:val="center"/>
              <w:rPr>
                <w:rFonts w:eastAsiaTheme="minorEastAsia"/>
                <w:b/>
                <w:szCs w:val="21"/>
              </w:rPr>
            </w:pPr>
            <w:r>
              <w:rPr>
                <w:rFonts w:eastAsiaTheme="minorEastAsia"/>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2321" w:type="dxa"/>
            <w:vMerge w:val="continue"/>
            <w:vAlign w:val="center"/>
          </w:tcPr>
          <w:p>
            <w:pPr>
              <w:snapToGrid w:val="0"/>
              <w:jc w:val="center"/>
              <w:rPr>
                <w:rFonts w:eastAsiaTheme="minorEastAsia"/>
                <w:szCs w:val="21"/>
              </w:rPr>
            </w:pPr>
          </w:p>
        </w:tc>
        <w:tc>
          <w:tcPr>
            <w:tcW w:w="2322" w:type="dxa"/>
            <w:vAlign w:val="center"/>
          </w:tcPr>
          <w:p>
            <w:pPr>
              <w:snapToGrid w:val="0"/>
              <w:jc w:val="center"/>
              <w:rPr>
                <w:rFonts w:eastAsiaTheme="minorEastAsia"/>
                <w:b/>
                <w:szCs w:val="21"/>
              </w:rPr>
            </w:pPr>
            <w:r>
              <w:rPr>
                <w:rFonts w:eastAsiaTheme="minorEastAsia"/>
                <w:b/>
                <w:szCs w:val="21"/>
              </w:rPr>
              <w:t>挖方量（-）</w:t>
            </w:r>
          </w:p>
        </w:tc>
        <w:tc>
          <w:tcPr>
            <w:tcW w:w="2322" w:type="dxa"/>
            <w:vAlign w:val="center"/>
          </w:tcPr>
          <w:p>
            <w:pPr>
              <w:snapToGrid w:val="0"/>
              <w:jc w:val="center"/>
              <w:rPr>
                <w:rFonts w:eastAsiaTheme="minorEastAsia"/>
                <w:b/>
                <w:szCs w:val="21"/>
              </w:rPr>
            </w:pPr>
            <w:r>
              <w:rPr>
                <w:rFonts w:eastAsiaTheme="minorEastAsia"/>
                <w:b/>
                <w:szCs w:val="21"/>
              </w:rPr>
              <w:t>填方量（+）</w:t>
            </w:r>
          </w:p>
        </w:tc>
        <w:tc>
          <w:tcPr>
            <w:tcW w:w="2322" w:type="dxa"/>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1" w:type="dxa"/>
            <w:vAlign w:val="center"/>
          </w:tcPr>
          <w:p>
            <w:pPr>
              <w:snapToGrid w:val="0"/>
              <w:jc w:val="center"/>
              <w:rPr>
                <w:rFonts w:eastAsiaTheme="minorEastAsia"/>
                <w:szCs w:val="21"/>
              </w:rPr>
            </w:pPr>
            <w:r>
              <w:rPr>
                <w:rFonts w:eastAsiaTheme="minorEastAsia"/>
                <w:szCs w:val="21"/>
              </w:rPr>
              <w:t>合计</w:t>
            </w:r>
          </w:p>
        </w:tc>
        <w:tc>
          <w:tcPr>
            <w:tcW w:w="2322" w:type="dxa"/>
            <w:vAlign w:val="center"/>
          </w:tcPr>
          <w:p>
            <w:pPr>
              <w:snapToGrid w:val="0"/>
              <w:jc w:val="center"/>
              <w:rPr>
                <w:rFonts w:eastAsiaTheme="minorEastAsia"/>
                <w:szCs w:val="21"/>
              </w:rPr>
            </w:pPr>
            <w:r>
              <w:rPr>
                <w:rFonts w:eastAsiaTheme="minorEastAsia"/>
                <w:szCs w:val="21"/>
              </w:rPr>
              <w:t>11734</w:t>
            </w:r>
          </w:p>
        </w:tc>
        <w:tc>
          <w:tcPr>
            <w:tcW w:w="2322" w:type="dxa"/>
            <w:vAlign w:val="center"/>
          </w:tcPr>
          <w:p>
            <w:pPr>
              <w:snapToGrid w:val="0"/>
              <w:jc w:val="center"/>
              <w:rPr>
                <w:rFonts w:eastAsiaTheme="minorEastAsia"/>
                <w:szCs w:val="21"/>
              </w:rPr>
            </w:pPr>
            <w:r>
              <w:rPr>
                <w:rFonts w:eastAsiaTheme="minorEastAsia"/>
                <w:szCs w:val="21"/>
              </w:rPr>
              <w:t>11734</w:t>
            </w:r>
          </w:p>
        </w:tc>
        <w:tc>
          <w:tcPr>
            <w:tcW w:w="2322" w:type="dxa"/>
            <w:vAlign w:val="center"/>
          </w:tcPr>
          <w:p>
            <w:pPr>
              <w:snapToGrid w:val="0"/>
              <w:jc w:val="center"/>
              <w:rPr>
                <w:rFonts w:eastAsiaTheme="minorEastAsia"/>
                <w:szCs w:val="21"/>
              </w:rPr>
            </w:pPr>
            <w:r>
              <w:rPr>
                <w:rFonts w:hint="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1" w:type="dxa"/>
            <w:vAlign w:val="center"/>
          </w:tcPr>
          <w:p>
            <w:pPr>
              <w:snapToGrid w:val="0"/>
              <w:jc w:val="center"/>
              <w:rPr>
                <w:rFonts w:eastAsiaTheme="minorEastAsia"/>
                <w:szCs w:val="21"/>
              </w:rPr>
            </w:pPr>
            <w:r>
              <w:rPr>
                <w:rFonts w:eastAsiaTheme="minorEastAsia"/>
                <w:szCs w:val="21"/>
              </w:rPr>
              <w:t>挖方多于填方</w:t>
            </w:r>
          </w:p>
        </w:tc>
        <w:tc>
          <w:tcPr>
            <w:tcW w:w="4644" w:type="dxa"/>
            <w:gridSpan w:val="2"/>
            <w:vAlign w:val="center"/>
          </w:tcPr>
          <w:p>
            <w:pPr>
              <w:snapToGrid w:val="0"/>
              <w:jc w:val="center"/>
              <w:rPr>
                <w:rFonts w:eastAsiaTheme="minorEastAsia"/>
                <w:szCs w:val="21"/>
              </w:rPr>
            </w:pPr>
            <w:r>
              <w:rPr>
                <w:rFonts w:eastAsiaTheme="minorEastAsia"/>
                <w:szCs w:val="21"/>
              </w:rPr>
              <w:t>0</w:t>
            </w:r>
          </w:p>
        </w:tc>
        <w:tc>
          <w:tcPr>
            <w:tcW w:w="2322" w:type="dxa"/>
            <w:vAlign w:val="center"/>
          </w:tcPr>
          <w:p>
            <w:pPr>
              <w:snapToGrid w:val="0"/>
              <w:jc w:val="center"/>
              <w:rPr>
                <w:rFonts w:eastAsiaTheme="minorEastAsia"/>
                <w:szCs w:val="21"/>
              </w:rPr>
            </w:pPr>
            <w:r>
              <w:rPr>
                <w:rFonts w:hint="eastAsia" w:eastAsiaTheme="minorEastAsia"/>
                <w:szCs w:val="21"/>
              </w:rPr>
              <w:t>/</w:t>
            </w:r>
          </w:p>
        </w:tc>
      </w:tr>
    </w:tbl>
    <w:p>
      <w:pPr>
        <w:snapToGrid w:val="0"/>
        <w:spacing w:line="360" w:lineRule="auto"/>
        <w:ind w:firstLine="480" w:firstLineChars="200"/>
        <w:rPr>
          <w:rFonts w:eastAsiaTheme="minorEastAsia"/>
          <w:sz w:val="24"/>
        </w:rPr>
      </w:pPr>
      <w:r>
        <w:rPr>
          <w:rFonts w:eastAsiaTheme="minorEastAsia"/>
          <w:sz w:val="24"/>
        </w:rPr>
        <w:t>本项目土方开挖产生的弃土均在场内回填利用，不外运。</w:t>
      </w:r>
    </w:p>
    <w:p>
      <w:pPr>
        <w:snapToGrid w:val="0"/>
        <w:spacing w:line="360" w:lineRule="auto"/>
        <w:ind w:firstLine="480" w:firstLineChars="200"/>
        <w:rPr>
          <w:rFonts w:eastAsiaTheme="minorEastAsia"/>
          <w:sz w:val="24"/>
          <w:u w:val="single"/>
        </w:rPr>
      </w:pPr>
      <w:r>
        <w:rPr>
          <w:rFonts w:hint="eastAsia" w:eastAsiaTheme="minorEastAsia"/>
          <w:sz w:val="24"/>
          <w:u w:val="single"/>
        </w:rPr>
        <w:t>③淘汰设备</w:t>
      </w:r>
    </w:p>
    <w:p>
      <w:pPr>
        <w:snapToGrid w:val="0"/>
        <w:spacing w:line="360" w:lineRule="auto"/>
        <w:ind w:firstLine="480" w:firstLineChars="200"/>
        <w:rPr>
          <w:rFonts w:eastAsiaTheme="minorEastAsia"/>
          <w:sz w:val="24"/>
          <w:u w:val="single"/>
        </w:rPr>
      </w:pPr>
      <w:r>
        <w:rPr>
          <w:rFonts w:hint="eastAsia" w:eastAsiaTheme="minorEastAsia"/>
          <w:sz w:val="24"/>
          <w:u w:val="single"/>
        </w:rPr>
        <w:t>项目建成后，建设单位拟将现有医疗设备整体搬迁至新址继续使用，但实际情况中不可避免会出现部分老化设备淘汰的情况，对于淘汰部分设备不能简单作为固体废物处置，要严格执行相关规定和要求，交由相关单位回收处置。</w:t>
      </w:r>
    </w:p>
    <w:p>
      <w:pPr>
        <w:snapToGrid w:val="0"/>
        <w:spacing w:line="360" w:lineRule="auto"/>
        <w:ind w:firstLine="480" w:firstLineChars="200"/>
        <w:rPr>
          <w:rFonts w:eastAsiaTheme="minorEastAsia"/>
          <w:sz w:val="24"/>
        </w:rPr>
      </w:pPr>
      <w:r>
        <w:rPr>
          <w:rFonts w:hint="eastAsia" w:eastAsiaTheme="minorEastAsia"/>
          <w:sz w:val="24"/>
        </w:rPr>
        <w:t>④</w:t>
      </w:r>
      <w:r>
        <w:rPr>
          <w:rFonts w:eastAsiaTheme="minorEastAsia"/>
          <w:sz w:val="24"/>
        </w:rPr>
        <w:t>施工人员生活垃圾</w:t>
      </w:r>
    </w:p>
    <w:p>
      <w:pPr>
        <w:snapToGrid w:val="0"/>
        <w:spacing w:line="360" w:lineRule="auto"/>
        <w:ind w:firstLine="480" w:firstLineChars="200"/>
        <w:rPr>
          <w:rFonts w:eastAsiaTheme="minorEastAsia"/>
          <w:sz w:val="24"/>
        </w:rPr>
      </w:pPr>
      <w:r>
        <w:rPr>
          <w:rFonts w:eastAsiaTheme="minorEastAsia"/>
          <w:sz w:val="24"/>
        </w:rPr>
        <w:t>高峰期施工人数可达200人，平均每人排放生活垃圾约0.5kg/d，生活垃圾产生量为100kg/d。</w:t>
      </w:r>
    </w:p>
    <w:p>
      <w:pPr>
        <w:snapToGrid w:val="0"/>
        <w:spacing w:line="360" w:lineRule="auto"/>
        <w:ind w:firstLine="482" w:firstLineChars="200"/>
        <w:rPr>
          <w:rFonts w:eastAsiaTheme="minorEastAsia"/>
          <w:b/>
          <w:bCs/>
          <w:sz w:val="24"/>
        </w:rPr>
      </w:pPr>
      <w:r>
        <w:rPr>
          <w:rFonts w:eastAsiaTheme="minorEastAsia"/>
          <w:b/>
          <w:bCs/>
          <w:sz w:val="24"/>
        </w:rPr>
        <w:t>五、 施工期生态影响分析</w:t>
      </w:r>
    </w:p>
    <w:p>
      <w:pPr>
        <w:snapToGrid w:val="0"/>
        <w:spacing w:line="360" w:lineRule="auto"/>
        <w:ind w:firstLine="480" w:firstLineChars="200"/>
        <w:rPr>
          <w:rFonts w:eastAsiaTheme="minorEastAsia"/>
          <w:sz w:val="24"/>
        </w:rPr>
      </w:pPr>
      <w:r>
        <w:rPr>
          <w:rFonts w:eastAsiaTheme="minorEastAsia"/>
          <w:sz w:val="24"/>
        </w:rPr>
        <w:t>总规划用地面积20114.5m</w:t>
      </w:r>
      <w:r>
        <w:rPr>
          <w:rFonts w:eastAsiaTheme="minorEastAsia"/>
          <w:sz w:val="24"/>
          <w:vertAlign w:val="superscript"/>
        </w:rPr>
        <w:t>2</w:t>
      </w:r>
      <w:r>
        <w:rPr>
          <w:rFonts w:eastAsiaTheme="minorEastAsia"/>
          <w:sz w:val="24"/>
        </w:rPr>
        <w:t>，现状为绿化、硬化地板，基本不改变原有土地的使用功能，本项目建设期的主要生态影响是水土流失。</w:t>
      </w:r>
    </w:p>
    <w:p>
      <w:pPr>
        <w:snapToGrid w:val="0"/>
        <w:spacing w:line="360" w:lineRule="auto"/>
        <w:ind w:firstLine="480" w:firstLineChars="200"/>
        <w:rPr>
          <w:rFonts w:eastAsiaTheme="minorEastAsia"/>
          <w:sz w:val="24"/>
        </w:rPr>
      </w:pPr>
      <w:r>
        <w:rPr>
          <w:rFonts w:eastAsiaTheme="minorEastAsia"/>
          <w:sz w:val="24"/>
        </w:rPr>
        <w:t>项目施工期间会造成大面积的裸露地表以及工程弃土的临时堆放，如不采取合理的措施，遇雨情况下极易造成水土流失。一旦发生水土流失，其泥沙及其携带的污染物有可能进入市政雨水管网及附近排污渠，严重情况可能造成雨水管网的堵塞。</w:t>
      </w:r>
    </w:p>
    <w:p>
      <w:pPr>
        <w:snapToGrid w:val="0"/>
        <w:spacing w:line="360" w:lineRule="auto"/>
        <w:ind w:firstLine="480" w:firstLineChars="200"/>
        <w:rPr>
          <w:rFonts w:eastAsiaTheme="minorEastAsia"/>
          <w:sz w:val="24"/>
        </w:rPr>
      </w:pPr>
      <w:r>
        <w:rPr>
          <w:rFonts w:eastAsiaTheme="minorEastAsia"/>
          <w:sz w:val="24"/>
        </w:rPr>
        <w:t>当施工完成后，地表除水泥路面和建筑物覆盖外，其余大部分为绿化植被覆盖，水土流失可忽略不计。</w:t>
      </w:r>
    </w:p>
    <w:p>
      <w:pPr>
        <w:pStyle w:val="3"/>
        <w:snapToGrid w:val="0"/>
        <w:spacing w:before="0" w:after="0" w:line="360" w:lineRule="auto"/>
        <w:rPr>
          <w:rFonts w:ascii="Times New Roman" w:hAnsi="Times New Roman" w:eastAsiaTheme="minorEastAsia"/>
          <w:sz w:val="28"/>
        </w:rPr>
      </w:pPr>
      <w:bookmarkStart w:id="88" w:name="_Toc61026601"/>
      <w:r>
        <w:rPr>
          <w:rFonts w:ascii="Times New Roman" w:hAnsi="Times New Roman" w:eastAsiaTheme="minorEastAsia"/>
          <w:sz w:val="28"/>
        </w:rPr>
        <w:t xml:space="preserve">4.6 </w:t>
      </w:r>
      <w:r>
        <w:rPr>
          <w:rFonts w:ascii="Times New Roman" w:hAnsi="Times New Roman" w:eastAsiaTheme="minorEastAsia"/>
          <w:sz w:val="28"/>
          <w:lang w:val="zh-CN"/>
        </w:rPr>
        <w:t>营运期污染源分析</w:t>
      </w:r>
      <w:bookmarkEnd w:id="88"/>
    </w:p>
    <w:p>
      <w:pPr>
        <w:pStyle w:val="4"/>
        <w:snapToGrid w:val="0"/>
        <w:spacing w:before="0" w:after="0" w:line="360" w:lineRule="auto"/>
        <w:rPr>
          <w:rFonts w:eastAsiaTheme="minorEastAsia"/>
          <w:kern w:val="0"/>
          <w:sz w:val="24"/>
        </w:rPr>
      </w:pPr>
      <w:r>
        <w:rPr>
          <w:rFonts w:eastAsiaTheme="minorEastAsia"/>
          <w:kern w:val="0"/>
          <w:sz w:val="24"/>
        </w:rPr>
        <w:t>4.6.1 营运期工艺流程及产污环节</w:t>
      </w:r>
    </w:p>
    <w:p>
      <w:pPr>
        <w:snapToGrid w:val="0"/>
        <w:spacing w:line="360" w:lineRule="auto"/>
        <w:ind w:firstLine="480" w:firstLineChars="200"/>
        <w:rPr>
          <w:rFonts w:eastAsiaTheme="minorEastAsia"/>
          <w:sz w:val="24"/>
        </w:rPr>
      </w:pPr>
      <w:r>
        <w:rPr>
          <w:rFonts w:eastAsiaTheme="minorEastAsia"/>
          <w:sz w:val="24"/>
        </w:rPr>
        <w:t>项目营运期工艺流程详见下图</w:t>
      </w:r>
    </w:p>
    <w:p>
      <w:pPr>
        <w:snapToGrid w:val="0"/>
        <w:spacing w:line="360" w:lineRule="auto"/>
        <w:jc w:val="center"/>
        <w:rPr>
          <w:rFonts w:eastAsiaTheme="minorEastAsia"/>
          <w:b/>
          <w:sz w:val="24"/>
        </w:rPr>
      </w:pPr>
      <w:r>
        <w:object>
          <v:shape id="_x0000_i1026" o:spt="75" type="#_x0000_t75" style="height:364.75pt;width:457.15pt;" o:ole="t" filled="f" o:preferrelative="t" stroked="f" coordsize="21600,21600">
            <v:path/>
            <v:fill on="f" focussize="0,0"/>
            <v:stroke on="f" joinstyle="miter"/>
            <v:imagedata r:id="rId27" o:title=""/>
            <o:lock v:ext="edit" aspectratio="t"/>
            <w10:wrap type="none"/>
            <w10:anchorlock/>
          </v:shape>
          <o:OLEObject Type="Embed" ProgID="Visio.Drawing.11" ShapeID="_x0000_i1026" DrawAspect="Content" ObjectID="_1468075726" r:id="rId26">
            <o:LockedField>false</o:LockedField>
          </o:OLEObject>
        </w:object>
      </w:r>
      <w:r>
        <w:rPr>
          <w:rFonts w:eastAsiaTheme="minorEastAsia"/>
          <w:b/>
          <w:sz w:val="24"/>
        </w:rPr>
        <w:t>图4.6-1  营运期产污环节图</w:t>
      </w:r>
    </w:p>
    <w:p>
      <w:pPr>
        <w:snapToGrid w:val="0"/>
        <w:spacing w:line="360" w:lineRule="auto"/>
        <w:ind w:firstLine="482" w:firstLineChars="200"/>
        <w:rPr>
          <w:rFonts w:eastAsiaTheme="minorEastAsia"/>
          <w:b/>
          <w:bCs/>
          <w:sz w:val="24"/>
        </w:rPr>
      </w:pPr>
      <w:r>
        <w:rPr>
          <w:rFonts w:eastAsiaTheme="minorEastAsia"/>
          <w:b/>
          <w:bCs/>
          <w:sz w:val="24"/>
        </w:rPr>
        <w:t>部分关键科室的产污说明：</w:t>
      </w:r>
    </w:p>
    <w:p>
      <w:pPr>
        <w:snapToGrid w:val="0"/>
        <w:spacing w:line="360" w:lineRule="auto"/>
        <w:ind w:firstLine="480" w:firstLineChars="200"/>
        <w:rPr>
          <w:rFonts w:eastAsiaTheme="minorEastAsia"/>
          <w:sz w:val="24"/>
        </w:rPr>
      </w:pPr>
      <w:r>
        <w:rPr>
          <w:rFonts w:eastAsiaTheme="minorEastAsia"/>
          <w:sz w:val="24"/>
        </w:rPr>
        <w:t>（1）检验科</w:t>
      </w:r>
    </w:p>
    <w:p>
      <w:pPr>
        <w:snapToGrid w:val="0"/>
        <w:spacing w:line="360" w:lineRule="auto"/>
        <w:ind w:firstLine="480" w:firstLineChars="200"/>
        <w:rPr>
          <w:rFonts w:eastAsiaTheme="minorEastAsia"/>
          <w:sz w:val="24"/>
        </w:rPr>
      </w:pPr>
      <w:r>
        <w:rPr>
          <w:rFonts w:eastAsiaTheme="minorEastAsia"/>
          <w:sz w:val="24"/>
        </w:rPr>
        <w:t>检验科主要从事尿常规、血常规、免疫检测、粪便检测、生化检测以及微生物检测。检测科主要采用全自动血凝仪、全自动生化分析仪、全自动电光免疫分析仪以及五分类血液细胞分析仪等仪器进行上述项目检测，该设备主要采用电化学方法进行检验，检验过程中仅需使用微量的检验试剂，该检验试剂是由仪器供应商配套提供的商品试剂盒，使用时将试剂盒直接安装至机器上指定位置即可，项目不进行试剂的配制工作。使用完毕的检验试剂盒、检验过程产生的样本、试管、手套等一并在指定容器中收集，作为医疗废物委托处理，不进行相关的清洗工作。</w:t>
      </w:r>
    </w:p>
    <w:p>
      <w:pPr>
        <w:snapToGrid w:val="0"/>
        <w:spacing w:line="360" w:lineRule="auto"/>
        <w:ind w:firstLine="480" w:firstLineChars="200"/>
        <w:rPr>
          <w:rFonts w:eastAsiaTheme="minorEastAsia"/>
          <w:sz w:val="24"/>
        </w:rPr>
      </w:pPr>
      <w:r>
        <w:rPr>
          <w:rFonts w:eastAsiaTheme="minorEastAsia"/>
          <w:sz w:val="24"/>
        </w:rPr>
        <w:t>（2）口腔科</w:t>
      </w:r>
    </w:p>
    <w:p>
      <w:pPr>
        <w:snapToGrid w:val="0"/>
        <w:spacing w:line="360" w:lineRule="auto"/>
        <w:ind w:firstLine="480" w:firstLineChars="200"/>
        <w:rPr>
          <w:rFonts w:eastAsiaTheme="minorEastAsia"/>
          <w:sz w:val="24"/>
        </w:rPr>
      </w:pPr>
      <w:r>
        <w:rPr>
          <w:rFonts w:eastAsiaTheme="minorEastAsia"/>
          <w:sz w:val="24"/>
        </w:rPr>
        <w:t>口腔科只提供硅胶模型，假牙均外发加工，并且要求采用环氧树脂代替汞合金、镍铬合金、钴铬合金、钯银合金。项目补牙采用环氧树脂，不使用汞合金、镍铬合金、钴铬合金、钯银合金等材料，故器具及口腔冲洗废水中无汞、铬、镍等重金属污染物。</w:t>
      </w:r>
    </w:p>
    <w:p>
      <w:pPr>
        <w:pStyle w:val="4"/>
        <w:snapToGrid w:val="0"/>
        <w:spacing w:before="0" w:after="0" w:line="360" w:lineRule="auto"/>
        <w:rPr>
          <w:rFonts w:eastAsiaTheme="minorEastAsia"/>
          <w:kern w:val="0"/>
          <w:sz w:val="24"/>
        </w:rPr>
      </w:pPr>
      <w:r>
        <w:rPr>
          <w:rFonts w:eastAsiaTheme="minorEastAsia"/>
          <w:kern w:val="0"/>
          <w:sz w:val="24"/>
        </w:rPr>
        <w:t>4.6.2 营运期废气污染源分析</w:t>
      </w:r>
    </w:p>
    <w:p>
      <w:pPr>
        <w:snapToGrid w:val="0"/>
        <w:spacing w:line="360" w:lineRule="auto"/>
        <w:ind w:firstLine="480" w:firstLineChars="200"/>
        <w:rPr>
          <w:rFonts w:eastAsiaTheme="minorEastAsia"/>
          <w:sz w:val="24"/>
        </w:rPr>
      </w:pPr>
      <w:r>
        <w:rPr>
          <w:rFonts w:eastAsiaTheme="minorEastAsia"/>
          <w:sz w:val="24"/>
        </w:rPr>
        <w:t>医院建成后，废气主要包括污水处理站臭气、生活垃圾暂存间和医疗废物暂存间异味、备用柴油发电机废气、食堂油烟废气以及停车场废气。</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污水处理站臭气</w:t>
      </w:r>
    </w:p>
    <w:p>
      <w:pPr>
        <w:snapToGrid w:val="0"/>
        <w:spacing w:line="360" w:lineRule="auto"/>
        <w:ind w:firstLine="480" w:firstLineChars="200"/>
        <w:rPr>
          <w:rFonts w:eastAsiaTheme="minorEastAsia"/>
          <w:sz w:val="24"/>
        </w:rPr>
      </w:pPr>
      <w:r>
        <w:rPr>
          <w:rFonts w:eastAsiaTheme="minorEastAsia"/>
          <w:sz w:val="24"/>
        </w:rPr>
        <w:t>建设单位拟在项目西侧新建污水处理站用来处理本项目运营期间产生的所有废水。</w:t>
      </w:r>
    </w:p>
    <w:p>
      <w:pPr>
        <w:snapToGrid w:val="0"/>
        <w:spacing w:line="360" w:lineRule="auto"/>
        <w:ind w:firstLine="480" w:firstLineChars="200"/>
        <w:rPr>
          <w:rFonts w:eastAsiaTheme="minorEastAsia"/>
          <w:sz w:val="24"/>
        </w:rPr>
      </w:pPr>
      <w:r>
        <w:rPr>
          <w:rFonts w:eastAsiaTheme="minorEastAsia"/>
          <w:sz w:val="24"/>
        </w:rPr>
        <w:t>污水处理站废水收集后有一定的恶臭气体，主要成为NH</w:t>
      </w:r>
      <w:r>
        <w:rPr>
          <w:rFonts w:eastAsiaTheme="minorEastAsia"/>
          <w:sz w:val="24"/>
          <w:vertAlign w:val="subscript"/>
        </w:rPr>
        <w:t>3</w:t>
      </w:r>
      <w:r>
        <w:rPr>
          <w:rFonts w:eastAsiaTheme="minorEastAsia"/>
          <w:sz w:val="24"/>
        </w:rPr>
        <w:t>和H</w:t>
      </w:r>
      <w:r>
        <w:rPr>
          <w:rFonts w:eastAsiaTheme="minorEastAsia"/>
          <w:sz w:val="24"/>
          <w:vertAlign w:val="subscript"/>
        </w:rPr>
        <w:t>2</w:t>
      </w:r>
      <w:r>
        <w:rPr>
          <w:rFonts w:eastAsiaTheme="minorEastAsia"/>
          <w:sz w:val="24"/>
        </w:rPr>
        <w:t>S，因此本评价以NH</w:t>
      </w:r>
      <w:r>
        <w:rPr>
          <w:rFonts w:eastAsiaTheme="minorEastAsia"/>
          <w:sz w:val="24"/>
          <w:vertAlign w:val="subscript"/>
        </w:rPr>
        <w:t>3</w:t>
      </w:r>
      <w:r>
        <w:rPr>
          <w:rFonts w:eastAsiaTheme="minorEastAsia"/>
          <w:sz w:val="24"/>
        </w:rPr>
        <w:t>、H</w:t>
      </w:r>
      <w:r>
        <w:rPr>
          <w:rFonts w:eastAsiaTheme="minorEastAsia"/>
          <w:sz w:val="24"/>
          <w:vertAlign w:val="subscript"/>
        </w:rPr>
        <w:t>2</w:t>
      </w:r>
      <w:r>
        <w:rPr>
          <w:rFonts w:eastAsiaTheme="minorEastAsia"/>
          <w:sz w:val="24"/>
        </w:rPr>
        <w:t>S两个因子来分析评价恶臭影响。根据美国EPA（环境保护署）对城市污水处理厂恶臭污染物产生情况的研究：每处理1g的BOD</w:t>
      </w:r>
      <w:r>
        <w:rPr>
          <w:rFonts w:eastAsiaTheme="minorEastAsia"/>
          <w:sz w:val="24"/>
          <w:vertAlign w:val="subscript"/>
        </w:rPr>
        <w:t>5</w:t>
      </w:r>
      <w:r>
        <w:rPr>
          <w:rFonts w:eastAsiaTheme="minorEastAsia"/>
          <w:sz w:val="24"/>
        </w:rPr>
        <w:t>，可产生0.0031g的NH</w:t>
      </w:r>
      <w:r>
        <w:rPr>
          <w:rFonts w:eastAsiaTheme="minorEastAsia"/>
          <w:sz w:val="24"/>
          <w:vertAlign w:val="subscript"/>
        </w:rPr>
        <w:t>3</w:t>
      </w:r>
      <w:r>
        <w:rPr>
          <w:rFonts w:eastAsiaTheme="minorEastAsia"/>
          <w:sz w:val="24"/>
        </w:rPr>
        <w:t>和0.00012g的H</w:t>
      </w:r>
      <w:r>
        <w:rPr>
          <w:rFonts w:eastAsiaTheme="minorEastAsia"/>
          <w:sz w:val="24"/>
          <w:vertAlign w:val="subscript"/>
        </w:rPr>
        <w:t>2</w:t>
      </w:r>
      <w:r>
        <w:rPr>
          <w:rFonts w:eastAsiaTheme="minorEastAsia"/>
          <w:sz w:val="24"/>
        </w:rPr>
        <w:t>S。根据工程分析，本项目废水BOD</w:t>
      </w:r>
      <w:r>
        <w:rPr>
          <w:rFonts w:eastAsiaTheme="minorEastAsia"/>
          <w:sz w:val="24"/>
          <w:vertAlign w:val="subscript"/>
        </w:rPr>
        <w:t>5</w:t>
      </w:r>
      <w:r>
        <w:rPr>
          <w:rFonts w:eastAsiaTheme="minorEastAsia"/>
          <w:sz w:val="24"/>
        </w:rPr>
        <w:t>年去除量约为5.</w:t>
      </w:r>
      <w:r>
        <w:rPr>
          <w:rFonts w:hint="eastAsia" w:eastAsiaTheme="minorEastAsia"/>
          <w:sz w:val="24"/>
        </w:rPr>
        <w:t>23</w:t>
      </w:r>
      <w:r>
        <w:rPr>
          <w:rFonts w:eastAsiaTheme="minorEastAsia"/>
          <w:sz w:val="24"/>
        </w:rPr>
        <w:t>t，因此计算恶臭源强中NH</w:t>
      </w:r>
      <w:r>
        <w:rPr>
          <w:rFonts w:eastAsiaTheme="minorEastAsia"/>
          <w:sz w:val="24"/>
          <w:vertAlign w:val="subscript"/>
        </w:rPr>
        <w:t>3</w:t>
      </w:r>
      <w:r>
        <w:rPr>
          <w:rFonts w:eastAsiaTheme="minorEastAsia"/>
          <w:sz w:val="24"/>
        </w:rPr>
        <w:t>产生量为0.016t/a，H</w:t>
      </w:r>
      <w:r>
        <w:rPr>
          <w:rFonts w:eastAsiaTheme="minorEastAsia"/>
          <w:sz w:val="24"/>
          <w:vertAlign w:val="subscript"/>
        </w:rPr>
        <w:t>2</w:t>
      </w:r>
      <w:r>
        <w:rPr>
          <w:rFonts w:eastAsiaTheme="minorEastAsia"/>
          <w:sz w:val="24"/>
        </w:rPr>
        <w:t>S的产生量为0.00062t/a。本项目的医院自建污水处理站主要地埋式封闭结构，只有少数的臭味，浓度较低。</w:t>
      </w:r>
    </w:p>
    <w:p>
      <w:pPr>
        <w:snapToGrid w:val="0"/>
        <w:spacing w:line="360" w:lineRule="auto"/>
        <w:ind w:firstLine="480" w:firstLineChars="200"/>
        <w:rPr>
          <w:rFonts w:eastAsiaTheme="minorEastAsia"/>
          <w:sz w:val="24"/>
          <w:u w:val="single"/>
        </w:rPr>
      </w:pPr>
      <w:r>
        <w:rPr>
          <w:rFonts w:hint="eastAsia" w:eastAsiaTheme="minorEastAsia"/>
          <w:sz w:val="24"/>
          <w:u w:val="single"/>
        </w:rPr>
        <w:t>依据《医院污水处理技术指南》以及《医疗机构水污染物排放标准》（GB18466-2005），为防病毒从水处理构筑物表面挥发到大气中造成病毒的二次传播污染，建设单位将自建的污水处理站设于地下且全部反应池加盖密闭，实施封闭式管理，所有臭气经收集、处理后15m高空排放。在采用集中除臭工艺收集处理后，由于污水站采用全封闭地下式，项目臭气的收集率可达90%以上，生物除臭系统去除率一般在85%~95%，本项目臭气微生物处理净化效率约为90%，排放口距离地面15m。</w:t>
      </w:r>
    </w:p>
    <w:p>
      <w:pPr>
        <w:snapToGrid w:val="0"/>
        <w:spacing w:line="360" w:lineRule="auto"/>
        <w:jc w:val="center"/>
        <w:rPr>
          <w:rFonts w:eastAsiaTheme="minorEastAsia"/>
          <w:b/>
          <w:sz w:val="24"/>
          <w:u w:val="single"/>
        </w:rPr>
      </w:pPr>
      <w:r>
        <w:rPr>
          <w:rFonts w:eastAsiaTheme="minorEastAsia"/>
          <w:b/>
          <w:sz w:val="24"/>
          <w:u w:val="single"/>
        </w:rPr>
        <w:t>表4.6-1  污水处理站臭气产排情况一览表</w:t>
      </w:r>
    </w:p>
    <w:tbl>
      <w:tblPr>
        <w:tblStyle w:val="79"/>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4"/>
        <w:gridCol w:w="963"/>
        <w:gridCol w:w="1072"/>
        <w:gridCol w:w="1142"/>
        <w:gridCol w:w="851"/>
        <w:gridCol w:w="1134"/>
        <w:gridCol w:w="1134"/>
        <w:gridCol w:w="992"/>
        <w:gridCol w:w="10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764" w:type="dxa"/>
            <w:vAlign w:val="center"/>
          </w:tcPr>
          <w:p>
            <w:pPr>
              <w:widowControl/>
              <w:autoSpaceDE w:val="0"/>
              <w:autoSpaceDN w:val="0"/>
              <w:spacing w:line="300" w:lineRule="exact"/>
              <w:jc w:val="center"/>
              <w:rPr>
                <w:b/>
                <w:bCs/>
                <w:color w:val="000000"/>
                <w:kern w:val="0"/>
                <w:szCs w:val="21"/>
                <w:u w:val="single"/>
                <w:lang w:eastAsia="en-US" w:bidi="en-US"/>
              </w:rPr>
            </w:pPr>
            <w:r>
              <w:rPr>
                <w:b/>
                <w:bCs/>
                <w:color w:val="000000"/>
                <w:kern w:val="0"/>
                <w:szCs w:val="21"/>
                <w:u w:val="single"/>
                <w:lang w:eastAsia="en-US" w:bidi="en-US"/>
              </w:rPr>
              <w:t>污染物</w:t>
            </w:r>
          </w:p>
        </w:tc>
        <w:tc>
          <w:tcPr>
            <w:tcW w:w="963" w:type="dxa"/>
            <w:vAlign w:val="center"/>
          </w:tcPr>
          <w:p>
            <w:pPr>
              <w:widowControl/>
              <w:autoSpaceDE w:val="0"/>
              <w:autoSpaceDN w:val="0"/>
              <w:spacing w:line="300" w:lineRule="exact"/>
              <w:jc w:val="center"/>
              <w:rPr>
                <w:b/>
                <w:bCs/>
                <w:color w:val="000000"/>
                <w:kern w:val="0"/>
                <w:szCs w:val="21"/>
                <w:u w:val="single"/>
                <w:lang w:bidi="en-US"/>
              </w:rPr>
            </w:pPr>
            <w:r>
              <w:rPr>
                <w:b/>
                <w:bCs/>
                <w:color w:val="000000"/>
                <w:kern w:val="0"/>
                <w:szCs w:val="21"/>
                <w:u w:val="single"/>
                <w:lang w:eastAsia="en-US" w:bidi="en-US"/>
              </w:rPr>
              <w:t>产生速率(kg/h)</w:t>
            </w:r>
          </w:p>
        </w:tc>
        <w:tc>
          <w:tcPr>
            <w:tcW w:w="1072" w:type="dxa"/>
            <w:vAlign w:val="center"/>
          </w:tcPr>
          <w:p>
            <w:pPr>
              <w:widowControl/>
              <w:autoSpaceDE w:val="0"/>
              <w:autoSpaceDN w:val="0"/>
              <w:spacing w:line="300" w:lineRule="exact"/>
              <w:jc w:val="center"/>
              <w:rPr>
                <w:b/>
                <w:bCs/>
                <w:color w:val="000000"/>
                <w:kern w:val="0"/>
                <w:szCs w:val="21"/>
                <w:u w:val="single"/>
                <w:lang w:eastAsia="en-US" w:bidi="en-US"/>
              </w:rPr>
            </w:pPr>
            <w:r>
              <w:rPr>
                <w:b/>
                <w:bCs/>
                <w:color w:val="000000"/>
                <w:kern w:val="0"/>
                <w:szCs w:val="21"/>
                <w:u w:val="single"/>
                <w:lang w:eastAsia="en-US" w:bidi="en-US"/>
              </w:rPr>
              <w:t>年产生量（t/a）</w:t>
            </w:r>
          </w:p>
        </w:tc>
        <w:tc>
          <w:tcPr>
            <w:tcW w:w="1993" w:type="dxa"/>
            <w:gridSpan w:val="2"/>
            <w:vAlign w:val="center"/>
          </w:tcPr>
          <w:p>
            <w:pPr>
              <w:widowControl/>
              <w:autoSpaceDE w:val="0"/>
              <w:autoSpaceDN w:val="0"/>
              <w:spacing w:line="300" w:lineRule="exact"/>
              <w:jc w:val="center"/>
              <w:rPr>
                <w:b/>
                <w:bCs/>
                <w:color w:val="000000"/>
                <w:kern w:val="0"/>
                <w:szCs w:val="21"/>
                <w:u w:val="single"/>
                <w:lang w:bidi="en-US"/>
              </w:rPr>
            </w:pPr>
            <w:r>
              <w:rPr>
                <w:b/>
                <w:bCs/>
                <w:color w:val="000000"/>
                <w:kern w:val="0"/>
                <w:szCs w:val="21"/>
                <w:u w:val="single"/>
                <w:lang w:bidi="en-US"/>
              </w:rPr>
              <w:t>处理措施</w:t>
            </w:r>
          </w:p>
        </w:tc>
        <w:tc>
          <w:tcPr>
            <w:tcW w:w="1134" w:type="dxa"/>
            <w:vAlign w:val="center"/>
          </w:tcPr>
          <w:p>
            <w:pPr>
              <w:widowControl/>
              <w:autoSpaceDE w:val="0"/>
              <w:autoSpaceDN w:val="0"/>
              <w:spacing w:line="300" w:lineRule="exact"/>
              <w:jc w:val="center"/>
              <w:rPr>
                <w:b/>
                <w:bCs/>
                <w:color w:val="000000"/>
                <w:kern w:val="0"/>
                <w:szCs w:val="21"/>
                <w:u w:val="single"/>
                <w:lang w:bidi="en-US"/>
              </w:rPr>
            </w:pPr>
            <w:r>
              <w:rPr>
                <w:b/>
                <w:bCs/>
                <w:color w:val="000000"/>
                <w:kern w:val="0"/>
                <w:szCs w:val="21"/>
                <w:u w:val="single"/>
                <w:lang w:bidi="en-US"/>
              </w:rPr>
              <w:t>有组织</w:t>
            </w:r>
            <w:r>
              <w:rPr>
                <w:rFonts w:hint="eastAsia"/>
                <w:b/>
                <w:bCs/>
                <w:color w:val="000000"/>
                <w:kern w:val="0"/>
                <w:szCs w:val="21"/>
                <w:u w:val="single"/>
                <w:lang w:bidi="en-US"/>
              </w:rPr>
              <w:t>排放速率(kg/h)</w:t>
            </w:r>
          </w:p>
        </w:tc>
        <w:tc>
          <w:tcPr>
            <w:tcW w:w="1134" w:type="dxa"/>
            <w:vAlign w:val="center"/>
          </w:tcPr>
          <w:p>
            <w:pPr>
              <w:widowControl/>
              <w:autoSpaceDE w:val="0"/>
              <w:autoSpaceDN w:val="0"/>
              <w:spacing w:line="300" w:lineRule="exact"/>
              <w:jc w:val="center"/>
              <w:rPr>
                <w:b/>
                <w:bCs/>
                <w:color w:val="000000"/>
                <w:kern w:val="0"/>
                <w:szCs w:val="21"/>
                <w:u w:val="single"/>
                <w:lang w:bidi="en-US"/>
              </w:rPr>
            </w:pPr>
            <w:r>
              <w:rPr>
                <w:b/>
                <w:bCs/>
                <w:color w:val="000000"/>
                <w:kern w:val="0"/>
                <w:szCs w:val="21"/>
                <w:u w:val="single"/>
                <w:lang w:bidi="en-US"/>
              </w:rPr>
              <w:t>有组织年排放量（t/a）</w:t>
            </w:r>
          </w:p>
        </w:tc>
        <w:tc>
          <w:tcPr>
            <w:tcW w:w="992" w:type="dxa"/>
            <w:vAlign w:val="center"/>
          </w:tcPr>
          <w:p>
            <w:pPr>
              <w:widowControl/>
              <w:autoSpaceDE w:val="0"/>
              <w:autoSpaceDN w:val="0"/>
              <w:spacing w:line="300" w:lineRule="exact"/>
              <w:jc w:val="center"/>
              <w:rPr>
                <w:b/>
                <w:bCs/>
                <w:color w:val="000000"/>
                <w:kern w:val="0"/>
                <w:szCs w:val="21"/>
                <w:u w:val="single"/>
                <w:lang w:bidi="en-US"/>
              </w:rPr>
            </w:pPr>
            <w:r>
              <w:rPr>
                <w:b/>
                <w:bCs/>
                <w:color w:val="000000"/>
                <w:kern w:val="0"/>
                <w:szCs w:val="21"/>
                <w:u w:val="single"/>
                <w:lang w:bidi="en-US"/>
              </w:rPr>
              <w:t>无组织</w:t>
            </w:r>
            <w:r>
              <w:rPr>
                <w:rFonts w:hint="eastAsia"/>
                <w:b/>
                <w:bCs/>
                <w:color w:val="000000"/>
                <w:kern w:val="0"/>
                <w:szCs w:val="21"/>
                <w:u w:val="single"/>
                <w:lang w:bidi="en-US"/>
              </w:rPr>
              <w:t>排放速率(kg/h)</w:t>
            </w:r>
          </w:p>
        </w:tc>
        <w:tc>
          <w:tcPr>
            <w:tcW w:w="1020" w:type="dxa"/>
            <w:vAlign w:val="center"/>
          </w:tcPr>
          <w:p>
            <w:pPr>
              <w:widowControl/>
              <w:autoSpaceDE w:val="0"/>
              <w:autoSpaceDN w:val="0"/>
              <w:spacing w:line="300" w:lineRule="exact"/>
              <w:jc w:val="center"/>
              <w:rPr>
                <w:b/>
                <w:bCs/>
                <w:color w:val="000000"/>
                <w:kern w:val="0"/>
                <w:szCs w:val="21"/>
                <w:u w:val="single"/>
                <w:lang w:bidi="en-US"/>
              </w:rPr>
            </w:pPr>
            <w:r>
              <w:rPr>
                <w:b/>
                <w:bCs/>
                <w:color w:val="000000"/>
                <w:kern w:val="0"/>
                <w:szCs w:val="21"/>
                <w:u w:val="single"/>
                <w:lang w:bidi="en-US"/>
              </w:rPr>
              <w:t>无组织年排放量（t/a）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764" w:type="dxa"/>
            <w:vAlign w:val="center"/>
          </w:tcPr>
          <w:p>
            <w:pPr>
              <w:widowControl/>
              <w:autoSpaceDE w:val="0"/>
              <w:autoSpaceDN w:val="0"/>
              <w:spacing w:line="300" w:lineRule="exact"/>
              <w:jc w:val="center"/>
              <w:rPr>
                <w:color w:val="000000"/>
                <w:kern w:val="0"/>
                <w:szCs w:val="21"/>
                <w:u w:val="single"/>
                <w:lang w:eastAsia="en-US" w:bidi="en-US"/>
              </w:rPr>
            </w:pPr>
            <w:r>
              <w:rPr>
                <w:color w:val="000000"/>
                <w:kern w:val="0"/>
                <w:szCs w:val="21"/>
                <w:u w:val="single"/>
                <w:lang w:eastAsia="en-US" w:bidi="en-US"/>
              </w:rPr>
              <w:t>NH</w:t>
            </w:r>
            <w:r>
              <w:rPr>
                <w:color w:val="000000"/>
                <w:kern w:val="0"/>
                <w:szCs w:val="21"/>
                <w:u w:val="single"/>
                <w:vertAlign w:val="subscript"/>
                <w:lang w:eastAsia="en-US" w:bidi="en-US"/>
              </w:rPr>
              <w:t>3</w:t>
            </w:r>
          </w:p>
        </w:tc>
        <w:tc>
          <w:tcPr>
            <w:tcW w:w="963" w:type="dxa"/>
            <w:vAlign w:val="center"/>
          </w:tcPr>
          <w:p>
            <w:pPr>
              <w:widowControl/>
              <w:jc w:val="center"/>
              <w:textAlignment w:val="center"/>
              <w:rPr>
                <w:color w:val="000000"/>
                <w:kern w:val="0"/>
                <w:u w:val="single"/>
                <w:lang w:eastAsia="en-US"/>
              </w:rPr>
            </w:pPr>
            <w:r>
              <w:rPr>
                <w:rFonts w:eastAsiaTheme="minorEastAsia"/>
                <w:kern w:val="0"/>
                <w:szCs w:val="21"/>
                <w:u w:val="single"/>
              </w:rPr>
              <w:t>0.0018</w:t>
            </w:r>
          </w:p>
        </w:tc>
        <w:tc>
          <w:tcPr>
            <w:tcW w:w="1072" w:type="dxa"/>
            <w:vAlign w:val="center"/>
          </w:tcPr>
          <w:p>
            <w:pPr>
              <w:widowControl/>
              <w:jc w:val="center"/>
              <w:textAlignment w:val="center"/>
              <w:rPr>
                <w:color w:val="000000"/>
                <w:kern w:val="0"/>
                <w:u w:val="single"/>
                <w:lang w:eastAsia="en-US"/>
              </w:rPr>
            </w:pPr>
            <w:r>
              <w:rPr>
                <w:rFonts w:eastAsiaTheme="minorEastAsia"/>
                <w:kern w:val="0"/>
                <w:szCs w:val="21"/>
                <w:u w:val="single"/>
              </w:rPr>
              <w:t>0.016</w:t>
            </w:r>
          </w:p>
        </w:tc>
        <w:tc>
          <w:tcPr>
            <w:tcW w:w="1142" w:type="dxa"/>
            <w:vMerge w:val="restart"/>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生物除臭处理</w:t>
            </w:r>
            <w:r>
              <w:rPr>
                <w:rFonts w:hint="eastAsia"/>
                <w:color w:val="000000"/>
                <w:kern w:val="0"/>
                <w:szCs w:val="21"/>
                <w:u w:val="single"/>
                <w:lang w:bidi="en-US"/>
              </w:rPr>
              <w:t>+15m排气筒</w:t>
            </w:r>
          </w:p>
        </w:tc>
        <w:tc>
          <w:tcPr>
            <w:tcW w:w="851" w:type="dxa"/>
            <w:vMerge w:val="restart"/>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处理效率90%</w:t>
            </w:r>
          </w:p>
        </w:tc>
        <w:tc>
          <w:tcPr>
            <w:tcW w:w="1134" w:type="dxa"/>
            <w:vAlign w:val="center"/>
          </w:tcPr>
          <w:p>
            <w:pPr>
              <w:widowControl/>
              <w:jc w:val="center"/>
              <w:textAlignment w:val="center"/>
              <w:rPr>
                <w:color w:val="000000"/>
                <w:kern w:val="0"/>
                <w:u w:val="single"/>
              </w:rPr>
            </w:pPr>
            <w:r>
              <w:rPr>
                <w:rFonts w:hint="eastAsia"/>
                <w:color w:val="000000"/>
                <w:kern w:val="0"/>
                <w:u w:val="single"/>
              </w:rPr>
              <w:t>0.00016</w:t>
            </w:r>
          </w:p>
        </w:tc>
        <w:tc>
          <w:tcPr>
            <w:tcW w:w="1134" w:type="dxa"/>
            <w:vAlign w:val="center"/>
          </w:tcPr>
          <w:p>
            <w:pPr>
              <w:widowControl/>
              <w:jc w:val="center"/>
              <w:textAlignment w:val="center"/>
              <w:rPr>
                <w:color w:val="000000"/>
                <w:kern w:val="0"/>
                <w:u w:val="single"/>
              </w:rPr>
            </w:pPr>
            <w:r>
              <w:rPr>
                <w:rFonts w:hint="eastAsia"/>
                <w:color w:val="000000"/>
                <w:kern w:val="0"/>
                <w:u w:val="single"/>
              </w:rPr>
              <w:t>0.0014</w:t>
            </w:r>
          </w:p>
        </w:tc>
        <w:tc>
          <w:tcPr>
            <w:tcW w:w="992" w:type="dxa"/>
            <w:vAlign w:val="center"/>
          </w:tcPr>
          <w:p>
            <w:pPr>
              <w:widowControl/>
              <w:jc w:val="center"/>
              <w:textAlignment w:val="center"/>
              <w:rPr>
                <w:color w:val="000000"/>
                <w:kern w:val="0"/>
                <w:u w:val="single"/>
              </w:rPr>
            </w:pPr>
            <w:r>
              <w:rPr>
                <w:rFonts w:eastAsiaTheme="minorEastAsia"/>
                <w:kern w:val="0"/>
                <w:szCs w:val="21"/>
                <w:u w:val="single"/>
              </w:rPr>
              <w:t>0.00018</w:t>
            </w:r>
          </w:p>
        </w:tc>
        <w:tc>
          <w:tcPr>
            <w:tcW w:w="1020" w:type="dxa"/>
            <w:vAlign w:val="center"/>
          </w:tcPr>
          <w:p>
            <w:pPr>
              <w:widowControl/>
              <w:jc w:val="center"/>
              <w:textAlignment w:val="center"/>
              <w:rPr>
                <w:color w:val="000000"/>
                <w:kern w:val="0"/>
                <w:u w:val="single"/>
              </w:rPr>
            </w:pPr>
            <w:r>
              <w:rPr>
                <w:rFonts w:eastAsiaTheme="minorEastAsia"/>
                <w:kern w:val="0"/>
                <w:szCs w:val="21"/>
                <w:u w:val="single"/>
              </w:rPr>
              <w:t>0.0016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dxa"/>
            <w:vAlign w:val="center"/>
          </w:tcPr>
          <w:p>
            <w:pPr>
              <w:widowControl/>
              <w:autoSpaceDE w:val="0"/>
              <w:autoSpaceDN w:val="0"/>
              <w:spacing w:line="300" w:lineRule="exact"/>
              <w:jc w:val="center"/>
              <w:rPr>
                <w:color w:val="000000"/>
                <w:kern w:val="0"/>
                <w:szCs w:val="21"/>
                <w:u w:val="single"/>
                <w:lang w:eastAsia="en-US" w:bidi="en-US"/>
              </w:rPr>
            </w:pPr>
            <w:r>
              <w:rPr>
                <w:color w:val="000000"/>
                <w:kern w:val="0"/>
                <w:szCs w:val="21"/>
                <w:u w:val="single"/>
                <w:lang w:eastAsia="en-US" w:bidi="en-US"/>
              </w:rPr>
              <w:t>H</w:t>
            </w:r>
            <w:r>
              <w:rPr>
                <w:color w:val="000000"/>
                <w:kern w:val="0"/>
                <w:szCs w:val="21"/>
                <w:u w:val="single"/>
                <w:vertAlign w:val="subscript"/>
                <w:lang w:eastAsia="en-US" w:bidi="en-US"/>
              </w:rPr>
              <w:t>2</w:t>
            </w:r>
            <w:r>
              <w:rPr>
                <w:color w:val="000000"/>
                <w:kern w:val="0"/>
                <w:szCs w:val="21"/>
                <w:u w:val="single"/>
                <w:lang w:eastAsia="en-US" w:bidi="en-US"/>
              </w:rPr>
              <w:t>S</w:t>
            </w:r>
          </w:p>
        </w:tc>
        <w:tc>
          <w:tcPr>
            <w:tcW w:w="963" w:type="dxa"/>
            <w:vAlign w:val="center"/>
          </w:tcPr>
          <w:p>
            <w:pPr>
              <w:widowControl/>
              <w:jc w:val="center"/>
              <w:textAlignment w:val="center"/>
              <w:rPr>
                <w:color w:val="000000"/>
                <w:kern w:val="0"/>
                <w:u w:val="single"/>
                <w:lang w:eastAsia="en-US"/>
              </w:rPr>
            </w:pPr>
            <w:r>
              <w:rPr>
                <w:rFonts w:eastAsiaTheme="minorEastAsia"/>
                <w:kern w:val="0"/>
                <w:szCs w:val="21"/>
                <w:u w:val="single"/>
              </w:rPr>
              <w:t>0.00007</w:t>
            </w:r>
          </w:p>
        </w:tc>
        <w:tc>
          <w:tcPr>
            <w:tcW w:w="1072" w:type="dxa"/>
            <w:vAlign w:val="center"/>
          </w:tcPr>
          <w:p>
            <w:pPr>
              <w:widowControl/>
              <w:jc w:val="center"/>
              <w:textAlignment w:val="center"/>
              <w:rPr>
                <w:color w:val="000000"/>
                <w:kern w:val="0"/>
                <w:u w:val="single"/>
                <w:lang w:eastAsia="en-US"/>
              </w:rPr>
            </w:pPr>
            <w:r>
              <w:rPr>
                <w:rFonts w:eastAsiaTheme="minorEastAsia"/>
                <w:kern w:val="0"/>
                <w:szCs w:val="21"/>
                <w:u w:val="single"/>
              </w:rPr>
              <w:t>0.00062</w:t>
            </w:r>
          </w:p>
        </w:tc>
        <w:tc>
          <w:tcPr>
            <w:tcW w:w="1142" w:type="dxa"/>
            <w:vMerge w:val="continue"/>
            <w:vAlign w:val="center"/>
          </w:tcPr>
          <w:p>
            <w:pPr>
              <w:widowControl/>
              <w:autoSpaceDE w:val="0"/>
              <w:autoSpaceDN w:val="0"/>
              <w:spacing w:line="300" w:lineRule="exact"/>
              <w:jc w:val="center"/>
              <w:rPr>
                <w:color w:val="000000"/>
                <w:kern w:val="0"/>
                <w:szCs w:val="21"/>
                <w:u w:val="single"/>
                <w:lang w:bidi="en-US"/>
              </w:rPr>
            </w:pPr>
          </w:p>
        </w:tc>
        <w:tc>
          <w:tcPr>
            <w:tcW w:w="851" w:type="dxa"/>
            <w:vMerge w:val="continue"/>
            <w:vAlign w:val="center"/>
          </w:tcPr>
          <w:p>
            <w:pPr>
              <w:widowControl/>
              <w:autoSpaceDE w:val="0"/>
              <w:autoSpaceDN w:val="0"/>
              <w:spacing w:line="300" w:lineRule="exact"/>
              <w:jc w:val="center"/>
              <w:rPr>
                <w:color w:val="000000"/>
                <w:kern w:val="0"/>
                <w:szCs w:val="21"/>
                <w:u w:val="single"/>
                <w:lang w:bidi="en-US"/>
              </w:rPr>
            </w:pPr>
          </w:p>
        </w:tc>
        <w:tc>
          <w:tcPr>
            <w:tcW w:w="1134" w:type="dxa"/>
            <w:vAlign w:val="center"/>
          </w:tcPr>
          <w:p>
            <w:pPr>
              <w:widowControl/>
              <w:jc w:val="center"/>
              <w:textAlignment w:val="center"/>
              <w:rPr>
                <w:color w:val="000000"/>
                <w:kern w:val="0"/>
                <w:u w:val="single"/>
              </w:rPr>
            </w:pPr>
            <w:r>
              <w:rPr>
                <w:rFonts w:hint="eastAsia"/>
                <w:color w:val="000000"/>
                <w:kern w:val="0"/>
                <w:u w:val="single"/>
              </w:rPr>
              <w:t>0</w:t>
            </w:r>
            <w:r>
              <w:rPr>
                <w:color w:val="000000"/>
                <w:kern w:val="0"/>
                <w:u w:val="single"/>
              </w:rPr>
              <w:t>.000</w:t>
            </w:r>
            <w:r>
              <w:rPr>
                <w:rFonts w:hint="eastAsia"/>
                <w:color w:val="000000"/>
                <w:kern w:val="0"/>
                <w:u w:val="single"/>
              </w:rPr>
              <w:t>00</w:t>
            </w:r>
            <w:r>
              <w:rPr>
                <w:color w:val="000000"/>
                <w:kern w:val="0"/>
                <w:u w:val="single"/>
              </w:rPr>
              <w:t>63</w:t>
            </w:r>
          </w:p>
        </w:tc>
        <w:tc>
          <w:tcPr>
            <w:tcW w:w="1134" w:type="dxa"/>
            <w:vAlign w:val="center"/>
          </w:tcPr>
          <w:p>
            <w:pPr>
              <w:widowControl/>
              <w:jc w:val="center"/>
              <w:textAlignment w:val="center"/>
              <w:rPr>
                <w:color w:val="000000"/>
                <w:kern w:val="0"/>
                <w:u w:val="single"/>
              </w:rPr>
            </w:pPr>
            <w:r>
              <w:rPr>
                <w:rFonts w:hint="eastAsia"/>
                <w:color w:val="000000"/>
                <w:kern w:val="0"/>
                <w:u w:val="single"/>
              </w:rPr>
              <w:t>0.000056</w:t>
            </w:r>
          </w:p>
        </w:tc>
        <w:tc>
          <w:tcPr>
            <w:tcW w:w="992" w:type="dxa"/>
            <w:vAlign w:val="center"/>
          </w:tcPr>
          <w:p>
            <w:pPr>
              <w:widowControl/>
              <w:jc w:val="center"/>
              <w:textAlignment w:val="center"/>
              <w:rPr>
                <w:color w:val="000000"/>
                <w:kern w:val="0"/>
                <w:u w:val="single"/>
              </w:rPr>
            </w:pPr>
            <w:r>
              <w:rPr>
                <w:rFonts w:eastAsiaTheme="minorEastAsia"/>
                <w:kern w:val="0"/>
                <w:szCs w:val="21"/>
                <w:u w:val="single"/>
              </w:rPr>
              <w:t>0.000007</w:t>
            </w:r>
          </w:p>
        </w:tc>
        <w:tc>
          <w:tcPr>
            <w:tcW w:w="1020" w:type="dxa"/>
            <w:vAlign w:val="center"/>
          </w:tcPr>
          <w:p>
            <w:pPr>
              <w:widowControl/>
              <w:jc w:val="center"/>
              <w:textAlignment w:val="center"/>
              <w:rPr>
                <w:color w:val="000000"/>
                <w:kern w:val="0"/>
                <w:u w:val="single"/>
              </w:rPr>
            </w:pPr>
            <w:r>
              <w:rPr>
                <w:rFonts w:eastAsiaTheme="minorEastAsia"/>
                <w:kern w:val="0"/>
                <w:szCs w:val="21"/>
                <w:u w:val="single"/>
              </w:rPr>
              <w:t>0.000062</w:t>
            </w:r>
          </w:p>
        </w:tc>
      </w:tr>
    </w:tbl>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医疗废物暂存间和生活垃圾暂存间异味</w:t>
      </w:r>
    </w:p>
    <w:p>
      <w:pPr>
        <w:snapToGrid w:val="0"/>
        <w:spacing w:line="360" w:lineRule="auto"/>
        <w:ind w:firstLine="480" w:firstLineChars="200"/>
        <w:rPr>
          <w:rFonts w:eastAsiaTheme="minorEastAsia"/>
          <w:sz w:val="24"/>
        </w:rPr>
      </w:pPr>
      <w:r>
        <w:rPr>
          <w:rFonts w:eastAsiaTheme="minorEastAsia"/>
          <w:sz w:val="24"/>
        </w:rPr>
        <w:t>项目地下室设置有医疗废物暂存间和生活垃圾暂存间，医疗固废和生活垃圾堆积会产生一定的异味，如不及时清运，将对大气环境产生一定影响。建设单位需委托环卫部门每日清运生活垃圾，委托岳阳市方向固废安全处置有限公司48h清运一次医疗固废。生活垃圾经集中收集后，经专用的通道运送至位于地下室的生活垃圾暂存间，每日由环卫部门进行清运处理。</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备用柴油发电机废气</w:t>
      </w:r>
    </w:p>
    <w:p>
      <w:pPr>
        <w:snapToGrid w:val="0"/>
        <w:spacing w:line="360" w:lineRule="auto"/>
        <w:ind w:firstLine="480" w:firstLineChars="200"/>
        <w:rPr>
          <w:rFonts w:eastAsiaTheme="minorEastAsia"/>
          <w:sz w:val="24"/>
        </w:rPr>
      </w:pPr>
      <w:r>
        <w:rPr>
          <w:rFonts w:eastAsiaTheme="minorEastAsia"/>
          <w:sz w:val="24"/>
        </w:rPr>
        <w:t>本项目拟在地下室设置柴油发电机房内设1台800kW(燃油消耗206L/h)柴油发电机，供急诊抢救室、血液病房的净化室、产房等场所中涉及患者生命安全的设备及其照明用电。本项目接入两路市政电源，发电机很少使用，若运行会产生少量烟尘、NOx、SO</w:t>
      </w:r>
      <w:r>
        <w:rPr>
          <w:rFonts w:eastAsiaTheme="minorEastAsia"/>
          <w:sz w:val="24"/>
          <w:vertAlign w:val="subscript"/>
        </w:rPr>
        <w:t>2</w:t>
      </w:r>
      <w:r>
        <w:rPr>
          <w:rFonts w:eastAsiaTheme="minorEastAsia"/>
          <w:sz w:val="24"/>
        </w:rPr>
        <w:t>等废气。按最不利影响考虑，备用柴油发电机每年运行2次，一次运行8小时。则本项目柴油用量为3296L（柴油的密度0.84kg/L，则年消耗柴油量为2.769t/a），</w:t>
      </w:r>
    </w:p>
    <w:p>
      <w:pPr>
        <w:snapToGrid w:val="0"/>
        <w:spacing w:line="360" w:lineRule="auto"/>
        <w:ind w:firstLine="480" w:firstLineChars="200"/>
        <w:rPr>
          <w:rFonts w:eastAsiaTheme="minorEastAsia"/>
          <w:sz w:val="24"/>
        </w:rPr>
      </w:pPr>
      <w:r>
        <w:rPr>
          <w:rFonts w:eastAsiaTheme="minorEastAsia"/>
          <w:sz w:val="24"/>
        </w:rPr>
        <w:t>柴油发电机燃烧1t柴油产生的烟气量约为3.6×10</w:t>
      </w:r>
      <w:r>
        <w:rPr>
          <w:rFonts w:eastAsiaTheme="minorEastAsia"/>
          <w:sz w:val="24"/>
          <w:vertAlign w:val="superscript"/>
        </w:rPr>
        <w:t>4</w:t>
      </w:r>
      <w:r>
        <w:rPr>
          <w:rFonts w:eastAsiaTheme="minorEastAsia"/>
          <w:sz w:val="24"/>
        </w:rPr>
        <w:t>m</w:t>
      </w:r>
      <w:r>
        <w:rPr>
          <w:rFonts w:eastAsiaTheme="minorEastAsia"/>
          <w:sz w:val="24"/>
          <w:vertAlign w:val="superscript"/>
        </w:rPr>
        <w:t>3</w:t>
      </w:r>
      <w:r>
        <w:rPr>
          <w:rFonts w:eastAsiaTheme="minorEastAsia"/>
          <w:sz w:val="24"/>
        </w:rPr>
        <w:t>/t，则本项目发电机工作时的废气产生量约为9.97×10</w:t>
      </w:r>
      <w:r>
        <w:rPr>
          <w:rFonts w:eastAsiaTheme="minorEastAsia"/>
          <w:sz w:val="24"/>
          <w:vertAlign w:val="superscript"/>
        </w:rPr>
        <w:t>4</w:t>
      </w:r>
      <w:r>
        <w:rPr>
          <w:rFonts w:eastAsiaTheme="minorEastAsia"/>
          <w:sz w:val="24"/>
        </w:rPr>
        <w:t>m</w:t>
      </w:r>
      <w:r>
        <w:rPr>
          <w:rFonts w:eastAsiaTheme="minorEastAsia"/>
          <w:sz w:val="24"/>
          <w:vertAlign w:val="superscript"/>
        </w:rPr>
        <w:t>3</w:t>
      </w:r>
      <w:r>
        <w:rPr>
          <w:rFonts w:eastAsiaTheme="minorEastAsia"/>
          <w:sz w:val="24"/>
        </w:rPr>
        <w:t>（折合每小时产生量为0.62×10</w:t>
      </w:r>
      <w:r>
        <w:rPr>
          <w:rFonts w:eastAsiaTheme="minorEastAsia"/>
          <w:sz w:val="24"/>
          <w:vertAlign w:val="superscript"/>
        </w:rPr>
        <w:t>4</w:t>
      </w:r>
      <w:r>
        <w:rPr>
          <w:rFonts w:eastAsiaTheme="minorEastAsia"/>
          <w:sz w:val="24"/>
        </w:rPr>
        <w:t>m</w:t>
      </w:r>
      <w:r>
        <w:rPr>
          <w:rFonts w:eastAsiaTheme="minorEastAsia"/>
          <w:sz w:val="24"/>
          <w:vertAlign w:val="superscript"/>
        </w:rPr>
        <w:t>3</w:t>
      </w:r>
      <w:r>
        <w:rPr>
          <w:rFonts w:eastAsiaTheme="minorEastAsia"/>
          <w:sz w:val="24"/>
        </w:rPr>
        <w:t>/h）。参照北京市环境保护科学研究院世行课题组编制的《北京环境总体规划研究》中确定的排放系数，即燃烧1t油NO</w:t>
      </w:r>
      <w:r>
        <w:rPr>
          <w:rFonts w:eastAsiaTheme="minorEastAsia"/>
          <w:sz w:val="24"/>
          <w:vertAlign w:val="subscript"/>
        </w:rPr>
        <w:t>X</w:t>
      </w:r>
      <w:r>
        <w:rPr>
          <w:rFonts w:eastAsiaTheme="minorEastAsia"/>
          <w:sz w:val="24"/>
        </w:rPr>
        <w:t>的排放量为2.94kg，CO的排放量为1.73kg，SO</w:t>
      </w:r>
      <w:r>
        <w:rPr>
          <w:rFonts w:eastAsiaTheme="minorEastAsia"/>
          <w:sz w:val="24"/>
          <w:vertAlign w:val="subscript"/>
        </w:rPr>
        <w:t>2</w:t>
      </w:r>
      <w:r>
        <w:rPr>
          <w:rFonts w:eastAsiaTheme="minorEastAsia"/>
          <w:sz w:val="24"/>
        </w:rPr>
        <w:t>的排放量为4.57kg，烟尘的排放量为0.81kg，计算得到本项目NO</w:t>
      </w:r>
      <w:r>
        <w:rPr>
          <w:rFonts w:eastAsiaTheme="minorEastAsia"/>
          <w:sz w:val="24"/>
          <w:vertAlign w:val="subscript"/>
        </w:rPr>
        <w:t>X</w:t>
      </w:r>
      <w:r>
        <w:rPr>
          <w:rFonts w:eastAsiaTheme="minorEastAsia"/>
          <w:sz w:val="24"/>
        </w:rPr>
        <w:t>的排放量为8.14kg/a，CO的排放量为4.79kg/a，SO</w:t>
      </w:r>
      <w:r>
        <w:rPr>
          <w:rFonts w:eastAsiaTheme="minorEastAsia"/>
          <w:sz w:val="24"/>
          <w:vertAlign w:val="subscript"/>
        </w:rPr>
        <w:t>2</w:t>
      </w:r>
      <w:r>
        <w:rPr>
          <w:rFonts w:eastAsiaTheme="minorEastAsia"/>
          <w:sz w:val="24"/>
        </w:rPr>
        <w:t>的排放量为12.65kg/a，烟尘的排放量为2.24kg。发电机尾气拟由内置专用烟道引至发电机房所在构筑物楼顶排放。</w:t>
      </w:r>
    </w:p>
    <w:p>
      <w:pPr>
        <w:snapToGrid w:val="0"/>
        <w:spacing w:line="360" w:lineRule="auto"/>
        <w:ind w:firstLine="480" w:firstLineChars="200"/>
        <w:rPr>
          <w:rFonts w:eastAsiaTheme="minorEastAsia"/>
          <w:color w:val="FF0000"/>
          <w:sz w:val="24"/>
        </w:rPr>
      </w:pPr>
      <w:r>
        <w:rPr>
          <w:rFonts w:eastAsiaTheme="minorEastAsia"/>
          <w:sz w:val="24"/>
        </w:rPr>
        <w:t>本项目备用柴油发电机运行时排污情况见下表。</w:t>
      </w:r>
    </w:p>
    <w:p>
      <w:pPr>
        <w:snapToGrid w:val="0"/>
        <w:spacing w:line="360" w:lineRule="auto"/>
        <w:jc w:val="center"/>
        <w:rPr>
          <w:rFonts w:eastAsiaTheme="minorEastAsia"/>
          <w:b/>
          <w:sz w:val="24"/>
        </w:rPr>
      </w:pPr>
      <w:r>
        <w:rPr>
          <w:rFonts w:eastAsiaTheme="minorEastAsia"/>
          <w:b/>
          <w:sz w:val="24"/>
        </w:rPr>
        <w:t>表4.6-2备用柴油发电机燃油废气污染物产排污情况一览表</w:t>
      </w:r>
    </w:p>
    <w:tbl>
      <w:tblPr>
        <w:tblStyle w:val="79"/>
        <w:tblW w:w="879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80"/>
        <w:gridCol w:w="1842"/>
        <w:gridCol w:w="1842"/>
        <w:gridCol w:w="21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污染物</w:t>
            </w:r>
          </w:p>
        </w:tc>
        <w:tc>
          <w:tcPr>
            <w:tcW w:w="1048" w:type="pct"/>
            <w:vAlign w:val="center"/>
          </w:tcPr>
          <w:p>
            <w:pPr>
              <w:snapToGrid w:val="0"/>
              <w:jc w:val="center"/>
              <w:rPr>
                <w:rFonts w:eastAsiaTheme="minorEastAsia"/>
                <w:szCs w:val="21"/>
              </w:rPr>
            </w:pPr>
            <w:r>
              <w:rPr>
                <w:rFonts w:eastAsiaTheme="minorEastAsia"/>
                <w:szCs w:val="21"/>
              </w:rPr>
              <w:t>SO</w:t>
            </w:r>
            <w:r>
              <w:rPr>
                <w:rFonts w:eastAsiaTheme="minorEastAsia"/>
                <w:szCs w:val="21"/>
                <w:vertAlign w:val="subscript"/>
              </w:rPr>
              <w:t>2</w:t>
            </w:r>
          </w:p>
        </w:tc>
        <w:tc>
          <w:tcPr>
            <w:tcW w:w="1048" w:type="pct"/>
            <w:vAlign w:val="center"/>
          </w:tcPr>
          <w:p>
            <w:pPr>
              <w:snapToGrid w:val="0"/>
              <w:jc w:val="center"/>
              <w:rPr>
                <w:rFonts w:eastAsiaTheme="minorEastAsia"/>
                <w:szCs w:val="21"/>
              </w:rPr>
            </w:pPr>
            <w:r>
              <w:rPr>
                <w:rFonts w:eastAsiaTheme="minorEastAsia"/>
                <w:szCs w:val="21"/>
              </w:rPr>
              <w:t>NO</w:t>
            </w:r>
            <w:r>
              <w:rPr>
                <w:rFonts w:eastAsiaTheme="minorEastAsia"/>
                <w:kern w:val="0"/>
                <w:szCs w:val="21"/>
                <w:vertAlign w:val="subscript"/>
              </w:rPr>
              <w:t>X</w:t>
            </w:r>
          </w:p>
        </w:tc>
        <w:tc>
          <w:tcPr>
            <w:tcW w:w="1209" w:type="pct"/>
            <w:vAlign w:val="center"/>
          </w:tcPr>
          <w:p>
            <w:pPr>
              <w:snapToGrid w:val="0"/>
              <w:jc w:val="center"/>
              <w:rPr>
                <w:rFonts w:eastAsiaTheme="minorEastAsia"/>
                <w:szCs w:val="21"/>
              </w:rPr>
            </w:pPr>
            <w:r>
              <w:rPr>
                <w:rFonts w:eastAsiaTheme="minorEastAsia"/>
                <w:szCs w:val="21"/>
              </w:rPr>
              <w:t>烟尘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烟气量</w:t>
            </w:r>
          </w:p>
        </w:tc>
        <w:tc>
          <w:tcPr>
            <w:tcW w:w="3305" w:type="pct"/>
            <w:gridSpan w:val="3"/>
            <w:vAlign w:val="center"/>
          </w:tcPr>
          <w:p>
            <w:pPr>
              <w:snapToGrid w:val="0"/>
              <w:jc w:val="center"/>
              <w:rPr>
                <w:rFonts w:eastAsiaTheme="minorEastAsia"/>
                <w:szCs w:val="21"/>
              </w:rPr>
            </w:pPr>
            <w:r>
              <w:rPr>
                <w:rFonts w:eastAsiaTheme="minorEastAsia"/>
                <w:szCs w:val="21"/>
              </w:rPr>
              <w:t>9.97×10</w:t>
            </w:r>
            <w:r>
              <w:rPr>
                <w:rFonts w:eastAsiaTheme="minorEastAsia"/>
                <w:szCs w:val="21"/>
                <w:vertAlign w:val="superscript"/>
              </w:rPr>
              <w:t>4</w:t>
            </w:r>
            <w:r>
              <w:rPr>
                <w:rFonts w:eastAsiaTheme="minorEastAsia"/>
                <w:szCs w:val="21"/>
              </w:rPr>
              <w:t>m</w:t>
            </w:r>
            <w:r>
              <w:rPr>
                <w:rFonts w:eastAsiaTheme="minorEastAsia"/>
                <w:szCs w:val="21"/>
                <w:vertAlign w:val="superscript"/>
              </w:rPr>
              <w:t>3</w:t>
            </w:r>
            <w:r>
              <w:rPr>
                <w:rFonts w:eastAsiaTheme="minorEastAsia"/>
                <w:szCs w:val="21"/>
              </w:rPr>
              <w:t>/a（0.62×10</w:t>
            </w:r>
            <w:r>
              <w:rPr>
                <w:rFonts w:eastAsiaTheme="minorEastAsia"/>
                <w:szCs w:val="21"/>
                <w:vertAlign w:val="superscript"/>
              </w:rPr>
              <w:t>4</w:t>
            </w:r>
            <w:r>
              <w:rPr>
                <w:rFonts w:eastAsiaTheme="minorEastAsia"/>
                <w:szCs w:val="21"/>
              </w:rPr>
              <w:t>m</w:t>
            </w:r>
            <w:r>
              <w:rPr>
                <w:rFonts w:eastAsiaTheme="minorEastAsia"/>
                <w:szCs w:val="21"/>
                <w:vertAlign w:val="superscript"/>
              </w:rPr>
              <w:t>3</w:t>
            </w:r>
            <w:r>
              <w:rPr>
                <w:rFonts w:eastAsiaTheme="minorEastAsia"/>
                <w:szCs w:val="21"/>
              </w:rPr>
              <w:t>/h）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产生量</w:t>
            </w:r>
          </w:p>
        </w:tc>
        <w:tc>
          <w:tcPr>
            <w:tcW w:w="1048" w:type="pct"/>
            <w:vAlign w:val="center"/>
          </w:tcPr>
          <w:p>
            <w:pPr>
              <w:snapToGrid w:val="0"/>
              <w:jc w:val="center"/>
              <w:rPr>
                <w:rFonts w:eastAsiaTheme="minorEastAsia"/>
                <w:szCs w:val="21"/>
              </w:rPr>
            </w:pPr>
            <w:r>
              <w:rPr>
                <w:rFonts w:eastAsiaTheme="minorEastAsia"/>
                <w:szCs w:val="21"/>
              </w:rPr>
              <w:t>12.65 kg/a</w:t>
            </w:r>
          </w:p>
          <w:p>
            <w:pPr>
              <w:snapToGrid w:val="0"/>
              <w:jc w:val="center"/>
              <w:rPr>
                <w:rFonts w:eastAsiaTheme="minorEastAsia"/>
                <w:szCs w:val="21"/>
              </w:rPr>
            </w:pPr>
            <w:r>
              <w:rPr>
                <w:rFonts w:eastAsiaTheme="minorEastAsia"/>
                <w:szCs w:val="21"/>
              </w:rPr>
              <w:t>0.79 kg/h</w:t>
            </w:r>
          </w:p>
        </w:tc>
        <w:tc>
          <w:tcPr>
            <w:tcW w:w="1048" w:type="pct"/>
            <w:vAlign w:val="center"/>
          </w:tcPr>
          <w:p>
            <w:pPr>
              <w:snapToGrid w:val="0"/>
              <w:jc w:val="center"/>
              <w:rPr>
                <w:rFonts w:eastAsiaTheme="minorEastAsia"/>
                <w:szCs w:val="21"/>
              </w:rPr>
            </w:pPr>
            <w:r>
              <w:rPr>
                <w:rFonts w:eastAsiaTheme="minorEastAsia"/>
                <w:szCs w:val="21"/>
              </w:rPr>
              <w:t>8.14 kg/a</w:t>
            </w:r>
          </w:p>
          <w:p>
            <w:pPr>
              <w:snapToGrid w:val="0"/>
              <w:jc w:val="center"/>
              <w:rPr>
                <w:rFonts w:eastAsiaTheme="minorEastAsia"/>
                <w:szCs w:val="21"/>
              </w:rPr>
            </w:pPr>
            <w:r>
              <w:rPr>
                <w:rFonts w:eastAsiaTheme="minorEastAsia"/>
                <w:szCs w:val="21"/>
              </w:rPr>
              <w:t>0.5 kg/h</w:t>
            </w:r>
          </w:p>
        </w:tc>
        <w:tc>
          <w:tcPr>
            <w:tcW w:w="1209" w:type="pct"/>
            <w:vAlign w:val="center"/>
          </w:tcPr>
          <w:p>
            <w:pPr>
              <w:snapToGrid w:val="0"/>
              <w:jc w:val="center"/>
              <w:rPr>
                <w:rFonts w:eastAsiaTheme="minorEastAsia"/>
                <w:szCs w:val="21"/>
              </w:rPr>
            </w:pPr>
            <w:r>
              <w:rPr>
                <w:rFonts w:eastAsiaTheme="minorEastAsia"/>
                <w:szCs w:val="21"/>
              </w:rPr>
              <w:t>2.24 kg/a</w:t>
            </w:r>
          </w:p>
          <w:p>
            <w:pPr>
              <w:snapToGrid w:val="0"/>
              <w:jc w:val="center"/>
              <w:rPr>
                <w:rFonts w:eastAsiaTheme="minorEastAsia"/>
                <w:szCs w:val="21"/>
              </w:rPr>
            </w:pPr>
            <w:r>
              <w:rPr>
                <w:rFonts w:eastAsiaTheme="minorEastAsia"/>
                <w:szCs w:val="21"/>
              </w:rPr>
              <w:t>0.14 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治理措施</w:t>
            </w:r>
          </w:p>
        </w:tc>
        <w:tc>
          <w:tcPr>
            <w:tcW w:w="3305" w:type="pct"/>
            <w:gridSpan w:val="3"/>
            <w:vAlign w:val="center"/>
          </w:tcPr>
          <w:p>
            <w:pPr>
              <w:snapToGrid w:val="0"/>
              <w:jc w:val="center"/>
              <w:rPr>
                <w:rFonts w:eastAsiaTheme="minorEastAsia"/>
                <w:szCs w:val="21"/>
              </w:rPr>
            </w:pPr>
            <w:r>
              <w:rPr>
                <w:rFonts w:eastAsiaTheme="minorEastAsia"/>
                <w:szCs w:val="21"/>
              </w:rPr>
              <w:t>拟由内置专用烟道引至发电机房所在构筑物楼顶排放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排放量</w:t>
            </w:r>
          </w:p>
        </w:tc>
        <w:tc>
          <w:tcPr>
            <w:tcW w:w="1048" w:type="pct"/>
            <w:vAlign w:val="center"/>
          </w:tcPr>
          <w:p>
            <w:pPr>
              <w:snapToGrid w:val="0"/>
              <w:jc w:val="center"/>
              <w:rPr>
                <w:rFonts w:eastAsiaTheme="minorEastAsia"/>
                <w:szCs w:val="21"/>
              </w:rPr>
            </w:pPr>
            <w:r>
              <w:rPr>
                <w:rFonts w:eastAsiaTheme="minorEastAsia"/>
                <w:szCs w:val="21"/>
              </w:rPr>
              <w:t>12.65 kg/a</w:t>
            </w:r>
          </w:p>
          <w:p>
            <w:pPr>
              <w:snapToGrid w:val="0"/>
              <w:jc w:val="center"/>
              <w:rPr>
                <w:rFonts w:eastAsiaTheme="minorEastAsia"/>
                <w:szCs w:val="21"/>
              </w:rPr>
            </w:pPr>
            <w:r>
              <w:rPr>
                <w:rFonts w:eastAsiaTheme="minorEastAsia"/>
                <w:szCs w:val="21"/>
              </w:rPr>
              <w:t>0.79 kg/h</w:t>
            </w:r>
          </w:p>
        </w:tc>
        <w:tc>
          <w:tcPr>
            <w:tcW w:w="1048" w:type="pct"/>
            <w:vAlign w:val="center"/>
          </w:tcPr>
          <w:p>
            <w:pPr>
              <w:snapToGrid w:val="0"/>
              <w:jc w:val="center"/>
              <w:rPr>
                <w:rFonts w:eastAsiaTheme="minorEastAsia"/>
                <w:szCs w:val="21"/>
              </w:rPr>
            </w:pPr>
            <w:r>
              <w:rPr>
                <w:rFonts w:eastAsiaTheme="minorEastAsia"/>
                <w:szCs w:val="21"/>
              </w:rPr>
              <w:t>8.14 kg/a</w:t>
            </w:r>
          </w:p>
          <w:p>
            <w:pPr>
              <w:snapToGrid w:val="0"/>
              <w:jc w:val="center"/>
              <w:rPr>
                <w:rFonts w:eastAsiaTheme="minorEastAsia"/>
                <w:szCs w:val="21"/>
              </w:rPr>
            </w:pPr>
            <w:r>
              <w:rPr>
                <w:rFonts w:eastAsiaTheme="minorEastAsia"/>
                <w:szCs w:val="21"/>
              </w:rPr>
              <w:t>0.5 kg/h</w:t>
            </w:r>
          </w:p>
        </w:tc>
        <w:tc>
          <w:tcPr>
            <w:tcW w:w="1209" w:type="pct"/>
            <w:vAlign w:val="center"/>
          </w:tcPr>
          <w:p>
            <w:pPr>
              <w:snapToGrid w:val="0"/>
              <w:jc w:val="center"/>
              <w:rPr>
                <w:rFonts w:eastAsiaTheme="minorEastAsia"/>
                <w:szCs w:val="21"/>
              </w:rPr>
            </w:pPr>
            <w:r>
              <w:rPr>
                <w:rFonts w:eastAsiaTheme="minorEastAsia"/>
                <w:szCs w:val="21"/>
              </w:rPr>
              <w:t>2.24 kg/a</w:t>
            </w:r>
          </w:p>
          <w:p>
            <w:pPr>
              <w:snapToGrid w:val="0"/>
              <w:jc w:val="center"/>
              <w:rPr>
                <w:rFonts w:eastAsiaTheme="minorEastAsia"/>
                <w:szCs w:val="21"/>
              </w:rPr>
            </w:pPr>
            <w:r>
              <w:rPr>
                <w:rFonts w:eastAsiaTheme="minorEastAsia"/>
                <w:szCs w:val="21"/>
              </w:rPr>
              <w:t>0.14 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排放浓度（mg/m</w:t>
            </w:r>
            <w:r>
              <w:rPr>
                <w:rFonts w:eastAsiaTheme="minorEastAsia"/>
                <w:szCs w:val="21"/>
                <w:vertAlign w:val="superscript"/>
              </w:rPr>
              <w:t>3</w:t>
            </w:r>
            <w:r>
              <w:rPr>
                <w:rFonts w:eastAsiaTheme="minorEastAsia"/>
                <w:szCs w:val="21"/>
              </w:rPr>
              <w:t>）</w:t>
            </w:r>
          </w:p>
        </w:tc>
        <w:tc>
          <w:tcPr>
            <w:tcW w:w="1048" w:type="pct"/>
            <w:vAlign w:val="center"/>
          </w:tcPr>
          <w:p>
            <w:pPr>
              <w:snapToGrid w:val="0"/>
              <w:jc w:val="center"/>
              <w:rPr>
                <w:rFonts w:eastAsiaTheme="minorEastAsia"/>
                <w:szCs w:val="21"/>
              </w:rPr>
            </w:pPr>
            <w:r>
              <w:rPr>
                <w:rFonts w:eastAsiaTheme="minorEastAsia"/>
                <w:szCs w:val="21"/>
              </w:rPr>
              <w:t>127.4</w:t>
            </w:r>
          </w:p>
        </w:tc>
        <w:tc>
          <w:tcPr>
            <w:tcW w:w="1048" w:type="pct"/>
            <w:vAlign w:val="center"/>
          </w:tcPr>
          <w:p>
            <w:pPr>
              <w:snapToGrid w:val="0"/>
              <w:jc w:val="center"/>
              <w:rPr>
                <w:rFonts w:eastAsiaTheme="minorEastAsia"/>
                <w:szCs w:val="21"/>
              </w:rPr>
            </w:pPr>
            <w:r>
              <w:rPr>
                <w:rFonts w:eastAsiaTheme="minorEastAsia"/>
                <w:szCs w:val="21"/>
              </w:rPr>
              <w:t>80.65</w:t>
            </w:r>
          </w:p>
        </w:tc>
        <w:tc>
          <w:tcPr>
            <w:tcW w:w="1209" w:type="pct"/>
            <w:vAlign w:val="center"/>
          </w:tcPr>
          <w:p>
            <w:pPr>
              <w:snapToGrid w:val="0"/>
              <w:jc w:val="center"/>
              <w:rPr>
                <w:rFonts w:eastAsiaTheme="minorEastAsia"/>
                <w:szCs w:val="21"/>
              </w:rPr>
            </w:pPr>
            <w:r>
              <w:rPr>
                <w:rFonts w:eastAsiaTheme="minorEastAsia"/>
                <w:szCs w:val="21"/>
              </w:rPr>
              <w:t>22.58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《大气污染物综合排放标准》（GB16297-1996）二级标准</w:t>
            </w:r>
          </w:p>
        </w:tc>
        <w:tc>
          <w:tcPr>
            <w:tcW w:w="1048" w:type="pct"/>
            <w:vAlign w:val="center"/>
          </w:tcPr>
          <w:p>
            <w:pPr>
              <w:snapToGrid w:val="0"/>
              <w:jc w:val="center"/>
              <w:rPr>
                <w:rFonts w:eastAsiaTheme="minorEastAsia"/>
                <w:szCs w:val="21"/>
              </w:rPr>
            </w:pPr>
            <w:r>
              <w:rPr>
                <w:rFonts w:eastAsiaTheme="minorEastAsia"/>
                <w:szCs w:val="21"/>
              </w:rPr>
              <w:t>550</w:t>
            </w:r>
          </w:p>
        </w:tc>
        <w:tc>
          <w:tcPr>
            <w:tcW w:w="1048" w:type="pct"/>
            <w:vAlign w:val="center"/>
          </w:tcPr>
          <w:p>
            <w:pPr>
              <w:snapToGrid w:val="0"/>
              <w:jc w:val="center"/>
              <w:rPr>
                <w:rFonts w:eastAsiaTheme="minorEastAsia"/>
                <w:szCs w:val="21"/>
              </w:rPr>
            </w:pPr>
            <w:r>
              <w:rPr>
                <w:rFonts w:eastAsiaTheme="minorEastAsia"/>
                <w:szCs w:val="21"/>
              </w:rPr>
              <w:t>240</w:t>
            </w:r>
          </w:p>
        </w:tc>
        <w:tc>
          <w:tcPr>
            <w:tcW w:w="1209" w:type="pct"/>
            <w:vAlign w:val="center"/>
          </w:tcPr>
          <w:p>
            <w:pPr>
              <w:snapToGrid w:val="0"/>
              <w:jc w:val="center"/>
              <w:rPr>
                <w:rFonts w:eastAsiaTheme="minorEastAsia"/>
                <w:szCs w:val="21"/>
              </w:rPr>
            </w:pPr>
            <w:r>
              <w:rPr>
                <w:rFonts w:eastAsiaTheme="minorEastAsia"/>
                <w:szCs w:val="21"/>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95" w:type="pct"/>
            <w:vAlign w:val="center"/>
          </w:tcPr>
          <w:p>
            <w:pPr>
              <w:snapToGrid w:val="0"/>
              <w:jc w:val="center"/>
              <w:rPr>
                <w:rFonts w:eastAsiaTheme="minorEastAsia"/>
                <w:szCs w:val="21"/>
              </w:rPr>
            </w:pPr>
            <w:r>
              <w:rPr>
                <w:rFonts w:eastAsiaTheme="minorEastAsia"/>
                <w:szCs w:val="21"/>
              </w:rPr>
              <w:t>是否达标</w:t>
            </w:r>
          </w:p>
        </w:tc>
        <w:tc>
          <w:tcPr>
            <w:tcW w:w="1048" w:type="pct"/>
            <w:vAlign w:val="center"/>
          </w:tcPr>
          <w:p>
            <w:pPr>
              <w:snapToGrid w:val="0"/>
              <w:jc w:val="center"/>
              <w:rPr>
                <w:rFonts w:eastAsiaTheme="minorEastAsia"/>
                <w:szCs w:val="21"/>
              </w:rPr>
            </w:pPr>
            <w:r>
              <w:rPr>
                <w:rFonts w:eastAsiaTheme="minorEastAsia"/>
                <w:szCs w:val="21"/>
              </w:rPr>
              <w:t>是</w:t>
            </w:r>
          </w:p>
        </w:tc>
        <w:tc>
          <w:tcPr>
            <w:tcW w:w="1048" w:type="pct"/>
            <w:vAlign w:val="center"/>
          </w:tcPr>
          <w:p>
            <w:pPr>
              <w:snapToGrid w:val="0"/>
              <w:jc w:val="center"/>
              <w:rPr>
                <w:rFonts w:eastAsiaTheme="minorEastAsia"/>
                <w:szCs w:val="21"/>
              </w:rPr>
            </w:pPr>
            <w:r>
              <w:rPr>
                <w:rFonts w:eastAsiaTheme="minorEastAsia"/>
                <w:szCs w:val="21"/>
              </w:rPr>
              <w:t>是</w:t>
            </w:r>
          </w:p>
        </w:tc>
        <w:tc>
          <w:tcPr>
            <w:tcW w:w="1209" w:type="pct"/>
            <w:vAlign w:val="center"/>
          </w:tcPr>
          <w:p>
            <w:pPr>
              <w:snapToGrid w:val="0"/>
              <w:jc w:val="center"/>
              <w:rPr>
                <w:rFonts w:eastAsiaTheme="minorEastAsia"/>
                <w:szCs w:val="21"/>
              </w:rPr>
            </w:pPr>
            <w:r>
              <w:rPr>
                <w:rFonts w:eastAsiaTheme="minorEastAsia"/>
                <w:szCs w:val="21"/>
              </w:rPr>
              <w:t>是</w:t>
            </w:r>
          </w:p>
        </w:tc>
      </w:tr>
    </w:tbl>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食堂油烟废气</w:t>
      </w:r>
    </w:p>
    <w:p>
      <w:pPr>
        <w:snapToGrid w:val="0"/>
        <w:spacing w:line="360" w:lineRule="auto"/>
        <w:ind w:firstLine="480" w:firstLineChars="200"/>
        <w:rPr>
          <w:rFonts w:eastAsiaTheme="minorEastAsia"/>
          <w:sz w:val="24"/>
        </w:rPr>
      </w:pPr>
      <w:r>
        <w:rPr>
          <w:rFonts w:eastAsiaTheme="minorEastAsia"/>
          <w:sz w:val="24"/>
        </w:rPr>
        <w:t>建设单位拟在项目地西侧改造建设一栋食堂楼，厅，供员工与病人一日三餐，用餐人数约700人/d（2800人次/d，以每人3餐计）。食堂所用燃料为清洁能源天然气，食堂排放废气主要为餐饮油烟。食用油消耗量以 30g/人·天计，耗油为84kg/d（30.66t/a）。据类比调查，不同的烧炸工况，油烟气中烟气浓度及挥发量均有所不同，油的平均挥发量为总耗油量的2%，经估算，本项目年产生油烟量为1.68kg/d（613.2kg/a），食堂每天工作6h计，本项目食堂油烟产生速率为0.28kg/h。本环评要求食堂设有集气罩，并将油烟收集后经油烟净化器处理后经排烟竖井于楼顶排放，排气风机风量共计约为40000m</w:t>
      </w:r>
      <w:r>
        <w:rPr>
          <w:rFonts w:eastAsiaTheme="minorEastAsia"/>
          <w:sz w:val="24"/>
          <w:vertAlign w:val="superscript"/>
        </w:rPr>
        <w:t>3</w:t>
      </w:r>
      <w:r>
        <w:rPr>
          <w:rFonts w:eastAsiaTheme="minorEastAsia"/>
          <w:sz w:val="24"/>
        </w:rPr>
        <w:t>/h。油烟产生浓度为7mg/m</w:t>
      </w:r>
      <w:r>
        <w:rPr>
          <w:rFonts w:eastAsiaTheme="minorEastAsia"/>
          <w:sz w:val="24"/>
          <w:vertAlign w:val="superscript"/>
        </w:rPr>
        <w:t>3</w:t>
      </w:r>
      <w:r>
        <w:rPr>
          <w:rFonts w:eastAsiaTheme="minorEastAsia"/>
          <w:sz w:val="24"/>
        </w:rPr>
        <w:t>。项目应选用油烟净化效率大于等于85%的油烟净化器，经处理后本项目食堂油烟排放浓度为1.05mg/m</w:t>
      </w:r>
      <w:r>
        <w:rPr>
          <w:rFonts w:eastAsiaTheme="minorEastAsia"/>
          <w:sz w:val="24"/>
          <w:vertAlign w:val="superscript"/>
        </w:rPr>
        <w:t>3</w:t>
      </w:r>
      <w:r>
        <w:rPr>
          <w:rFonts w:eastAsiaTheme="minorEastAsia"/>
          <w:sz w:val="24"/>
        </w:rPr>
        <w:t>，排放量为0.252kg/d（91.98kg/a）。</w:t>
      </w:r>
    </w:p>
    <w:p>
      <w:pPr>
        <w:snapToGrid w:val="0"/>
        <w:spacing w:line="360" w:lineRule="auto"/>
        <w:jc w:val="center"/>
        <w:rPr>
          <w:rFonts w:eastAsiaTheme="minorEastAsia"/>
          <w:b/>
          <w:sz w:val="24"/>
        </w:rPr>
      </w:pPr>
      <w:r>
        <w:rPr>
          <w:rFonts w:eastAsiaTheme="minorEastAsia"/>
          <w:b/>
          <w:sz w:val="24"/>
        </w:rPr>
        <w:t>表4.6-3  扩建后医院食堂油烟排放量</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7"/>
        <w:gridCol w:w="1417"/>
        <w:gridCol w:w="2694"/>
        <w:gridCol w:w="1701"/>
        <w:gridCol w:w="170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7" w:type="dxa"/>
            <w:vAlign w:val="center"/>
          </w:tcPr>
          <w:p>
            <w:pPr>
              <w:snapToGrid w:val="0"/>
              <w:jc w:val="center"/>
              <w:rPr>
                <w:b/>
                <w:bCs/>
                <w:kern w:val="0"/>
                <w:szCs w:val="21"/>
                <w:lang w:bidi="en-US"/>
              </w:rPr>
            </w:pPr>
            <w:r>
              <w:rPr>
                <w:b/>
                <w:bCs/>
                <w:kern w:val="0"/>
                <w:szCs w:val="21"/>
                <w:lang w:bidi="en-US"/>
              </w:rPr>
              <w:t>项目</w:t>
            </w:r>
          </w:p>
        </w:tc>
        <w:tc>
          <w:tcPr>
            <w:tcW w:w="1417" w:type="dxa"/>
            <w:vAlign w:val="center"/>
          </w:tcPr>
          <w:p>
            <w:pPr>
              <w:snapToGrid w:val="0"/>
              <w:jc w:val="center"/>
              <w:rPr>
                <w:b/>
                <w:bCs/>
                <w:kern w:val="0"/>
                <w:szCs w:val="21"/>
                <w:lang w:bidi="en-US"/>
              </w:rPr>
            </w:pPr>
            <w:r>
              <w:rPr>
                <w:b/>
                <w:bCs/>
                <w:kern w:val="0"/>
                <w:szCs w:val="21"/>
                <w:lang w:bidi="en-US"/>
              </w:rPr>
              <w:t>风量</w:t>
            </w:r>
          </w:p>
        </w:tc>
        <w:tc>
          <w:tcPr>
            <w:tcW w:w="2694" w:type="dxa"/>
            <w:vAlign w:val="center"/>
          </w:tcPr>
          <w:p>
            <w:pPr>
              <w:snapToGrid w:val="0"/>
              <w:jc w:val="center"/>
              <w:rPr>
                <w:b/>
                <w:bCs/>
                <w:kern w:val="0"/>
                <w:szCs w:val="21"/>
                <w:lang w:bidi="en-US"/>
              </w:rPr>
            </w:pPr>
            <w:r>
              <w:rPr>
                <w:b/>
                <w:bCs/>
                <w:kern w:val="0"/>
                <w:szCs w:val="21"/>
                <w:lang w:bidi="en-US"/>
              </w:rPr>
              <w:t>烟油总量</w:t>
            </w:r>
          </w:p>
        </w:tc>
        <w:tc>
          <w:tcPr>
            <w:tcW w:w="1701" w:type="dxa"/>
            <w:vAlign w:val="center"/>
          </w:tcPr>
          <w:p>
            <w:pPr>
              <w:snapToGrid w:val="0"/>
              <w:jc w:val="center"/>
              <w:rPr>
                <w:b/>
                <w:bCs/>
                <w:kern w:val="0"/>
                <w:szCs w:val="21"/>
                <w:lang w:bidi="en-US"/>
              </w:rPr>
            </w:pPr>
            <w:r>
              <w:rPr>
                <w:b/>
                <w:bCs/>
                <w:kern w:val="0"/>
                <w:szCs w:val="21"/>
                <w:lang w:bidi="en-US"/>
              </w:rPr>
              <w:t>浓度</w:t>
            </w:r>
          </w:p>
        </w:tc>
        <w:tc>
          <w:tcPr>
            <w:tcW w:w="1700" w:type="dxa"/>
            <w:vAlign w:val="center"/>
          </w:tcPr>
          <w:p>
            <w:pPr>
              <w:snapToGrid w:val="0"/>
              <w:jc w:val="center"/>
              <w:rPr>
                <w:b/>
                <w:bCs/>
                <w:kern w:val="0"/>
                <w:szCs w:val="21"/>
                <w:lang w:bidi="en-US"/>
              </w:rPr>
            </w:pPr>
            <w:r>
              <w:rPr>
                <w:b/>
                <w:bCs/>
                <w:kern w:val="0"/>
                <w:szCs w:val="21"/>
                <w:lang w:bidi="en-US"/>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7" w:type="dxa"/>
            <w:vAlign w:val="center"/>
          </w:tcPr>
          <w:p>
            <w:pPr>
              <w:snapToGrid w:val="0"/>
              <w:jc w:val="center"/>
              <w:rPr>
                <w:kern w:val="0"/>
                <w:szCs w:val="21"/>
                <w:lang w:bidi="en-US"/>
              </w:rPr>
            </w:pPr>
            <w:r>
              <w:rPr>
                <w:kern w:val="0"/>
                <w:szCs w:val="21"/>
                <w:lang w:bidi="en-US"/>
              </w:rPr>
              <w:t>产生量</w:t>
            </w:r>
          </w:p>
        </w:tc>
        <w:tc>
          <w:tcPr>
            <w:tcW w:w="1417" w:type="dxa"/>
            <w:vMerge w:val="restart"/>
            <w:vAlign w:val="center"/>
          </w:tcPr>
          <w:p>
            <w:pPr>
              <w:snapToGrid w:val="0"/>
              <w:jc w:val="center"/>
              <w:rPr>
                <w:kern w:val="0"/>
                <w:szCs w:val="21"/>
                <w:lang w:bidi="en-US"/>
              </w:rPr>
            </w:pPr>
            <w:r>
              <w:rPr>
                <w:kern w:val="0"/>
                <w:szCs w:val="21"/>
                <w:lang w:bidi="en-US"/>
              </w:rPr>
              <w:t>40000m</w:t>
            </w:r>
            <w:r>
              <w:rPr>
                <w:kern w:val="0"/>
                <w:szCs w:val="21"/>
                <w:vertAlign w:val="superscript"/>
                <w:lang w:bidi="en-US"/>
              </w:rPr>
              <w:t>3</w:t>
            </w:r>
            <w:r>
              <w:rPr>
                <w:kern w:val="0"/>
                <w:szCs w:val="21"/>
                <w:lang w:bidi="en-US"/>
              </w:rPr>
              <w:t>/h</w:t>
            </w:r>
          </w:p>
        </w:tc>
        <w:tc>
          <w:tcPr>
            <w:tcW w:w="2694" w:type="dxa"/>
            <w:vAlign w:val="center"/>
          </w:tcPr>
          <w:p>
            <w:pPr>
              <w:snapToGrid w:val="0"/>
              <w:jc w:val="center"/>
              <w:rPr>
                <w:kern w:val="0"/>
                <w:szCs w:val="21"/>
                <w:lang w:bidi="en-US"/>
              </w:rPr>
            </w:pPr>
            <w:r>
              <w:rPr>
                <w:rFonts w:eastAsiaTheme="minorEastAsia"/>
                <w:szCs w:val="21"/>
              </w:rPr>
              <w:t>1.68kg/d（613.2kg/a）</w:t>
            </w:r>
          </w:p>
        </w:tc>
        <w:tc>
          <w:tcPr>
            <w:tcW w:w="1701" w:type="dxa"/>
            <w:vAlign w:val="center"/>
          </w:tcPr>
          <w:p>
            <w:pPr>
              <w:snapToGrid w:val="0"/>
              <w:jc w:val="center"/>
              <w:rPr>
                <w:kern w:val="0"/>
                <w:szCs w:val="21"/>
                <w:lang w:bidi="en-US"/>
              </w:rPr>
            </w:pPr>
            <w:r>
              <w:rPr>
                <w:rFonts w:eastAsiaTheme="minorEastAsia"/>
                <w:szCs w:val="21"/>
              </w:rPr>
              <w:t>7mg/m</w:t>
            </w:r>
            <w:r>
              <w:rPr>
                <w:rFonts w:eastAsiaTheme="minorEastAsia"/>
                <w:szCs w:val="21"/>
                <w:vertAlign w:val="superscript"/>
              </w:rPr>
              <w:t>3</w:t>
            </w:r>
          </w:p>
        </w:tc>
        <w:tc>
          <w:tcPr>
            <w:tcW w:w="1700" w:type="dxa"/>
            <w:vAlign w:val="center"/>
          </w:tcPr>
          <w:p>
            <w:pPr>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77" w:type="dxa"/>
            <w:vAlign w:val="center"/>
          </w:tcPr>
          <w:p>
            <w:pPr>
              <w:snapToGrid w:val="0"/>
              <w:jc w:val="center"/>
              <w:rPr>
                <w:kern w:val="0"/>
                <w:szCs w:val="21"/>
                <w:lang w:bidi="en-US"/>
              </w:rPr>
            </w:pPr>
            <w:r>
              <w:rPr>
                <w:kern w:val="0"/>
                <w:szCs w:val="21"/>
                <w:lang w:bidi="en-US"/>
              </w:rPr>
              <w:t>排放量</w:t>
            </w:r>
          </w:p>
        </w:tc>
        <w:tc>
          <w:tcPr>
            <w:tcW w:w="1417" w:type="dxa"/>
            <w:vMerge w:val="continue"/>
            <w:vAlign w:val="center"/>
          </w:tcPr>
          <w:p>
            <w:pPr>
              <w:snapToGrid w:val="0"/>
              <w:jc w:val="center"/>
              <w:rPr>
                <w:kern w:val="0"/>
                <w:szCs w:val="21"/>
                <w:lang w:bidi="en-US"/>
              </w:rPr>
            </w:pPr>
          </w:p>
        </w:tc>
        <w:tc>
          <w:tcPr>
            <w:tcW w:w="2694" w:type="dxa"/>
            <w:vAlign w:val="center"/>
          </w:tcPr>
          <w:p>
            <w:pPr>
              <w:snapToGrid w:val="0"/>
              <w:jc w:val="center"/>
              <w:rPr>
                <w:kern w:val="0"/>
                <w:szCs w:val="21"/>
                <w:lang w:bidi="en-US"/>
              </w:rPr>
            </w:pPr>
            <w:r>
              <w:rPr>
                <w:rFonts w:eastAsiaTheme="minorEastAsia"/>
                <w:szCs w:val="21"/>
              </w:rPr>
              <w:t>0.252kg/d（91.98kg/a）</w:t>
            </w:r>
          </w:p>
        </w:tc>
        <w:tc>
          <w:tcPr>
            <w:tcW w:w="1701" w:type="dxa"/>
            <w:vAlign w:val="center"/>
          </w:tcPr>
          <w:p>
            <w:pPr>
              <w:snapToGrid w:val="0"/>
              <w:jc w:val="center"/>
              <w:rPr>
                <w:kern w:val="0"/>
                <w:szCs w:val="21"/>
                <w:lang w:bidi="en-US"/>
              </w:rPr>
            </w:pPr>
            <w:r>
              <w:rPr>
                <w:rFonts w:eastAsiaTheme="minorEastAsia"/>
                <w:szCs w:val="21"/>
              </w:rPr>
              <w:t>1.05mg/m</w:t>
            </w:r>
            <w:r>
              <w:rPr>
                <w:rFonts w:eastAsiaTheme="minorEastAsia"/>
                <w:szCs w:val="21"/>
                <w:vertAlign w:val="superscript"/>
              </w:rPr>
              <w:t>3</w:t>
            </w:r>
          </w:p>
        </w:tc>
        <w:tc>
          <w:tcPr>
            <w:tcW w:w="1700" w:type="dxa"/>
            <w:vAlign w:val="center"/>
          </w:tcPr>
          <w:p>
            <w:pPr>
              <w:snapToGrid w:val="0"/>
              <w:jc w:val="center"/>
              <w:rPr>
                <w:rFonts w:eastAsiaTheme="minorEastAsia"/>
                <w:szCs w:val="21"/>
              </w:rPr>
            </w:pPr>
            <w:r>
              <w:rPr>
                <w:rFonts w:eastAsiaTheme="minorEastAsia"/>
                <w:szCs w:val="21"/>
              </w:rPr>
              <w:t>2mg/m</w:t>
            </w:r>
            <w:r>
              <w:rPr>
                <w:rFonts w:eastAsiaTheme="minorEastAsia"/>
                <w:szCs w:val="21"/>
                <w:vertAlign w:val="superscript"/>
              </w:rPr>
              <w:t>3</w:t>
            </w:r>
          </w:p>
        </w:tc>
      </w:tr>
    </w:tbl>
    <w:p>
      <w:pPr>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停车库汽车尾气</w:t>
      </w:r>
    </w:p>
    <w:p>
      <w:pPr>
        <w:snapToGrid w:val="0"/>
        <w:spacing w:line="360" w:lineRule="auto"/>
        <w:ind w:firstLine="480" w:firstLineChars="200"/>
        <w:rPr>
          <w:rFonts w:eastAsiaTheme="minorEastAsia"/>
          <w:sz w:val="24"/>
        </w:rPr>
      </w:pPr>
      <w:r>
        <w:rPr>
          <w:rFonts w:eastAsiaTheme="minorEastAsia"/>
          <w:sz w:val="24"/>
        </w:rPr>
        <w:t>本项目地面拟设小车停车位约461个（地上361个，地下100个），汽车尾气排放的废气主要有Nox、CO、HC等污染物。由于地面停车场废气经大气扩散，汽车尾气对大气环境影响较小。本环评主要评价地下停车场汽车尾气产生及排放情况。</w:t>
      </w:r>
    </w:p>
    <w:p>
      <w:pPr>
        <w:snapToGrid w:val="0"/>
        <w:spacing w:line="360" w:lineRule="auto"/>
        <w:ind w:firstLine="480" w:firstLineChars="200"/>
        <w:rPr>
          <w:rFonts w:eastAsiaTheme="minorEastAsia"/>
          <w:sz w:val="24"/>
        </w:rPr>
      </w:pPr>
      <w:r>
        <w:rPr>
          <w:rFonts w:eastAsiaTheme="minorEastAsia"/>
          <w:sz w:val="24"/>
        </w:rPr>
        <w:t>机动车尾气主要是指汽车进出车库及在车库内行驶时，汽车怠速及慢速（≤5km/h）状态下的尾气排放，包括排气管尾气、曲轴箱漏气及油箱和化油箱等燃料系统的泄漏等。根据实际调查，汽车冷启动初期由于汽油的不完全燃烧，故排放的污染物主要为CO，行驶过程中汽油燃烧完全，尾气温度高，排放的污染物主要为NOx、HC，因此汽车尾气排放中的主要污染物为NOx、CO、HC。</w:t>
      </w:r>
    </w:p>
    <w:p>
      <w:pPr>
        <w:snapToGrid w:val="0"/>
        <w:spacing w:line="360" w:lineRule="auto"/>
        <w:ind w:firstLine="480" w:firstLineChars="200"/>
        <w:rPr>
          <w:rFonts w:eastAsiaTheme="minorEastAsia"/>
          <w:sz w:val="24"/>
        </w:rPr>
      </w:pPr>
      <w:r>
        <w:rPr>
          <w:rFonts w:eastAsiaTheme="minorEastAsia"/>
          <w:sz w:val="24"/>
        </w:rPr>
        <w:t>改扩建项目拟设地下停车位100个停车位。进出车辆类型主要是点燃式第一类车为主，地下车位按每个车位平均日使用2次计，每次进出各一次计算，则每天车辆进出次数为400车次，停车点距离进出口的平均距离（每车次平均行驶距离）约为50米，进出地下停车场的小型、中型、大型车的比例为9:1:0，综合以上车流量、行驶距离、车型分布等因素，通过同类项目类比的排污系数及排放量见下表：</w:t>
      </w:r>
    </w:p>
    <w:p>
      <w:pPr>
        <w:snapToGrid w:val="0"/>
        <w:spacing w:line="360" w:lineRule="auto"/>
        <w:jc w:val="center"/>
        <w:rPr>
          <w:rFonts w:eastAsiaTheme="minorEastAsia"/>
          <w:b/>
          <w:sz w:val="24"/>
        </w:rPr>
      </w:pPr>
      <w:r>
        <w:rPr>
          <w:rFonts w:eastAsiaTheme="minorEastAsia"/>
          <w:b/>
          <w:sz w:val="24"/>
        </w:rPr>
        <w:t>表4.6-4  本项目地下停车场污染物排放量</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189"/>
        <w:gridCol w:w="1877"/>
        <w:gridCol w:w="1879"/>
        <w:gridCol w:w="18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89" w:type="dxa"/>
            <w:vAlign w:val="center"/>
          </w:tcPr>
          <w:p>
            <w:pPr>
              <w:snapToGrid w:val="0"/>
              <w:jc w:val="center"/>
              <w:rPr>
                <w:color w:val="000000"/>
                <w:kern w:val="0"/>
                <w:szCs w:val="21"/>
                <w:lang w:bidi="en-US"/>
              </w:rPr>
            </w:pPr>
            <w:r>
              <w:rPr>
                <w:color w:val="000000"/>
                <w:kern w:val="0"/>
                <w:szCs w:val="21"/>
                <w:lang w:bidi="en-US"/>
              </w:rPr>
              <w:t>污染物</w:t>
            </w:r>
          </w:p>
        </w:tc>
        <w:tc>
          <w:tcPr>
            <w:tcW w:w="1877" w:type="dxa"/>
            <w:vAlign w:val="center"/>
          </w:tcPr>
          <w:p>
            <w:pPr>
              <w:snapToGrid w:val="0"/>
              <w:jc w:val="center"/>
              <w:rPr>
                <w:color w:val="000000"/>
                <w:kern w:val="0"/>
                <w:szCs w:val="21"/>
                <w:lang w:bidi="en-US"/>
              </w:rPr>
            </w:pPr>
            <w:r>
              <w:rPr>
                <w:color w:val="000000"/>
                <w:kern w:val="0"/>
                <w:szCs w:val="21"/>
                <w:lang w:bidi="en-US"/>
              </w:rPr>
              <w:t>NO</w:t>
            </w:r>
            <w:r>
              <w:rPr>
                <w:color w:val="000000"/>
                <w:kern w:val="0"/>
                <w:szCs w:val="21"/>
                <w:vertAlign w:val="subscript"/>
                <w:lang w:bidi="en-US"/>
              </w:rPr>
              <w:t>2</w:t>
            </w:r>
          </w:p>
        </w:tc>
        <w:tc>
          <w:tcPr>
            <w:tcW w:w="1879" w:type="dxa"/>
            <w:vAlign w:val="center"/>
          </w:tcPr>
          <w:p>
            <w:pPr>
              <w:snapToGrid w:val="0"/>
              <w:jc w:val="center"/>
              <w:rPr>
                <w:color w:val="000000"/>
                <w:kern w:val="0"/>
                <w:szCs w:val="21"/>
                <w:lang w:bidi="en-US"/>
              </w:rPr>
            </w:pPr>
            <w:r>
              <w:rPr>
                <w:color w:val="000000"/>
                <w:kern w:val="0"/>
                <w:szCs w:val="21"/>
                <w:lang w:bidi="en-US"/>
              </w:rPr>
              <w:t>CO</w:t>
            </w:r>
          </w:p>
        </w:tc>
        <w:tc>
          <w:tcPr>
            <w:tcW w:w="1844" w:type="dxa"/>
            <w:vAlign w:val="center"/>
          </w:tcPr>
          <w:p>
            <w:pPr>
              <w:snapToGrid w:val="0"/>
              <w:jc w:val="center"/>
              <w:rPr>
                <w:color w:val="000000"/>
                <w:kern w:val="0"/>
                <w:szCs w:val="21"/>
                <w:lang w:bidi="en-US"/>
              </w:rPr>
            </w:pPr>
            <w:r>
              <w:rPr>
                <w:color w:val="000000"/>
                <w:kern w:val="0"/>
                <w:szCs w:val="21"/>
                <w:lang w:bidi="en-US"/>
              </w:rPr>
              <w:t>THC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89" w:type="dxa"/>
            <w:vAlign w:val="center"/>
          </w:tcPr>
          <w:p>
            <w:pPr>
              <w:snapToGrid w:val="0"/>
              <w:jc w:val="center"/>
              <w:rPr>
                <w:color w:val="000000"/>
                <w:kern w:val="0"/>
                <w:szCs w:val="21"/>
                <w:lang w:bidi="en-US"/>
              </w:rPr>
            </w:pPr>
            <w:r>
              <w:rPr>
                <w:color w:val="000000"/>
                <w:kern w:val="0"/>
                <w:szCs w:val="21"/>
                <w:lang w:bidi="en-US"/>
              </w:rPr>
              <w:t>行驶距离</w:t>
            </w:r>
          </w:p>
        </w:tc>
        <w:tc>
          <w:tcPr>
            <w:tcW w:w="5600" w:type="dxa"/>
            <w:gridSpan w:val="3"/>
            <w:vAlign w:val="center"/>
          </w:tcPr>
          <w:p>
            <w:pPr>
              <w:snapToGrid w:val="0"/>
              <w:jc w:val="center"/>
              <w:rPr>
                <w:color w:val="000000"/>
                <w:kern w:val="0"/>
                <w:szCs w:val="21"/>
                <w:lang w:bidi="en-US"/>
              </w:rPr>
            </w:pPr>
            <w:r>
              <w:rPr>
                <w:color w:val="000000"/>
                <w:kern w:val="0"/>
                <w:szCs w:val="21"/>
                <w:lang w:bidi="en-US"/>
              </w:rPr>
              <w:t>20km/d（7300km/a）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89" w:type="dxa"/>
            <w:vAlign w:val="center"/>
          </w:tcPr>
          <w:p>
            <w:pPr>
              <w:snapToGrid w:val="0"/>
              <w:jc w:val="center"/>
              <w:rPr>
                <w:color w:val="000000"/>
                <w:kern w:val="0"/>
                <w:szCs w:val="21"/>
                <w:lang w:bidi="en-US"/>
              </w:rPr>
            </w:pPr>
            <w:r>
              <w:rPr>
                <w:color w:val="000000"/>
                <w:kern w:val="0"/>
                <w:szCs w:val="21"/>
                <w:lang w:bidi="en-US"/>
              </w:rPr>
              <w:t>排放系数（克/辆·公里）</w:t>
            </w:r>
          </w:p>
        </w:tc>
        <w:tc>
          <w:tcPr>
            <w:tcW w:w="1877" w:type="dxa"/>
            <w:vAlign w:val="center"/>
          </w:tcPr>
          <w:p>
            <w:pPr>
              <w:snapToGrid w:val="0"/>
              <w:jc w:val="center"/>
              <w:rPr>
                <w:color w:val="000000"/>
                <w:kern w:val="0"/>
                <w:szCs w:val="21"/>
                <w:lang w:bidi="en-US"/>
              </w:rPr>
            </w:pPr>
            <w:r>
              <w:rPr>
                <w:color w:val="000000"/>
                <w:kern w:val="0"/>
                <w:szCs w:val="21"/>
                <w:lang w:bidi="en-US"/>
              </w:rPr>
              <w:t>2.22</w:t>
            </w:r>
          </w:p>
        </w:tc>
        <w:tc>
          <w:tcPr>
            <w:tcW w:w="1879" w:type="dxa"/>
            <w:vAlign w:val="center"/>
          </w:tcPr>
          <w:p>
            <w:pPr>
              <w:snapToGrid w:val="0"/>
              <w:jc w:val="center"/>
              <w:rPr>
                <w:color w:val="000000"/>
                <w:kern w:val="0"/>
                <w:szCs w:val="21"/>
                <w:lang w:bidi="en-US"/>
              </w:rPr>
            </w:pPr>
            <w:r>
              <w:rPr>
                <w:color w:val="000000"/>
                <w:kern w:val="0"/>
                <w:szCs w:val="21"/>
                <w:lang w:bidi="en-US"/>
              </w:rPr>
              <w:t>17.98</w:t>
            </w:r>
          </w:p>
        </w:tc>
        <w:tc>
          <w:tcPr>
            <w:tcW w:w="1844" w:type="dxa"/>
            <w:vAlign w:val="center"/>
          </w:tcPr>
          <w:p>
            <w:pPr>
              <w:snapToGrid w:val="0"/>
              <w:jc w:val="center"/>
              <w:rPr>
                <w:color w:val="000000"/>
                <w:kern w:val="0"/>
                <w:szCs w:val="21"/>
                <w:lang w:bidi="en-US"/>
              </w:rPr>
            </w:pPr>
            <w:r>
              <w:rPr>
                <w:color w:val="000000"/>
                <w:kern w:val="0"/>
                <w:szCs w:val="21"/>
                <w:lang w:bidi="en-US"/>
              </w:rPr>
              <w:t>3.54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89" w:type="dxa"/>
            <w:vAlign w:val="center"/>
          </w:tcPr>
          <w:p>
            <w:pPr>
              <w:snapToGrid w:val="0"/>
              <w:jc w:val="center"/>
              <w:rPr>
                <w:color w:val="000000"/>
                <w:kern w:val="0"/>
                <w:szCs w:val="21"/>
                <w:lang w:bidi="en-US"/>
              </w:rPr>
            </w:pPr>
            <w:r>
              <w:rPr>
                <w:color w:val="000000"/>
                <w:kern w:val="0"/>
                <w:szCs w:val="21"/>
                <w:lang w:bidi="en-US"/>
              </w:rPr>
              <w:t>日排放量（kg/d）</w:t>
            </w:r>
          </w:p>
        </w:tc>
        <w:tc>
          <w:tcPr>
            <w:tcW w:w="1877" w:type="dxa"/>
            <w:vAlign w:val="center"/>
          </w:tcPr>
          <w:p>
            <w:pPr>
              <w:snapToGrid w:val="0"/>
              <w:jc w:val="center"/>
              <w:rPr>
                <w:color w:val="000000"/>
                <w:kern w:val="0"/>
                <w:szCs w:val="21"/>
                <w:lang w:bidi="en-US"/>
              </w:rPr>
            </w:pPr>
            <w:r>
              <w:rPr>
                <w:rFonts w:eastAsia="等线"/>
                <w:color w:val="000000"/>
                <w:kern w:val="0"/>
                <w:szCs w:val="21"/>
              </w:rPr>
              <w:t xml:space="preserve">0.04 </w:t>
            </w:r>
          </w:p>
        </w:tc>
        <w:tc>
          <w:tcPr>
            <w:tcW w:w="1879" w:type="dxa"/>
            <w:vAlign w:val="center"/>
          </w:tcPr>
          <w:p>
            <w:pPr>
              <w:snapToGrid w:val="0"/>
              <w:jc w:val="center"/>
              <w:rPr>
                <w:color w:val="000000"/>
                <w:kern w:val="0"/>
                <w:szCs w:val="21"/>
                <w:lang w:bidi="en-US"/>
              </w:rPr>
            </w:pPr>
            <w:r>
              <w:rPr>
                <w:rFonts w:eastAsia="等线"/>
                <w:color w:val="000000"/>
                <w:kern w:val="0"/>
                <w:szCs w:val="21"/>
              </w:rPr>
              <w:t xml:space="preserve">0.36 </w:t>
            </w:r>
          </w:p>
        </w:tc>
        <w:tc>
          <w:tcPr>
            <w:tcW w:w="1844" w:type="dxa"/>
            <w:vAlign w:val="center"/>
          </w:tcPr>
          <w:p>
            <w:pPr>
              <w:snapToGrid w:val="0"/>
              <w:jc w:val="center"/>
              <w:rPr>
                <w:color w:val="000000"/>
                <w:kern w:val="0"/>
                <w:szCs w:val="21"/>
                <w:lang w:bidi="en-US"/>
              </w:rPr>
            </w:pPr>
            <w:r>
              <w:rPr>
                <w:rFonts w:eastAsia="等线"/>
                <w:color w:val="000000"/>
                <w:kern w:val="0"/>
                <w:szCs w:val="21"/>
              </w:rPr>
              <w:t xml:space="preserve">0.07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189" w:type="dxa"/>
            <w:vAlign w:val="center"/>
          </w:tcPr>
          <w:p>
            <w:pPr>
              <w:snapToGrid w:val="0"/>
              <w:jc w:val="center"/>
              <w:rPr>
                <w:color w:val="000000"/>
                <w:kern w:val="0"/>
                <w:szCs w:val="21"/>
                <w:lang w:bidi="en-US"/>
              </w:rPr>
            </w:pPr>
            <w:r>
              <w:rPr>
                <w:color w:val="000000"/>
                <w:kern w:val="0"/>
                <w:szCs w:val="21"/>
                <w:lang w:bidi="en-US"/>
              </w:rPr>
              <w:t>年排放量（t/a）</w:t>
            </w:r>
          </w:p>
        </w:tc>
        <w:tc>
          <w:tcPr>
            <w:tcW w:w="1877" w:type="dxa"/>
            <w:vAlign w:val="center"/>
          </w:tcPr>
          <w:p>
            <w:pPr>
              <w:snapToGrid w:val="0"/>
              <w:jc w:val="center"/>
              <w:rPr>
                <w:color w:val="000000"/>
                <w:kern w:val="0"/>
                <w:szCs w:val="21"/>
                <w:lang w:bidi="en-US"/>
              </w:rPr>
            </w:pPr>
            <w:r>
              <w:rPr>
                <w:rFonts w:eastAsia="等线"/>
                <w:color w:val="000000"/>
                <w:kern w:val="0"/>
                <w:szCs w:val="21"/>
              </w:rPr>
              <w:t xml:space="preserve">0.02 </w:t>
            </w:r>
          </w:p>
        </w:tc>
        <w:tc>
          <w:tcPr>
            <w:tcW w:w="1879" w:type="dxa"/>
            <w:vAlign w:val="center"/>
          </w:tcPr>
          <w:p>
            <w:pPr>
              <w:snapToGrid w:val="0"/>
              <w:jc w:val="center"/>
              <w:rPr>
                <w:color w:val="000000"/>
                <w:kern w:val="0"/>
                <w:szCs w:val="21"/>
                <w:lang w:bidi="en-US"/>
              </w:rPr>
            </w:pPr>
            <w:r>
              <w:rPr>
                <w:rFonts w:eastAsia="等线"/>
                <w:color w:val="000000"/>
                <w:kern w:val="0"/>
                <w:szCs w:val="21"/>
              </w:rPr>
              <w:t xml:space="preserve">0.13 </w:t>
            </w:r>
          </w:p>
        </w:tc>
        <w:tc>
          <w:tcPr>
            <w:tcW w:w="1844" w:type="dxa"/>
            <w:vAlign w:val="center"/>
          </w:tcPr>
          <w:p>
            <w:pPr>
              <w:snapToGrid w:val="0"/>
              <w:jc w:val="center"/>
              <w:rPr>
                <w:color w:val="000000"/>
                <w:kern w:val="0"/>
                <w:szCs w:val="21"/>
                <w:lang w:bidi="en-US"/>
              </w:rPr>
            </w:pPr>
            <w:r>
              <w:rPr>
                <w:rFonts w:eastAsia="等线"/>
                <w:color w:val="000000"/>
                <w:kern w:val="0"/>
                <w:szCs w:val="21"/>
              </w:rPr>
              <w:t xml:space="preserve">0.03 </w:t>
            </w:r>
          </w:p>
        </w:tc>
      </w:tr>
    </w:tbl>
    <w:p>
      <w:pPr>
        <w:pStyle w:val="4"/>
        <w:snapToGrid w:val="0"/>
        <w:spacing w:before="0" w:after="0" w:line="360" w:lineRule="auto"/>
        <w:rPr>
          <w:rFonts w:eastAsiaTheme="minorEastAsia"/>
          <w:kern w:val="0"/>
          <w:sz w:val="24"/>
        </w:rPr>
      </w:pPr>
      <w:r>
        <w:rPr>
          <w:rFonts w:eastAsiaTheme="minorEastAsia"/>
          <w:kern w:val="0"/>
          <w:sz w:val="24"/>
        </w:rPr>
        <w:t>4.6.3 营运期废水污染物源强</w:t>
      </w:r>
    </w:p>
    <w:p>
      <w:pPr>
        <w:snapToGrid w:val="0"/>
        <w:spacing w:line="360" w:lineRule="auto"/>
        <w:ind w:firstLine="480" w:firstLineChars="200"/>
        <w:rPr>
          <w:rFonts w:eastAsiaTheme="minorEastAsia"/>
          <w:sz w:val="24"/>
        </w:rPr>
      </w:pPr>
      <w:r>
        <w:rPr>
          <w:rFonts w:eastAsiaTheme="minorEastAsia"/>
          <w:sz w:val="24"/>
        </w:rPr>
        <w:t>（1）本项目主要废水类型</w:t>
      </w:r>
    </w:p>
    <w:p>
      <w:pPr>
        <w:snapToGrid w:val="0"/>
        <w:spacing w:line="360" w:lineRule="auto"/>
        <w:ind w:firstLine="480" w:firstLineChars="200"/>
        <w:rPr>
          <w:rFonts w:eastAsiaTheme="minorEastAsia"/>
          <w:sz w:val="24"/>
        </w:rPr>
      </w:pPr>
      <w:r>
        <w:rPr>
          <w:rFonts w:eastAsiaTheme="minorEastAsia"/>
          <w:sz w:val="24"/>
        </w:rPr>
        <w:t>本项目口腔科补牙采用无汞材料，使用复合树脂或玻璃离子体进行补牙填充，不进行义牙的制作，因此无含汞废水产生；项目采用干法显影技术，无显影废液产生；项目X光洗片采用打印，不产生洗片废水。本项目产生放射性废水由建设单位另行委托辐射专项环评，不属于本报告书的评价内容。</w:t>
      </w:r>
    </w:p>
    <w:p>
      <w:pPr>
        <w:snapToGrid w:val="0"/>
        <w:spacing w:line="360" w:lineRule="auto"/>
        <w:ind w:firstLine="480" w:firstLineChars="200"/>
        <w:rPr>
          <w:rFonts w:eastAsiaTheme="minorEastAsia"/>
          <w:sz w:val="24"/>
        </w:rPr>
      </w:pPr>
      <w:r>
        <w:rPr>
          <w:rFonts w:eastAsiaTheme="minorEastAsia"/>
          <w:sz w:val="24"/>
        </w:rPr>
        <w:t>本项目检验室检验内容包括：门诊（血常规、尿液、精液、前列腺液、阴道分泌物、粪便常规检查）、病房临检（血常规、尿液、精液、前列腺液、阴道分泌物、粪便常规检查、及脑脊液和胸腹水）、生化检验（心肌酶、肝功能、肾功能、电解质、血糖等）、微生物检查（血液、脑脊液、胸腹水、粪便、分泌物等），免疫检查（甲肝、乙肝、丙肝等）。检验过程需要用到成品酸碱试剂，可能使用含氰试剂以及含重金属试剂。</w:t>
      </w:r>
    </w:p>
    <w:p>
      <w:pPr>
        <w:snapToGrid w:val="0"/>
        <w:spacing w:line="360" w:lineRule="auto"/>
        <w:ind w:firstLine="480" w:firstLineChars="200"/>
        <w:rPr>
          <w:rFonts w:eastAsiaTheme="minorEastAsia"/>
          <w:sz w:val="24"/>
        </w:rPr>
      </w:pPr>
      <w:r>
        <w:rPr>
          <w:rFonts w:eastAsiaTheme="minorEastAsia"/>
          <w:sz w:val="24"/>
        </w:rPr>
        <w:t>项目特殊废水主要为检验室产生检验废水（包括酸碱废水、含氰废水及重金属废水等）。医院排水污染物情况见下表。</w:t>
      </w:r>
    </w:p>
    <w:p>
      <w:pPr>
        <w:snapToGrid w:val="0"/>
        <w:spacing w:line="360" w:lineRule="auto"/>
        <w:jc w:val="center"/>
        <w:rPr>
          <w:rFonts w:eastAsiaTheme="minorEastAsia"/>
          <w:b/>
          <w:sz w:val="24"/>
        </w:rPr>
      </w:pPr>
      <w:r>
        <w:rPr>
          <w:rFonts w:eastAsiaTheme="minorEastAsia"/>
          <w:b/>
          <w:sz w:val="24"/>
        </w:rPr>
        <w:t>表4.6-4  医院各部门废水中主要污染物</w:t>
      </w:r>
    </w:p>
    <w:tbl>
      <w:tblPr>
        <w:tblStyle w:val="80"/>
        <w:tblpPr w:leftFromText="180" w:rightFromText="180" w:vertAnchor="text" w:tblpXSpec="center" w:tblpY="1"/>
        <w:tblOverlap w:val="never"/>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9"/>
        <w:gridCol w:w="2044"/>
        <w:gridCol w:w="737"/>
        <w:gridCol w:w="724"/>
        <w:gridCol w:w="485"/>
        <w:gridCol w:w="916"/>
        <w:gridCol w:w="916"/>
        <w:gridCol w:w="916"/>
        <w:gridCol w:w="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48" w:type="pct"/>
            <w:vMerge w:val="restart"/>
            <w:vAlign w:val="center"/>
          </w:tcPr>
          <w:p>
            <w:pPr>
              <w:snapToGrid w:val="0"/>
              <w:jc w:val="center"/>
              <w:rPr>
                <w:rFonts w:eastAsiaTheme="minorEastAsia"/>
                <w:b/>
                <w:szCs w:val="21"/>
              </w:rPr>
            </w:pPr>
            <w:r>
              <w:rPr>
                <w:rFonts w:eastAsiaTheme="minorEastAsia"/>
                <w:b/>
                <w:szCs w:val="21"/>
              </w:rPr>
              <w:t>部门</w:t>
            </w:r>
          </w:p>
        </w:tc>
        <w:tc>
          <w:tcPr>
            <w:tcW w:w="1163" w:type="pct"/>
            <w:vMerge w:val="restart"/>
            <w:vAlign w:val="center"/>
          </w:tcPr>
          <w:p>
            <w:pPr>
              <w:snapToGrid w:val="0"/>
              <w:jc w:val="center"/>
              <w:rPr>
                <w:rFonts w:eastAsiaTheme="minorEastAsia"/>
                <w:b/>
                <w:szCs w:val="21"/>
              </w:rPr>
            </w:pPr>
            <w:r>
              <w:rPr>
                <w:rFonts w:eastAsiaTheme="minorEastAsia"/>
                <w:b/>
                <w:szCs w:val="21"/>
              </w:rPr>
              <w:t>污水类别</w:t>
            </w:r>
          </w:p>
        </w:tc>
        <w:tc>
          <w:tcPr>
            <w:tcW w:w="3189" w:type="pct"/>
            <w:gridSpan w:val="7"/>
            <w:vAlign w:val="center"/>
          </w:tcPr>
          <w:p>
            <w:pPr>
              <w:snapToGrid w:val="0"/>
              <w:jc w:val="center"/>
              <w:rPr>
                <w:rFonts w:eastAsiaTheme="minorEastAsia"/>
                <w:b/>
                <w:szCs w:val="21"/>
              </w:rPr>
            </w:pPr>
            <w:r>
              <w:rPr>
                <w:rFonts w:eastAsiaTheme="minorEastAsia"/>
                <w:b/>
                <w:szCs w:val="21"/>
              </w:rPr>
              <w:t>主要污染物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48" w:type="pct"/>
            <w:vMerge w:val="continue"/>
            <w:vAlign w:val="center"/>
          </w:tcPr>
          <w:p>
            <w:pPr>
              <w:snapToGrid w:val="0"/>
              <w:jc w:val="center"/>
              <w:rPr>
                <w:rFonts w:eastAsiaTheme="minorEastAsia"/>
                <w:b/>
                <w:szCs w:val="21"/>
              </w:rPr>
            </w:pPr>
          </w:p>
        </w:tc>
        <w:tc>
          <w:tcPr>
            <w:tcW w:w="1163" w:type="pct"/>
            <w:vMerge w:val="continue"/>
            <w:vAlign w:val="center"/>
          </w:tcPr>
          <w:p>
            <w:pPr>
              <w:snapToGrid w:val="0"/>
              <w:jc w:val="center"/>
              <w:rPr>
                <w:rFonts w:eastAsiaTheme="minorEastAsia"/>
                <w:b/>
                <w:szCs w:val="21"/>
              </w:rPr>
            </w:pPr>
          </w:p>
        </w:tc>
        <w:tc>
          <w:tcPr>
            <w:tcW w:w="419" w:type="pct"/>
            <w:vAlign w:val="center"/>
          </w:tcPr>
          <w:p>
            <w:pPr>
              <w:snapToGrid w:val="0"/>
              <w:jc w:val="center"/>
              <w:rPr>
                <w:rFonts w:eastAsiaTheme="minorEastAsia"/>
                <w:b/>
                <w:szCs w:val="21"/>
              </w:rPr>
            </w:pPr>
            <w:r>
              <w:rPr>
                <w:rFonts w:eastAsiaTheme="minorEastAsia"/>
                <w:b/>
                <w:szCs w:val="21"/>
              </w:rPr>
              <w:t>COD</w:t>
            </w:r>
          </w:p>
        </w:tc>
        <w:tc>
          <w:tcPr>
            <w:tcW w:w="412" w:type="pct"/>
            <w:vAlign w:val="center"/>
          </w:tcPr>
          <w:p>
            <w:pPr>
              <w:snapToGrid w:val="0"/>
              <w:jc w:val="center"/>
              <w:rPr>
                <w:rFonts w:eastAsiaTheme="minorEastAsia"/>
                <w:b/>
                <w:szCs w:val="21"/>
              </w:rPr>
            </w:pPr>
            <w:r>
              <w:rPr>
                <w:rFonts w:eastAsiaTheme="minorEastAsia"/>
                <w:b/>
                <w:szCs w:val="21"/>
              </w:rPr>
              <w:t>BOD</w:t>
            </w:r>
          </w:p>
        </w:tc>
        <w:tc>
          <w:tcPr>
            <w:tcW w:w="276" w:type="pct"/>
            <w:vAlign w:val="center"/>
          </w:tcPr>
          <w:p>
            <w:pPr>
              <w:snapToGrid w:val="0"/>
              <w:jc w:val="center"/>
              <w:rPr>
                <w:rFonts w:eastAsiaTheme="minorEastAsia"/>
                <w:b/>
                <w:szCs w:val="21"/>
              </w:rPr>
            </w:pPr>
            <w:r>
              <w:rPr>
                <w:rFonts w:eastAsiaTheme="minorEastAsia"/>
                <w:b/>
                <w:szCs w:val="21"/>
              </w:rPr>
              <w:t>SS</w:t>
            </w:r>
          </w:p>
        </w:tc>
        <w:tc>
          <w:tcPr>
            <w:tcW w:w="521" w:type="pct"/>
            <w:vAlign w:val="center"/>
          </w:tcPr>
          <w:p>
            <w:pPr>
              <w:snapToGrid w:val="0"/>
              <w:jc w:val="center"/>
              <w:rPr>
                <w:rFonts w:eastAsiaTheme="minorEastAsia"/>
                <w:b/>
                <w:szCs w:val="21"/>
              </w:rPr>
            </w:pPr>
            <w:r>
              <w:rPr>
                <w:rFonts w:eastAsiaTheme="minorEastAsia"/>
                <w:b/>
                <w:szCs w:val="21"/>
              </w:rPr>
              <w:t>病原体</w:t>
            </w:r>
          </w:p>
        </w:tc>
        <w:tc>
          <w:tcPr>
            <w:tcW w:w="521" w:type="pct"/>
            <w:vAlign w:val="center"/>
          </w:tcPr>
          <w:p>
            <w:pPr>
              <w:snapToGrid w:val="0"/>
              <w:jc w:val="center"/>
              <w:rPr>
                <w:rFonts w:eastAsiaTheme="minorEastAsia"/>
                <w:b/>
                <w:szCs w:val="21"/>
              </w:rPr>
            </w:pPr>
            <w:r>
              <w:rPr>
                <w:rFonts w:eastAsiaTheme="minorEastAsia"/>
                <w:b/>
                <w:szCs w:val="21"/>
              </w:rPr>
              <w:t>放射性</w:t>
            </w:r>
          </w:p>
        </w:tc>
        <w:tc>
          <w:tcPr>
            <w:tcW w:w="521" w:type="pct"/>
            <w:vAlign w:val="center"/>
          </w:tcPr>
          <w:p>
            <w:pPr>
              <w:snapToGrid w:val="0"/>
              <w:jc w:val="center"/>
              <w:rPr>
                <w:rFonts w:eastAsiaTheme="minorEastAsia"/>
                <w:b/>
                <w:szCs w:val="21"/>
              </w:rPr>
            </w:pPr>
            <w:r>
              <w:rPr>
                <w:rFonts w:eastAsiaTheme="minorEastAsia"/>
                <w:b/>
                <w:szCs w:val="21"/>
              </w:rPr>
              <w:t>重金属</w:t>
            </w:r>
          </w:p>
        </w:tc>
        <w:tc>
          <w:tcPr>
            <w:tcW w:w="519" w:type="pct"/>
            <w:vAlign w:val="center"/>
          </w:tcPr>
          <w:p>
            <w:pPr>
              <w:snapToGrid w:val="0"/>
              <w:jc w:val="center"/>
              <w:rPr>
                <w:rFonts w:eastAsiaTheme="minorEastAsia"/>
                <w:b/>
                <w:szCs w:val="21"/>
              </w:rPr>
            </w:pPr>
            <w:r>
              <w:rPr>
                <w:rFonts w:eastAsiaTheme="minorEastAsia"/>
                <w:b/>
                <w:szCs w:val="21"/>
              </w:rPr>
              <w:t>化学品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Align w:val="center"/>
          </w:tcPr>
          <w:p>
            <w:pPr>
              <w:snapToGrid w:val="0"/>
              <w:jc w:val="center"/>
              <w:rPr>
                <w:rFonts w:eastAsiaTheme="minorEastAsia"/>
                <w:szCs w:val="21"/>
              </w:rPr>
            </w:pPr>
            <w:r>
              <w:rPr>
                <w:rFonts w:eastAsiaTheme="minorEastAsia"/>
                <w:szCs w:val="21"/>
              </w:rPr>
              <w:t>住院部</w:t>
            </w:r>
          </w:p>
        </w:tc>
        <w:tc>
          <w:tcPr>
            <w:tcW w:w="1163" w:type="pct"/>
            <w:vAlign w:val="center"/>
          </w:tcPr>
          <w:p>
            <w:pPr>
              <w:widowControl/>
              <w:snapToGrid w:val="0"/>
              <w:jc w:val="center"/>
              <w:rPr>
                <w:rFonts w:eastAsiaTheme="minorEastAsia"/>
                <w:szCs w:val="21"/>
              </w:rPr>
            </w:pPr>
            <w:r>
              <w:rPr>
                <w:rFonts w:eastAsiaTheme="minorEastAsia"/>
                <w:szCs w:val="21"/>
              </w:rPr>
              <w:t>综合废水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Align w:val="center"/>
          </w:tcPr>
          <w:p>
            <w:pPr>
              <w:snapToGrid w:val="0"/>
              <w:jc w:val="center"/>
              <w:rPr>
                <w:rFonts w:eastAsiaTheme="minorEastAsia"/>
                <w:szCs w:val="21"/>
              </w:rPr>
            </w:pPr>
            <w:r>
              <w:rPr>
                <w:rFonts w:eastAsiaTheme="minorEastAsia"/>
                <w:szCs w:val="21"/>
              </w:rPr>
              <w:t>医务人员</w:t>
            </w:r>
          </w:p>
        </w:tc>
        <w:tc>
          <w:tcPr>
            <w:tcW w:w="1163" w:type="pct"/>
            <w:vAlign w:val="center"/>
          </w:tcPr>
          <w:p>
            <w:pPr>
              <w:widowControl/>
              <w:snapToGrid w:val="0"/>
              <w:jc w:val="center"/>
              <w:rPr>
                <w:rFonts w:eastAsiaTheme="minorEastAsia"/>
                <w:szCs w:val="21"/>
              </w:rPr>
            </w:pPr>
            <w:r>
              <w:rPr>
                <w:rFonts w:eastAsiaTheme="minorEastAsia"/>
                <w:szCs w:val="21"/>
              </w:rPr>
              <w:t>生活污水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Align w:val="center"/>
          </w:tcPr>
          <w:p>
            <w:pPr>
              <w:snapToGrid w:val="0"/>
              <w:jc w:val="center"/>
              <w:rPr>
                <w:rFonts w:eastAsiaTheme="minorEastAsia"/>
                <w:szCs w:val="21"/>
              </w:rPr>
            </w:pPr>
            <w:r>
              <w:rPr>
                <w:rFonts w:eastAsiaTheme="minorEastAsia"/>
                <w:szCs w:val="21"/>
              </w:rPr>
              <w:t>门诊急诊</w:t>
            </w:r>
          </w:p>
        </w:tc>
        <w:tc>
          <w:tcPr>
            <w:tcW w:w="1163" w:type="pct"/>
            <w:vAlign w:val="center"/>
          </w:tcPr>
          <w:p>
            <w:pPr>
              <w:widowControl/>
              <w:snapToGrid w:val="0"/>
              <w:jc w:val="center"/>
              <w:rPr>
                <w:rFonts w:eastAsiaTheme="minorEastAsia"/>
                <w:szCs w:val="21"/>
              </w:rPr>
            </w:pPr>
            <w:r>
              <w:rPr>
                <w:rFonts w:eastAsiaTheme="minorEastAsia"/>
                <w:szCs w:val="21"/>
              </w:rPr>
              <w:t>医疗废水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Align w:val="center"/>
          </w:tcPr>
          <w:p>
            <w:pPr>
              <w:snapToGrid w:val="0"/>
              <w:jc w:val="center"/>
              <w:rPr>
                <w:rFonts w:eastAsiaTheme="minorEastAsia"/>
                <w:szCs w:val="21"/>
              </w:rPr>
            </w:pPr>
            <w:r>
              <w:rPr>
                <w:rFonts w:eastAsiaTheme="minorEastAsia"/>
                <w:szCs w:val="21"/>
              </w:rPr>
              <w:t>食堂</w:t>
            </w:r>
          </w:p>
        </w:tc>
        <w:tc>
          <w:tcPr>
            <w:tcW w:w="1163" w:type="pct"/>
            <w:vAlign w:val="center"/>
          </w:tcPr>
          <w:p>
            <w:pPr>
              <w:widowControl/>
              <w:snapToGrid w:val="0"/>
              <w:jc w:val="center"/>
              <w:rPr>
                <w:rFonts w:eastAsiaTheme="minorEastAsia"/>
                <w:szCs w:val="21"/>
              </w:rPr>
            </w:pPr>
            <w:r>
              <w:rPr>
                <w:rFonts w:eastAsiaTheme="minorEastAsia"/>
                <w:szCs w:val="21"/>
              </w:rPr>
              <w:t>餐饮废水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Merge w:val="restart"/>
            <w:vAlign w:val="center"/>
          </w:tcPr>
          <w:p>
            <w:pPr>
              <w:snapToGrid w:val="0"/>
              <w:jc w:val="center"/>
              <w:rPr>
                <w:rFonts w:eastAsiaTheme="minorEastAsia"/>
                <w:szCs w:val="21"/>
              </w:rPr>
            </w:pPr>
            <w:r>
              <w:rPr>
                <w:rFonts w:eastAsiaTheme="minorEastAsia"/>
                <w:szCs w:val="21"/>
              </w:rPr>
              <w:t>检验室</w:t>
            </w:r>
          </w:p>
        </w:tc>
        <w:tc>
          <w:tcPr>
            <w:tcW w:w="1163" w:type="pct"/>
            <w:vAlign w:val="center"/>
          </w:tcPr>
          <w:p>
            <w:pPr>
              <w:widowControl/>
              <w:snapToGrid w:val="0"/>
              <w:jc w:val="center"/>
              <w:rPr>
                <w:rFonts w:eastAsiaTheme="minorEastAsia"/>
                <w:szCs w:val="21"/>
              </w:rPr>
            </w:pPr>
            <w:r>
              <w:rPr>
                <w:rFonts w:eastAsiaTheme="minorEastAsia"/>
                <w:szCs w:val="21"/>
              </w:rPr>
              <w:t>酸碱废水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Merge w:val="continue"/>
            <w:vAlign w:val="center"/>
          </w:tcPr>
          <w:p>
            <w:pPr>
              <w:snapToGrid w:val="0"/>
              <w:jc w:val="center"/>
              <w:rPr>
                <w:rFonts w:eastAsiaTheme="minorEastAsia"/>
                <w:szCs w:val="21"/>
              </w:rPr>
            </w:pPr>
          </w:p>
        </w:tc>
        <w:tc>
          <w:tcPr>
            <w:tcW w:w="1163" w:type="pct"/>
            <w:vAlign w:val="center"/>
          </w:tcPr>
          <w:p>
            <w:pPr>
              <w:widowControl/>
              <w:snapToGrid w:val="0"/>
              <w:jc w:val="center"/>
              <w:rPr>
                <w:rFonts w:eastAsiaTheme="minorEastAsia"/>
                <w:szCs w:val="21"/>
              </w:rPr>
            </w:pPr>
            <w:r>
              <w:rPr>
                <w:rFonts w:eastAsiaTheme="minorEastAsia"/>
                <w:szCs w:val="21"/>
              </w:rPr>
              <w:t>含氰废水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Merge w:val="continue"/>
            <w:vAlign w:val="center"/>
          </w:tcPr>
          <w:p>
            <w:pPr>
              <w:snapToGrid w:val="0"/>
              <w:jc w:val="center"/>
              <w:rPr>
                <w:rFonts w:eastAsiaTheme="minorEastAsia"/>
                <w:szCs w:val="21"/>
              </w:rPr>
            </w:pPr>
          </w:p>
        </w:tc>
        <w:tc>
          <w:tcPr>
            <w:tcW w:w="1163" w:type="pct"/>
            <w:vAlign w:val="center"/>
          </w:tcPr>
          <w:p>
            <w:pPr>
              <w:widowControl/>
              <w:snapToGrid w:val="0"/>
              <w:jc w:val="center"/>
              <w:rPr>
                <w:rFonts w:eastAsiaTheme="minorEastAsia"/>
                <w:szCs w:val="21"/>
              </w:rPr>
            </w:pPr>
            <w:r>
              <w:rPr>
                <w:rFonts w:eastAsiaTheme="minorEastAsia"/>
                <w:szCs w:val="21"/>
              </w:rPr>
              <w:t>含重金属废水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r>
              <w:rPr>
                <w:rFonts w:eastAsiaTheme="minorEastAsia"/>
                <w:szCs w:val="21"/>
              </w:rPr>
              <w:t>√</w:t>
            </w:r>
          </w:p>
        </w:tc>
        <w:tc>
          <w:tcPr>
            <w:tcW w:w="519" w:type="pct"/>
            <w:vAlign w:val="center"/>
          </w:tcPr>
          <w:p>
            <w:pPr>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Merge w:val="continue"/>
            <w:vAlign w:val="center"/>
          </w:tcPr>
          <w:p>
            <w:pPr>
              <w:snapToGrid w:val="0"/>
              <w:jc w:val="center"/>
              <w:rPr>
                <w:rFonts w:eastAsiaTheme="minorEastAsia"/>
                <w:szCs w:val="21"/>
              </w:rPr>
            </w:pPr>
          </w:p>
        </w:tc>
        <w:tc>
          <w:tcPr>
            <w:tcW w:w="1163" w:type="pct"/>
            <w:vAlign w:val="center"/>
          </w:tcPr>
          <w:p>
            <w:pPr>
              <w:widowControl/>
              <w:snapToGrid w:val="0"/>
              <w:jc w:val="center"/>
              <w:rPr>
                <w:rFonts w:eastAsiaTheme="minorEastAsia"/>
                <w:szCs w:val="21"/>
              </w:rPr>
            </w:pPr>
            <w:r>
              <w:rPr>
                <w:rFonts w:eastAsiaTheme="minorEastAsia"/>
                <w:szCs w:val="21"/>
              </w:rPr>
              <w:t>生化标本清洗废水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8" w:type="pct"/>
            <w:vAlign w:val="center"/>
          </w:tcPr>
          <w:p>
            <w:pPr>
              <w:snapToGrid w:val="0"/>
              <w:jc w:val="center"/>
              <w:rPr>
                <w:rFonts w:eastAsiaTheme="minorEastAsia"/>
                <w:szCs w:val="21"/>
              </w:rPr>
            </w:pPr>
            <w:r>
              <w:rPr>
                <w:rFonts w:eastAsiaTheme="minorEastAsia"/>
                <w:szCs w:val="21"/>
              </w:rPr>
              <w:t>口腔科</w:t>
            </w:r>
          </w:p>
        </w:tc>
        <w:tc>
          <w:tcPr>
            <w:tcW w:w="1163" w:type="pct"/>
            <w:vAlign w:val="center"/>
          </w:tcPr>
          <w:p>
            <w:pPr>
              <w:widowControl/>
              <w:snapToGrid w:val="0"/>
              <w:jc w:val="center"/>
              <w:rPr>
                <w:rFonts w:eastAsiaTheme="minorEastAsia"/>
                <w:szCs w:val="21"/>
              </w:rPr>
            </w:pPr>
            <w:r>
              <w:rPr>
                <w:rFonts w:eastAsiaTheme="minorEastAsia"/>
                <w:szCs w:val="21"/>
              </w:rPr>
              <w:t>医疗废水</w:t>
            </w:r>
          </w:p>
        </w:tc>
        <w:tc>
          <w:tcPr>
            <w:tcW w:w="419" w:type="pct"/>
            <w:vAlign w:val="center"/>
          </w:tcPr>
          <w:p>
            <w:pPr>
              <w:snapToGrid w:val="0"/>
              <w:jc w:val="center"/>
              <w:rPr>
                <w:rFonts w:eastAsiaTheme="minorEastAsia"/>
                <w:szCs w:val="21"/>
              </w:rPr>
            </w:pPr>
            <w:r>
              <w:rPr>
                <w:rFonts w:eastAsiaTheme="minorEastAsia"/>
                <w:szCs w:val="21"/>
              </w:rPr>
              <w:t>√</w:t>
            </w:r>
          </w:p>
        </w:tc>
        <w:tc>
          <w:tcPr>
            <w:tcW w:w="412" w:type="pct"/>
            <w:vAlign w:val="center"/>
          </w:tcPr>
          <w:p>
            <w:pPr>
              <w:snapToGrid w:val="0"/>
              <w:jc w:val="center"/>
              <w:rPr>
                <w:rFonts w:eastAsiaTheme="minorEastAsia"/>
                <w:szCs w:val="21"/>
              </w:rPr>
            </w:pPr>
            <w:r>
              <w:rPr>
                <w:rFonts w:eastAsiaTheme="minorEastAsia"/>
                <w:szCs w:val="21"/>
              </w:rPr>
              <w:t>√</w:t>
            </w:r>
          </w:p>
        </w:tc>
        <w:tc>
          <w:tcPr>
            <w:tcW w:w="276"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r>
              <w:rPr>
                <w:rFonts w:eastAsiaTheme="minorEastAsia"/>
                <w:szCs w:val="21"/>
              </w:rPr>
              <w:t>√</w:t>
            </w:r>
          </w:p>
        </w:tc>
        <w:tc>
          <w:tcPr>
            <w:tcW w:w="521" w:type="pct"/>
            <w:vAlign w:val="center"/>
          </w:tcPr>
          <w:p>
            <w:pPr>
              <w:snapToGrid w:val="0"/>
              <w:jc w:val="center"/>
              <w:rPr>
                <w:rFonts w:eastAsiaTheme="minorEastAsia"/>
                <w:szCs w:val="21"/>
              </w:rPr>
            </w:pPr>
          </w:p>
        </w:tc>
        <w:tc>
          <w:tcPr>
            <w:tcW w:w="521" w:type="pct"/>
            <w:vAlign w:val="center"/>
          </w:tcPr>
          <w:p>
            <w:pPr>
              <w:snapToGrid w:val="0"/>
              <w:jc w:val="center"/>
              <w:rPr>
                <w:rFonts w:eastAsiaTheme="minorEastAsia"/>
                <w:szCs w:val="21"/>
              </w:rPr>
            </w:pPr>
          </w:p>
        </w:tc>
        <w:tc>
          <w:tcPr>
            <w:tcW w:w="519" w:type="pct"/>
            <w:vAlign w:val="center"/>
          </w:tcPr>
          <w:p>
            <w:pPr>
              <w:snapToGrid w:val="0"/>
              <w:jc w:val="center"/>
              <w:rPr>
                <w:rFonts w:eastAsiaTheme="minorEastAsia"/>
                <w:szCs w:val="21"/>
              </w:rPr>
            </w:pPr>
          </w:p>
        </w:tc>
      </w:tr>
    </w:tbl>
    <w:p>
      <w:pPr>
        <w:snapToGrid w:val="0"/>
        <w:spacing w:line="360" w:lineRule="auto"/>
        <w:ind w:firstLine="480" w:firstLineChars="200"/>
        <w:rPr>
          <w:rFonts w:eastAsiaTheme="minorEastAsia"/>
          <w:sz w:val="24"/>
        </w:rPr>
      </w:pPr>
      <w:r>
        <w:rPr>
          <w:rFonts w:eastAsiaTheme="minorEastAsia"/>
          <w:sz w:val="24"/>
        </w:rPr>
        <w:t>由上表可以看出，医院废水比一般生活污水性质更为复杂，不同部门、科室污染物产生种类各不相同。医院废水中主要包括病原性微生物、有毒有害物理化学污染物两类。病原微生物主要有粪大肠菌群、多种传染性细菌和病毒、蛔虫卵等，这些细菌主要通过饮水、食物等不同途径进入人体。有毒有害化学品主要来自化验室、检验室使用的化学试剂或制作化学清洗剂，经常使用酸类、有机溶剂等。</w:t>
      </w:r>
    </w:p>
    <w:p>
      <w:pPr>
        <w:snapToGrid w:val="0"/>
        <w:spacing w:line="360" w:lineRule="auto"/>
        <w:ind w:firstLine="480" w:firstLineChars="200"/>
        <w:rPr>
          <w:rFonts w:eastAsiaTheme="minorEastAsia"/>
          <w:sz w:val="24"/>
        </w:rPr>
      </w:pPr>
      <w:r>
        <w:rPr>
          <w:rFonts w:eastAsiaTheme="minorEastAsia"/>
          <w:sz w:val="24"/>
        </w:rPr>
        <w:t>（2）项目水质及水量</w:t>
      </w:r>
    </w:p>
    <w:p>
      <w:pPr>
        <w:snapToGrid w:val="0"/>
        <w:spacing w:line="360" w:lineRule="auto"/>
        <w:ind w:firstLine="480" w:firstLineChars="200"/>
        <w:rPr>
          <w:rFonts w:eastAsiaTheme="minorEastAsia"/>
          <w:sz w:val="24"/>
          <w:u w:val="single"/>
        </w:rPr>
      </w:pPr>
      <w:r>
        <w:rPr>
          <w:rFonts w:eastAsiaTheme="minorEastAsia"/>
          <w:sz w:val="24"/>
          <w:u w:val="single"/>
        </w:rPr>
        <w:t>项目建成后，废水主要包括特殊医疗废水（含检验科废水）、普通医疗废水（</w:t>
      </w:r>
      <w:r>
        <w:rPr>
          <w:rFonts w:hint="eastAsia" w:eastAsiaTheme="minorEastAsia"/>
          <w:sz w:val="24"/>
          <w:u w:val="single"/>
        </w:rPr>
        <w:t>住院部废水及门诊废水</w:t>
      </w:r>
      <w:r>
        <w:rPr>
          <w:rFonts w:eastAsiaTheme="minorEastAsia"/>
          <w:sz w:val="24"/>
          <w:u w:val="single"/>
        </w:rPr>
        <w:t>）</w:t>
      </w:r>
      <w:r>
        <w:rPr>
          <w:rFonts w:hint="eastAsia" w:eastAsiaTheme="minorEastAsia"/>
          <w:sz w:val="24"/>
          <w:u w:val="single"/>
        </w:rPr>
        <w:t>及生活污水（食堂废水</w:t>
      </w:r>
      <w:r>
        <w:rPr>
          <w:rFonts w:eastAsiaTheme="minorEastAsia"/>
          <w:sz w:val="24"/>
          <w:u w:val="single"/>
        </w:rPr>
        <w:t>与医务人员生活污水混合处理</w:t>
      </w:r>
      <w:r>
        <w:rPr>
          <w:rFonts w:hint="eastAsia" w:eastAsiaTheme="minorEastAsia"/>
          <w:sz w:val="24"/>
          <w:u w:val="single"/>
        </w:rPr>
        <w:t>）</w:t>
      </w:r>
      <w:r>
        <w:rPr>
          <w:rFonts w:eastAsiaTheme="minorEastAsia"/>
          <w:sz w:val="24"/>
          <w:u w:val="single"/>
        </w:rPr>
        <w:t>。</w:t>
      </w:r>
    </w:p>
    <w:p>
      <w:pPr>
        <w:snapToGrid w:val="0"/>
        <w:spacing w:line="360" w:lineRule="auto"/>
        <w:ind w:firstLine="480" w:firstLineChars="200"/>
        <w:rPr>
          <w:rFonts w:eastAsiaTheme="minorEastAsia"/>
          <w:color w:val="FF0000"/>
          <w:sz w:val="24"/>
        </w:rPr>
      </w:pPr>
      <w:r>
        <w:rPr>
          <w:rFonts w:eastAsiaTheme="minorEastAsia"/>
          <w:sz w:val="24"/>
          <w:u w:val="single"/>
        </w:rPr>
        <w:t>本项目产生的废水需分类收集、分别单独预处理后，方可进入污水处理站，具体如下：食堂废水经隔油预处理</w:t>
      </w:r>
      <w:r>
        <w:rPr>
          <w:rFonts w:hint="eastAsia" w:eastAsiaTheme="minorEastAsia"/>
          <w:sz w:val="24"/>
          <w:u w:val="single"/>
        </w:rPr>
        <w:t>后于医护人员生活污水合并进入化粪池处理，达标后直接排入湘阴县第一污水处理厂处理；</w:t>
      </w:r>
      <w:r>
        <w:rPr>
          <w:rFonts w:eastAsiaTheme="minorEastAsia"/>
          <w:sz w:val="24"/>
        </w:rPr>
        <w:t>检验室酸碱废水经预处理槽中和预处理，含氰废水采用预处理槽碱式氯化法预处理，检验科生化标本清洗废水经84消毒液（次氯酸钠）预处理后，排入污水处理站；检验室产生的少量含重金属废水在废液桶内收集作为危废交有资质单位处理；口腔科漱口废水经84消毒液（次氯酸钠）消毒后排入污水处理站。普通医疗废水经化粪池、自建的污水处理站处理达到《医疗机构水污染物排放标准》（GB18466-2005）表2预处理标准后排入</w:t>
      </w:r>
      <w:r>
        <w:rPr>
          <w:rFonts w:hint="eastAsia" w:eastAsiaTheme="minorEastAsia"/>
          <w:sz w:val="24"/>
        </w:rPr>
        <w:t>建新路</w:t>
      </w:r>
      <w:r>
        <w:rPr>
          <w:rFonts w:eastAsiaTheme="minorEastAsia"/>
          <w:sz w:val="24"/>
        </w:rPr>
        <w:t>市政污水管网。</w:t>
      </w:r>
    </w:p>
    <w:p>
      <w:pPr>
        <w:snapToGrid w:val="0"/>
        <w:spacing w:line="360" w:lineRule="auto"/>
        <w:ind w:firstLine="480" w:firstLineChars="200"/>
        <w:rPr>
          <w:rFonts w:eastAsiaTheme="minorEastAsia"/>
          <w:sz w:val="24"/>
        </w:rPr>
      </w:pPr>
      <w:r>
        <w:rPr>
          <w:rFonts w:eastAsiaTheme="minorEastAsia"/>
          <w:sz w:val="24"/>
        </w:rPr>
        <w:t>参考现湘阴县中医院实际运行情况以及类比相关类似项目，估计本项目废水中各污染物的产生浓度见下表。</w:t>
      </w:r>
    </w:p>
    <w:p>
      <w:pPr>
        <w:snapToGrid w:val="0"/>
        <w:spacing w:line="360" w:lineRule="auto"/>
        <w:jc w:val="center"/>
        <w:rPr>
          <w:rFonts w:eastAsiaTheme="minorEastAsia"/>
          <w:b/>
          <w:sz w:val="24"/>
        </w:rPr>
      </w:pPr>
      <w:r>
        <w:rPr>
          <w:rFonts w:eastAsiaTheme="minorEastAsia"/>
          <w:b/>
          <w:sz w:val="24"/>
        </w:rPr>
        <w:t>表4.6-5  医院建成后废水水质及预处理措施</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6"/>
        <w:gridCol w:w="1121"/>
        <w:gridCol w:w="916"/>
        <w:gridCol w:w="1181"/>
        <w:gridCol w:w="1566"/>
        <w:gridCol w:w="1872"/>
        <w:gridCol w:w="17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80" w:type="pct"/>
            <w:gridSpan w:val="2"/>
            <w:vAlign w:val="center"/>
          </w:tcPr>
          <w:p>
            <w:pPr>
              <w:snapToGrid w:val="0"/>
              <w:jc w:val="center"/>
              <w:rPr>
                <w:rFonts w:eastAsiaTheme="minorEastAsia"/>
                <w:b/>
                <w:szCs w:val="21"/>
              </w:rPr>
            </w:pPr>
            <w:r>
              <w:rPr>
                <w:rFonts w:eastAsiaTheme="minorEastAsia"/>
                <w:b/>
                <w:szCs w:val="21"/>
              </w:rPr>
              <w:t>废水类型</w:t>
            </w:r>
          </w:p>
        </w:tc>
        <w:tc>
          <w:tcPr>
            <w:tcW w:w="521" w:type="pct"/>
            <w:vAlign w:val="center"/>
          </w:tcPr>
          <w:p>
            <w:pPr>
              <w:snapToGrid w:val="0"/>
              <w:jc w:val="center"/>
              <w:rPr>
                <w:rFonts w:eastAsiaTheme="minorEastAsia"/>
                <w:b/>
                <w:szCs w:val="21"/>
              </w:rPr>
            </w:pPr>
            <w:r>
              <w:rPr>
                <w:rFonts w:eastAsiaTheme="minorEastAsia"/>
                <w:b/>
                <w:szCs w:val="21"/>
              </w:rPr>
              <w:t>废水量</w:t>
            </w:r>
            <w:r>
              <w:rPr>
                <w:rFonts w:eastAsiaTheme="minorEastAsia"/>
                <w:szCs w:val="21"/>
              </w:rPr>
              <w:t>m</w:t>
            </w:r>
            <w:r>
              <w:rPr>
                <w:rFonts w:eastAsiaTheme="minorEastAsia"/>
                <w:szCs w:val="21"/>
                <w:vertAlign w:val="superscript"/>
              </w:rPr>
              <w:t>3</w:t>
            </w:r>
            <w:r>
              <w:rPr>
                <w:rFonts w:eastAsiaTheme="minorEastAsia"/>
                <w:szCs w:val="21"/>
              </w:rPr>
              <w:t>/a</w:t>
            </w:r>
          </w:p>
        </w:tc>
        <w:tc>
          <w:tcPr>
            <w:tcW w:w="672" w:type="pct"/>
            <w:vAlign w:val="center"/>
          </w:tcPr>
          <w:p>
            <w:pPr>
              <w:snapToGrid w:val="0"/>
              <w:jc w:val="center"/>
              <w:rPr>
                <w:rFonts w:eastAsiaTheme="minorEastAsia"/>
                <w:b/>
                <w:szCs w:val="21"/>
              </w:rPr>
            </w:pPr>
            <w:r>
              <w:rPr>
                <w:rFonts w:eastAsiaTheme="minorEastAsia"/>
                <w:b/>
                <w:szCs w:val="21"/>
              </w:rPr>
              <w:t>废水性质</w:t>
            </w:r>
          </w:p>
        </w:tc>
        <w:tc>
          <w:tcPr>
            <w:tcW w:w="891" w:type="pct"/>
            <w:vAlign w:val="center"/>
          </w:tcPr>
          <w:p>
            <w:pPr>
              <w:snapToGrid w:val="0"/>
              <w:jc w:val="center"/>
              <w:rPr>
                <w:rFonts w:eastAsiaTheme="minorEastAsia"/>
                <w:b/>
                <w:szCs w:val="21"/>
              </w:rPr>
            </w:pPr>
            <w:r>
              <w:rPr>
                <w:rFonts w:eastAsiaTheme="minorEastAsia"/>
                <w:b/>
                <w:szCs w:val="21"/>
              </w:rPr>
              <w:t>特征污染物</w:t>
            </w:r>
          </w:p>
        </w:tc>
        <w:tc>
          <w:tcPr>
            <w:tcW w:w="1065" w:type="pct"/>
            <w:vAlign w:val="center"/>
          </w:tcPr>
          <w:p>
            <w:pPr>
              <w:snapToGrid w:val="0"/>
              <w:jc w:val="center"/>
              <w:rPr>
                <w:rFonts w:eastAsiaTheme="minorEastAsia"/>
                <w:b/>
                <w:szCs w:val="21"/>
              </w:rPr>
            </w:pPr>
            <w:r>
              <w:rPr>
                <w:rFonts w:eastAsiaTheme="minorEastAsia"/>
                <w:b/>
                <w:szCs w:val="21"/>
              </w:rPr>
              <w:t>预处理措施</w:t>
            </w:r>
          </w:p>
        </w:tc>
        <w:tc>
          <w:tcPr>
            <w:tcW w:w="971" w:type="pct"/>
            <w:vAlign w:val="center"/>
          </w:tcPr>
          <w:p>
            <w:pPr>
              <w:snapToGrid w:val="0"/>
              <w:jc w:val="center"/>
              <w:rPr>
                <w:rFonts w:eastAsiaTheme="minorEastAsia"/>
                <w:b/>
                <w:szCs w:val="21"/>
              </w:rPr>
            </w:pPr>
            <w:r>
              <w:rPr>
                <w:rFonts w:eastAsiaTheme="minorEastAsia"/>
                <w:b/>
                <w:szCs w:val="21"/>
              </w:rPr>
              <w:t>综合水质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2" w:type="pct"/>
            <w:vMerge w:val="restart"/>
            <w:vAlign w:val="center"/>
          </w:tcPr>
          <w:p>
            <w:pPr>
              <w:snapToGrid w:val="0"/>
              <w:jc w:val="center"/>
              <w:rPr>
                <w:rFonts w:eastAsiaTheme="minorEastAsia"/>
                <w:szCs w:val="21"/>
              </w:rPr>
            </w:pPr>
            <w:r>
              <w:rPr>
                <w:rFonts w:eastAsiaTheme="minorEastAsia"/>
                <w:szCs w:val="21"/>
              </w:rPr>
              <w:t>特殊废水</w:t>
            </w:r>
          </w:p>
        </w:tc>
        <w:tc>
          <w:tcPr>
            <w:tcW w:w="638" w:type="pct"/>
            <w:vAlign w:val="center"/>
          </w:tcPr>
          <w:p>
            <w:pPr>
              <w:snapToGrid w:val="0"/>
              <w:jc w:val="center"/>
              <w:rPr>
                <w:rFonts w:eastAsiaTheme="minorEastAsia"/>
                <w:szCs w:val="21"/>
              </w:rPr>
            </w:pPr>
            <w:r>
              <w:rPr>
                <w:rFonts w:eastAsiaTheme="minorEastAsia"/>
                <w:szCs w:val="21"/>
              </w:rPr>
              <w:t>检验科</w:t>
            </w:r>
          </w:p>
          <w:p>
            <w:pPr>
              <w:snapToGrid w:val="0"/>
              <w:jc w:val="center"/>
              <w:rPr>
                <w:rFonts w:eastAsiaTheme="minorEastAsia"/>
                <w:szCs w:val="21"/>
              </w:rPr>
            </w:pPr>
            <w:r>
              <w:rPr>
                <w:rFonts w:eastAsiaTheme="minorEastAsia"/>
                <w:szCs w:val="21"/>
              </w:rPr>
              <w:t>废水</w:t>
            </w:r>
          </w:p>
        </w:tc>
        <w:tc>
          <w:tcPr>
            <w:tcW w:w="521" w:type="pct"/>
            <w:vAlign w:val="center"/>
          </w:tcPr>
          <w:p>
            <w:pPr>
              <w:snapToGrid w:val="0"/>
              <w:jc w:val="center"/>
              <w:rPr>
                <w:rFonts w:eastAsiaTheme="minorEastAsia"/>
                <w:szCs w:val="21"/>
              </w:rPr>
            </w:pPr>
            <w:r>
              <w:rPr>
                <w:rFonts w:eastAsia="等线"/>
                <w:kern w:val="0"/>
                <w:szCs w:val="21"/>
              </w:rPr>
              <w:t>310.25</w:t>
            </w:r>
          </w:p>
        </w:tc>
        <w:tc>
          <w:tcPr>
            <w:tcW w:w="672" w:type="pct"/>
            <w:vAlign w:val="center"/>
          </w:tcPr>
          <w:p>
            <w:pPr>
              <w:snapToGrid w:val="0"/>
              <w:jc w:val="center"/>
              <w:rPr>
                <w:rFonts w:eastAsiaTheme="minorEastAsia"/>
                <w:szCs w:val="21"/>
              </w:rPr>
            </w:pPr>
            <w:r>
              <w:rPr>
                <w:rFonts w:eastAsiaTheme="minorEastAsia"/>
                <w:szCs w:val="21"/>
              </w:rPr>
              <w:t>酸碱废水、含氰废水、生化标本清洗废水</w:t>
            </w:r>
          </w:p>
        </w:tc>
        <w:tc>
          <w:tcPr>
            <w:tcW w:w="891" w:type="pct"/>
            <w:vAlign w:val="center"/>
          </w:tcPr>
          <w:p>
            <w:pPr>
              <w:snapToGrid w:val="0"/>
              <w:jc w:val="center"/>
              <w:rPr>
                <w:rFonts w:eastAsiaTheme="minorEastAsia"/>
                <w:szCs w:val="21"/>
              </w:rPr>
            </w:pPr>
            <w:r>
              <w:rPr>
                <w:rFonts w:eastAsiaTheme="minorEastAsia"/>
                <w:szCs w:val="21"/>
              </w:rPr>
              <w:t>酸碱、氰化物、粪大肠菌群</w:t>
            </w:r>
          </w:p>
        </w:tc>
        <w:tc>
          <w:tcPr>
            <w:tcW w:w="1065" w:type="pct"/>
            <w:vAlign w:val="center"/>
          </w:tcPr>
          <w:p>
            <w:pPr>
              <w:snapToGrid w:val="0"/>
              <w:jc w:val="center"/>
              <w:rPr>
                <w:rFonts w:eastAsiaTheme="minorEastAsia"/>
                <w:szCs w:val="21"/>
              </w:rPr>
            </w:pPr>
            <w:r>
              <w:rPr>
                <w:rFonts w:eastAsiaTheme="minorEastAsia"/>
                <w:szCs w:val="21"/>
              </w:rPr>
              <w:t>酸碱废水中和预处理、含氰废水槽碱式氯化法预处理、生化标本清洗废水经84消毒液（次氯酸钠）预处理，排入废水处理站</w:t>
            </w:r>
          </w:p>
        </w:tc>
        <w:tc>
          <w:tcPr>
            <w:tcW w:w="971" w:type="pct"/>
            <w:vMerge w:val="restart"/>
            <w:vAlign w:val="center"/>
          </w:tcPr>
          <w:p>
            <w:pPr>
              <w:snapToGrid w:val="0"/>
              <w:jc w:val="center"/>
              <w:rPr>
                <w:rFonts w:eastAsiaTheme="minorEastAsia"/>
                <w:szCs w:val="21"/>
              </w:rPr>
            </w:pPr>
            <w:r>
              <w:rPr>
                <w:rFonts w:eastAsiaTheme="minorEastAsia"/>
                <w:szCs w:val="21"/>
              </w:rPr>
              <w:t>COD：300mg/L</w:t>
            </w:r>
          </w:p>
          <w:p>
            <w:pPr>
              <w:snapToGrid w:val="0"/>
              <w:jc w:val="center"/>
              <w:rPr>
                <w:rFonts w:eastAsiaTheme="minorEastAsia"/>
                <w:szCs w:val="21"/>
              </w:rPr>
            </w:pPr>
            <w:r>
              <w:rPr>
                <w:rFonts w:eastAsiaTheme="minorEastAsia"/>
                <w:szCs w:val="21"/>
              </w:rPr>
              <w:t>BOD</w:t>
            </w:r>
            <w:r>
              <w:rPr>
                <w:rFonts w:eastAsiaTheme="minorEastAsia"/>
                <w:szCs w:val="21"/>
                <w:vertAlign w:val="subscript"/>
              </w:rPr>
              <w:t>5</w:t>
            </w:r>
            <w:r>
              <w:rPr>
                <w:rFonts w:eastAsiaTheme="minorEastAsia"/>
                <w:szCs w:val="21"/>
              </w:rPr>
              <w:t>：150mg/L</w:t>
            </w:r>
          </w:p>
          <w:p>
            <w:pPr>
              <w:snapToGrid w:val="0"/>
              <w:jc w:val="center"/>
              <w:rPr>
                <w:rFonts w:eastAsiaTheme="minorEastAsia"/>
                <w:szCs w:val="21"/>
              </w:rPr>
            </w:pPr>
            <w:r>
              <w:rPr>
                <w:rFonts w:eastAsiaTheme="minorEastAsia"/>
                <w:szCs w:val="21"/>
              </w:rPr>
              <w:t>氨氮：30mg/L</w:t>
            </w:r>
          </w:p>
          <w:p>
            <w:pPr>
              <w:snapToGrid w:val="0"/>
              <w:jc w:val="center"/>
              <w:rPr>
                <w:rFonts w:eastAsiaTheme="minorEastAsia"/>
                <w:szCs w:val="21"/>
              </w:rPr>
            </w:pPr>
            <w:r>
              <w:rPr>
                <w:rFonts w:eastAsiaTheme="minorEastAsia"/>
                <w:szCs w:val="21"/>
              </w:rPr>
              <w:t>SS：200mg/L</w:t>
            </w:r>
          </w:p>
          <w:p>
            <w:pPr>
              <w:snapToGrid w:val="0"/>
              <w:jc w:val="center"/>
              <w:rPr>
                <w:rFonts w:eastAsiaTheme="minorEastAsia"/>
                <w:szCs w:val="21"/>
              </w:rPr>
            </w:pPr>
            <w:r>
              <w:rPr>
                <w:rFonts w:eastAsiaTheme="minorEastAsia"/>
                <w:szCs w:val="21"/>
              </w:rPr>
              <w:t>粪大肠菌群：1.6</w:t>
            </w:r>
            <w:r>
              <w:rPr>
                <w:rFonts w:eastAsia="MS Gothic"/>
                <w:szCs w:val="21"/>
              </w:rPr>
              <w:t>×</w:t>
            </w:r>
            <w:r>
              <w:rPr>
                <w:rFonts w:eastAsiaTheme="minorEastAsia"/>
                <w:szCs w:val="21"/>
              </w:rPr>
              <w:t>10</w:t>
            </w:r>
            <w:r>
              <w:rPr>
                <w:rFonts w:eastAsiaTheme="minorEastAsia"/>
                <w:szCs w:val="21"/>
                <w:vertAlign w:val="superscript"/>
              </w:rPr>
              <w:t>8</w:t>
            </w:r>
            <w:r>
              <w:rPr>
                <w:rFonts w:eastAsiaTheme="minorEastAsia"/>
                <w:szCs w:val="21"/>
              </w:rPr>
              <w:t>MPN/L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snapToGrid w:val="0"/>
              <w:jc w:val="center"/>
              <w:rPr>
                <w:rFonts w:eastAsiaTheme="minorEastAsia"/>
                <w:szCs w:val="21"/>
              </w:rPr>
            </w:pPr>
          </w:p>
        </w:tc>
        <w:tc>
          <w:tcPr>
            <w:tcW w:w="638" w:type="pct"/>
            <w:vAlign w:val="center"/>
          </w:tcPr>
          <w:p>
            <w:pPr>
              <w:snapToGrid w:val="0"/>
              <w:jc w:val="center"/>
              <w:rPr>
                <w:rFonts w:eastAsiaTheme="minorEastAsia"/>
                <w:szCs w:val="21"/>
              </w:rPr>
            </w:pPr>
            <w:r>
              <w:rPr>
                <w:rFonts w:eastAsiaTheme="minorEastAsia"/>
                <w:szCs w:val="21"/>
              </w:rPr>
              <w:t>口腔科</w:t>
            </w:r>
          </w:p>
          <w:p>
            <w:pPr>
              <w:snapToGrid w:val="0"/>
              <w:jc w:val="center"/>
              <w:rPr>
                <w:rFonts w:eastAsiaTheme="minorEastAsia"/>
                <w:szCs w:val="21"/>
              </w:rPr>
            </w:pPr>
            <w:r>
              <w:rPr>
                <w:rFonts w:eastAsiaTheme="minorEastAsia"/>
                <w:szCs w:val="21"/>
              </w:rPr>
              <w:t>废水</w:t>
            </w:r>
          </w:p>
        </w:tc>
        <w:tc>
          <w:tcPr>
            <w:tcW w:w="521" w:type="pct"/>
            <w:vAlign w:val="center"/>
          </w:tcPr>
          <w:p>
            <w:pPr>
              <w:snapToGrid w:val="0"/>
              <w:jc w:val="center"/>
              <w:rPr>
                <w:rFonts w:eastAsiaTheme="minorEastAsia"/>
                <w:szCs w:val="21"/>
              </w:rPr>
            </w:pPr>
            <w:r>
              <w:rPr>
                <w:rFonts w:eastAsia="等线"/>
                <w:kern w:val="0"/>
                <w:szCs w:val="21"/>
              </w:rPr>
              <w:t>310.25</w:t>
            </w:r>
          </w:p>
        </w:tc>
        <w:tc>
          <w:tcPr>
            <w:tcW w:w="672" w:type="pct"/>
            <w:vAlign w:val="center"/>
          </w:tcPr>
          <w:p>
            <w:pPr>
              <w:snapToGrid w:val="0"/>
              <w:jc w:val="center"/>
              <w:rPr>
                <w:rFonts w:eastAsiaTheme="minorEastAsia"/>
                <w:szCs w:val="21"/>
              </w:rPr>
            </w:pPr>
            <w:r>
              <w:rPr>
                <w:rFonts w:eastAsiaTheme="minorEastAsia"/>
                <w:szCs w:val="21"/>
              </w:rPr>
              <w:t>口腔科漱口废水</w:t>
            </w:r>
          </w:p>
        </w:tc>
        <w:tc>
          <w:tcPr>
            <w:tcW w:w="891" w:type="pct"/>
            <w:vAlign w:val="center"/>
          </w:tcPr>
          <w:p>
            <w:pPr>
              <w:snapToGrid w:val="0"/>
              <w:jc w:val="center"/>
              <w:rPr>
                <w:rFonts w:eastAsiaTheme="minorEastAsia"/>
                <w:szCs w:val="21"/>
              </w:rPr>
            </w:pPr>
            <w:r>
              <w:rPr>
                <w:rFonts w:eastAsiaTheme="minorEastAsia"/>
                <w:szCs w:val="21"/>
              </w:rPr>
              <w:t>粪大肠菌群、COD、BOD</w:t>
            </w:r>
            <w:r>
              <w:rPr>
                <w:rFonts w:eastAsiaTheme="minorEastAsia"/>
                <w:szCs w:val="21"/>
                <w:vertAlign w:val="subscript"/>
              </w:rPr>
              <w:t>5</w:t>
            </w:r>
          </w:p>
        </w:tc>
        <w:tc>
          <w:tcPr>
            <w:tcW w:w="1065" w:type="pct"/>
            <w:vAlign w:val="center"/>
          </w:tcPr>
          <w:p>
            <w:pPr>
              <w:snapToGrid w:val="0"/>
              <w:jc w:val="center"/>
              <w:rPr>
                <w:rFonts w:eastAsiaTheme="minorEastAsia"/>
                <w:szCs w:val="21"/>
              </w:rPr>
            </w:pPr>
            <w:r>
              <w:rPr>
                <w:rFonts w:eastAsiaTheme="minorEastAsia"/>
                <w:szCs w:val="21"/>
              </w:rPr>
              <w:t>84消毒液（次氯酸钠）消毒预处理，排入废水处理站</w:t>
            </w:r>
          </w:p>
        </w:tc>
        <w:tc>
          <w:tcPr>
            <w:tcW w:w="971" w:type="pct"/>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2" w:type="pct"/>
            <w:vMerge w:val="restart"/>
            <w:vAlign w:val="center"/>
          </w:tcPr>
          <w:p>
            <w:pPr>
              <w:snapToGrid w:val="0"/>
              <w:jc w:val="center"/>
              <w:rPr>
                <w:rFonts w:eastAsiaTheme="minorEastAsia"/>
                <w:szCs w:val="21"/>
                <w:u w:val="single"/>
              </w:rPr>
            </w:pPr>
            <w:r>
              <w:rPr>
                <w:rFonts w:eastAsiaTheme="minorEastAsia"/>
                <w:szCs w:val="21"/>
                <w:u w:val="single"/>
              </w:rPr>
              <w:t>普通医疗废水</w:t>
            </w:r>
          </w:p>
        </w:tc>
        <w:tc>
          <w:tcPr>
            <w:tcW w:w="638" w:type="pct"/>
            <w:vAlign w:val="center"/>
          </w:tcPr>
          <w:p>
            <w:pPr>
              <w:widowControl/>
              <w:snapToGrid w:val="0"/>
              <w:jc w:val="center"/>
              <w:rPr>
                <w:rFonts w:eastAsiaTheme="minorEastAsia"/>
                <w:szCs w:val="21"/>
                <w:u w:val="single"/>
              </w:rPr>
            </w:pPr>
            <w:r>
              <w:rPr>
                <w:rFonts w:eastAsiaTheme="minorEastAsia"/>
                <w:szCs w:val="21"/>
                <w:u w:val="single"/>
              </w:rPr>
              <w:t>医院住院部废水</w:t>
            </w:r>
          </w:p>
        </w:tc>
        <w:tc>
          <w:tcPr>
            <w:tcW w:w="521" w:type="pct"/>
            <w:vAlign w:val="center"/>
          </w:tcPr>
          <w:p>
            <w:pPr>
              <w:snapToGrid w:val="0"/>
              <w:jc w:val="center"/>
              <w:rPr>
                <w:rFonts w:eastAsiaTheme="minorEastAsia"/>
                <w:szCs w:val="21"/>
                <w:u w:val="single"/>
              </w:rPr>
            </w:pPr>
            <w:r>
              <w:rPr>
                <w:rFonts w:eastAsia="等线"/>
                <w:kern w:val="0"/>
                <w:szCs w:val="21"/>
                <w:u w:val="single"/>
              </w:rPr>
              <w:t>63042.8</w:t>
            </w:r>
          </w:p>
        </w:tc>
        <w:tc>
          <w:tcPr>
            <w:tcW w:w="672" w:type="pct"/>
            <w:vAlign w:val="center"/>
          </w:tcPr>
          <w:p>
            <w:pPr>
              <w:snapToGrid w:val="0"/>
              <w:jc w:val="center"/>
              <w:rPr>
                <w:rFonts w:eastAsiaTheme="minorEastAsia"/>
                <w:szCs w:val="21"/>
                <w:u w:val="single"/>
              </w:rPr>
            </w:pPr>
            <w:r>
              <w:rPr>
                <w:rFonts w:eastAsiaTheme="minorEastAsia"/>
                <w:szCs w:val="21"/>
                <w:u w:val="single"/>
              </w:rPr>
              <w:t>综合废水</w:t>
            </w:r>
          </w:p>
        </w:tc>
        <w:tc>
          <w:tcPr>
            <w:tcW w:w="891" w:type="pct"/>
            <w:vAlign w:val="center"/>
          </w:tcPr>
          <w:p>
            <w:pPr>
              <w:snapToGrid w:val="0"/>
              <w:jc w:val="center"/>
              <w:rPr>
                <w:rFonts w:eastAsiaTheme="minorEastAsia"/>
                <w:szCs w:val="21"/>
                <w:u w:val="single"/>
              </w:rPr>
            </w:pPr>
            <w:r>
              <w:rPr>
                <w:rFonts w:eastAsiaTheme="minorEastAsia"/>
                <w:szCs w:val="21"/>
                <w:u w:val="single"/>
              </w:rPr>
              <w:t>COD、BOD</w:t>
            </w:r>
            <w:r>
              <w:rPr>
                <w:rFonts w:eastAsiaTheme="minorEastAsia"/>
                <w:szCs w:val="21"/>
                <w:u w:val="single"/>
                <w:vertAlign w:val="subscript"/>
              </w:rPr>
              <w:t>5</w:t>
            </w:r>
            <w:r>
              <w:rPr>
                <w:rFonts w:eastAsiaTheme="minorEastAsia"/>
                <w:szCs w:val="21"/>
                <w:u w:val="single"/>
              </w:rPr>
              <w:t>、SS、氨氮</w:t>
            </w:r>
            <w:r>
              <w:rPr>
                <w:rFonts w:hint="eastAsia" w:eastAsiaTheme="minorEastAsia"/>
                <w:szCs w:val="21"/>
                <w:u w:val="single"/>
              </w:rPr>
              <w:t>、</w:t>
            </w:r>
            <w:r>
              <w:rPr>
                <w:rFonts w:eastAsiaTheme="minorEastAsia"/>
                <w:szCs w:val="21"/>
                <w:u w:val="single"/>
              </w:rPr>
              <w:t>粪大肠菌群</w:t>
            </w:r>
          </w:p>
        </w:tc>
        <w:tc>
          <w:tcPr>
            <w:tcW w:w="1065" w:type="pct"/>
            <w:vAlign w:val="center"/>
          </w:tcPr>
          <w:p>
            <w:pPr>
              <w:snapToGrid w:val="0"/>
              <w:jc w:val="center"/>
              <w:rPr>
                <w:rFonts w:eastAsiaTheme="minorEastAsia"/>
                <w:szCs w:val="21"/>
                <w:u w:val="single"/>
              </w:rPr>
            </w:pPr>
            <w:r>
              <w:rPr>
                <w:rFonts w:eastAsiaTheme="minorEastAsia"/>
                <w:szCs w:val="21"/>
                <w:u w:val="single"/>
              </w:rPr>
              <w:t>化粪池处理后进入废水处理站</w:t>
            </w:r>
          </w:p>
        </w:tc>
        <w:tc>
          <w:tcPr>
            <w:tcW w:w="971" w:type="pct"/>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snapToGrid w:val="0"/>
              <w:jc w:val="center"/>
              <w:rPr>
                <w:rFonts w:eastAsiaTheme="minorEastAsia"/>
                <w:szCs w:val="21"/>
                <w:u w:val="single"/>
              </w:rPr>
            </w:pPr>
          </w:p>
        </w:tc>
        <w:tc>
          <w:tcPr>
            <w:tcW w:w="638" w:type="pct"/>
            <w:vAlign w:val="center"/>
          </w:tcPr>
          <w:p>
            <w:pPr>
              <w:widowControl/>
              <w:snapToGrid w:val="0"/>
              <w:jc w:val="center"/>
              <w:rPr>
                <w:rFonts w:eastAsiaTheme="minorEastAsia"/>
                <w:szCs w:val="21"/>
                <w:u w:val="single"/>
              </w:rPr>
            </w:pPr>
            <w:r>
              <w:rPr>
                <w:rFonts w:eastAsiaTheme="minorEastAsia"/>
                <w:szCs w:val="21"/>
                <w:u w:val="single"/>
              </w:rPr>
              <w:t>医院门诊废水</w:t>
            </w:r>
          </w:p>
        </w:tc>
        <w:tc>
          <w:tcPr>
            <w:tcW w:w="521" w:type="pct"/>
            <w:vAlign w:val="center"/>
          </w:tcPr>
          <w:p>
            <w:pPr>
              <w:snapToGrid w:val="0"/>
              <w:jc w:val="center"/>
              <w:rPr>
                <w:rFonts w:eastAsiaTheme="minorEastAsia"/>
                <w:szCs w:val="21"/>
                <w:u w:val="single"/>
              </w:rPr>
            </w:pPr>
            <w:r>
              <w:rPr>
                <w:rFonts w:eastAsia="等线"/>
                <w:kern w:val="0"/>
                <w:szCs w:val="21"/>
                <w:u w:val="single"/>
              </w:rPr>
              <w:t>1261.17</w:t>
            </w:r>
          </w:p>
        </w:tc>
        <w:tc>
          <w:tcPr>
            <w:tcW w:w="672" w:type="pct"/>
            <w:vAlign w:val="center"/>
          </w:tcPr>
          <w:p>
            <w:pPr>
              <w:snapToGrid w:val="0"/>
              <w:jc w:val="center"/>
              <w:rPr>
                <w:rFonts w:eastAsiaTheme="minorEastAsia"/>
                <w:szCs w:val="21"/>
                <w:u w:val="single"/>
              </w:rPr>
            </w:pPr>
            <w:r>
              <w:rPr>
                <w:rFonts w:eastAsiaTheme="minorEastAsia"/>
                <w:szCs w:val="21"/>
                <w:u w:val="single"/>
              </w:rPr>
              <w:t>医疗废水</w:t>
            </w:r>
          </w:p>
        </w:tc>
        <w:tc>
          <w:tcPr>
            <w:tcW w:w="891" w:type="pct"/>
            <w:vAlign w:val="center"/>
          </w:tcPr>
          <w:p>
            <w:pPr>
              <w:snapToGrid w:val="0"/>
              <w:jc w:val="center"/>
              <w:rPr>
                <w:rFonts w:eastAsiaTheme="minorEastAsia"/>
                <w:szCs w:val="21"/>
                <w:u w:val="single"/>
              </w:rPr>
            </w:pPr>
            <w:r>
              <w:rPr>
                <w:rFonts w:eastAsiaTheme="minorEastAsia"/>
                <w:szCs w:val="21"/>
                <w:u w:val="single"/>
              </w:rPr>
              <w:t>COD、BOD</w:t>
            </w:r>
            <w:r>
              <w:rPr>
                <w:rFonts w:eastAsiaTheme="minorEastAsia"/>
                <w:szCs w:val="21"/>
                <w:u w:val="single"/>
                <w:vertAlign w:val="subscript"/>
              </w:rPr>
              <w:t>5</w:t>
            </w:r>
            <w:r>
              <w:rPr>
                <w:rFonts w:eastAsiaTheme="minorEastAsia"/>
                <w:szCs w:val="21"/>
                <w:u w:val="single"/>
              </w:rPr>
              <w:t>、SS、氨氮</w:t>
            </w:r>
            <w:r>
              <w:rPr>
                <w:rFonts w:hint="eastAsia" w:eastAsiaTheme="minorEastAsia"/>
                <w:szCs w:val="21"/>
                <w:u w:val="single"/>
              </w:rPr>
              <w:t>、</w:t>
            </w:r>
            <w:r>
              <w:rPr>
                <w:rFonts w:eastAsiaTheme="minorEastAsia"/>
                <w:szCs w:val="21"/>
                <w:u w:val="single"/>
              </w:rPr>
              <w:t>粪大肠菌群</w:t>
            </w:r>
          </w:p>
        </w:tc>
        <w:tc>
          <w:tcPr>
            <w:tcW w:w="1065" w:type="pct"/>
            <w:vAlign w:val="center"/>
          </w:tcPr>
          <w:p>
            <w:pPr>
              <w:snapToGrid w:val="0"/>
              <w:jc w:val="center"/>
              <w:rPr>
                <w:rFonts w:eastAsiaTheme="minorEastAsia"/>
                <w:szCs w:val="21"/>
                <w:u w:val="single"/>
              </w:rPr>
            </w:pPr>
            <w:r>
              <w:rPr>
                <w:rFonts w:eastAsiaTheme="minorEastAsia"/>
                <w:szCs w:val="21"/>
                <w:u w:val="single"/>
              </w:rPr>
              <w:t>进入废水处理站</w:t>
            </w:r>
          </w:p>
        </w:tc>
        <w:tc>
          <w:tcPr>
            <w:tcW w:w="971" w:type="pct"/>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2" w:type="pct"/>
            <w:vMerge w:val="restart"/>
            <w:vAlign w:val="center"/>
          </w:tcPr>
          <w:p>
            <w:pPr>
              <w:snapToGrid w:val="0"/>
              <w:jc w:val="center"/>
              <w:rPr>
                <w:rFonts w:eastAsiaTheme="minorEastAsia"/>
                <w:szCs w:val="21"/>
                <w:u w:val="single"/>
              </w:rPr>
            </w:pPr>
            <w:r>
              <w:rPr>
                <w:rFonts w:hint="eastAsia" w:eastAsiaTheme="minorEastAsia"/>
                <w:szCs w:val="21"/>
                <w:u w:val="single"/>
              </w:rPr>
              <w:t>生活污水</w:t>
            </w:r>
          </w:p>
        </w:tc>
        <w:tc>
          <w:tcPr>
            <w:tcW w:w="638" w:type="pct"/>
            <w:vAlign w:val="center"/>
          </w:tcPr>
          <w:p>
            <w:pPr>
              <w:widowControl/>
              <w:snapToGrid w:val="0"/>
              <w:jc w:val="center"/>
              <w:rPr>
                <w:rFonts w:eastAsiaTheme="minorEastAsia"/>
                <w:szCs w:val="21"/>
                <w:u w:val="single"/>
              </w:rPr>
            </w:pPr>
            <w:r>
              <w:rPr>
                <w:rFonts w:eastAsiaTheme="minorEastAsia"/>
                <w:szCs w:val="21"/>
                <w:u w:val="single"/>
              </w:rPr>
              <w:t>医务人员废水</w:t>
            </w:r>
          </w:p>
        </w:tc>
        <w:tc>
          <w:tcPr>
            <w:tcW w:w="521" w:type="pct"/>
            <w:vAlign w:val="center"/>
          </w:tcPr>
          <w:p>
            <w:pPr>
              <w:snapToGrid w:val="0"/>
              <w:jc w:val="center"/>
              <w:rPr>
                <w:rFonts w:eastAsiaTheme="minorEastAsia"/>
                <w:szCs w:val="21"/>
                <w:u w:val="single"/>
              </w:rPr>
            </w:pPr>
            <w:r>
              <w:rPr>
                <w:rFonts w:eastAsia="等线"/>
                <w:kern w:val="0"/>
                <w:szCs w:val="21"/>
                <w:u w:val="single"/>
              </w:rPr>
              <w:t>22338</w:t>
            </w:r>
          </w:p>
        </w:tc>
        <w:tc>
          <w:tcPr>
            <w:tcW w:w="672" w:type="pct"/>
            <w:vAlign w:val="center"/>
          </w:tcPr>
          <w:p>
            <w:pPr>
              <w:widowControl/>
              <w:snapToGrid w:val="0"/>
              <w:jc w:val="center"/>
              <w:rPr>
                <w:rFonts w:eastAsiaTheme="minorEastAsia"/>
                <w:szCs w:val="21"/>
                <w:u w:val="single"/>
              </w:rPr>
            </w:pPr>
            <w:r>
              <w:rPr>
                <w:rFonts w:eastAsiaTheme="minorEastAsia"/>
                <w:szCs w:val="21"/>
                <w:u w:val="single"/>
              </w:rPr>
              <w:t>综合废水</w:t>
            </w:r>
          </w:p>
        </w:tc>
        <w:tc>
          <w:tcPr>
            <w:tcW w:w="891" w:type="pct"/>
            <w:vAlign w:val="center"/>
          </w:tcPr>
          <w:p>
            <w:pPr>
              <w:snapToGrid w:val="0"/>
              <w:jc w:val="center"/>
              <w:rPr>
                <w:rFonts w:eastAsiaTheme="minorEastAsia"/>
                <w:szCs w:val="21"/>
                <w:u w:val="single"/>
              </w:rPr>
            </w:pPr>
            <w:r>
              <w:rPr>
                <w:rFonts w:eastAsiaTheme="minorEastAsia"/>
                <w:szCs w:val="21"/>
                <w:u w:val="single"/>
              </w:rPr>
              <w:t>COD、BOD</w:t>
            </w:r>
            <w:r>
              <w:rPr>
                <w:rFonts w:eastAsiaTheme="minorEastAsia"/>
                <w:szCs w:val="21"/>
                <w:u w:val="single"/>
                <w:vertAlign w:val="subscript"/>
              </w:rPr>
              <w:t>5</w:t>
            </w:r>
            <w:r>
              <w:rPr>
                <w:rFonts w:eastAsiaTheme="minorEastAsia"/>
                <w:szCs w:val="21"/>
                <w:u w:val="single"/>
              </w:rPr>
              <w:t>、SS、氨氮</w:t>
            </w:r>
          </w:p>
        </w:tc>
        <w:tc>
          <w:tcPr>
            <w:tcW w:w="1065" w:type="pct"/>
            <w:vAlign w:val="center"/>
          </w:tcPr>
          <w:p>
            <w:pPr>
              <w:snapToGrid w:val="0"/>
              <w:jc w:val="center"/>
              <w:rPr>
                <w:rFonts w:eastAsiaTheme="minorEastAsia"/>
                <w:szCs w:val="21"/>
                <w:u w:val="single"/>
              </w:rPr>
            </w:pPr>
            <w:r>
              <w:rPr>
                <w:rFonts w:eastAsiaTheme="minorEastAsia"/>
                <w:szCs w:val="21"/>
                <w:u w:val="single"/>
              </w:rPr>
              <w:t>化粪池处理后进入</w:t>
            </w:r>
            <w:r>
              <w:rPr>
                <w:rFonts w:hint="eastAsia" w:eastAsiaTheme="minorEastAsia"/>
                <w:szCs w:val="21"/>
                <w:u w:val="single"/>
              </w:rPr>
              <w:t>污水管网</w:t>
            </w:r>
          </w:p>
        </w:tc>
        <w:tc>
          <w:tcPr>
            <w:tcW w:w="971" w:type="pct"/>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2" w:type="pct"/>
            <w:vMerge w:val="continue"/>
            <w:vAlign w:val="center"/>
          </w:tcPr>
          <w:p>
            <w:pPr>
              <w:snapToGrid w:val="0"/>
              <w:jc w:val="center"/>
              <w:rPr>
                <w:rFonts w:eastAsiaTheme="minorEastAsia"/>
                <w:szCs w:val="21"/>
                <w:u w:val="single"/>
              </w:rPr>
            </w:pPr>
          </w:p>
        </w:tc>
        <w:tc>
          <w:tcPr>
            <w:tcW w:w="638" w:type="pct"/>
            <w:vAlign w:val="center"/>
          </w:tcPr>
          <w:p>
            <w:pPr>
              <w:widowControl/>
              <w:snapToGrid w:val="0"/>
              <w:jc w:val="center"/>
              <w:rPr>
                <w:rFonts w:eastAsiaTheme="minorEastAsia"/>
                <w:szCs w:val="21"/>
                <w:u w:val="single"/>
              </w:rPr>
            </w:pPr>
            <w:r>
              <w:rPr>
                <w:rFonts w:eastAsiaTheme="minorEastAsia"/>
                <w:szCs w:val="21"/>
                <w:u w:val="single"/>
              </w:rPr>
              <w:t>食堂餐饮废水</w:t>
            </w:r>
          </w:p>
        </w:tc>
        <w:tc>
          <w:tcPr>
            <w:tcW w:w="521" w:type="pct"/>
            <w:vAlign w:val="center"/>
          </w:tcPr>
          <w:p>
            <w:pPr>
              <w:snapToGrid w:val="0"/>
              <w:jc w:val="center"/>
              <w:rPr>
                <w:rFonts w:eastAsia="等线"/>
                <w:kern w:val="0"/>
                <w:szCs w:val="21"/>
                <w:u w:val="single"/>
              </w:rPr>
            </w:pPr>
            <w:r>
              <w:rPr>
                <w:rFonts w:eastAsia="等线"/>
                <w:kern w:val="0"/>
                <w:szCs w:val="21"/>
                <w:u w:val="single"/>
              </w:rPr>
              <w:t>17374</w:t>
            </w:r>
          </w:p>
        </w:tc>
        <w:tc>
          <w:tcPr>
            <w:tcW w:w="672" w:type="pct"/>
            <w:vAlign w:val="center"/>
          </w:tcPr>
          <w:p>
            <w:pPr>
              <w:widowControl/>
              <w:snapToGrid w:val="0"/>
              <w:jc w:val="center"/>
              <w:rPr>
                <w:rFonts w:eastAsiaTheme="minorEastAsia"/>
                <w:szCs w:val="21"/>
                <w:u w:val="single"/>
              </w:rPr>
            </w:pPr>
            <w:r>
              <w:rPr>
                <w:rFonts w:eastAsiaTheme="minorEastAsia"/>
                <w:szCs w:val="21"/>
                <w:u w:val="single"/>
              </w:rPr>
              <w:t>餐饮废水</w:t>
            </w:r>
          </w:p>
        </w:tc>
        <w:tc>
          <w:tcPr>
            <w:tcW w:w="891" w:type="pct"/>
            <w:vAlign w:val="center"/>
          </w:tcPr>
          <w:p>
            <w:pPr>
              <w:snapToGrid w:val="0"/>
              <w:jc w:val="center"/>
              <w:rPr>
                <w:rFonts w:eastAsiaTheme="minorEastAsia"/>
                <w:szCs w:val="21"/>
                <w:u w:val="single"/>
              </w:rPr>
            </w:pPr>
            <w:r>
              <w:rPr>
                <w:rFonts w:eastAsiaTheme="minorEastAsia"/>
                <w:szCs w:val="21"/>
                <w:u w:val="single"/>
              </w:rPr>
              <w:t>动植物油、COD、BOD</w:t>
            </w:r>
            <w:r>
              <w:rPr>
                <w:rFonts w:eastAsiaTheme="minorEastAsia"/>
                <w:szCs w:val="21"/>
                <w:u w:val="single"/>
                <w:vertAlign w:val="subscript"/>
              </w:rPr>
              <w:t>5</w:t>
            </w:r>
            <w:r>
              <w:rPr>
                <w:rFonts w:eastAsiaTheme="minorEastAsia"/>
                <w:szCs w:val="21"/>
                <w:u w:val="single"/>
              </w:rPr>
              <w:t>、SS、氨氮</w:t>
            </w:r>
          </w:p>
        </w:tc>
        <w:tc>
          <w:tcPr>
            <w:tcW w:w="1065" w:type="pct"/>
            <w:vAlign w:val="center"/>
          </w:tcPr>
          <w:p>
            <w:pPr>
              <w:snapToGrid w:val="0"/>
              <w:jc w:val="center"/>
              <w:rPr>
                <w:rFonts w:eastAsiaTheme="minorEastAsia"/>
                <w:szCs w:val="21"/>
                <w:u w:val="single"/>
              </w:rPr>
            </w:pPr>
            <w:r>
              <w:rPr>
                <w:rFonts w:eastAsiaTheme="minorEastAsia"/>
                <w:szCs w:val="21"/>
                <w:u w:val="single"/>
              </w:rPr>
              <w:t>经隔油、化粪池处理后，排入</w:t>
            </w:r>
            <w:r>
              <w:rPr>
                <w:rFonts w:hint="eastAsia" w:eastAsiaTheme="minorEastAsia"/>
                <w:szCs w:val="21"/>
                <w:u w:val="single"/>
              </w:rPr>
              <w:t>污水管网</w:t>
            </w:r>
          </w:p>
        </w:tc>
        <w:tc>
          <w:tcPr>
            <w:tcW w:w="971" w:type="pct"/>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0" w:type="pct"/>
            <w:gridSpan w:val="2"/>
            <w:vAlign w:val="center"/>
          </w:tcPr>
          <w:p>
            <w:pPr>
              <w:widowControl/>
              <w:snapToGrid w:val="0"/>
              <w:jc w:val="center"/>
              <w:rPr>
                <w:rFonts w:eastAsiaTheme="minorEastAsia"/>
                <w:szCs w:val="21"/>
              </w:rPr>
            </w:pPr>
            <w:r>
              <w:rPr>
                <w:rFonts w:eastAsiaTheme="minorEastAsia"/>
                <w:szCs w:val="21"/>
              </w:rPr>
              <w:t>合计m</w:t>
            </w:r>
            <w:r>
              <w:rPr>
                <w:rFonts w:eastAsiaTheme="minorEastAsia"/>
                <w:szCs w:val="21"/>
                <w:vertAlign w:val="superscript"/>
              </w:rPr>
              <w:t>3</w:t>
            </w:r>
            <w:r>
              <w:rPr>
                <w:rFonts w:eastAsiaTheme="minorEastAsia"/>
                <w:szCs w:val="21"/>
              </w:rPr>
              <w:t>/a</w:t>
            </w:r>
          </w:p>
        </w:tc>
        <w:tc>
          <w:tcPr>
            <w:tcW w:w="3149" w:type="pct"/>
            <w:gridSpan w:val="4"/>
            <w:vAlign w:val="center"/>
          </w:tcPr>
          <w:p>
            <w:pPr>
              <w:snapToGrid w:val="0"/>
              <w:jc w:val="center"/>
              <w:rPr>
                <w:rFonts w:eastAsiaTheme="minorEastAsia"/>
                <w:szCs w:val="21"/>
              </w:rPr>
            </w:pPr>
            <w:r>
              <w:rPr>
                <w:rFonts w:eastAsiaTheme="minorEastAsia"/>
                <w:szCs w:val="21"/>
              </w:rPr>
              <w:t>104636.47</w:t>
            </w:r>
          </w:p>
        </w:tc>
        <w:tc>
          <w:tcPr>
            <w:tcW w:w="971" w:type="pct"/>
            <w:vAlign w:val="center"/>
          </w:tcPr>
          <w:p>
            <w:pPr>
              <w:snapToGrid w:val="0"/>
              <w:jc w:val="center"/>
              <w:rPr>
                <w:rFonts w:eastAsiaTheme="minorEastAsia"/>
                <w:szCs w:val="21"/>
              </w:rPr>
            </w:pPr>
          </w:p>
        </w:tc>
      </w:tr>
    </w:tbl>
    <w:p>
      <w:pPr>
        <w:snapToGrid w:val="0"/>
        <w:ind w:left="141" w:leftChars="67" w:right="139" w:rightChars="66"/>
        <w:rPr>
          <w:rFonts w:eastAsiaTheme="minorEastAsia"/>
          <w:szCs w:val="21"/>
        </w:rPr>
      </w:pPr>
      <w:bookmarkStart w:id="89" w:name="_Hlk57552006"/>
      <w:r>
        <w:rPr>
          <w:rFonts w:eastAsiaTheme="minorEastAsia"/>
          <w:szCs w:val="21"/>
        </w:rPr>
        <w:t>注：1、由于《医疗机构水污染物排放标准》（GB18466-2005）表 2中的预处理标</w:t>
      </w:r>
      <w:bookmarkEnd w:id="89"/>
      <w:r>
        <w:rPr>
          <w:rFonts w:eastAsiaTheme="minorEastAsia"/>
          <w:szCs w:val="21"/>
        </w:rPr>
        <w:t>注未对肠道致病菌、肠道病毒的排放标准提出要求，因此，未对肠道致病菌、肠道病毒两个指标进行详细的分析，未提出监测要求。</w:t>
      </w:r>
    </w:p>
    <w:p>
      <w:pPr>
        <w:snapToGrid w:val="0"/>
        <w:spacing w:line="360" w:lineRule="auto"/>
        <w:ind w:firstLine="480" w:firstLineChars="200"/>
        <w:rPr>
          <w:rFonts w:eastAsiaTheme="minorEastAsia"/>
          <w:sz w:val="24"/>
        </w:rPr>
      </w:pPr>
      <w:r>
        <w:rPr>
          <w:rFonts w:eastAsiaTheme="minorEastAsia"/>
          <w:sz w:val="24"/>
        </w:rPr>
        <w:t>根据现</w:t>
      </w:r>
      <w:bookmarkStart w:id="90" w:name="_Hlk57551877"/>
      <w:r>
        <w:rPr>
          <w:rFonts w:eastAsiaTheme="minorEastAsia"/>
          <w:sz w:val="24"/>
        </w:rPr>
        <w:t>湘阴县中医院</w:t>
      </w:r>
      <w:bookmarkEnd w:id="90"/>
      <w:r>
        <w:rPr>
          <w:rFonts w:eastAsiaTheme="minorEastAsia"/>
          <w:sz w:val="24"/>
        </w:rPr>
        <w:t>项目污水处理站工艺流程运行情况来看，废水处理效果较好（均能实现达标排放）、运行成本合理且现有工作人员对该处理流程较为熟悉，因此扩建后仍沿用原有项目污水处理工艺。项目废水经自建污水处理设施处理（采用调节+水解酸化+生物接触氧化+斜管沉淀池+接触消毒处理工艺）达到《医疗机构水污染物排放标准》（GB18466-2005）表2中的预处理标准后，排入建新路市政污水管网，出水水质可满足《医疗机构水污染物排放标准》（GB18466-2005）表2中的预处理的要求，各污染物排放浓度COD≤250mg/L、SS≤60mg/L、BOD</w:t>
      </w:r>
      <w:r>
        <w:rPr>
          <w:rFonts w:eastAsiaTheme="minorEastAsia"/>
          <w:sz w:val="24"/>
          <w:vertAlign w:val="subscript"/>
        </w:rPr>
        <w:t>5</w:t>
      </w:r>
      <w:r>
        <w:rPr>
          <w:rFonts w:eastAsiaTheme="minorEastAsia"/>
          <w:sz w:val="24"/>
        </w:rPr>
        <w:t>≤100mg/L、粪大肠菌群数≤5000MPN/L。</w:t>
      </w:r>
    </w:p>
    <w:p>
      <w:pPr>
        <w:snapToGrid w:val="0"/>
        <w:spacing w:line="360" w:lineRule="auto"/>
        <w:ind w:firstLine="480" w:firstLineChars="200"/>
        <w:rPr>
          <w:rFonts w:eastAsiaTheme="minorEastAsia"/>
          <w:sz w:val="24"/>
        </w:rPr>
      </w:pPr>
      <w:r>
        <w:rPr>
          <w:rFonts w:eastAsiaTheme="minorEastAsia"/>
          <w:sz w:val="24"/>
        </w:rPr>
        <w:t>（3）本项目水污染物负荷</w:t>
      </w:r>
    </w:p>
    <w:p>
      <w:pPr>
        <w:snapToGrid w:val="0"/>
        <w:spacing w:line="360" w:lineRule="auto"/>
        <w:ind w:firstLine="480" w:firstLineChars="200"/>
        <w:rPr>
          <w:rFonts w:eastAsiaTheme="minorEastAsia"/>
          <w:sz w:val="24"/>
        </w:rPr>
      </w:pPr>
      <w:r>
        <w:rPr>
          <w:rFonts w:eastAsiaTheme="minorEastAsia"/>
          <w:sz w:val="24"/>
        </w:rPr>
        <w:t>建成以后湘阴县中医院水污染物排放情况详见下表：</w:t>
      </w:r>
    </w:p>
    <w:p>
      <w:pPr>
        <w:snapToGrid w:val="0"/>
        <w:spacing w:line="360" w:lineRule="auto"/>
        <w:jc w:val="center"/>
        <w:rPr>
          <w:rFonts w:eastAsiaTheme="minorEastAsia"/>
          <w:b/>
          <w:bCs/>
          <w:sz w:val="24"/>
        </w:rPr>
      </w:pPr>
      <w:r>
        <w:rPr>
          <w:rFonts w:eastAsiaTheme="minorEastAsia"/>
          <w:b/>
          <w:bCs/>
          <w:sz w:val="24"/>
        </w:rPr>
        <w:t>表4.6-6  本项目医院综合污水负荷统计表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7"/>
        <w:gridCol w:w="1923"/>
        <w:gridCol w:w="842"/>
        <w:gridCol w:w="768"/>
        <w:gridCol w:w="756"/>
        <w:gridCol w:w="751"/>
        <w:gridCol w:w="870"/>
        <w:gridCol w:w="1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52" w:type="pct"/>
            <w:vAlign w:val="center"/>
          </w:tcPr>
          <w:p>
            <w:pPr>
              <w:widowControl/>
              <w:adjustRightInd w:val="0"/>
              <w:snapToGrid w:val="0"/>
              <w:jc w:val="center"/>
              <w:rPr>
                <w:color w:val="000000"/>
                <w:kern w:val="0"/>
                <w:szCs w:val="21"/>
                <w:lang w:eastAsia="en-US" w:bidi="en-US"/>
              </w:rPr>
            </w:pPr>
            <w:r>
              <w:rPr>
                <w:color w:val="000000"/>
                <w:kern w:val="0"/>
                <w:szCs w:val="21"/>
                <w:lang w:eastAsia="en-US" w:bidi="en-US"/>
              </w:rPr>
              <w:t>污水来源</w:t>
            </w:r>
          </w:p>
        </w:tc>
        <w:tc>
          <w:tcPr>
            <w:tcW w:w="1094" w:type="pct"/>
            <w:vAlign w:val="center"/>
          </w:tcPr>
          <w:p>
            <w:pPr>
              <w:widowControl/>
              <w:adjustRightInd w:val="0"/>
              <w:snapToGrid w:val="0"/>
              <w:jc w:val="center"/>
              <w:rPr>
                <w:color w:val="000000"/>
                <w:kern w:val="0"/>
                <w:szCs w:val="21"/>
                <w:lang w:eastAsia="en-US" w:bidi="en-US"/>
              </w:rPr>
            </w:pPr>
            <w:r>
              <w:rPr>
                <w:color w:val="000000"/>
                <w:kern w:val="0"/>
                <w:szCs w:val="21"/>
                <w:lang w:eastAsia="en-US" w:bidi="en-US"/>
              </w:rPr>
              <w:t>污染物指标</w:t>
            </w:r>
          </w:p>
        </w:tc>
        <w:tc>
          <w:tcPr>
            <w:tcW w:w="479" w:type="pct"/>
            <w:vAlign w:val="center"/>
          </w:tcPr>
          <w:p>
            <w:pPr>
              <w:widowControl/>
              <w:adjustRightInd w:val="0"/>
              <w:snapToGrid w:val="0"/>
              <w:jc w:val="center"/>
              <w:rPr>
                <w:color w:val="000000"/>
                <w:kern w:val="0"/>
                <w:szCs w:val="21"/>
                <w:lang w:bidi="en-US"/>
              </w:rPr>
            </w:pPr>
            <w:r>
              <w:rPr>
                <w:color w:val="000000"/>
                <w:kern w:val="0"/>
                <w:szCs w:val="21"/>
                <w:lang w:eastAsia="en-US" w:bidi="en-US"/>
              </w:rPr>
              <w:t>COD</w:t>
            </w:r>
            <w:r>
              <w:rPr>
                <w:color w:val="000000"/>
                <w:kern w:val="0"/>
                <w:szCs w:val="21"/>
                <w:vertAlign w:val="subscript"/>
                <w:lang w:bidi="en-US"/>
              </w:rPr>
              <w:t>Cr</w:t>
            </w:r>
          </w:p>
        </w:tc>
        <w:tc>
          <w:tcPr>
            <w:tcW w:w="437" w:type="pct"/>
            <w:vAlign w:val="center"/>
          </w:tcPr>
          <w:p>
            <w:pPr>
              <w:widowControl/>
              <w:adjustRightInd w:val="0"/>
              <w:snapToGrid w:val="0"/>
              <w:jc w:val="center"/>
              <w:rPr>
                <w:color w:val="000000"/>
                <w:kern w:val="0"/>
                <w:szCs w:val="21"/>
                <w:lang w:bidi="en-US"/>
              </w:rPr>
            </w:pPr>
            <w:r>
              <w:rPr>
                <w:color w:val="000000"/>
                <w:kern w:val="0"/>
                <w:szCs w:val="21"/>
                <w:lang w:eastAsia="en-US" w:bidi="en-US"/>
              </w:rPr>
              <w:t>BOD</w:t>
            </w:r>
            <w:r>
              <w:rPr>
                <w:color w:val="000000"/>
                <w:kern w:val="0"/>
                <w:szCs w:val="21"/>
                <w:vertAlign w:val="subscript"/>
                <w:lang w:bidi="en-US"/>
              </w:rPr>
              <w:t>5</w:t>
            </w:r>
          </w:p>
        </w:tc>
        <w:tc>
          <w:tcPr>
            <w:tcW w:w="430" w:type="pct"/>
            <w:vAlign w:val="center"/>
          </w:tcPr>
          <w:p>
            <w:pPr>
              <w:widowControl/>
              <w:adjustRightInd w:val="0"/>
              <w:snapToGrid w:val="0"/>
              <w:jc w:val="center"/>
              <w:rPr>
                <w:color w:val="000000"/>
                <w:kern w:val="0"/>
                <w:szCs w:val="21"/>
                <w:lang w:eastAsia="en-US" w:bidi="en-US"/>
              </w:rPr>
            </w:pPr>
            <w:r>
              <w:rPr>
                <w:color w:val="000000"/>
                <w:kern w:val="0"/>
                <w:szCs w:val="21"/>
                <w:lang w:eastAsia="en-US" w:bidi="en-US"/>
              </w:rPr>
              <w:t>氨氮</w:t>
            </w:r>
          </w:p>
        </w:tc>
        <w:tc>
          <w:tcPr>
            <w:tcW w:w="427" w:type="pct"/>
            <w:vAlign w:val="center"/>
          </w:tcPr>
          <w:p>
            <w:pPr>
              <w:widowControl/>
              <w:adjustRightInd w:val="0"/>
              <w:snapToGrid w:val="0"/>
              <w:jc w:val="center"/>
              <w:rPr>
                <w:color w:val="000000"/>
                <w:kern w:val="0"/>
                <w:szCs w:val="21"/>
                <w:lang w:eastAsia="en-US" w:bidi="en-US"/>
              </w:rPr>
            </w:pPr>
            <w:r>
              <w:rPr>
                <w:color w:val="000000"/>
                <w:kern w:val="0"/>
                <w:szCs w:val="21"/>
                <w:lang w:eastAsia="en-US" w:bidi="en-US"/>
              </w:rPr>
              <w:t>SS</w:t>
            </w:r>
          </w:p>
        </w:tc>
        <w:tc>
          <w:tcPr>
            <w:tcW w:w="495" w:type="pct"/>
            <w:vAlign w:val="center"/>
          </w:tcPr>
          <w:p>
            <w:pPr>
              <w:widowControl/>
              <w:adjustRightInd w:val="0"/>
              <w:snapToGrid w:val="0"/>
              <w:jc w:val="center"/>
              <w:rPr>
                <w:color w:val="000000"/>
                <w:kern w:val="0"/>
                <w:szCs w:val="21"/>
                <w:lang w:bidi="en-US"/>
              </w:rPr>
            </w:pPr>
            <w:r>
              <w:rPr>
                <w:color w:val="000000"/>
                <w:kern w:val="0"/>
                <w:szCs w:val="21"/>
                <w:lang w:bidi="en-US"/>
              </w:rPr>
              <w:t>总磷</w:t>
            </w:r>
          </w:p>
        </w:tc>
        <w:tc>
          <w:tcPr>
            <w:tcW w:w="786" w:type="pct"/>
            <w:vAlign w:val="center"/>
          </w:tcPr>
          <w:p>
            <w:pPr>
              <w:widowControl/>
              <w:adjustRightInd w:val="0"/>
              <w:snapToGrid w:val="0"/>
              <w:jc w:val="center"/>
              <w:rPr>
                <w:color w:val="000000"/>
                <w:kern w:val="0"/>
                <w:szCs w:val="21"/>
                <w:lang w:eastAsia="en-US" w:bidi="en-US"/>
              </w:rPr>
            </w:pPr>
            <w:r>
              <w:rPr>
                <w:color w:val="000000"/>
                <w:kern w:val="0"/>
                <w:szCs w:val="21"/>
                <w:lang w:eastAsia="en-US" w:bidi="en-US"/>
              </w:rPr>
              <w:t>粪大肠菌群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 w:type="pct"/>
            <w:vMerge w:val="restart"/>
            <w:vAlign w:val="center"/>
          </w:tcPr>
          <w:p>
            <w:pPr>
              <w:widowControl/>
              <w:adjustRightInd w:val="0"/>
              <w:snapToGrid w:val="0"/>
              <w:jc w:val="center"/>
              <w:rPr>
                <w:color w:val="000000"/>
                <w:kern w:val="0"/>
                <w:szCs w:val="21"/>
                <w:lang w:eastAsia="en-US" w:bidi="en-US"/>
              </w:rPr>
            </w:pPr>
            <w:r>
              <w:rPr>
                <w:color w:val="000000"/>
                <w:kern w:val="0"/>
                <w:szCs w:val="21"/>
                <w:lang w:bidi="en-US"/>
              </w:rPr>
              <w:t>综合废水104636.47</w:t>
            </w:r>
            <w:r>
              <w:rPr>
                <w:color w:val="000000"/>
                <w:kern w:val="0"/>
                <w:szCs w:val="21"/>
                <w:lang w:eastAsia="en-US" w:bidi="en-US"/>
              </w:rPr>
              <w:t>t/a</w:t>
            </w:r>
          </w:p>
        </w:tc>
        <w:tc>
          <w:tcPr>
            <w:tcW w:w="1094" w:type="pct"/>
            <w:vAlign w:val="center"/>
          </w:tcPr>
          <w:p>
            <w:pPr>
              <w:widowControl/>
              <w:snapToGrid w:val="0"/>
              <w:jc w:val="center"/>
              <w:rPr>
                <w:color w:val="000000"/>
                <w:kern w:val="0"/>
                <w:szCs w:val="21"/>
                <w:lang w:bidi="en-US"/>
              </w:rPr>
            </w:pPr>
            <w:r>
              <w:rPr>
                <w:color w:val="000000"/>
                <w:kern w:val="0"/>
                <w:szCs w:val="21"/>
                <w:lang w:bidi="en-US"/>
              </w:rPr>
              <w:t>产生浓度（mg/L）</w:t>
            </w:r>
          </w:p>
        </w:tc>
        <w:tc>
          <w:tcPr>
            <w:tcW w:w="479" w:type="pct"/>
            <w:vAlign w:val="center"/>
          </w:tcPr>
          <w:p>
            <w:pPr>
              <w:widowControl/>
              <w:snapToGrid w:val="0"/>
              <w:jc w:val="center"/>
              <w:textAlignment w:val="center"/>
              <w:rPr>
                <w:color w:val="000000"/>
                <w:kern w:val="0"/>
                <w:szCs w:val="21"/>
                <w:lang w:eastAsia="en-US" w:bidi="en-US"/>
              </w:rPr>
            </w:pPr>
            <w:r>
              <w:rPr>
                <w:color w:val="000000"/>
                <w:kern w:val="0"/>
                <w:szCs w:val="21"/>
                <w:lang w:bidi="ar"/>
              </w:rPr>
              <w:t>300</w:t>
            </w:r>
          </w:p>
        </w:tc>
        <w:tc>
          <w:tcPr>
            <w:tcW w:w="437" w:type="pct"/>
            <w:vAlign w:val="center"/>
          </w:tcPr>
          <w:p>
            <w:pPr>
              <w:widowControl/>
              <w:snapToGrid w:val="0"/>
              <w:jc w:val="center"/>
              <w:textAlignment w:val="center"/>
              <w:rPr>
                <w:color w:val="000000"/>
                <w:kern w:val="0"/>
                <w:szCs w:val="21"/>
                <w:lang w:eastAsia="en-US" w:bidi="en-US"/>
              </w:rPr>
            </w:pPr>
            <w:r>
              <w:rPr>
                <w:color w:val="000000"/>
                <w:kern w:val="0"/>
                <w:szCs w:val="21"/>
                <w:lang w:bidi="ar"/>
              </w:rPr>
              <w:t>150</w:t>
            </w:r>
          </w:p>
        </w:tc>
        <w:tc>
          <w:tcPr>
            <w:tcW w:w="430" w:type="pct"/>
            <w:vAlign w:val="center"/>
          </w:tcPr>
          <w:p>
            <w:pPr>
              <w:widowControl/>
              <w:snapToGrid w:val="0"/>
              <w:jc w:val="center"/>
              <w:textAlignment w:val="center"/>
              <w:rPr>
                <w:color w:val="000000"/>
                <w:kern w:val="0"/>
                <w:szCs w:val="21"/>
                <w:lang w:eastAsia="en-US" w:bidi="en-US"/>
              </w:rPr>
            </w:pPr>
            <w:r>
              <w:rPr>
                <w:color w:val="000000"/>
                <w:kern w:val="0"/>
                <w:szCs w:val="21"/>
                <w:lang w:bidi="ar"/>
              </w:rPr>
              <w:t>30</w:t>
            </w:r>
          </w:p>
        </w:tc>
        <w:tc>
          <w:tcPr>
            <w:tcW w:w="427" w:type="pct"/>
            <w:vAlign w:val="center"/>
          </w:tcPr>
          <w:p>
            <w:pPr>
              <w:widowControl/>
              <w:snapToGrid w:val="0"/>
              <w:jc w:val="center"/>
              <w:textAlignment w:val="center"/>
              <w:rPr>
                <w:color w:val="000000"/>
                <w:kern w:val="0"/>
                <w:szCs w:val="21"/>
                <w:lang w:eastAsia="en-US" w:bidi="en-US"/>
              </w:rPr>
            </w:pPr>
            <w:r>
              <w:rPr>
                <w:color w:val="000000"/>
                <w:kern w:val="0"/>
                <w:szCs w:val="21"/>
                <w:lang w:bidi="ar"/>
              </w:rPr>
              <w:t>200</w:t>
            </w:r>
          </w:p>
        </w:tc>
        <w:tc>
          <w:tcPr>
            <w:tcW w:w="495" w:type="pct"/>
            <w:vAlign w:val="center"/>
          </w:tcPr>
          <w:p>
            <w:pPr>
              <w:widowControl/>
              <w:snapToGrid w:val="0"/>
              <w:jc w:val="center"/>
              <w:textAlignment w:val="center"/>
              <w:rPr>
                <w:color w:val="000000"/>
                <w:kern w:val="0"/>
                <w:szCs w:val="21"/>
                <w:lang w:bidi="ar"/>
              </w:rPr>
            </w:pPr>
            <w:r>
              <w:rPr>
                <w:color w:val="000000"/>
                <w:kern w:val="0"/>
                <w:szCs w:val="21"/>
                <w:lang w:bidi="ar"/>
              </w:rPr>
              <w:t>4</w:t>
            </w:r>
          </w:p>
        </w:tc>
        <w:tc>
          <w:tcPr>
            <w:tcW w:w="786" w:type="pct"/>
            <w:vAlign w:val="center"/>
          </w:tcPr>
          <w:p>
            <w:pPr>
              <w:widowControl/>
              <w:adjustRightInd w:val="0"/>
              <w:snapToGrid w:val="0"/>
              <w:jc w:val="center"/>
              <w:rPr>
                <w:color w:val="000000"/>
                <w:kern w:val="0"/>
                <w:szCs w:val="21"/>
                <w:lang w:eastAsia="en-US" w:bidi="en-US"/>
              </w:rPr>
            </w:pPr>
            <w:r>
              <w:rPr>
                <w:color w:val="000000"/>
                <w:kern w:val="0"/>
                <w:szCs w:val="21"/>
                <w:lang w:bidi="en-US"/>
              </w:rPr>
              <w:t>1.6×10</w:t>
            </w:r>
            <w:r>
              <w:rPr>
                <w:color w:val="000000"/>
                <w:kern w:val="0"/>
                <w:szCs w:val="21"/>
                <w:vertAlign w:val="superscript"/>
                <w:lang w:bidi="en-US"/>
              </w:rPr>
              <w:t>8</w:t>
            </w:r>
            <w:r>
              <w:rPr>
                <w:color w:val="000000"/>
                <w:kern w:val="0"/>
                <w:szCs w:val="21"/>
                <w:lang w:bidi="en-US"/>
              </w:rPr>
              <w:t>个/L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 w:type="pct"/>
            <w:vMerge w:val="continue"/>
            <w:vAlign w:val="center"/>
          </w:tcPr>
          <w:p>
            <w:pPr>
              <w:widowControl/>
              <w:adjustRightInd w:val="0"/>
              <w:snapToGrid w:val="0"/>
              <w:jc w:val="center"/>
              <w:rPr>
                <w:color w:val="000000"/>
                <w:kern w:val="0"/>
                <w:szCs w:val="21"/>
                <w:lang w:eastAsia="en-US" w:bidi="en-US"/>
              </w:rPr>
            </w:pPr>
          </w:p>
        </w:tc>
        <w:tc>
          <w:tcPr>
            <w:tcW w:w="1094" w:type="pct"/>
            <w:vAlign w:val="center"/>
          </w:tcPr>
          <w:p>
            <w:pPr>
              <w:widowControl/>
              <w:autoSpaceDE w:val="0"/>
              <w:autoSpaceDN w:val="0"/>
              <w:adjustRightInd w:val="0"/>
              <w:snapToGrid w:val="0"/>
              <w:jc w:val="center"/>
              <w:rPr>
                <w:color w:val="000000"/>
                <w:kern w:val="0"/>
                <w:szCs w:val="21"/>
                <w:lang w:eastAsia="en-US" w:bidi="en-US"/>
              </w:rPr>
            </w:pPr>
            <w:r>
              <w:rPr>
                <w:color w:val="000000"/>
                <w:kern w:val="0"/>
                <w:szCs w:val="21"/>
                <w:lang w:bidi="en-US"/>
              </w:rPr>
              <w:t>核算</w:t>
            </w:r>
            <w:r>
              <w:rPr>
                <w:color w:val="000000"/>
                <w:kern w:val="0"/>
                <w:szCs w:val="21"/>
                <w:lang w:eastAsia="en-US" w:bidi="en-US"/>
              </w:rPr>
              <w:t>产生量（t/a）</w:t>
            </w:r>
          </w:p>
        </w:tc>
        <w:tc>
          <w:tcPr>
            <w:tcW w:w="479"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31.39 </w:t>
            </w:r>
          </w:p>
        </w:tc>
        <w:tc>
          <w:tcPr>
            <w:tcW w:w="437"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15.70 </w:t>
            </w:r>
          </w:p>
        </w:tc>
        <w:tc>
          <w:tcPr>
            <w:tcW w:w="430"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3.14 </w:t>
            </w:r>
          </w:p>
        </w:tc>
        <w:tc>
          <w:tcPr>
            <w:tcW w:w="427"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20.93 </w:t>
            </w:r>
          </w:p>
        </w:tc>
        <w:tc>
          <w:tcPr>
            <w:tcW w:w="495" w:type="pct"/>
            <w:vAlign w:val="center"/>
          </w:tcPr>
          <w:p>
            <w:pPr>
              <w:widowControl/>
              <w:snapToGrid w:val="0"/>
              <w:jc w:val="center"/>
              <w:textAlignment w:val="center"/>
              <w:rPr>
                <w:color w:val="000000"/>
                <w:kern w:val="0"/>
                <w:szCs w:val="21"/>
                <w:lang w:bidi="ar"/>
              </w:rPr>
            </w:pPr>
            <w:r>
              <w:rPr>
                <w:rFonts w:eastAsia="等线"/>
                <w:color w:val="000000"/>
                <w:kern w:val="0"/>
                <w:szCs w:val="21"/>
              </w:rPr>
              <w:t xml:space="preserve">0.42 </w:t>
            </w:r>
          </w:p>
        </w:tc>
        <w:tc>
          <w:tcPr>
            <w:tcW w:w="786" w:type="pct"/>
            <w:vAlign w:val="center"/>
          </w:tcPr>
          <w:p>
            <w:pPr>
              <w:widowControl/>
              <w:adjustRightInd w:val="0"/>
              <w:snapToGrid w:val="0"/>
              <w:jc w:val="center"/>
              <w:rPr>
                <w:color w:val="000000"/>
                <w:kern w:val="0"/>
                <w:szCs w:val="21"/>
                <w:lang w:bidi="en-US"/>
              </w:rPr>
            </w:pPr>
            <w:r>
              <w:rPr>
                <w:color w:val="000000"/>
                <w:kern w:val="0"/>
                <w:szCs w:val="21"/>
                <w:lang w:bidi="en-US"/>
              </w:rPr>
              <w:t>1.66×10</w:t>
            </w:r>
            <w:r>
              <w:rPr>
                <w:color w:val="000000"/>
                <w:kern w:val="0"/>
                <w:szCs w:val="21"/>
                <w:vertAlign w:val="superscript"/>
                <w:lang w:bidi="en-US"/>
              </w:rPr>
              <w:t>16</w:t>
            </w:r>
            <w:r>
              <w:rPr>
                <w:color w:val="000000"/>
                <w:kern w:val="0"/>
                <w:szCs w:val="21"/>
                <w:lang w:bidi="en-US"/>
              </w:rP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 w:type="pct"/>
            <w:vMerge w:val="continue"/>
            <w:vAlign w:val="center"/>
          </w:tcPr>
          <w:p>
            <w:pPr>
              <w:widowControl/>
              <w:adjustRightInd w:val="0"/>
              <w:snapToGrid w:val="0"/>
              <w:jc w:val="center"/>
              <w:rPr>
                <w:color w:val="000000"/>
                <w:kern w:val="0"/>
                <w:szCs w:val="21"/>
                <w:lang w:eastAsia="en-US" w:bidi="en-US"/>
              </w:rPr>
            </w:pPr>
          </w:p>
        </w:tc>
        <w:tc>
          <w:tcPr>
            <w:tcW w:w="1094" w:type="pct"/>
            <w:vAlign w:val="center"/>
          </w:tcPr>
          <w:p>
            <w:pPr>
              <w:widowControl/>
              <w:autoSpaceDE w:val="0"/>
              <w:autoSpaceDN w:val="0"/>
              <w:adjustRightInd w:val="0"/>
              <w:snapToGrid w:val="0"/>
              <w:jc w:val="center"/>
              <w:rPr>
                <w:color w:val="000000"/>
                <w:kern w:val="0"/>
                <w:szCs w:val="21"/>
                <w:lang w:bidi="en-US"/>
              </w:rPr>
            </w:pPr>
            <w:r>
              <w:rPr>
                <w:color w:val="000000"/>
                <w:kern w:val="0"/>
                <w:szCs w:val="21"/>
                <w:lang w:bidi="en-US"/>
              </w:rPr>
              <w:t>排放浓度（mg/L）</w:t>
            </w:r>
          </w:p>
        </w:tc>
        <w:tc>
          <w:tcPr>
            <w:tcW w:w="479" w:type="pct"/>
            <w:vAlign w:val="center"/>
          </w:tcPr>
          <w:p>
            <w:pPr>
              <w:widowControl/>
              <w:snapToGrid w:val="0"/>
              <w:jc w:val="center"/>
              <w:rPr>
                <w:color w:val="000000"/>
                <w:kern w:val="0"/>
                <w:szCs w:val="21"/>
                <w:lang w:bidi="en-US"/>
              </w:rPr>
            </w:pPr>
            <w:r>
              <w:rPr>
                <w:color w:val="000000"/>
                <w:kern w:val="0"/>
                <w:szCs w:val="21"/>
                <w:lang w:bidi="en-US"/>
              </w:rPr>
              <w:t>250</w:t>
            </w:r>
          </w:p>
        </w:tc>
        <w:tc>
          <w:tcPr>
            <w:tcW w:w="437" w:type="pct"/>
            <w:vAlign w:val="center"/>
          </w:tcPr>
          <w:p>
            <w:pPr>
              <w:widowControl/>
              <w:snapToGrid w:val="0"/>
              <w:jc w:val="center"/>
              <w:rPr>
                <w:color w:val="000000"/>
                <w:kern w:val="0"/>
                <w:szCs w:val="21"/>
                <w:lang w:bidi="en-US"/>
              </w:rPr>
            </w:pPr>
            <w:r>
              <w:rPr>
                <w:color w:val="000000"/>
                <w:kern w:val="0"/>
                <w:szCs w:val="21"/>
                <w:lang w:bidi="en-US"/>
              </w:rPr>
              <w:t>100</w:t>
            </w:r>
          </w:p>
        </w:tc>
        <w:tc>
          <w:tcPr>
            <w:tcW w:w="430" w:type="pct"/>
            <w:vAlign w:val="center"/>
          </w:tcPr>
          <w:p>
            <w:pPr>
              <w:widowControl/>
              <w:adjustRightInd w:val="0"/>
              <w:snapToGrid w:val="0"/>
              <w:jc w:val="center"/>
              <w:rPr>
                <w:color w:val="000000"/>
                <w:kern w:val="0"/>
                <w:szCs w:val="21"/>
                <w:lang w:bidi="en-US"/>
              </w:rPr>
            </w:pPr>
            <w:r>
              <w:rPr>
                <w:color w:val="000000"/>
                <w:kern w:val="0"/>
                <w:szCs w:val="21"/>
                <w:lang w:bidi="en-US"/>
              </w:rPr>
              <w:t>15</w:t>
            </w:r>
          </w:p>
        </w:tc>
        <w:tc>
          <w:tcPr>
            <w:tcW w:w="427" w:type="pct"/>
            <w:vAlign w:val="center"/>
          </w:tcPr>
          <w:p>
            <w:pPr>
              <w:widowControl/>
              <w:adjustRightInd w:val="0"/>
              <w:snapToGrid w:val="0"/>
              <w:jc w:val="center"/>
              <w:rPr>
                <w:color w:val="000000"/>
                <w:kern w:val="0"/>
                <w:szCs w:val="21"/>
                <w:lang w:bidi="en-US"/>
              </w:rPr>
            </w:pPr>
            <w:r>
              <w:rPr>
                <w:color w:val="000000"/>
                <w:kern w:val="0"/>
                <w:szCs w:val="21"/>
                <w:lang w:bidi="en-US"/>
              </w:rPr>
              <w:t>60</w:t>
            </w:r>
          </w:p>
        </w:tc>
        <w:tc>
          <w:tcPr>
            <w:tcW w:w="495" w:type="pct"/>
            <w:vAlign w:val="center"/>
          </w:tcPr>
          <w:p>
            <w:pPr>
              <w:widowControl/>
              <w:adjustRightInd w:val="0"/>
              <w:snapToGrid w:val="0"/>
              <w:jc w:val="center"/>
              <w:rPr>
                <w:color w:val="000000"/>
                <w:kern w:val="0"/>
                <w:szCs w:val="21"/>
                <w:lang w:bidi="en-US"/>
              </w:rPr>
            </w:pPr>
            <w:r>
              <w:rPr>
                <w:color w:val="000000"/>
                <w:kern w:val="0"/>
                <w:szCs w:val="21"/>
                <w:lang w:bidi="en-US"/>
              </w:rPr>
              <w:t>4</w:t>
            </w:r>
          </w:p>
        </w:tc>
        <w:tc>
          <w:tcPr>
            <w:tcW w:w="786" w:type="pct"/>
            <w:vAlign w:val="center"/>
          </w:tcPr>
          <w:p>
            <w:pPr>
              <w:widowControl/>
              <w:adjustRightInd w:val="0"/>
              <w:snapToGrid w:val="0"/>
              <w:jc w:val="center"/>
              <w:rPr>
                <w:color w:val="000000"/>
                <w:kern w:val="0"/>
                <w:szCs w:val="21"/>
                <w:lang w:bidi="en-US"/>
              </w:rPr>
            </w:pPr>
            <w:r>
              <w:rPr>
                <w:color w:val="000000"/>
                <w:kern w:val="0"/>
                <w:szCs w:val="21"/>
                <w:lang w:bidi="en-US"/>
              </w:rPr>
              <w:t>5000个/L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 w:type="pct"/>
            <w:vMerge w:val="continue"/>
            <w:vAlign w:val="center"/>
          </w:tcPr>
          <w:p>
            <w:pPr>
              <w:widowControl/>
              <w:adjustRightInd w:val="0"/>
              <w:snapToGrid w:val="0"/>
              <w:jc w:val="center"/>
              <w:rPr>
                <w:color w:val="000000"/>
                <w:kern w:val="0"/>
                <w:szCs w:val="21"/>
                <w:lang w:bidi="en-US"/>
              </w:rPr>
            </w:pPr>
          </w:p>
        </w:tc>
        <w:tc>
          <w:tcPr>
            <w:tcW w:w="1094" w:type="pct"/>
            <w:vAlign w:val="center"/>
          </w:tcPr>
          <w:p>
            <w:pPr>
              <w:widowControl/>
              <w:autoSpaceDE w:val="0"/>
              <w:autoSpaceDN w:val="0"/>
              <w:adjustRightInd w:val="0"/>
              <w:snapToGrid w:val="0"/>
              <w:jc w:val="center"/>
              <w:rPr>
                <w:color w:val="000000"/>
                <w:kern w:val="0"/>
                <w:szCs w:val="21"/>
                <w:lang w:eastAsia="en-US" w:bidi="en-US"/>
              </w:rPr>
            </w:pPr>
            <w:r>
              <w:rPr>
                <w:color w:val="000000"/>
                <w:kern w:val="0"/>
                <w:szCs w:val="21"/>
                <w:lang w:bidi="en-US"/>
              </w:rPr>
              <w:t>核算</w:t>
            </w:r>
            <w:r>
              <w:rPr>
                <w:color w:val="000000"/>
                <w:kern w:val="0"/>
                <w:szCs w:val="21"/>
                <w:lang w:eastAsia="en-US" w:bidi="en-US"/>
              </w:rPr>
              <w:t>排放量（t/a）</w:t>
            </w:r>
          </w:p>
        </w:tc>
        <w:tc>
          <w:tcPr>
            <w:tcW w:w="479"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26.16 </w:t>
            </w:r>
          </w:p>
        </w:tc>
        <w:tc>
          <w:tcPr>
            <w:tcW w:w="437"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10.46 </w:t>
            </w:r>
          </w:p>
        </w:tc>
        <w:tc>
          <w:tcPr>
            <w:tcW w:w="430"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1.57 </w:t>
            </w:r>
          </w:p>
        </w:tc>
        <w:tc>
          <w:tcPr>
            <w:tcW w:w="427" w:type="pct"/>
            <w:vAlign w:val="center"/>
          </w:tcPr>
          <w:p>
            <w:pPr>
              <w:widowControl/>
              <w:snapToGrid w:val="0"/>
              <w:jc w:val="center"/>
              <w:textAlignment w:val="center"/>
              <w:rPr>
                <w:color w:val="000000"/>
                <w:kern w:val="0"/>
                <w:szCs w:val="21"/>
                <w:lang w:eastAsia="en-US" w:bidi="en-US"/>
              </w:rPr>
            </w:pPr>
            <w:r>
              <w:rPr>
                <w:rFonts w:eastAsia="等线"/>
                <w:color w:val="000000"/>
                <w:kern w:val="0"/>
                <w:szCs w:val="21"/>
              </w:rPr>
              <w:t xml:space="preserve">6.28 </w:t>
            </w:r>
          </w:p>
        </w:tc>
        <w:tc>
          <w:tcPr>
            <w:tcW w:w="495" w:type="pct"/>
            <w:vAlign w:val="center"/>
          </w:tcPr>
          <w:p>
            <w:pPr>
              <w:widowControl/>
              <w:snapToGrid w:val="0"/>
              <w:jc w:val="center"/>
              <w:textAlignment w:val="center"/>
              <w:rPr>
                <w:color w:val="000000"/>
                <w:kern w:val="0"/>
                <w:szCs w:val="21"/>
                <w:lang w:bidi="ar"/>
              </w:rPr>
            </w:pPr>
            <w:r>
              <w:rPr>
                <w:rFonts w:eastAsia="等线"/>
                <w:color w:val="000000"/>
                <w:kern w:val="0"/>
                <w:szCs w:val="21"/>
              </w:rPr>
              <w:t xml:space="preserve">0.42 </w:t>
            </w:r>
          </w:p>
        </w:tc>
        <w:tc>
          <w:tcPr>
            <w:tcW w:w="786" w:type="pct"/>
            <w:vAlign w:val="center"/>
          </w:tcPr>
          <w:p>
            <w:pPr>
              <w:widowControl/>
              <w:adjustRightInd w:val="0"/>
              <w:snapToGrid w:val="0"/>
              <w:jc w:val="center"/>
              <w:rPr>
                <w:color w:val="000000"/>
                <w:kern w:val="0"/>
                <w:szCs w:val="21"/>
                <w:lang w:bidi="en-US"/>
              </w:rPr>
            </w:pPr>
            <w:r>
              <w:rPr>
                <w:color w:val="000000"/>
                <w:kern w:val="0"/>
                <w:szCs w:val="21"/>
                <w:lang w:bidi="en-US"/>
              </w:rPr>
              <w:t>5.18×10</w:t>
            </w:r>
            <w:r>
              <w:rPr>
                <w:color w:val="000000"/>
                <w:kern w:val="0"/>
                <w:szCs w:val="21"/>
                <w:vertAlign w:val="superscript"/>
                <w:lang w:bidi="en-US"/>
              </w:rPr>
              <w:t>8</w:t>
            </w:r>
            <w:r>
              <w:rPr>
                <w:color w:val="000000"/>
                <w:kern w:val="0"/>
                <w:szCs w:val="21"/>
                <w:lang w:bidi="en-US"/>
              </w:rPr>
              <w:t>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2" w:type="pct"/>
            <w:vMerge w:val="continue"/>
            <w:vAlign w:val="center"/>
          </w:tcPr>
          <w:p>
            <w:pPr>
              <w:widowControl/>
              <w:adjustRightInd w:val="0"/>
              <w:snapToGrid w:val="0"/>
              <w:jc w:val="center"/>
              <w:rPr>
                <w:color w:val="000000"/>
                <w:kern w:val="0"/>
                <w:szCs w:val="21"/>
                <w:lang w:bidi="en-US"/>
              </w:rPr>
            </w:pPr>
          </w:p>
        </w:tc>
        <w:tc>
          <w:tcPr>
            <w:tcW w:w="1094" w:type="pct"/>
            <w:vAlign w:val="center"/>
          </w:tcPr>
          <w:p>
            <w:pPr>
              <w:widowControl/>
              <w:autoSpaceDE w:val="0"/>
              <w:autoSpaceDN w:val="0"/>
              <w:adjustRightInd w:val="0"/>
              <w:snapToGrid w:val="0"/>
              <w:jc w:val="center"/>
              <w:rPr>
                <w:color w:val="000000"/>
                <w:kern w:val="0"/>
                <w:szCs w:val="21"/>
                <w:lang w:bidi="en-US"/>
              </w:rPr>
            </w:pPr>
            <w:r>
              <w:rPr>
                <w:color w:val="000000"/>
                <w:kern w:val="0"/>
                <w:szCs w:val="21"/>
                <w:lang w:bidi="en-US"/>
              </w:rPr>
              <w:t>削减</w:t>
            </w:r>
            <w:r>
              <w:rPr>
                <w:color w:val="000000"/>
                <w:kern w:val="0"/>
                <w:szCs w:val="21"/>
                <w:lang w:eastAsia="en-US" w:bidi="en-US"/>
              </w:rPr>
              <w:t>排放量（t/a）</w:t>
            </w:r>
          </w:p>
        </w:tc>
        <w:tc>
          <w:tcPr>
            <w:tcW w:w="479" w:type="pct"/>
            <w:vAlign w:val="center"/>
          </w:tcPr>
          <w:p>
            <w:pPr>
              <w:widowControl/>
              <w:snapToGrid w:val="0"/>
              <w:jc w:val="center"/>
              <w:textAlignment w:val="center"/>
              <w:rPr>
                <w:color w:val="000000"/>
                <w:kern w:val="0"/>
                <w:szCs w:val="21"/>
                <w:lang w:bidi="ar"/>
              </w:rPr>
            </w:pPr>
            <w:r>
              <w:rPr>
                <w:rFonts w:eastAsia="等线"/>
                <w:color w:val="000000"/>
                <w:kern w:val="0"/>
                <w:szCs w:val="21"/>
              </w:rPr>
              <w:t xml:space="preserve">5.23 </w:t>
            </w:r>
          </w:p>
        </w:tc>
        <w:tc>
          <w:tcPr>
            <w:tcW w:w="437" w:type="pct"/>
            <w:vAlign w:val="center"/>
          </w:tcPr>
          <w:p>
            <w:pPr>
              <w:widowControl/>
              <w:snapToGrid w:val="0"/>
              <w:jc w:val="center"/>
              <w:textAlignment w:val="center"/>
              <w:rPr>
                <w:color w:val="000000"/>
                <w:kern w:val="0"/>
                <w:szCs w:val="21"/>
                <w:lang w:bidi="ar"/>
              </w:rPr>
            </w:pPr>
            <w:r>
              <w:rPr>
                <w:rFonts w:eastAsia="等线"/>
                <w:color w:val="000000"/>
                <w:kern w:val="0"/>
                <w:szCs w:val="21"/>
              </w:rPr>
              <w:t xml:space="preserve">5.23 </w:t>
            </w:r>
          </w:p>
        </w:tc>
        <w:tc>
          <w:tcPr>
            <w:tcW w:w="430" w:type="pct"/>
            <w:vAlign w:val="center"/>
          </w:tcPr>
          <w:p>
            <w:pPr>
              <w:widowControl/>
              <w:snapToGrid w:val="0"/>
              <w:jc w:val="center"/>
              <w:textAlignment w:val="center"/>
              <w:rPr>
                <w:color w:val="000000"/>
                <w:kern w:val="0"/>
                <w:szCs w:val="21"/>
                <w:lang w:bidi="ar"/>
              </w:rPr>
            </w:pPr>
            <w:r>
              <w:rPr>
                <w:rFonts w:eastAsia="等线"/>
                <w:color w:val="000000"/>
                <w:kern w:val="0"/>
                <w:szCs w:val="21"/>
              </w:rPr>
              <w:t xml:space="preserve">1.57 </w:t>
            </w:r>
          </w:p>
        </w:tc>
        <w:tc>
          <w:tcPr>
            <w:tcW w:w="427" w:type="pct"/>
            <w:vAlign w:val="center"/>
          </w:tcPr>
          <w:p>
            <w:pPr>
              <w:widowControl/>
              <w:snapToGrid w:val="0"/>
              <w:jc w:val="center"/>
              <w:textAlignment w:val="center"/>
              <w:rPr>
                <w:color w:val="000000"/>
                <w:kern w:val="0"/>
                <w:szCs w:val="21"/>
                <w:lang w:bidi="ar"/>
              </w:rPr>
            </w:pPr>
            <w:r>
              <w:rPr>
                <w:rFonts w:eastAsia="等线"/>
                <w:color w:val="000000"/>
                <w:kern w:val="0"/>
                <w:szCs w:val="21"/>
              </w:rPr>
              <w:t xml:space="preserve">14.65 </w:t>
            </w:r>
          </w:p>
        </w:tc>
        <w:tc>
          <w:tcPr>
            <w:tcW w:w="495" w:type="pct"/>
            <w:vAlign w:val="center"/>
          </w:tcPr>
          <w:p>
            <w:pPr>
              <w:widowControl/>
              <w:snapToGrid w:val="0"/>
              <w:jc w:val="center"/>
              <w:textAlignment w:val="center"/>
              <w:rPr>
                <w:color w:val="000000"/>
                <w:kern w:val="0"/>
                <w:szCs w:val="21"/>
                <w:lang w:bidi="ar"/>
              </w:rPr>
            </w:pPr>
            <w:r>
              <w:rPr>
                <w:rFonts w:eastAsia="等线"/>
                <w:color w:val="000000"/>
                <w:kern w:val="0"/>
                <w:szCs w:val="21"/>
              </w:rPr>
              <w:t xml:space="preserve">0.00 </w:t>
            </w:r>
          </w:p>
        </w:tc>
        <w:tc>
          <w:tcPr>
            <w:tcW w:w="786" w:type="pct"/>
            <w:vAlign w:val="center"/>
          </w:tcPr>
          <w:p>
            <w:pPr>
              <w:widowControl/>
              <w:adjustRightInd w:val="0"/>
              <w:snapToGrid w:val="0"/>
              <w:jc w:val="center"/>
              <w:rPr>
                <w:color w:val="000000"/>
                <w:kern w:val="0"/>
                <w:szCs w:val="21"/>
                <w:lang w:bidi="en-US"/>
              </w:rPr>
            </w:pPr>
            <w:r>
              <w:rPr>
                <w:color w:val="000000"/>
                <w:kern w:val="0"/>
                <w:szCs w:val="21"/>
                <w:lang w:bidi="en-US"/>
              </w:rPr>
              <w:t>1.66×10</w:t>
            </w:r>
            <w:r>
              <w:rPr>
                <w:color w:val="000000"/>
                <w:kern w:val="0"/>
                <w:szCs w:val="21"/>
                <w:vertAlign w:val="superscript"/>
                <w:lang w:bidi="en-US"/>
              </w:rPr>
              <w:t>15</w:t>
            </w:r>
            <w:r>
              <w:rPr>
                <w:color w:val="000000"/>
                <w:kern w:val="0"/>
                <w:szCs w:val="21"/>
                <w:lang w:bidi="en-US"/>
              </w:rPr>
              <w:t>个</w:t>
            </w:r>
          </w:p>
        </w:tc>
      </w:tr>
    </w:tbl>
    <w:p>
      <w:pPr>
        <w:snapToGrid w:val="0"/>
        <w:spacing w:line="360" w:lineRule="auto"/>
        <w:ind w:firstLine="420" w:firstLineChars="200"/>
        <w:rPr>
          <w:rFonts w:eastAsiaTheme="minorEastAsia"/>
          <w:sz w:val="24"/>
        </w:rPr>
      </w:pPr>
      <w:r>
        <w:rPr>
          <w:rFonts w:eastAsiaTheme="minorEastAsia"/>
          <w:szCs w:val="21"/>
        </w:rPr>
        <w:t>注：排放浓度参照《医疗机构水污染物排放标准》（GB18466-2005）表2中的预处理标</w:t>
      </w:r>
      <w:r>
        <w:rPr>
          <w:rFonts w:hint="eastAsia" w:eastAsiaTheme="minorEastAsia"/>
          <w:szCs w:val="21"/>
        </w:rPr>
        <w:t>准</w:t>
      </w:r>
      <w:r>
        <w:rPr>
          <w:rFonts w:eastAsiaTheme="minorEastAsia"/>
          <w:szCs w:val="21"/>
        </w:rPr>
        <w:t>及现有污水处理设备运行情况。</w:t>
      </w:r>
    </w:p>
    <w:p>
      <w:pPr>
        <w:pStyle w:val="4"/>
        <w:snapToGrid w:val="0"/>
        <w:spacing w:before="0" w:after="0" w:line="360" w:lineRule="auto"/>
        <w:rPr>
          <w:rFonts w:eastAsiaTheme="minorEastAsia"/>
          <w:kern w:val="0"/>
          <w:sz w:val="24"/>
        </w:rPr>
      </w:pPr>
      <w:r>
        <w:rPr>
          <w:rFonts w:eastAsiaTheme="minorEastAsia"/>
          <w:kern w:val="0"/>
          <w:sz w:val="24"/>
        </w:rPr>
        <w:t>4.6.4 营运期噪声污染源分析</w:t>
      </w:r>
    </w:p>
    <w:p>
      <w:pPr>
        <w:snapToGrid w:val="0"/>
        <w:spacing w:line="360" w:lineRule="auto"/>
        <w:ind w:firstLine="480" w:firstLineChars="200"/>
        <w:rPr>
          <w:rFonts w:eastAsiaTheme="minorEastAsia"/>
          <w:sz w:val="24"/>
        </w:rPr>
      </w:pPr>
      <w:r>
        <w:rPr>
          <w:rFonts w:eastAsiaTheme="minorEastAsia"/>
          <w:sz w:val="24"/>
        </w:rPr>
        <w:t>项目噪声主要来自生活给水泵、空调外机、锅炉、风机、备用柴油发电机等运行噪声，针对上述主要声源，工程拟选用低噪声设备，同时对不同设备采取减震基础、密闭隔声、吸声和消声处理措施，主要噪声源及其治理措施见下表。</w:t>
      </w:r>
    </w:p>
    <w:p>
      <w:pPr>
        <w:snapToGrid w:val="0"/>
        <w:spacing w:line="360" w:lineRule="auto"/>
        <w:jc w:val="center"/>
        <w:rPr>
          <w:rFonts w:eastAsiaTheme="minorEastAsia"/>
          <w:b/>
          <w:sz w:val="24"/>
        </w:rPr>
      </w:pPr>
      <w:r>
        <w:rPr>
          <w:rFonts w:eastAsiaTheme="minorEastAsia"/>
          <w:b/>
          <w:sz w:val="24"/>
        </w:rPr>
        <w:t>表4.6-6  拟建项目主要设备及其噪声源强   单位：dB（A）</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5"/>
        <w:gridCol w:w="2125"/>
        <w:gridCol w:w="1603"/>
        <w:gridCol w:w="1603"/>
        <w:gridCol w:w="26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b/>
                <w:szCs w:val="21"/>
              </w:rPr>
            </w:pPr>
            <w:r>
              <w:rPr>
                <w:rFonts w:eastAsiaTheme="minorEastAsia"/>
                <w:b/>
                <w:szCs w:val="21"/>
              </w:rPr>
              <w:t>序号</w:t>
            </w:r>
          </w:p>
        </w:tc>
        <w:tc>
          <w:tcPr>
            <w:tcW w:w="1209" w:type="pct"/>
            <w:vAlign w:val="center"/>
          </w:tcPr>
          <w:p>
            <w:pPr>
              <w:snapToGrid w:val="0"/>
              <w:jc w:val="center"/>
              <w:rPr>
                <w:rFonts w:eastAsiaTheme="minorEastAsia"/>
                <w:b/>
                <w:szCs w:val="21"/>
              </w:rPr>
            </w:pPr>
            <w:r>
              <w:rPr>
                <w:rFonts w:eastAsiaTheme="minorEastAsia"/>
                <w:b/>
                <w:szCs w:val="21"/>
              </w:rPr>
              <w:t>设备名称</w:t>
            </w:r>
          </w:p>
        </w:tc>
        <w:tc>
          <w:tcPr>
            <w:tcW w:w="912" w:type="pct"/>
            <w:vAlign w:val="center"/>
          </w:tcPr>
          <w:p>
            <w:pPr>
              <w:snapToGrid w:val="0"/>
              <w:jc w:val="center"/>
              <w:rPr>
                <w:rFonts w:eastAsiaTheme="minorEastAsia"/>
                <w:b/>
                <w:szCs w:val="21"/>
              </w:rPr>
            </w:pPr>
            <w:r>
              <w:rPr>
                <w:rFonts w:eastAsiaTheme="minorEastAsia"/>
                <w:b/>
                <w:szCs w:val="21"/>
              </w:rPr>
              <w:t>噪声值范围</w:t>
            </w:r>
          </w:p>
        </w:tc>
        <w:tc>
          <w:tcPr>
            <w:tcW w:w="912" w:type="pct"/>
            <w:vAlign w:val="center"/>
          </w:tcPr>
          <w:p>
            <w:pPr>
              <w:snapToGrid w:val="0"/>
              <w:jc w:val="center"/>
              <w:rPr>
                <w:rFonts w:eastAsiaTheme="minorEastAsia"/>
                <w:b/>
                <w:szCs w:val="21"/>
              </w:rPr>
            </w:pPr>
            <w:r>
              <w:rPr>
                <w:rFonts w:eastAsiaTheme="minorEastAsia"/>
                <w:b/>
                <w:szCs w:val="21"/>
              </w:rPr>
              <w:t>数量（台）</w:t>
            </w:r>
          </w:p>
        </w:tc>
        <w:tc>
          <w:tcPr>
            <w:tcW w:w="1509" w:type="pct"/>
            <w:vAlign w:val="center"/>
          </w:tcPr>
          <w:p>
            <w:pPr>
              <w:snapToGrid w:val="0"/>
              <w:jc w:val="center"/>
              <w:rPr>
                <w:rFonts w:eastAsiaTheme="minorEastAsia"/>
                <w:b/>
                <w:szCs w:val="21"/>
              </w:rPr>
            </w:pPr>
            <w:r>
              <w:rPr>
                <w:rFonts w:eastAsiaTheme="minorEastAsia"/>
                <w:b/>
                <w:szCs w:val="21"/>
              </w:rPr>
              <w:t>设备位置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rPr>
            </w:pPr>
            <w:r>
              <w:rPr>
                <w:rFonts w:eastAsiaTheme="minorEastAsia"/>
              </w:rPr>
              <w:t>1</w:t>
            </w:r>
          </w:p>
        </w:tc>
        <w:tc>
          <w:tcPr>
            <w:tcW w:w="1209" w:type="pct"/>
            <w:vAlign w:val="center"/>
          </w:tcPr>
          <w:p>
            <w:pPr>
              <w:snapToGrid w:val="0"/>
              <w:jc w:val="center"/>
              <w:rPr>
                <w:rFonts w:eastAsiaTheme="minorEastAsia"/>
              </w:rPr>
            </w:pPr>
            <w:r>
              <w:rPr>
                <w:rFonts w:eastAsiaTheme="minorEastAsia"/>
              </w:rPr>
              <w:t>锅炉</w:t>
            </w:r>
          </w:p>
        </w:tc>
        <w:tc>
          <w:tcPr>
            <w:tcW w:w="912" w:type="pct"/>
            <w:vAlign w:val="center"/>
          </w:tcPr>
          <w:p>
            <w:pPr>
              <w:snapToGrid w:val="0"/>
              <w:jc w:val="center"/>
              <w:rPr>
                <w:rFonts w:eastAsiaTheme="minorEastAsia"/>
                <w:szCs w:val="21"/>
              </w:rPr>
            </w:pPr>
            <w:r>
              <w:rPr>
                <w:rFonts w:eastAsiaTheme="minorEastAsia"/>
                <w:szCs w:val="21"/>
              </w:rPr>
              <w:t>80~85</w:t>
            </w:r>
          </w:p>
        </w:tc>
        <w:tc>
          <w:tcPr>
            <w:tcW w:w="912" w:type="pct"/>
            <w:vAlign w:val="center"/>
          </w:tcPr>
          <w:p>
            <w:pPr>
              <w:snapToGrid w:val="0"/>
              <w:jc w:val="center"/>
              <w:rPr>
                <w:rFonts w:eastAsiaTheme="minorEastAsia"/>
                <w:szCs w:val="21"/>
              </w:rPr>
            </w:pPr>
            <w:r>
              <w:rPr>
                <w:rFonts w:eastAsiaTheme="minorEastAsia"/>
                <w:szCs w:val="21"/>
              </w:rPr>
              <w:t>2</w:t>
            </w:r>
          </w:p>
        </w:tc>
        <w:tc>
          <w:tcPr>
            <w:tcW w:w="1509" w:type="pct"/>
            <w:vAlign w:val="center"/>
          </w:tcPr>
          <w:p>
            <w:pPr>
              <w:snapToGrid w:val="0"/>
              <w:jc w:val="center"/>
              <w:rPr>
                <w:rFonts w:eastAsiaTheme="minorEastAsia"/>
                <w:szCs w:val="21"/>
              </w:rPr>
            </w:pPr>
            <w:r>
              <w:rPr>
                <w:rFonts w:eastAsiaTheme="minorEastAsia"/>
                <w:szCs w:val="21"/>
              </w:rPr>
              <w:t>地下室锅炉房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rPr>
            </w:pPr>
            <w:r>
              <w:rPr>
                <w:rFonts w:eastAsiaTheme="minorEastAsia"/>
              </w:rPr>
              <w:t>2</w:t>
            </w:r>
          </w:p>
        </w:tc>
        <w:tc>
          <w:tcPr>
            <w:tcW w:w="1209" w:type="pct"/>
            <w:vAlign w:val="center"/>
          </w:tcPr>
          <w:p>
            <w:pPr>
              <w:snapToGrid w:val="0"/>
              <w:jc w:val="center"/>
              <w:rPr>
                <w:rFonts w:eastAsiaTheme="minorEastAsia"/>
              </w:rPr>
            </w:pPr>
            <w:r>
              <w:rPr>
                <w:rFonts w:eastAsiaTheme="minorEastAsia"/>
              </w:rPr>
              <w:t>备用柴油发电机</w:t>
            </w:r>
          </w:p>
        </w:tc>
        <w:tc>
          <w:tcPr>
            <w:tcW w:w="912" w:type="pct"/>
            <w:vAlign w:val="center"/>
          </w:tcPr>
          <w:p>
            <w:pPr>
              <w:snapToGrid w:val="0"/>
              <w:jc w:val="center"/>
              <w:rPr>
                <w:rFonts w:eastAsiaTheme="minorEastAsia"/>
                <w:szCs w:val="21"/>
              </w:rPr>
            </w:pPr>
            <w:r>
              <w:rPr>
                <w:rFonts w:eastAsiaTheme="minorEastAsia"/>
                <w:szCs w:val="21"/>
              </w:rPr>
              <w:t>90~95</w:t>
            </w:r>
          </w:p>
        </w:tc>
        <w:tc>
          <w:tcPr>
            <w:tcW w:w="912" w:type="pct"/>
            <w:vAlign w:val="center"/>
          </w:tcPr>
          <w:p>
            <w:pPr>
              <w:snapToGrid w:val="0"/>
              <w:jc w:val="center"/>
              <w:rPr>
                <w:rFonts w:eastAsiaTheme="minorEastAsia"/>
                <w:szCs w:val="21"/>
              </w:rPr>
            </w:pPr>
            <w:r>
              <w:rPr>
                <w:rFonts w:eastAsiaTheme="minorEastAsia"/>
                <w:szCs w:val="21"/>
              </w:rPr>
              <w:t>1</w:t>
            </w:r>
          </w:p>
        </w:tc>
        <w:tc>
          <w:tcPr>
            <w:tcW w:w="1509" w:type="pct"/>
            <w:vAlign w:val="center"/>
          </w:tcPr>
          <w:p>
            <w:pPr>
              <w:snapToGrid w:val="0"/>
              <w:jc w:val="center"/>
              <w:rPr>
                <w:rFonts w:eastAsiaTheme="minorEastAsia"/>
                <w:szCs w:val="21"/>
              </w:rPr>
            </w:pPr>
            <w:r>
              <w:rPr>
                <w:rFonts w:eastAsiaTheme="minorEastAsia"/>
                <w:szCs w:val="21"/>
              </w:rPr>
              <w:t>地下室柴油发电机房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rPr>
            </w:pPr>
            <w:r>
              <w:rPr>
                <w:rFonts w:eastAsiaTheme="minorEastAsia"/>
              </w:rPr>
              <w:t>3</w:t>
            </w:r>
          </w:p>
        </w:tc>
        <w:tc>
          <w:tcPr>
            <w:tcW w:w="1209" w:type="pct"/>
            <w:vAlign w:val="center"/>
          </w:tcPr>
          <w:p>
            <w:pPr>
              <w:snapToGrid w:val="0"/>
              <w:jc w:val="center"/>
              <w:rPr>
                <w:rFonts w:eastAsiaTheme="minorEastAsia"/>
              </w:rPr>
            </w:pPr>
            <w:r>
              <w:rPr>
                <w:rFonts w:eastAsiaTheme="minorEastAsia"/>
              </w:rPr>
              <w:t>热水泵</w:t>
            </w:r>
          </w:p>
        </w:tc>
        <w:tc>
          <w:tcPr>
            <w:tcW w:w="912" w:type="pct"/>
            <w:vAlign w:val="center"/>
          </w:tcPr>
          <w:p>
            <w:pPr>
              <w:snapToGrid w:val="0"/>
              <w:jc w:val="center"/>
              <w:rPr>
                <w:rFonts w:eastAsiaTheme="minorEastAsia"/>
                <w:szCs w:val="21"/>
              </w:rPr>
            </w:pPr>
            <w:r>
              <w:rPr>
                <w:rFonts w:eastAsiaTheme="minorEastAsia"/>
                <w:szCs w:val="21"/>
              </w:rPr>
              <w:t>80~90</w:t>
            </w:r>
          </w:p>
        </w:tc>
        <w:tc>
          <w:tcPr>
            <w:tcW w:w="912" w:type="pct"/>
            <w:vAlign w:val="center"/>
          </w:tcPr>
          <w:p>
            <w:pPr>
              <w:snapToGrid w:val="0"/>
              <w:jc w:val="center"/>
              <w:rPr>
                <w:rFonts w:eastAsiaTheme="minorEastAsia"/>
                <w:szCs w:val="21"/>
              </w:rPr>
            </w:pPr>
            <w:r>
              <w:rPr>
                <w:rFonts w:eastAsiaTheme="minorEastAsia"/>
                <w:szCs w:val="21"/>
              </w:rPr>
              <w:t>2</w:t>
            </w:r>
          </w:p>
        </w:tc>
        <w:tc>
          <w:tcPr>
            <w:tcW w:w="1509" w:type="pct"/>
            <w:vAlign w:val="center"/>
          </w:tcPr>
          <w:p>
            <w:pPr>
              <w:snapToGrid w:val="0"/>
              <w:jc w:val="center"/>
              <w:rPr>
                <w:rFonts w:eastAsiaTheme="minorEastAsia"/>
                <w:szCs w:val="21"/>
              </w:rPr>
            </w:pPr>
            <w:r>
              <w:rPr>
                <w:rFonts w:eastAsiaTheme="minorEastAsia"/>
                <w:szCs w:val="21"/>
              </w:rPr>
              <w:t>地下室锅炉房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rPr>
            </w:pPr>
            <w:r>
              <w:rPr>
                <w:rFonts w:eastAsiaTheme="minorEastAsia"/>
              </w:rPr>
              <w:t>4</w:t>
            </w:r>
          </w:p>
        </w:tc>
        <w:tc>
          <w:tcPr>
            <w:tcW w:w="1209" w:type="pct"/>
            <w:vAlign w:val="center"/>
          </w:tcPr>
          <w:p>
            <w:pPr>
              <w:tabs>
                <w:tab w:val="left" w:pos="1279"/>
              </w:tabs>
              <w:snapToGrid w:val="0"/>
              <w:jc w:val="center"/>
              <w:rPr>
                <w:rFonts w:eastAsiaTheme="minorEastAsia"/>
              </w:rPr>
            </w:pPr>
            <w:r>
              <w:rPr>
                <w:rFonts w:eastAsiaTheme="minorEastAsia"/>
              </w:rPr>
              <w:t>冷却水泵</w:t>
            </w:r>
          </w:p>
        </w:tc>
        <w:tc>
          <w:tcPr>
            <w:tcW w:w="912" w:type="pct"/>
            <w:vAlign w:val="center"/>
          </w:tcPr>
          <w:p>
            <w:pPr>
              <w:snapToGrid w:val="0"/>
              <w:jc w:val="center"/>
              <w:rPr>
                <w:rFonts w:eastAsiaTheme="minorEastAsia"/>
                <w:szCs w:val="21"/>
              </w:rPr>
            </w:pPr>
            <w:r>
              <w:rPr>
                <w:rFonts w:eastAsiaTheme="minorEastAsia"/>
                <w:szCs w:val="21"/>
              </w:rPr>
              <w:t>80~90</w:t>
            </w:r>
          </w:p>
        </w:tc>
        <w:tc>
          <w:tcPr>
            <w:tcW w:w="912" w:type="pct"/>
            <w:vAlign w:val="center"/>
          </w:tcPr>
          <w:p>
            <w:pPr>
              <w:snapToGrid w:val="0"/>
              <w:jc w:val="center"/>
              <w:rPr>
                <w:rFonts w:eastAsiaTheme="minorEastAsia"/>
                <w:szCs w:val="21"/>
              </w:rPr>
            </w:pPr>
            <w:r>
              <w:rPr>
                <w:rFonts w:eastAsiaTheme="minorEastAsia"/>
                <w:szCs w:val="21"/>
              </w:rPr>
              <w:t>7</w:t>
            </w:r>
          </w:p>
        </w:tc>
        <w:tc>
          <w:tcPr>
            <w:tcW w:w="1509" w:type="pct"/>
            <w:vAlign w:val="center"/>
          </w:tcPr>
          <w:p>
            <w:pPr>
              <w:snapToGrid w:val="0"/>
              <w:jc w:val="center"/>
              <w:rPr>
                <w:rFonts w:eastAsiaTheme="minorEastAsia"/>
                <w:szCs w:val="21"/>
              </w:rPr>
            </w:pPr>
            <w:r>
              <w:rPr>
                <w:rFonts w:eastAsiaTheme="minorEastAsia"/>
                <w:szCs w:val="21"/>
              </w:rPr>
              <w:t>地下室设备间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rPr>
            </w:pPr>
            <w:r>
              <w:rPr>
                <w:rFonts w:eastAsiaTheme="minorEastAsia"/>
              </w:rPr>
              <w:t>5</w:t>
            </w:r>
          </w:p>
        </w:tc>
        <w:tc>
          <w:tcPr>
            <w:tcW w:w="1209" w:type="pct"/>
            <w:vAlign w:val="center"/>
          </w:tcPr>
          <w:p>
            <w:pPr>
              <w:tabs>
                <w:tab w:val="left" w:pos="1279"/>
              </w:tabs>
              <w:snapToGrid w:val="0"/>
              <w:jc w:val="center"/>
              <w:rPr>
                <w:rFonts w:eastAsiaTheme="minorEastAsia"/>
              </w:rPr>
            </w:pPr>
            <w:r>
              <w:rPr>
                <w:rFonts w:eastAsiaTheme="minorEastAsia"/>
              </w:rPr>
              <w:t>污水泵</w:t>
            </w:r>
          </w:p>
        </w:tc>
        <w:tc>
          <w:tcPr>
            <w:tcW w:w="912" w:type="pct"/>
            <w:vAlign w:val="center"/>
          </w:tcPr>
          <w:p>
            <w:pPr>
              <w:snapToGrid w:val="0"/>
              <w:jc w:val="center"/>
              <w:rPr>
                <w:rFonts w:eastAsiaTheme="minorEastAsia"/>
                <w:szCs w:val="21"/>
              </w:rPr>
            </w:pPr>
            <w:r>
              <w:rPr>
                <w:rFonts w:eastAsiaTheme="minorEastAsia"/>
                <w:szCs w:val="21"/>
              </w:rPr>
              <w:t>80~90</w:t>
            </w:r>
          </w:p>
        </w:tc>
        <w:tc>
          <w:tcPr>
            <w:tcW w:w="912" w:type="pct"/>
            <w:vAlign w:val="center"/>
          </w:tcPr>
          <w:p>
            <w:pPr>
              <w:snapToGrid w:val="0"/>
              <w:jc w:val="center"/>
              <w:rPr>
                <w:rFonts w:eastAsiaTheme="minorEastAsia"/>
                <w:szCs w:val="21"/>
              </w:rPr>
            </w:pPr>
            <w:r>
              <w:rPr>
                <w:rFonts w:eastAsiaTheme="minorEastAsia"/>
                <w:szCs w:val="21"/>
              </w:rPr>
              <w:t>3</w:t>
            </w:r>
          </w:p>
        </w:tc>
        <w:tc>
          <w:tcPr>
            <w:tcW w:w="1509" w:type="pct"/>
            <w:vAlign w:val="center"/>
          </w:tcPr>
          <w:p>
            <w:pPr>
              <w:snapToGrid w:val="0"/>
              <w:jc w:val="center"/>
              <w:rPr>
                <w:rFonts w:eastAsiaTheme="minorEastAsia"/>
                <w:szCs w:val="21"/>
              </w:rPr>
            </w:pPr>
            <w:r>
              <w:rPr>
                <w:rFonts w:eastAsiaTheme="minorEastAsia"/>
                <w:szCs w:val="21"/>
              </w:rPr>
              <w:t>污水处理站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rPr>
            </w:pPr>
            <w:r>
              <w:rPr>
                <w:rFonts w:eastAsiaTheme="minorEastAsia"/>
              </w:rPr>
              <w:t>6</w:t>
            </w:r>
          </w:p>
        </w:tc>
        <w:tc>
          <w:tcPr>
            <w:tcW w:w="1209" w:type="pct"/>
            <w:vAlign w:val="center"/>
          </w:tcPr>
          <w:p>
            <w:pPr>
              <w:tabs>
                <w:tab w:val="left" w:pos="1279"/>
              </w:tabs>
              <w:snapToGrid w:val="0"/>
              <w:jc w:val="center"/>
              <w:rPr>
                <w:rFonts w:eastAsiaTheme="minorEastAsia"/>
              </w:rPr>
            </w:pPr>
            <w:r>
              <w:rPr>
                <w:rFonts w:eastAsiaTheme="minorEastAsia"/>
              </w:rPr>
              <w:t>离心式冷水机组</w:t>
            </w:r>
          </w:p>
        </w:tc>
        <w:tc>
          <w:tcPr>
            <w:tcW w:w="912" w:type="pct"/>
            <w:vAlign w:val="center"/>
          </w:tcPr>
          <w:p>
            <w:pPr>
              <w:snapToGrid w:val="0"/>
              <w:jc w:val="center"/>
              <w:rPr>
                <w:rFonts w:eastAsiaTheme="minorEastAsia"/>
                <w:szCs w:val="21"/>
              </w:rPr>
            </w:pPr>
            <w:r>
              <w:rPr>
                <w:rFonts w:eastAsiaTheme="minorEastAsia"/>
                <w:szCs w:val="21"/>
              </w:rPr>
              <w:t>80~85</w:t>
            </w:r>
          </w:p>
        </w:tc>
        <w:tc>
          <w:tcPr>
            <w:tcW w:w="912" w:type="pct"/>
            <w:vAlign w:val="center"/>
          </w:tcPr>
          <w:p>
            <w:pPr>
              <w:snapToGrid w:val="0"/>
              <w:jc w:val="center"/>
              <w:rPr>
                <w:rFonts w:eastAsiaTheme="minorEastAsia"/>
                <w:szCs w:val="21"/>
              </w:rPr>
            </w:pPr>
            <w:r>
              <w:rPr>
                <w:rFonts w:eastAsiaTheme="minorEastAsia"/>
                <w:szCs w:val="21"/>
              </w:rPr>
              <w:t>2</w:t>
            </w:r>
          </w:p>
        </w:tc>
        <w:tc>
          <w:tcPr>
            <w:tcW w:w="1509" w:type="pct"/>
            <w:vAlign w:val="center"/>
          </w:tcPr>
          <w:p>
            <w:pPr>
              <w:snapToGrid w:val="0"/>
              <w:jc w:val="center"/>
              <w:rPr>
                <w:rFonts w:eastAsiaTheme="minorEastAsia"/>
                <w:szCs w:val="21"/>
              </w:rPr>
            </w:pPr>
            <w:r>
              <w:rPr>
                <w:rFonts w:eastAsiaTheme="minorEastAsia"/>
                <w:szCs w:val="21"/>
              </w:rPr>
              <w:t>地下室设备间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8" w:type="pct"/>
            <w:vAlign w:val="center"/>
          </w:tcPr>
          <w:p>
            <w:pPr>
              <w:snapToGrid w:val="0"/>
              <w:jc w:val="center"/>
              <w:rPr>
                <w:rFonts w:eastAsiaTheme="minorEastAsia"/>
              </w:rPr>
            </w:pPr>
            <w:r>
              <w:rPr>
                <w:rFonts w:eastAsiaTheme="minorEastAsia"/>
              </w:rPr>
              <w:t>7</w:t>
            </w:r>
          </w:p>
        </w:tc>
        <w:tc>
          <w:tcPr>
            <w:tcW w:w="1209" w:type="pct"/>
            <w:vAlign w:val="center"/>
          </w:tcPr>
          <w:p>
            <w:pPr>
              <w:tabs>
                <w:tab w:val="left" w:pos="1279"/>
              </w:tabs>
              <w:snapToGrid w:val="0"/>
              <w:jc w:val="center"/>
              <w:rPr>
                <w:rFonts w:eastAsiaTheme="minorEastAsia"/>
              </w:rPr>
            </w:pPr>
            <w:r>
              <w:rPr>
                <w:rFonts w:eastAsiaTheme="minorEastAsia"/>
              </w:rPr>
              <w:t>螺杆式冷水机组</w:t>
            </w:r>
          </w:p>
        </w:tc>
        <w:tc>
          <w:tcPr>
            <w:tcW w:w="912" w:type="pct"/>
            <w:vAlign w:val="center"/>
          </w:tcPr>
          <w:p>
            <w:pPr>
              <w:snapToGrid w:val="0"/>
              <w:jc w:val="center"/>
              <w:rPr>
                <w:rFonts w:eastAsiaTheme="minorEastAsia"/>
                <w:szCs w:val="21"/>
              </w:rPr>
            </w:pPr>
            <w:r>
              <w:rPr>
                <w:rFonts w:eastAsiaTheme="minorEastAsia"/>
                <w:szCs w:val="21"/>
              </w:rPr>
              <w:t>80~85</w:t>
            </w:r>
          </w:p>
        </w:tc>
        <w:tc>
          <w:tcPr>
            <w:tcW w:w="912" w:type="pct"/>
            <w:vAlign w:val="center"/>
          </w:tcPr>
          <w:p>
            <w:pPr>
              <w:snapToGrid w:val="0"/>
              <w:jc w:val="center"/>
              <w:rPr>
                <w:rFonts w:eastAsiaTheme="minorEastAsia"/>
                <w:szCs w:val="21"/>
              </w:rPr>
            </w:pPr>
            <w:r>
              <w:rPr>
                <w:rFonts w:eastAsiaTheme="minorEastAsia"/>
                <w:szCs w:val="21"/>
              </w:rPr>
              <w:t>1</w:t>
            </w:r>
          </w:p>
        </w:tc>
        <w:tc>
          <w:tcPr>
            <w:tcW w:w="1509" w:type="pct"/>
            <w:vAlign w:val="center"/>
          </w:tcPr>
          <w:p>
            <w:pPr>
              <w:snapToGrid w:val="0"/>
              <w:jc w:val="center"/>
              <w:rPr>
                <w:rFonts w:eastAsiaTheme="minorEastAsia"/>
                <w:szCs w:val="21"/>
              </w:rPr>
            </w:pPr>
            <w:r>
              <w:rPr>
                <w:rFonts w:eastAsiaTheme="minorEastAsia"/>
                <w:szCs w:val="21"/>
              </w:rPr>
              <w:t>地下室设备间</w:t>
            </w:r>
          </w:p>
        </w:tc>
      </w:tr>
    </w:tbl>
    <w:p>
      <w:pPr>
        <w:pStyle w:val="4"/>
        <w:snapToGrid w:val="0"/>
        <w:spacing w:before="0" w:after="0" w:line="360" w:lineRule="auto"/>
        <w:rPr>
          <w:rFonts w:eastAsiaTheme="minorEastAsia"/>
          <w:kern w:val="0"/>
          <w:sz w:val="24"/>
        </w:rPr>
      </w:pPr>
      <w:r>
        <w:rPr>
          <w:rFonts w:eastAsiaTheme="minorEastAsia"/>
          <w:kern w:val="0"/>
          <w:sz w:val="24"/>
        </w:rPr>
        <w:t>4.6.5 营运期固体废物污染源分析</w:t>
      </w:r>
    </w:p>
    <w:p>
      <w:pPr>
        <w:snapToGrid w:val="0"/>
        <w:spacing w:line="360" w:lineRule="auto"/>
        <w:ind w:firstLine="480" w:firstLineChars="200"/>
        <w:rPr>
          <w:rFonts w:eastAsiaTheme="minorEastAsia"/>
          <w:sz w:val="24"/>
        </w:rPr>
      </w:pPr>
      <w:r>
        <w:rPr>
          <w:rFonts w:eastAsiaTheme="minorEastAsia"/>
          <w:sz w:val="24"/>
        </w:rPr>
        <w:t>项目产生的固体废物主要包括医疗废物、废水处理污泥、生活垃圾、餐厨垃圾等，医疗废物、污水处理站污泥属于危险废物，</w:t>
      </w:r>
      <w:r>
        <w:rPr>
          <w:rFonts w:hint="eastAsia" w:eastAsiaTheme="minorEastAsia"/>
          <w:sz w:val="24"/>
        </w:rPr>
        <w:t>未被污染的输液瓶(袋)、</w:t>
      </w:r>
      <w:r>
        <w:rPr>
          <w:rFonts w:eastAsiaTheme="minorEastAsia"/>
          <w:sz w:val="24"/>
        </w:rPr>
        <w:t>生活垃圾、餐厨垃圾中药渣为一般固体废物。</w:t>
      </w:r>
    </w:p>
    <w:p>
      <w:pPr>
        <w:snapToGrid w:val="0"/>
        <w:spacing w:line="360" w:lineRule="auto"/>
        <w:ind w:firstLine="480" w:firstLineChars="200"/>
        <w:rPr>
          <w:rFonts w:eastAsiaTheme="minorEastAsia"/>
          <w:sz w:val="24"/>
        </w:rPr>
      </w:pPr>
      <w:r>
        <w:rPr>
          <w:rFonts w:eastAsiaTheme="minorEastAsia"/>
          <w:sz w:val="24"/>
        </w:rPr>
        <w:t>（1）医疗废物</w:t>
      </w:r>
    </w:p>
    <w:p>
      <w:pPr>
        <w:snapToGrid w:val="0"/>
        <w:spacing w:line="360" w:lineRule="auto"/>
        <w:ind w:firstLine="480" w:firstLineChars="200"/>
        <w:rPr>
          <w:rFonts w:eastAsiaTheme="minorEastAsia"/>
          <w:sz w:val="24"/>
        </w:rPr>
      </w:pPr>
      <w:r>
        <w:rPr>
          <w:rFonts w:eastAsiaTheme="minorEastAsia"/>
          <w:sz w:val="24"/>
        </w:rPr>
        <w:t>医疗废物主要有感染性废物（沙布、棉球、手纸、手术服等各类受污染的纤维制品）、病理性废物（各类手术残余物等）、损伤性废物（各类金属毁形物等）、药物性废物（一次性针头、玻璃器皿、一次性输液管、注射器及相关的塑料制品、废药品、废试剂瓶等）；另外，检验室含有血液、体液、化学试剂、重金属的检验废液也为医疗废物。</w:t>
      </w:r>
    </w:p>
    <w:p>
      <w:pPr>
        <w:snapToGrid w:val="0"/>
        <w:spacing w:line="360" w:lineRule="auto"/>
        <w:ind w:firstLine="480"/>
        <w:rPr>
          <w:sz w:val="24"/>
        </w:rPr>
      </w:pPr>
      <w:r>
        <w:rPr>
          <w:sz w:val="24"/>
        </w:rPr>
        <w:t>依据《医疗废物分类目录》分5类：感染性、损伤性、病理性、化学性和药物性废物。医疗废物分类目录详见表4.6-7。</w:t>
      </w:r>
    </w:p>
    <w:p>
      <w:pPr>
        <w:snapToGrid w:val="0"/>
        <w:spacing w:line="360" w:lineRule="auto"/>
        <w:jc w:val="center"/>
        <w:rPr>
          <w:rFonts w:eastAsiaTheme="minorEastAsia"/>
          <w:b/>
          <w:sz w:val="24"/>
        </w:rPr>
      </w:pPr>
      <w:r>
        <w:rPr>
          <w:rFonts w:eastAsiaTheme="minorEastAsia"/>
          <w:b/>
          <w:sz w:val="24"/>
        </w:rPr>
        <w:t>表4.6-7  医疗废物分类目录</w:t>
      </w:r>
    </w:p>
    <w:tbl>
      <w:tblPr>
        <w:tblStyle w:val="79"/>
        <w:tblW w:w="907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64"/>
        <w:gridCol w:w="1448"/>
        <w:gridCol w:w="676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blHeader/>
          <w:jc w:val="center"/>
        </w:trPr>
        <w:tc>
          <w:tcPr>
            <w:tcW w:w="476" w:type="pct"/>
            <w:vAlign w:val="center"/>
          </w:tcPr>
          <w:p>
            <w:pPr>
              <w:widowControl/>
              <w:snapToGrid w:val="0"/>
              <w:jc w:val="center"/>
              <w:rPr>
                <w:b/>
                <w:bCs/>
                <w:szCs w:val="21"/>
              </w:rPr>
            </w:pPr>
            <w:r>
              <w:rPr>
                <w:b/>
                <w:bCs/>
                <w:szCs w:val="21"/>
              </w:rPr>
              <w:t>类别</w:t>
            </w:r>
          </w:p>
        </w:tc>
        <w:tc>
          <w:tcPr>
            <w:tcW w:w="798" w:type="pct"/>
            <w:vAlign w:val="center"/>
          </w:tcPr>
          <w:p>
            <w:pPr>
              <w:widowControl/>
              <w:snapToGrid w:val="0"/>
              <w:jc w:val="center"/>
              <w:rPr>
                <w:b/>
                <w:bCs/>
                <w:szCs w:val="21"/>
              </w:rPr>
            </w:pPr>
            <w:r>
              <w:rPr>
                <w:b/>
                <w:bCs/>
                <w:szCs w:val="21"/>
              </w:rPr>
              <w:t>特 征</w:t>
            </w:r>
          </w:p>
        </w:tc>
        <w:tc>
          <w:tcPr>
            <w:tcW w:w="3726" w:type="pct"/>
            <w:vAlign w:val="center"/>
          </w:tcPr>
          <w:p>
            <w:pPr>
              <w:widowControl/>
              <w:snapToGrid w:val="0"/>
              <w:jc w:val="center"/>
              <w:rPr>
                <w:b/>
                <w:bCs/>
                <w:szCs w:val="21"/>
              </w:rPr>
            </w:pPr>
            <w:r>
              <w:rPr>
                <w:b/>
                <w:bCs/>
                <w:szCs w:val="21"/>
              </w:rPr>
              <w:t>常见组分或者废物名称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restart"/>
            <w:vAlign w:val="center"/>
          </w:tcPr>
          <w:p>
            <w:pPr>
              <w:widowControl/>
              <w:snapToGrid w:val="0"/>
              <w:jc w:val="center"/>
              <w:rPr>
                <w:szCs w:val="21"/>
              </w:rPr>
            </w:pPr>
            <w:r>
              <w:rPr>
                <w:szCs w:val="21"/>
              </w:rPr>
              <w:t>感染性</w:t>
            </w:r>
          </w:p>
          <w:p>
            <w:pPr>
              <w:widowControl/>
              <w:snapToGrid w:val="0"/>
              <w:jc w:val="center"/>
              <w:rPr>
                <w:szCs w:val="21"/>
              </w:rPr>
            </w:pPr>
            <w:r>
              <w:rPr>
                <w:szCs w:val="21"/>
              </w:rPr>
              <w:t>废物</w:t>
            </w:r>
          </w:p>
        </w:tc>
        <w:tc>
          <w:tcPr>
            <w:tcW w:w="798" w:type="pct"/>
            <w:vMerge w:val="restart"/>
            <w:vAlign w:val="center"/>
          </w:tcPr>
          <w:p>
            <w:pPr>
              <w:widowControl/>
              <w:snapToGrid w:val="0"/>
              <w:jc w:val="left"/>
              <w:rPr>
                <w:szCs w:val="21"/>
              </w:rPr>
            </w:pPr>
            <w:r>
              <w:rPr>
                <w:szCs w:val="21"/>
              </w:rPr>
              <w:t>携带病原微生物，具有引发感染性疾病传播危险的医疗废物</w:t>
            </w:r>
          </w:p>
        </w:tc>
        <w:tc>
          <w:tcPr>
            <w:tcW w:w="3726" w:type="pct"/>
            <w:vAlign w:val="center"/>
          </w:tcPr>
          <w:p>
            <w:pPr>
              <w:widowControl/>
              <w:snapToGrid w:val="0"/>
              <w:jc w:val="left"/>
              <w:rPr>
                <w:szCs w:val="21"/>
              </w:rPr>
            </w:pPr>
            <w:r>
              <w:rPr>
                <w:szCs w:val="21"/>
              </w:rPr>
              <w:t>1．被病人血液、体液、排泄物污染的物品，包括：</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——棉球、棉签、引流棉条、纱布及其他各种敷料；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——一次性使用卫生用品、一次性使用医疗用品及一次性医疗器械；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——废弃的被服；</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——其他被病人血液、体液、排泄物污染的物品。</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2．医疗机构收治的隔离传染病病人或者疑似传染病病人产生的生活垃圾。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3．病原体的培养基、标本和菌种、毒种保存液。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4．各种废弃的医学标本。</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5．废弃的血液、血清。</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6．使用后的一次性使用医疗用品及一次性医疗器械视为感染性废物。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restart"/>
            <w:vAlign w:val="center"/>
          </w:tcPr>
          <w:p>
            <w:pPr>
              <w:widowControl/>
              <w:snapToGrid w:val="0"/>
              <w:jc w:val="center"/>
              <w:rPr>
                <w:szCs w:val="21"/>
              </w:rPr>
            </w:pPr>
            <w:r>
              <w:rPr>
                <w:szCs w:val="21"/>
              </w:rPr>
              <w:t>病理性</w:t>
            </w:r>
          </w:p>
          <w:p>
            <w:pPr>
              <w:widowControl/>
              <w:snapToGrid w:val="0"/>
              <w:jc w:val="center"/>
              <w:rPr>
                <w:szCs w:val="21"/>
              </w:rPr>
            </w:pPr>
            <w:r>
              <w:rPr>
                <w:szCs w:val="21"/>
              </w:rPr>
              <w:t>废物</w:t>
            </w:r>
          </w:p>
        </w:tc>
        <w:tc>
          <w:tcPr>
            <w:tcW w:w="798" w:type="pct"/>
            <w:vMerge w:val="restart"/>
            <w:vAlign w:val="center"/>
          </w:tcPr>
          <w:p>
            <w:pPr>
              <w:widowControl/>
              <w:snapToGrid w:val="0"/>
              <w:jc w:val="left"/>
              <w:rPr>
                <w:szCs w:val="21"/>
              </w:rPr>
            </w:pPr>
            <w:r>
              <w:rPr>
                <w:szCs w:val="21"/>
              </w:rPr>
              <w:t>诊疗过程中产生的人体废弃物和医学实验动物尸体等</w:t>
            </w:r>
          </w:p>
        </w:tc>
        <w:tc>
          <w:tcPr>
            <w:tcW w:w="3726" w:type="pct"/>
            <w:vAlign w:val="center"/>
          </w:tcPr>
          <w:p>
            <w:pPr>
              <w:widowControl/>
              <w:snapToGrid w:val="0"/>
              <w:jc w:val="left"/>
              <w:rPr>
                <w:szCs w:val="21"/>
              </w:rPr>
            </w:pPr>
            <w:r>
              <w:rPr>
                <w:szCs w:val="21"/>
              </w:rPr>
              <w:t>1．手术及其他诊疗过程中产生的废弃的人体组织、器官等。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2．医学实验动物的组织、尸体。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3．病理切片后废弃的人体组织、病理腊块等。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restart"/>
            <w:vAlign w:val="center"/>
          </w:tcPr>
          <w:p>
            <w:pPr>
              <w:widowControl/>
              <w:snapToGrid w:val="0"/>
              <w:jc w:val="center"/>
              <w:rPr>
                <w:szCs w:val="21"/>
              </w:rPr>
            </w:pPr>
            <w:r>
              <w:rPr>
                <w:szCs w:val="21"/>
              </w:rPr>
              <w:t>损伤性</w:t>
            </w:r>
          </w:p>
          <w:p>
            <w:pPr>
              <w:widowControl/>
              <w:snapToGrid w:val="0"/>
              <w:jc w:val="center"/>
              <w:rPr>
                <w:szCs w:val="21"/>
              </w:rPr>
            </w:pPr>
            <w:r>
              <w:rPr>
                <w:szCs w:val="21"/>
              </w:rPr>
              <w:t>废物</w:t>
            </w:r>
          </w:p>
        </w:tc>
        <w:tc>
          <w:tcPr>
            <w:tcW w:w="798" w:type="pct"/>
            <w:vMerge w:val="restart"/>
            <w:vAlign w:val="center"/>
          </w:tcPr>
          <w:p>
            <w:pPr>
              <w:widowControl/>
              <w:snapToGrid w:val="0"/>
              <w:jc w:val="left"/>
              <w:rPr>
                <w:szCs w:val="21"/>
              </w:rPr>
            </w:pPr>
            <w:r>
              <w:rPr>
                <w:szCs w:val="21"/>
              </w:rPr>
              <w:t>能够刺伤或者割伤人体的废弃的医用锐器</w:t>
            </w:r>
          </w:p>
        </w:tc>
        <w:tc>
          <w:tcPr>
            <w:tcW w:w="3726" w:type="pct"/>
            <w:vAlign w:val="center"/>
          </w:tcPr>
          <w:p>
            <w:pPr>
              <w:widowControl/>
              <w:snapToGrid w:val="0"/>
              <w:jc w:val="left"/>
              <w:rPr>
                <w:szCs w:val="21"/>
              </w:rPr>
            </w:pPr>
            <w:r>
              <w:rPr>
                <w:szCs w:val="21"/>
              </w:rPr>
              <w:t>1．医用针头、缝合针。</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2．各类医用锐器，包括：解剖刀、手术刀、备皮刀、手术锯等。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3．载玻片、玻璃试管、玻璃安瓿等。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restart"/>
            <w:vAlign w:val="center"/>
          </w:tcPr>
          <w:p>
            <w:pPr>
              <w:widowControl/>
              <w:snapToGrid w:val="0"/>
              <w:jc w:val="center"/>
              <w:rPr>
                <w:szCs w:val="21"/>
              </w:rPr>
            </w:pPr>
            <w:r>
              <w:rPr>
                <w:szCs w:val="21"/>
              </w:rPr>
              <w:t>药物性</w:t>
            </w:r>
          </w:p>
          <w:p>
            <w:pPr>
              <w:widowControl/>
              <w:snapToGrid w:val="0"/>
              <w:jc w:val="center"/>
              <w:rPr>
                <w:szCs w:val="21"/>
              </w:rPr>
            </w:pPr>
            <w:r>
              <w:rPr>
                <w:szCs w:val="21"/>
              </w:rPr>
              <w:t>废物</w:t>
            </w:r>
          </w:p>
        </w:tc>
        <w:tc>
          <w:tcPr>
            <w:tcW w:w="798" w:type="pct"/>
            <w:vMerge w:val="restart"/>
            <w:vAlign w:val="center"/>
          </w:tcPr>
          <w:p>
            <w:pPr>
              <w:widowControl/>
              <w:snapToGrid w:val="0"/>
              <w:jc w:val="left"/>
              <w:rPr>
                <w:szCs w:val="21"/>
              </w:rPr>
            </w:pPr>
            <w:r>
              <w:rPr>
                <w:szCs w:val="21"/>
              </w:rPr>
              <w:t>过期、淘汰、变质或者被污染的废弃的药品</w:t>
            </w:r>
          </w:p>
        </w:tc>
        <w:tc>
          <w:tcPr>
            <w:tcW w:w="3726" w:type="pct"/>
            <w:vAlign w:val="center"/>
          </w:tcPr>
          <w:p>
            <w:pPr>
              <w:widowControl/>
              <w:snapToGrid w:val="0"/>
              <w:jc w:val="left"/>
              <w:rPr>
                <w:szCs w:val="21"/>
              </w:rPr>
            </w:pPr>
            <w:r>
              <w:rPr>
                <w:szCs w:val="21"/>
              </w:rPr>
              <w:t>1．废弃的一般性药品，如：抗生素、非处方类药品等。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2．废弃的细胞毒性药物和遗传毒性药物，包括：</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——致癌性药物，如硫唑嘌呤、苯丁酸氮芥、萘氮芥、环孢霉素、环磷酰胺、苯丙胺酸氮芥、司莫司汀、三苯氧氨、硫替派等；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——可疑致癌性药物，如：顺铂、丝裂霉素、阿霉素、苯巴比妥等；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——免疫抑制剂。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3．废弃的疫苗、血液制品等。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restart"/>
            <w:vAlign w:val="center"/>
          </w:tcPr>
          <w:p>
            <w:pPr>
              <w:widowControl/>
              <w:snapToGrid w:val="0"/>
              <w:jc w:val="center"/>
              <w:rPr>
                <w:szCs w:val="21"/>
              </w:rPr>
            </w:pPr>
            <w:r>
              <w:rPr>
                <w:szCs w:val="21"/>
              </w:rPr>
              <w:t>化学性</w:t>
            </w:r>
          </w:p>
          <w:p>
            <w:pPr>
              <w:widowControl/>
              <w:snapToGrid w:val="0"/>
              <w:jc w:val="center"/>
              <w:rPr>
                <w:szCs w:val="21"/>
              </w:rPr>
            </w:pPr>
            <w:r>
              <w:rPr>
                <w:szCs w:val="21"/>
              </w:rPr>
              <w:t>废物</w:t>
            </w:r>
          </w:p>
        </w:tc>
        <w:tc>
          <w:tcPr>
            <w:tcW w:w="798" w:type="pct"/>
            <w:vMerge w:val="restart"/>
            <w:vAlign w:val="center"/>
          </w:tcPr>
          <w:p>
            <w:pPr>
              <w:widowControl/>
              <w:snapToGrid w:val="0"/>
              <w:jc w:val="left"/>
              <w:rPr>
                <w:szCs w:val="21"/>
              </w:rPr>
            </w:pPr>
            <w:r>
              <w:rPr>
                <w:szCs w:val="21"/>
              </w:rPr>
              <w:t>具有毒性、腐蚀性、易燃易爆性的废弃的化学物品</w:t>
            </w:r>
          </w:p>
        </w:tc>
        <w:tc>
          <w:tcPr>
            <w:tcW w:w="3726" w:type="pct"/>
            <w:vAlign w:val="center"/>
          </w:tcPr>
          <w:p>
            <w:pPr>
              <w:widowControl/>
              <w:snapToGrid w:val="0"/>
              <w:jc w:val="left"/>
              <w:rPr>
                <w:szCs w:val="21"/>
              </w:rPr>
            </w:pPr>
            <w:r>
              <w:rPr>
                <w:szCs w:val="21"/>
              </w:rPr>
              <w:t>1．医学影像室、实验室废弃的化学试剂。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2．废弃的过氧乙酸、戊二醛等化学消毒剂。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76" w:type="pct"/>
            <w:vMerge w:val="continue"/>
            <w:vAlign w:val="center"/>
          </w:tcPr>
          <w:p>
            <w:pPr>
              <w:widowControl/>
              <w:snapToGrid w:val="0"/>
              <w:jc w:val="left"/>
              <w:rPr>
                <w:szCs w:val="21"/>
              </w:rPr>
            </w:pPr>
          </w:p>
        </w:tc>
        <w:tc>
          <w:tcPr>
            <w:tcW w:w="798" w:type="pct"/>
            <w:vMerge w:val="continue"/>
            <w:vAlign w:val="center"/>
          </w:tcPr>
          <w:p>
            <w:pPr>
              <w:widowControl/>
              <w:snapToGrid w:val="0"/>
              <w:jc w:val="left"/>
              <w:rPr>
                <w:szCs w:val="21"/>
              </w:rPr>
            </w:pPr>
          </w:p>
        </w:tc>
        <w:tc>
          <w:tcPr>
            <w:tcW w:w="3726" w:type="pct"/>
            <w:vAlign w:val="center"/>
          </w:tcPr>
          <w:p>
            <w:pPr>
              <w:widowControl/>
              <w:snapToGrid w:val="0"/>
              <w:jc w:val="left"/>
              <w:rPr>
                <w:szCs w:val="21"/>
              </w:rPr>
            </w:pPr>
            <w:r>
              <w:rPr>
                <w:szCs w:val="21"/>
              </w:rPr>
              <w:t>3．废弃的汞血压计、汞温度计。</w:t>
            </w:r>
          </w:p>
        </w:tc>
      </w:tr>
    </w:tbl>
    <w:p>
      <w:pPr>
        <w:snapToGrid w:val="0"/>
        <w:spacing w:line="348" w:lineRule="auto"/>
        <w:ind w:firstLine="480" w:firstLineChars="200"/>
        <w:rPr>
          <w:rFonts w:eastAsiaTheme="minorEastAsia"/>
          <w:sz w:val="24"/>
        </w:rPr>
      </w:pPr>
      <w:r>
        <w:rPr>
          <w:rFonts w:eastAsiaTheme="minorEastAsia"/>
          <w:sz w:val="24"/>
        </w:rPr>
        <w:t>根据《全国第一次污染源普查城镇生活源产排污系数手册》第四分册：医院污染物产生、排放系数，本项目产生的医疗废物计算公式为：</w:t>
      </w:r>
    </w:p>
    <w:p>
      <w:pPr>
        <w:snapToGrid w:val="0"/>
        <w:spacing w:line="348" w:lineRule="auto"/>
        <w:ind w:firstLine="480" w:firstLineChars="200"/>
        <w:jc w:val="center"/>
        <w:rPr>
          <w:rFonts w:eastAsiaTheme="minorEastAsia"/>
          <w:sz w:val="24"/>
        </w:rPr>
      </w:pPr>
      <w:r>
        <w:rPr>
          <w:rFonts w:eastAsiaTheme="minorEastAsia"/>
          <w:sz w:val="24"/>
        </w:rPr>
        <w:t>GW=GjN×365÷1000</w:t>
      </w:r>
    </w:p>
    <w:p>
      <w:pPr>
        <w:snapToGrid w:val="0"/>
        <w:spacing w:line="348" w:lineRule="auto"/>
        <w:ind w:firstLine="480" w:firstLineChars="200"/>
        <w:rPr>
          <w:rFonts w:eastAsiaTheme="minorEastAsia"/>
          <w:sz w:val="24"/>
        </w:rPr>
      </w:pPr>
      <w:r>
        <w:rPr>
          <w:rFonts w:eastAsiaTheme="minorEastAsia"/>
          <w:sz w:val="24"/>
        </w:rPr>
        <w:t>其中：GW——医院年医疗废物产生量，单位：t/a；</w:t>
      </w:r>
    </w:p>
    <w:p>
      <w:pPr>
        <w:snapToGrid w:val="0"/>
        <w:spacing w:line="348" w:lineRule="auto"/>
        <w:ind w:firstLine="480" w:firstLineChars="200"/>
        <w:rPr>
          <w:rFonts w:eastAsiaTheme="minorEastAsia"/>
          <w:sz w:val="24"/>
        </w:rPr>
      </w:pPr>
      <w:r>
        <w:rPr>
          <w:rFonts w:eastAsiaTheme="minorEastAsia"/>
          <w:sz w:val="24"/>
        </w:rPr>
        <w:t xml:space="preserve">      Gj——医疗废物产生量系数，单位kg/床位•d，取Gj =0.65；</w:t>
      </w:r>
    </w:p>
    <w:p>
      <w:pPr>
        <w:snapToGrid w:val="0"/>
        <w:spacing w:line="348" w:lineRule="auto"/>
        <w:ind w:firstLine="480" w:firstLineChars="200"/>
        <w:rPr>
          <w:rFonts w:eastAsiaTheme="minorEastAsia"/>
          <w:sz w:val="24"/>
        </w:rPr>
      </w:pPr>
      <w:r>
        <w:rPr>
          <w:rFonts w:eastAsiaTheme="minorEastAsia"/>
          <w:sz w:val="24"/>
        </w:rPr>
        <w:t xml:space="preserve">      N——医院床位数，项目建成后共有508张床位，则N=508。</w:t>
      </w:r>
    </w:p>
    <w:p>
      <w:pPr>
        <w:snapToGrid w:val="0"/>
        <w:spacing w:line="348" w:lineRule="auto"/>
        <w:ind w:firstLine="480" w:firstLineChars="200"/>
        <w:rPr>
          <w:rFonts w:eastAsiaTheme="minorEastAsia"/>
          <w:sz w:val="24"/>
        </w:rPr>
      </w:pPr>
      <w:r>
        <w:rPr>
          <w:rFonts w:eastAsiaTheme="minorEastAsia"/>
          <w:sz w:val="24"/>
        </w:rPr>
        <w:t>经计算，改扩建新产生的医疗废物为120.5t/a。</w:t>
      </w:r>
    </w:p>
    <w:p>
      <w:pPr>
        <w:snapToGrid w:val="0"/>
        <w:spacing w:line="348" w:lineRule="auto"/>
        <w:ind w:firstLine="480" w:firstLineChars="200"/>
        <w:rPr>
          <w:rFonts w:eastAsiaTheme="minorEastAsia"/>
          <w:sz w:val="24"/>
        </w:rPr>
      </w:pPr>
      <w:r>
        <w:rPr>
          <w:rFonts w:eastAsiaTheme="minorEastAsia"/>
          <w:sz w:val="24"/>
        </w:rPr>
        <w:t>因此，湘阴县中医院建设完成且正式运行后，医疗废物的年产生量约为120.5t/a。</w:t>
      </w:r>
    </w:p>
    <w:p>
      <w:pPr>
        <w:snapToGrid w:val="0"/>
        <w:spacing w:line="348" w:lineRule="auto"/>
        <w:ind w:firstLine="480" w:firstLineChars="200"/>
        <w:rPr>
          <w:rFonts w:eastAsiaTheme="minorEastAsia"/>
          <w:sz w:val="24"/>
        </w:rPr>
      </w:pPr>
      <w:r>
        <w:rPr>
          <w:rFonts w:eastAsiaTheme="minorEastAsia"/>
          <w:sz w:val="24"/>
        </w:rPr>
        <w:t>（2）污水处理站污泥</w:t>
      </w:r>
    </w:p>
    <w:p>
      <w:pPr>
        <w:snapToGrid w:val="0"/>
        <w:spacing w:line="348" w:lineRule="auto"/>
        <w:ind w:firstLine="480" w:firstLineChars="200"/>
        <w:rPr>
          <w:rFonts w:eastAsiaTheme="minorEastAsia"/>
          <w:sz w:val="24"/>
        </w:rPr>
      </w:pPr>
      <w:r>
        <w:rPr>
          <w:rFonts w:eastAsiaTheme="minorEastAsia"/>
          <w:sz w:val="24"/>
        </w:rPr>
        <w:t>根据项目水平衡计算，项目污水处理水量286.68m</w:t>
      </w:r>
      <w:r>
        <w:rPr>
          <w:rFonts w:eastAsiaTheme="minorEastAsia"/>
          <w:sz w:val="24"/>
          <w:vertAlign w:val="superscript"/>
        </w:rPr>
        <w:t>3</w:t>
      </w:r>
      <w:r>
        <w:rPr>
          <w:rFonts w:eastAsiaTheme="minorEastAsia"/>
          <w:sz w:val="24"/>
        </w:rPr>
        <w:t>/d，104636.47m</w:t>
      </w:r>
      <w:r>
        <w:rPr>
          <w:rFonts w:eastAsiaTheme="minorEastAsia"/>
          <w:sz w:val="24"/>
          <w:vertAlign w:val="superscript"/>
        </w:rPr>
        <w:t>3</w:t>
      </w:r>
      <w:r>
        <w:rPr>
          <w:rFonts w:eastAsiaTheme="minorEastAsia"/>
          <w:sz w:val="24"/>
        </w:rPr>
        <w:t>/a。根据《第一次全国污染源普查集中式污染治理设施产排污系数手册》，在不采用污泥消化工艺的情况下，进水悬浮物浓度为中（100～200mg/L）时，含水污泥产生系数为3.5吨/万吨污水量，则改扩建项目污水站产生的含水污泥量约为36.28吨/年。</w:t>
      </w:r>
    </w:p>
    <w:p>
      <w:pPr>
        <w:snapToGrid w:val="0"/>
        <w:spacing w:line="348" w:lineRule="auto"/>
        <w:ind w:firstLine="480" w:firstLineChars="200"/>
        <w:rPr>
          <w:rFonts w:eastAsiaTheme="minorEastAsia"/>
          <w:sz w:val="24"/>
        </w:rPr>
      </w:pPr>
      <w:r>
        <w:rPr>
          <w:rFonts w:eastAsiaTheme="minorEastAsia"/>
          <w:sz w:val="24"/>
        </w:rPr>
        <w:t>根据《国家危险废物名录》(国家环境保护部令第39号，2016年8月1日施行)中规定，医院污水处理站污泥未列入国家危险废物名录，但根据现行的《医疗机构水污染物排放标准》（GB18466-2005），医院污水处理站污泥属于危险废物的范畴，应按危险废物进行处理和处置。</w:t>
      </w:r>
    </w:p>
    <w:p>
      <w:pPr>
        <w:snapToGrid w:val="0"/>
        <w:spacing w:line="348" w:lineRule="auto"/>
        <w:ind w:firstLine="480" w:firstLineChars="200"/>
        <w:rPr>
          <w:rFonts w:eastAsiaTheme="minorEastAsia"/>
          <w:sz w:val="24"/>
        </w:rPr>
      </w:pPr>
      <w:r>
        <w:rPr>
          <w:rFonts w:hint="eastAsia" w:eastAsiaTheme="minorEastAsia"/>
          <w:sz w:val="24"/>
        </w:rPr>
        <w:t>（3）未被污染的输液瓶(袋)</w:t>
      </w:r>
    </w:p>
    <w:p>
      <w:pPr>
        <w:snapToGrid w:val="0"/>
        <w:spacing w:line="348" w:lineRule="auto"/>
        <w:ind w:firstLine="480" w:firstLineChars="200"/>
        <w:rPr>
          <w:rFonts w:eastAsiaTheme="minorEastAsia"/>
          <w:sz w:val="24"/>
        </w:rPr>
      </w:pPr>
      <w:r>
        <w:rPr>
          <w:rFonts w:hint="eastAsia" w:eastAsiaTheme="minorEastAsia"/>
          <w:sz w:val="24"/>
        </w:rPr>
        <w:t>根据《关于明确医疗废物分类的有关问题的通知》（卫办医发[2005]292号），本项目产生的各类玻璃（一次性塑料）输液瓶（袋），未被病人血液、体液、排泄物污染物的，不属于医疗废物，不必按照医疗废物进行管理。根据建设单位提供的资料，本项目建成后此类固体废物产生量约为35t/a。</w:t>
      </w:r>
    </w:p>
    <w:p>
      <w:pPr>
        <w:snapToGrid w:val="0"/>
        <w:spacing w:line="348" w:lineRule="auto"/>
        <w:ind w:firstLine="480" w:firstLineChars="200"/>
        <w:rPr>
          <w:rFonts w:eastAsiaTheme="minorEastAsia"/>
          <w:sz w:val="24"/>
        </w:rPr>
      </w:pPr>
      <w:r>
        <w:rPr>
          <w:rFonts w:eastAsiaTheme="minorEastAsia"/>
          <w:sz w:val="24"/>
        </w:rPr>
        <w:t>（</w:t>
      </w:r>
      <w:r>
        <w:rPr>
          <w:rFonts w:hint="eastAsia" w:eastAsiaTheme="minorEastAsia"/>
          <w:sz w:val="24"/>
        </w:rPr>
        <w:t>4</w:t>
      </w:r>
      <w:r>
        <w:rPr>
          <w:rFonts w:eastAsiaTheme="minorEastAsia"/>
          <w:sz w:val="24"/>
        </w:rPr>
        <w:t>）生活垃圾</w:t>
      </w:r>
    </w:p>
    <w:p>
      <w:pPr>
        <w:snapToGrid w:val="0"/>
        <w:spacing w:line="348" w:lineRule="auto"/>
        <w:ind w:firstLine="480" w:firstLineChars="200"/>
        <w:rPr>
          <w:rFonts w:eastAsiaTheme="minorEastAsia"/>
          <w:sz w:val="24"/>
        </w:rPr>
      </w:pPr>
      <w:r>
        <w:rPr>
          <w:rFonts w:eastAsiaTheme="minorEastAsia"/>
          <w:sz w:val="24"/>
        </w:rPr>
        <w:t>根据查阅《第一次全国污染源普查城镇生活源产排污系数手册》中《第四分册、医院污染物产生、排放系数手册》，湖南地区生活垃圾产生系数0.54kg/人·d，本项目工作人员共计480人，住院部床位数508张（每床陪护人员1名），合计</w:t>
      </w:r>
      <w:r>
        <w:rPr>
          <w:rFonts w:hint="eastAsia" w:eastAsiaTheme="minorEastAsia"/>
          <w:sz w:val="24"/>
        </w:rPr>
        <w:t>约</w:t>
      </w:r>
      <w:r>
        <w:rPr>
          <w:rFonts w:eastAsiaTheme="minorEastAsia"/>
          <w:sz w:val="24"/>
        </w:rPr>
        <w:t>1480人/天；门诊就诊人员每天约271人计，门诊人员生活垃圾产生量以0.1kg/人·d计算，则本项目生活垃圾产生总量为301.6t/a（0.826t/d）。生活垃圾经集中收集后，经专用的通道运送至位于地下室的生活垃圾暂存间，每日由环卫部门进行清运处理。</w:t>
      </w:r>
    </w:p>
    <w:p>
      <w:pPr>
        <w:snapToGrid w:val="0"/>
        <w:spacing w:line="348" w:lineRule="auto"/>
        <w:ind w:firstLine="480" w:firstLineChars="200"/>
        <w:rPr>
          <w:rFonts w:eastAsiaTheme="minorEastAsia"/>
          <w:sz w:val="24"/>
        </w:rPr>
      </w:pPr>
      <w:r>
        <w:rPr>
          <w:rFonts w:eastAsiaTheme="minorEastAsia"/>
          <w:sz w:val="24"/>
        </w:rPr>
        <w:t>（</w:t>
      </w:r>
      <w:r>
        <w:rPr>
          <w:rFonts w:hint="eastAsia" w:eastAsiaTheme="minorEastAsia"/>
          <w:sz w:val="24"/>
        </w:rPr>
        <w:t>5</w:t>
      </w:r>
      <w:r>
        <w:rPr>
          <w:rFonts w:eastAsiaTheme="minorEastAsia"/>
          <w:sz w:val="24"/>
        </w:rPr>
        <w:t>）餐厨垃圾</w:t>
      </w:r>
    </w:p>
    <w:p>
      <w:pPr>
        <w:snapToGrid w:val="0"/>
        <w:spacing w:line="348" w:lineRule="auto"/>
        <w:ind w:firstLine="480" w:firstLineChars="200"/>
        <w:rPr>
          <w:rFonts w:eastAsiaTheme="minorEastAsia"/>
          <w:sz w:val="24"/>
        </w:rPr>
      </w:pPr>
      <w:r>
        <w:rPr>
          <w:rFonts w:eastAsiaTheme="minorEastAsia"/>
          <w:sz w:val="24"/>
        </w:rPr>
        <w:t>本项目配置有内部食堂，用餐人数约为700人/d，食堂产生的垃圾主要有厨余垃圾和废油脂。参照《第一次全国污染源普查城镇生活源产排污系数手册》的产污系数，医院所在区属于“二区一类”地区，在医院用餐的厨余垃圾按0.2kg/人·d 计，则每日共产生厨余垃圾量为0.14吨，按一年365天计，则厨余垃圾产生量为51.1t/a。厨余垃圾主要为剩余食材和剩余饭菜等。</w:t>
      </w:r>
    </w:p>
    <w:p>
      <w:pPr>
        <w:snapToGrid w:val="0"/>
        <w:spacing w:line="348" w:lineRule="auto"/>
        <w:ind w:firstLine="480" w:firstLineChars="200"/>
        <w:rPr>
          <w:rFonts w:eastAsiaTheme="minorEastAsia"/>
          <w:sz w:val="24"/>
        </w:rPr>
      </w:pPr>
      <w:r>
        <w:rPr>
          <w:rFonts w:eastAsiaTheme="minorEastAsia"/>
          <w:sz w:val="24"/>
        </w:rPr>
        <w:t>此外，食堂含油废水预处理设施隔渣池会产生废油脂约1.69t/a，本项目医院食堂厨余垃圾和废油脂收集后交由有相关处理资质的单位清运处理。</w:t>
      </w:r>
    </w:p>
    <w:p>
      <w:pPr>
        <w:snapToGrid w:val="0"/>
        <w:spacing w:line="348" w:lineRule="auto"/>
        <w:ind w:firstLine="480" w:firstLineChars="200"/>
        <w:rPr>
          <w:rFonts w:eastAsiaTheme="minorEastAsia"/>
          <w:sz w:val="24"/>
        </w:rPr>
      </w:pPr>
      <w:r>
        <w:rPr>
          <w:rFonts w:eastAsiaTheme="minorEastAsia"/>
          <w:sz w:val="24"/>
        </w:rPr>
        <w:t>岳阳市人民政府于2019年3月1日印发了《岳阳市人民政府关于加强市城区餐厨剩余物监管的通告》（岳政告），通告中要求“餐厨剩余物产生单位要与有关企业签订餐厨剩余物收集、运输协议或直接运送到指定地点，严禁将餐厨剩余物交给生猪养殖场户或个人。餐厨剩余物收集运输单位要建立台账，真实、完整记录收集运输餐厨剩余物的来源、数量、去向等情况。餐厨剩余物处理企业要建立台账，详细记录相关情况，并按照相关技术标准和要求进行处置。”</w:t>
      </w:r>
    </w:p>
    <w:p>
      <w:pPr>
        <w:snapToGrid w:val="0"/>
        <w:spacing w:line="348" w:lineRule="auto"/>
        <w:ind w:firstLine="480" w:firstLineChars="200"/>
        <w:rPr>
          <w:rFonts w:eastAsiaTheme="minorEastAsia"/>
          <w:sz w:val="24"/>
        </w:rPr>
      </w:pPr>
      <w:r>
        <w:rPr>
          <w:rFonts w:eastAsiaTheme="minorEastAsia"/>
          <w:sz w:val="24"/>
        </w:rPr>
        <w:t>湘阴县中医院需按照上述要求与有关企业签订餐厨剩余物收集、运输协议，按上述要求对餐厨垃圾进行收集并交由专业的餐厨垃圾收集单位运输、处置。</w:t>
      </w:r>
    </w:p>
    <w:p>
      <w:pPr>
        <w:snapToGrid w:val="0"/>
        <w:spacing w:line="348" w:lineRule="auto"/>
        <w:ind w:firstLine="480" w:firstLineChars="200"/>
        <w:rPr>
          <w:rFonts w:eastAsiaTheme="minorEastAsia"/>
          <w:sz w:val="24"/>
        </w:rPr>
      </w:pPr>
      <w:r>
        <w:rPr>
          <w:rFonts w:eastAsiaTheme="minorEastAsia"/>
          <w:sz w:val="24"/>
        </w:rPr>
        <w:t>（</w:t>
      </w:r>
      <w:r>
        <w:rPr>
          <w:rFonts w:hint="eastAsia" w:eastAsiaTheme="minorEastAsia"/>
          <w:sz w:val="24"/>
        </w:rPr>
        <w:t>6</w:t>
      </w:r>
      <w:r>
        <w:rPr>
          <w:rFonts w:eastAsiaTheme="minorEastAsia"/>
          <w:sz w:val="24"/>
        </w:rPr>
        <w:t>）中药残渣</w:t>
      </w:r>
    </w:p>
    <w:p>
      <w:pPr>
        <w:snapToGrid w:val="0"/>
        <w:spacing w:line="348" w:lineRule="auto"/>
        <w:ind w:firstLine="480" w:firstLineChars="200"/>
        <w:rPr>
          <w:rFonts w:eastAsiaTheme="minorEastAsia"/>
          <w:sz w:val="24"/>
        </w:rPr>
      </w:pPr>
      <w:r>
        <w:rPr>
          <w:rFonts w:eastAsiaTheme="minorEastAsia"/>
          <w:sz w:val="24"/>
        </w:rPr>
        <w:t>本项目设有煎药房为院内及院外病人提供煎药服务。根据湘阴县中医院现有项目运行经验，本项目运营期间中药渣产生量约为14t/a（0.038t/d），该部分中药渣均在煎药房冷却至常温后与生活垃圾合并处置。</w:t>
      </w:r>
    </w:p>
    <w:p>
      <w:pPr>
        <w:snapToGrid w:val="0"/>
        <w:spacing w:line="348" w:lineRule="auto"/>
        <w:ind w:firstLine="480" w:firstLineChars="200"/>
        <w:rPr>
          <w:rFonts w:eastAsiaTheme="minorEastAsia"/>
          <w:sz w:val="24"/>
        </w:rPr>
      </w:pPr>
      <w:r>
        <w:rPr>
          <w:rFonts w:eastAsiaTheme="minorEastAsia"/>
          <w:sz w:val="24"/>
        </w:rPr>
        <w:t>综上，医院营运后固废产生、排放情况详见下表。</w:t>
      </w:r>
    </w:p>
    <w:p>
      <w:pPr>
        <w:snapToGrid w:val="0"/>
        <w:spacing w:line="360" w:lineRule="auto"/>
        <w:jc w:val="center"/>
        <w:rPr>
          <w:rFonts w:eastAsiaTheme="minorEastAsia"/>
          <w:b/>
          <w:sz w:val="24"/>
        </w:rPr>
      </w:pPr>
      <w:r>
        <w:rPr>
          <w:rFonts w:eastAsiaTheme="minorEastAsia"/>
          <w:b/>
          <w:sz w:val="24"/>
        </w:rPr>
        <w:t>表4.6-7  项目固废产生、排放情况一览表</w:t>
      </w:r>
    </w:p>
    <w:tbl>
      <w:tblPr>
        <w:tblStyle w:val="79"/>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31"/>
        <w:gridCol w:w="1702"/>
        <w:gridCol w:w="1276"/>
        <w:gridCol w:w="1419"/>
        <w:gridCol w:w="3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Align w:val="center"/>
          </w:tcPr>
          <w:p>
            <w:pPr>
              <w:snapToGrid w:val="0"/>
              <w:jc w:val="center"/>
              <w:rPr>
                <w:rFonts w:eastAsiaTheme="minorEastAsia"/>
                <w:b/>
                <w:bCs/>
                <w:color w:val="000000" w:themeColor="text1"/>
                <w:szCs w:val="21"/>
              </w:rPr>
            </w:pPr>
            <w:r>
              <w:rPr>
                <w:rFonts w:eastAsiaTheme="minorEastAsia"/>
                <w:b/>
                <w:bCs/>
                <w:color w:val="000000" w:themeColor="text1"/>
                <w:szCs w:val="21"/>
              </w:rPr>
              <w:t>名称</w:t>
            </w:r>
          </w:p>
        </w:tc>
        <w:tc>
          <w:tcPr>
            <w:tcW w:w="938" w:type="pct"/>
            <w:vAlign w:val="center"/>
          </w:tcPr>
          <w:p>
            <w:pPr>
              <w:snapToGrid w:val="0"/>
              <w:jc w:val="center"/>
              <w:rPr>
                <w:rFonts w:eastAsiaTheme="minorEastAsia"/>
                <w:b/>
                <w:bCs/>
                <w:color w:val="000000" w:themeColor="text1"/>
                <w:szCs w:val="21"/>
              </w:rPr>
            </w:pPr>
            <w:r>
              <w:rPr>
                <w:rFonts w:eastAsiaTheme="minorEastAsia"/>
                <w:b/>
                <w:bCs/>
                <w:color w:val="000000" w:themeColor="text1"/>
                <w:szCs w:val="21"/>
              </w:rPr>
              <w:t>来源</w:t>
            </w:r>
          </w:p>
        </w:tc>
        <w:tc>
          <w:tcPr>
            <w:tcW w:w="703" w:type="pct"/>
            <w:vAlign w:val="center"/>
          </w:tcPr>
          <w:p>
            <w:pPr>
              <w:snapToGrid w:val="0"/>
              <w:jc w:val="center"/>
              <w:rPr>
                <w:rFonts w:eastAsiaTheme="minorEastAsia"/>
                <w:b/>
                <w:bCs/>
                <w:color w:val="000000" w:themeColor="text1"/>
                <w:szCs w:val="21"/>
              </w:rPr>
            </w:pPr>
            <w:r>
              <w:rPr>
                <w:rFonts w:eastAsiaTheme="minorEastAsia"/>
                <w:b/>
                <w:bCs/>
                <w:color w:val="000000" w:themeColor="text1"/>
                <w:szCs w:val="21"/>
              </w:rPr>
              <w:t>性质</w:t>
            </w:r>
          </w:p>
        </w:tc>
        <w:tc>
          <w:tcPr>
            <w:tcW w:w="782" w:type="pct"/>
            <w:vAlign w:val="center"/>
          </w:tcPr>
          <w:p>
            <w:pPr>
              <w:snapToGrid w:val="0"/>
              <w:jc w:val="center"/>
              <w:rPr>
                <w:rFonts w:eastAsiaTheme="minorEastAsia"/>
                <w:b/>
                <w:bCs/>
                <w:color w:val="000000" w:themeColor="text1"/>
                <w:szCs w:val="21"/>
              </w:rPr>
            </w:pPr>
            <w:r>
              <w:rPr>
                <w:rFonts w:eastAsiaTheme="minorEastAsia"/>
                <w:b/>
                <w:bCs/>
                <w:color w:val="000000" w:themeColor="text1"/>
                <w:szCs w:val="21"/>
              </w:rPr>
              <w:t>产生量（t/a）</w:t>
            </w:r>
          </w:p>
        </w:tc>
        <w:tc>
          <w:tcPr>
            <w:tcW w:w="1733" w:type="pct"/>
            <w:vAlign w:val="center"/>
          </w:tcPr>
          <w:p>
            <w:pPr>
              <w:snapToGrid w:val="0"/>
              <w:jc w:val="center"/>
              <w:rPr>
                <w:rFonts w:eastAsiaTheme="minorEastAsia"/>
                <w:b/>
                <w:bCs/>
                <w:color w:val="000000" w:themeColor="text1"/>
                <w:szCs w:val="21"/>
              </w:rPr>
            </w:pPr>
            <w:r>
              <w:rPr>
                <w:rFonts w:eastAsiaTheme="minorEastAsia"/>
                <w:b/>
                <w:bCs/>
                <w:color w:val="000000" w:themeColor="text1"/>
                <w:szCs w:val="21"/>
              </w:rPr>
              <w:t>处理方式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Align w:val="center"/>
          </w:tcPr>
          <w:p>
            <w:pPr>
              <w:snapToGrid w:val="0"/>
              <w:jc w:val="center"/>
              <w:rPr>
                <w:rFonts w:eastAsiaTheme="minorEastAsia"/>
                <w:color w:val="000000" w:themeColor="text1"/>
                <w:szCs w:val="21"/>
              </w:rPr>
            </w:pPr>
            <w:r>
              <w:rPr>
                <w:rFonts w:eastAsiaTheme="minorEastAsia"/>
                <w:color w:val="000000" w:themeColor="text1"/>
                <w:szCs w:val="21"/>
              </w:rPr>
              <w:t>生活垃圾</w:t>
            </w:r>
          </w:p>
        </w:tc>
        <w:tc>
          <w:tcPr>
            <w:tcW w:w="938" w:type="pct"/>
            <w:vAlign w:val="center"/>
          </w:tcPr>
          <w:p>
            <w:pPr>
              <w:snapToGrid w:val="0"/>
              <w:jc w:val="center"/>
              <w:rPr>
                <w:rFonts w:eastAsiaTheme="minorEastAsia"/>
                <w:color w:val="000000" w:themeColor="text1"/>
                <w:szCs w:val="21"/>
              </w:rPr>
            </w:pPr>
            <w:r>
              <w:rPr>
                <w:rFonts w:eastAsiaTheme="minorEastAsia"/>
                <w:color w:val="000000" w:themeColor="text1"/>
                <w:szCs w:val="21"/>
              </w:rPr>
              <w:t>病房、医护人员</w:t>
            </w:r>
          </w:p>
        </w:tc>
        <w:tc>
          <w:tcPr>
            <w:tcW w:w="703" w:type="pct"/>
            <w:vAlign w:val="center"/>
          </w:tcPr>
          <w:p>
            <w:pPr>
              <w:snapToGrid w:val="0"/>
              <w:jc w:val="center"/>
              <w:rPr>
                <w:rFonts w:eastAsiaTheme="minorEastAsia"/>
                <w:color w:val="000000" w:themeColor="text1"/>
                <w:szCs w:val="21"/>
              </w:rPr>
            </w:pPr>
            <w:r>
              <w:rPr>
                <w:rFonts w:eastAsiaTheme="minorEastAsia"/>
                <w:color w:val="000000" w:themeColor="text1"/>
                <w:szCs w:val="21"/>
              </w:rPr>
              <w:t>一般固废</w:t>
            </w:r>
          </w:p>
        </w:tc>
        <w:tc>
          <w:tcPr>
            <w:tcW w:w="782" w:type="pct"/>
            <w:vAlign w:val="center"/>
          </w:tcPr>
          <w:p>
            <w:pPr>
              <w:snapToGrid w:val="0"/>
              <w:jc w:val="center"/>
              <w:rPr>
                <w:rFonts w:eastAsiaTheme="minorEastAsia"/>
                <w:color w:val="000000" w:themeColor="text1"/>
                <w:szCs w:val="21"/>
              </w:rPr>
            </w:pPr>
            <w:r>
              <w:rPr>
                <w:rFonts w:eastAsiaTheme="minorEastAsia"/>
                <w:color w:val="000000" w:themeColor="text1"/>
                <w:szCs w:val="21"/>
              </w:rPr>
              <w:t>301.6</w:t>
            </w:r>
          </w:p>
        </w:tc>
        <w:tc>
          <w:tcPr>
            <w:tcW w:w="1733" w:type="pct"/>
            <w:vAlign w:val="center"/>
          </w:tcPr>
          <w:p>
            <w:pPr>
              <w:snapToGrid w:val="0"/>
              <w:ind w:left="27" w:leftChars="-38" w:right="-67" w:rightChars="-32" w:hanging="107" w:hangingChars="51"/>
              <w:jc w:val="center"/>
              <w:rPr>
                <w:rFonts w:eastAsiaTheme="minorEastAsia"/>
                <w:color w:val="000000" w:themeColor="text1"/>
                <w:szCs w:val="21"/>
              </w:rPr>
            </w:pPr>
            <w:r>
              <w:rPr>
                <w:rFonts w:eastAsiaTheme="minorEastAsia"/>
                <w:color w:val="000000" w:themeColor="text1"/>
                <w:szCs w:val="21"/>
              </w:rPr>
              <w:t>环卫部门统一处理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Align w:val="center"/>
          </w:tcPr>
          <w:p>
            <w:pPr>
              <w:snapToGrid w:val="0"/>
              <w:jc w:val="center"/>
              <w:rPr>
                <w:rFonts w:eastAsiaTheme="minorEastAsia"/>
                <w:color w:val="000000" w:themeColor="text1"/>
                <w:szCs w:val="21"/>
              </w:rPr>
            </w:pPr>
            <w:r>
              <w:rPr>
                <w:rFonts w:eastAsiaTheme="minorEastAsia"/>
                <w:color w:val="000000" w:themeColor="text1"/>
                <w:szCs w:val="21"/>
              </w:rPr>
              <w:t>医疗固体废物</w:t>
            </w:r>
          </w:p>
        </w:tc>
        <w:tc>
          <w:tcPr>
            <w:tcW w:w="938" w:type="pct"/>
            <w:vAlign w:val="center"/>
          </w:tcPr>
          <w:p>
            <w:pPr>
              <w:snapToGrid w:val="0"/>
              <w:jc w:val="center"/>
              <w:rPr>
                <w:rFonts w:eastAsiaTheme="minorEastAsia"/>
                <w:color w:val="000000" w:themeColor="text1"/>
                <w:szCs w:val="21"/>
              </w:rPr>
            </w:pPr>
            <w:r>
              <w:rPr>
                <w:rFonts w:eastAsiaTheme="minorEastAsia"/>
                <w:color w:val="000000" w:themeColor="text1"/>
                <w:szCs w:val="21"/>
              </w:rPr>
              <w:t>病房</w:t>
            </w:r>
          </w:p>
        </w:tc>
        <w:tc>
          <w:tcPr>
            <w:tcW w:w="703" w:type="pct"/>
            <w:vAlign w:val="center"/>
          </w:tcPr>
          <w:p>
            <w:pPr>
              <w:snapToGrid w:val="0"/>
              <w:jc w:val="center"/>
              <w:rPr>
                <w:rFonts w:eastAsiaTheme="minorEastAsia"/>
                <w:color w:val="000000" w:themeColor="text1"/>
                <w:szCs w:val="21"/>
              </w:rPr>
            </w:pPr>
            <w:r>
              <w:rPr>
                <w:rFonts w:eastAsiaTheme="minorEastAsia"/>
                <w:color w:val="000000" w:themeColor="text1"/>
                <w:szCs w:val="21"/>
              </w:rPr>
              <w:t>危险固废</w:t>
            </w:r>
          </w:p>
        </w:tc>
        <w:tc>
          <w:tcPr>
            <w:tcW w:w="782" w:type="pct"/>
            <w:vAlign w:val="center"/>
          </w:tcPr>
          <w:p>
            <w:pPr>
              <w:snapToGrid w:val="0"/>
              <w:jc w:val="center"/>
              <w:rPr>
                <w:rFonts w:eastAsiaTheme="minorEastAsia"/>
                <w:color w:val="000000" w:themeColor="text1"/>
                <w:szCs w:val="21"/>
              </w:rPr>
            </w:pPr>
            <w:r>
              <w:rPr>
                <w:rFonts w:eastAsiaTheme="minorEastAsia"/>
                <w:szCs w:val="21"/>
              </w:rPr>
              <w:t>120.5</w:t>
            </w:r>
          </w:p>
        </w:tc>
        <w:tc>
          <w:tcPr>
            <w:tcW w:w="1733" w:type="pct"/>
            <w:vAlign w:val="center"/>
          </w:tcPr>
          <w:p>
            <w:pPr>
              <w:snapToGrid w:val="0"/>
              <w:ind w:left="-2" w:leftChars="-1" w:right="67" w:rightChars="32" w:firstLine="21" w:firstLineChars="10"/>
              <w:jc w:val="center"/>
              <w:rPr>
                <w:rFonts w:eastAsiaTheme="minorEastAsia"/>
                <w:color w:val="000000" w:themeColor="text1"/>
                <w:szCs w:val="21"/>
              </w:rPr>
            </w:pPr>
            <w:r>
              <w:rPr>
                <w:rFonts w:eastAsiaTheme="minorEastAsia"/>
                <w:color w:val="000000" w:themeColor="text1"/>
                <w:szCs w:val="21"/>
              </w:rPr>
              <w:t>委托岳阳市方向固废安全处置有限公司集中处置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Align w:val="center"/>
          </w:tcPr>
          <w:p>
            <w:pPr>
              <w:snapToGrid w:val="0"/>
              <w:jc w:val="center"/>
              <w:rPr>
                <w:rFonts w:eastAsiaTheme="minorEastAsia"/>
                <w:color w:val="000000" w:themeColor="text1"/>
                <w:szCs w:val="21"/>
              </w:rPr>
            </w:pPr>
            <w:r>
              <w:rPr>
                <w:rFonts w:eastAsiaTheme="minorEastAsia"/>
                <w:color w:val="000000" w:themeColor="text1"/>
                <w:szCs w:val="21"/>
              </w:rPr>
              <w:t>污水处理污泥</w:t>
            </w:r>
          </w:p>
        </w:tc>
        <w:tc>
          <w:tcPr>
            <w:tcW w:w="938" w:type="pct"/>
            <w:vAlign w:val="center"/>
          </w:tcPr>
          <w:p>
            <w:pPr>
              <w:snapToGrid w:val="0"/>
              <w:jc w:val="center"/>
              <w:rPr>
                <w:rFonts w:eastAsiaTheme="minorEastAsia"/>
                <w:color w:val="000000" w:themeColor="text1"/>
                <w:spacing w:val="-6"/>
                <w:szCs w:val="21"/>
              </w:rPr>
            </w:pPr>
            <w:r>
              <w:rPr>
                <w:rFonts w:eastAsiaTheme="minorEastAsia"/>
                <w:color w:val="000000" w:themeColor="text1"/>
                <w:spacing w:val="-6"/>
                <w:szCs w:val="21"/>
              </w:rPr>
              <w:t>污水处理站</w:t>
            </w:r>
          </w:p>
        </w:tc>
        <w:tc>
          <w:tcPr>
            <w:tcW w:w="703" w:type="pct"/>
            <w:vAlign w:val="center"/>
          </w:tcPr>
          <w:p>
            <w:pPr>
              <w:snapToGrid w:val="0"/>
              <w:jc w:val="center"/>
              <w:rPr>
                <w:rFonts w:eastAsiaTheme="minorEastAsia"/>
                <w:color w:val="000000" w:themeColor="text1"/>
                <w:szCs w:val="21"/>
              </w:rPr>
            </w:pPr>
            <w:r>
              <w:rPr>
                <w:rFonts w:eastAsiaTheme="minorEastAsia"/>
                <w:color w:val="000000" w:themeColor="text1"/>
                <w:szCs w:val="21"/>
              </w:rPr>
              <w:t>危险固废</w:t>
            </w:r>
          </w:p>
        </w:tc>
        <w:tc>
          <w:tcPr>
            <w:tcW w:w="782" w:type="pct"/>
            <w:vAlign w:val="center"/>
          </w:tcPr>
          <w:p>
            <w:pPr>
              <w:snapToGrid w:val="0"/>
              <w:jc w:val="center"/>
              <w:rPr>
                <w:rFonts w:eastAsiaTheme="minorEastAsia"/>
                <w:color w:val="000000" w:themeColor="text1"/>
                <w:szCs w:val="21"/>
              </w:rPr>
            </w:pPr>
            <w:r>
              <w:rPr>
                <w:rFonts w:eastAsiaTheme="minorEastAsia"/>
                <w:szCs w:val="21"/>
              </w:rPr>
              <w:t>36.28</w:t>
            </w:r>
          </w:p>
        </w:tc>
        <w:tc>
          <w:tcPr>
            <w:tcW w:w="1733" w:type="pct"/>
            <w:vAlign w:val="center"/>
          </w:tcPr>
          <w:p>
            <w:pPr>
              <w:snapToGrid w:val="0"/>
              <w:ind w:right="67" w:rightChars="32" w:firstLine="19" w:firstLineChars="10"/>
              <w:jc w:val="center"/>
              <w:rPr>
                <w:rFonts w:eastAsiaTheme="minorEastAsia"/>
                <w:color w:val="000000" w:themeColor="text1"/>
                <w:spacing w:val="-10"/>
                <w:szCs w:val="21"/>
              </w:rPr>
            </w:pPr>
            <w:r>
              <w:rPr>
                <w:rFonts w:eastAsiaTheme="minorEastAsia"/>
                <w:color w:val="000000" w:themeColor="text1"/>
                <w:spacing w:val="-10"/>
                <w:szCs w:val="21"/>
              </w:rPr>
              <w:t>清掏脱水、消毒后暂存医疗固废暂存间，</w:t>
            </w:r>
            <w:r>
              <w:rPr>
                <w:rFonts w:eastAsiaTheme="minorEastAsia"/>
                <w:color w:val="000000" w:themeColor="text1"/>
                <w:szCs w:val="21"/>
              </w:rPr>
              <w:t>委托岳阳市方向固废安全处置有限公司集中处置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Align w:val="center"/>
          </w:tcPr>
          <w:p>
            <w:pPr>
              <w:snapToGrid w:val="0"/>
              <w:jc w:val="center"/>
              <w:rPr>
                <w:rFonts w:eastAsiaTheme="minorEastAsia"/>
                <w:color w:val="000000" w:themeColor="text1"/>
                <w:szCs w:val="21"/>
              </w:rPr>
            </w:pPr>
            <w:bookmarkStart w:id="91" w:name="OLE_LINK10"/>
            <w:bookmarkStart w:id="92" w:name="OLE_LINK11"/>
            <w:r>
              <w:rPr>
                <w:rFonts w:hint="eastAsia" w:eastAsiaTheme="minorEastAsia"/>
                <w:color w:val="000000" w:themeColor="text1"/>
                <w:szCs w:val="21"/>
              </w:rPr>
              <w:t>未被污染的输液瓶(袋)</w:t>
            </w:r>
            <w:bookmarkEnd w:id="91"/>
            <w:bookmarkEnd w:id="92"/>
          </w:p>
        </w:tc>
        <w:tc>
          <w:tcPr>
            <w:tcW w:w="938" w:type="pct"/>
            <w:vAlign w:val="center"/>
          </w:tcPr>
          <w:p>
            <w:pPr>
              <w:snapToGrid w:val="0"/>
              <w:jc w:val="center"/>
              <w:rPr>
                <w:rFonts w:eastAsiaTheme="minorEastAsia"/>
                <w:color w:val="000000" w:themeColor="text1"/>
                <w:spacing w:val="-6"/>
                <w:szCs w:val="21"/>
              </w:rPr>
            </w:pPr>
            <w:r>
              <w:rPr>
                <w:rFonts w:eastAsiaTheme="minorEastAsia"/>
                <w:color w:val="000000" w:themeColor="text1"/>
                <w:szCs w:val="21"/>
              </w:rPr>
              <w:t>病房</w:t>
            </w:r>
          </w:p>
        </w:tc>
        <w:tc>
          <w:tcPr>
            <w:tcW w:w="703" w:type="pct"/>
            <w:vAlign w:val="center"/>
          </w:tcPr>
          <w:p>
            <w:pPr>
              <w:snapToGrid w:val="0"/>
              <w:jc w:val="center"/>
              <w:rPr>
                <w:rFonts w:eastAsiaTheme="minorEastAsia"/>
                <w:color w:val="000000" w:themeColor="text1"/>
                <w:szCs w:val="21"/>
              </w:rPr>
            </w:pPr>
            <w:r>
              <w:rPr>
                <w:rFonts w:eastAsiaTheme="minorEastAsia"/>
                <w:color w:val="000000" w:themeColor="text1"/>
                <w:szCs w:val="21"/>
              </w:rPr>
              <w:t>一般废物</w:t>
            </w:r>
          </w:p>
        </w:tc>
        <w:tc>
          <w:tcPr>
            <w:tcW w:w="782" w:type="pct"/>
            <w:vAlign w:val="center"/>
          </w:tcPr>
          <w:p>
            <w:pPr>
              <w:snapToGrid w:val="0"/>
              <w:jc w:val="center"/>
              <w:rPr>
                <w:rFonts w:eastAsiaTheme="minorEastAsia"/>
                <w:szCs w:val="21"/>
              </w:rPr>
            </w:pPr>
            <w:r>
              <w:rPr>
                <w:rFonts w:hint="eastAsia" w:eastAsiaTheme="minorEastAsia"/>
                <w:szCs w:val="21"/>
              </w:rPr>
              <w:t>35</w:t>
            </w:r>
          </w:p>
        </w:tc>
        <w:tc>
          <w:tcPr>
            <w:tcW w:w="1733" w:type="pct"/>
            <w:vAlign w:val="center"/>
          </w:tcPr>
          <w:p>
            <w:pPr>
              <w:snapToGrid w:val="0"/>
              <w:ind w:right="67" w:rightChars="32" w:firstLine="21" w:firstLineChars="10"/>
              <w:jc w:val="center"/>
              <w:rPr>
                <w:rFonts w:eastAsiaTheme="minorEastAsia"/>
                <w:color w:val="000000" w:themeColor="text1"/>
                <w:spacing w:val="-10"/>
                <w:szCs w:val="21"/>
                <w:u w:val="single"/>
              </w:rPr>
            </w:pPr>
            <w:bookmarkStart w:id="93" w:name="OLE_LINK9"/>
            <w:bookmarkStart w:id="94" w:name="OLE_LINK8"/>
            <w:r>
              <w:rPr>
                <w:rFonts w:eastAsiaTheme="minorEastAsia"/>
                <w:color w:val="000000" w:themeColor="text1"/>
                <w:szCs w:val="21"/>
                <w:u w:val="single"/>
              </w:rPr>
              <w:t>委托</w:t>
            </w:r>
            <w:r>
              <w:rPr>
                <w:rFonts w:hint="eastAsia" w:eastAsiaTheme="minorEastAsia"/>
                <w:color w:val="000000" w:themeColor="text1"/>
                <w:szCs w:val="21"/>
                <w:u w:val="single"/>
              </w:rPr>
              <w:t>湖南宝叶再生资源开发有限公司</w:t>
            </w:r>
            <w:r>
              <w:rPr>
                <w:rFonts w:eastAsiaTheme="minorEastAsia"/>
                <w:color w:val="000000" w:themeColor="text1"/>
                <w:szCs w:val="21"/>
                <w:u w:val="single"/>
              </w:rPr>
              <w:t>处置</w:t>
            </w:r>
            <w:bookmarkEnd w:id="93"/>
            <w:bookmarkEnd w:id="9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Merge w:val="restart"/>
            <w:vAlign w:val="center"/>
          </w:tcPr>
          <w:p>
            <w:pPr>
              <w:snapToGrid w:val="0"/>
              <w:jc w:val="center"/>
              <w:rPr>
                <w:rFonts w:eastAsiaTheme="minorEastAsia"/>
                <w:color w:val="000000" w:themeColor="text1"/>
                <w:szCs w:val="21"/>
              </w:rPr>
            </w:pPr>
            <w:r>
              <w:rPr>
                <w:rFonts w:eastAsiaTheme="minorEastAsia"/>
                <w:color w:val="000000" w:themeColor="text1"/>
                <w:szCs w:val="21"/>
              </w:rPr>
              <w:t>厨余垃圾</w:t>
            </w:r>
          </w:p>
        </w:tc>
        <w:tc>
          <w:tcPr>
            <w:tcW w:w="938" w:type="pct"/>
            <w:vAlign w:val="center"/>
          </w:tcPr>
          <w:p>
            <w:pPr>
              <w:snapToGrid w:val="0"/>
              <w:jc w:val="center"/>
              <w:rPr>
                <w:rFonts w:eastAsiaTheme="minorEastAsia"/>
                <w:color w:val="000000" w:themeColor="text1"/>
                <w:spacing w:val="-6"/>
                <w:szCs w:val="21"/>
              </w:rPr>
            </w:pPr>
            <w:r>
              <w:rPr>
                <w:rFonts w:eastAsiaTheme="minorEastAsia"/>
                <w:color w:val="000000" w:themeColor="text1"/>
                <w:spacing w:val="-6"/>
                <w:szCs w:val="21"/>
              </w:rPr>
              <w:t>医院食堂</w:t>
            </w:r>
          </w:p>
        </w:tc>
        <w:tc>
          <w:tcPr>
            <w:tcW w:w="703" w:type="pct"/>
            <w:vMerge w:val="restart"/>
            <w:vAlign w:val="center"/>
          </w:tcPr>
          <w:p>
            <w:pPr>
              <w:snapToGrid w:val="0"/>
              <w:jc w:val="center"/>
              <w:rPr>
                <w:rFonts w:eastAsiaTheme="minorEastAsia"/>
                <w:color w:val="000000" w:themeColor="text1"/>
                <w:szCs w:val="21"/>
              </w:rPr>
            </w:pPr>
            <w:r>
              <w:rPr>
                <w:rFonts w:eastAsiaTheme="minorEastAsia"/>
                <w:color w:val="000000" w:themeColor="text1"/>
                <w:szCs w:val="21"/>
              </w:rPr>
              <w:t>一般废物</w:t>
            </w:r>
          </w:p>
        </w:tc>
        <w:tc>
          <w:tcPr>
            <w:tcW w:w="782" w:type="pct"/>
            <w:vAlign w:val="center"/>
          </w:tcPr>
          <w:p>
            <w:pPr>
              <w:snapToGrid w:val="0"/>
              <w:jc w:val="center"/>
              <w:rPr>
                <w:rFonts w:eastAsiaTheme="minorEastAsia"/>
                <w:color w:val="000000" w:themeColor="text1"/>
                <w:szCs w:val="21"/>
              </w:rPr>
            </w:pPr>
            <w:r>
              <w:rPr>
                <w:rFonts w:eastAsiaTheme="minorEastAsia"/>
                <w:color w:val="000000" w:themeColor="text1"/>
                <w:szCs w:val="21"/>
              </w:rPr>
              <w:t>51.1</w:t>
            </w:r>
          </w:p>
        </w:tc>
        <w:tc>
          <w:tcPr>
            <w:tcW w:w="1733" w:type="pct"/>
            <w:vMerge w:val="restart"/>
            <w:vAlign w:val="center"/>
          </w:tcPr>
          <w:p>
            <w:pPr>
              <w:snapToGrid w:val="0"/>
              <w:ind w:right="67" w:rightChars="32" w:firstLine="21" w:firstLineChars="10"/>
              <w:jc w:val="center"/>
              <w:rPr>
                <w:rFonts w:eastAsiaTheme="minorEastAsia"/>
                <w:color w:val="000000" w:themeColor="text1"/>
                <w:spacing w:val="-10"/>
                <w:szCs w:val="21"/>
              </w:rPr>
            </w:pPr>
            <w:r>
              <w:rPr>
                <w:szCs w:val="21"/>
              </w:rPr>
              <w:t>交由有相关资质单位统一处理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Merge w:val="continue"/>
            <w:vAlign w:val="center"/>
          </w:tcPr>
          <w:p>
            <w:pPr>
              <w:snapToGrid w:val="0"/>
              <w:jc w:val="center"/>
              <w:rPr>
                <w:rFonts w:eastAsiaTheme="minorEastAsia"/>
                <w:color w:val="000000" w:themeColor="text1"/>
                <w:szCs w:val="21"/>
              </w:rPr>
            </w:pPr>
          </w:p>
        </w:tc>
        <w:tc>
          <w:tcPr>
            <w:tcW w:w="938" w:type="pct"/>
            <w:vAlign w:val="center"/>
          </w:tcPr>
          <w:p>
            <w:pPr>
              <w:snapToGrid w:val="0"/>
              <w:jc w:val="center"/>
              <w:rPr>
                <w:rFonts w:eastAsiaTheme="minorEastAsia"/>
                <w:color w:val="000000" w:themeColor="text1"/>
                <w:spacing w:val="-6"/>
                <w:szCs w:val="21"/>
              </w:rPr>
            </w:pPr>
            <w:r>
              <w:rPr>
                <w:rFonts w:eastAsiaTheme="minorEastAsia"/>
                <w:color w:val="000000" w:themeColor="text1"/>
                <w:spacing w:val="-6"/>
                <w:szCs w:val="21"/>
              </w:rPr>
              <w:t>隔油沉淀池</w:t>
            </w:r>
          </w:p>
        </w:tc>
        <w:tc>
          <w:tcPr>
            <w:tcW w:w="703" w:type="pct"/>
            <w:vMerge w:val="continue"/>
            <w:vAlign w:val="center"/>
          </w:tcPr>
          <w:p>
            <w:pPr>
              <w:snapToGrid w:val="0"/>
              <w:jc w:val="center"/>
              <w:rPr>
                <w:rFonts w:eastAsiaTheme="minorEastAsia"/>
                <w:color w:val="000000" w:themeColor="text1"/>
                <w:szCs w:val="21"/>
              </w:rPr>
            </w:pPr>
          </w:p>
        </w:tc>
        <w:tc>
          <w:tcPr>
            <w:tcW w:w="782" w:type="pct"/>
            <w:vAlign w:val="center"/>
          </w:tcPr>
          <w:p>
            <w:pPr>
              <w:snapToGrid w:val="0"/>
              <w:jc w:val="center"/>
              <w:rPr>
                <w:rFonts w:eastAsiaTheme="minorEastAsia"/>
                <w:color w:val="000000" w:themeColor="text1"/>
                <w:szCs w:val="21"/>
              </w:rPr>
            </w:pPr>
            <w:r>
              <w:rPr>
                <w:rFonts w:eastAsiaTheme="minorEastAsia"/>
                <w:color w:val="000000" w:themeColor="text1"/>
                <w:szCs w:val="21"/>
              </w:rPr>
              <w:t>1.69</w:t>
            </w:r>
          </w:p>
        </w:tc>
        <w:tc>
          <w:tcPr>
            <w:tcW w:w="1733" w:type="pct"/>
            <w:vMerge w:val="continue"/>
            <w:vAlign w:val="center"/>
          </w:tcPr>
          <w:p>
            <w:pPr>
              <w:snapToGrid w:val="0"/>
              <w:ind w:right="67" w:rightChars="32" w:firstLine="19" w:firstLineChars="10"/>
              <w:jc w:val="center"/>
              <w:rPr>
                <w:rFonts w:eastAsiaTheme="minorEastAsia"/>
                <w:color w:val="000000" w:themeColor="text1"/>
                <w:spacing w:val="-1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4" w:type="pct"/>
            <w:vAlign w:val="center"/>
          </w:tcPr>
          <w:p>
            <w:pPr>
              <w:snapToGrid w:val="0"/>
              <w:jc w:val="center"/>
              <w:rPr>
                <w:rFonts w:eastAsiaTheme="minorEastAsia"/>
                <w:color w:val="000000" w:themeColor="text1"/>
                <w:szCs w:val="21"/>
              </w:rPr>
            </w:pPr>
            <w:r>
              <w:rPr>
                <w:rFonts w:eastAsiaTheme="minorEastAsia"/>
                <w:color w:val="000000" w:themeColor="text1"/>
                <w:szCs w:val="21"/>
              </w:rPr>
              <w:t>中药渣</w:t>
            </w:r>
          </w:p>
        </w:tc>
        <w:tc>
          <w:tcPr>
            <w:tcW w:w="938" w:type="pct"/>
            <w:vAlign w:val="center"/>
          </w:tcPr>
          <w:p>
            <w:pPr>
              <w:snapToGrid w:val="0"/>
              <w:jc w:val="center"/>
              <w:rPr>
                <w:rFonts w:eastAsiaTheme="minorEastAsia"/>
                <w:color w:val="000000" w:themeColor="text1"/>
                <w:spacing w:val="-6"/>
                <w:szCs w:val="21"/>
              </w:rPr>
            </w:pPr>
            <w:r>
              <w:rPr>
                <w:rFonts w:eastAsiaTheme="minorEastAsia"/>
                <w:color w:val="000000" w:themeColor="text1"/>
                <w:spacing w:val="-6"/>
                <w:szCs w:val="21"/>
              </w:rPr>
              <w:t>煎药房</w:t>
            </w:r>
          </w:p>
        </w:tc>
        <w:tc>
          <w:tcPr>
            <w:tcW w:w="703" w:type="pct"/>
            <w:vAlign w:val="center"/>
          </w:tcPr>
          <w:p>
            <w:pPr>
              <w:snapToGrid w:val="0"/>
              <w:jc w:val="center"/>
              <w:rPr>
                <w:rFonts w:eastAsiaTheme="minorEastAsia"/>
                <w:color w:val="000000" w:themeColor="text1"/>
                <w:szCs w:val="21"/>
              </w:rPr>
            </w:pPr>
            <w:r>
              <w:rPr>
                <w:rFonts w:eastAsiaTheme="minorEastAsia"/>
                <w:color w:val="000000" w:themeColor="text1"/>
                <w:szCs w:val="21"/>
              </w:rPr>
              <w:t>一般废物</w:t>
            </w:r>
          </w:p>
        </w:tc>
        <w:tc>
          <w:tcPr>
            <w:tcW w:w="782" w:type="pct"/>
            <w:vAlign w:val="center"/>
          </w:tcPr>
          <w:p>
            <w:pPr>
              <w:snapToGrid w:val="0"/>
              <w:jc w:val="center"/>
              <w:rPr>
                <w:rFonts w:eastAsiaTheme="minorEastAsia"/>
                <w:color w:val="000000" w:themeColor="text1"/>
                <w:szCs w:val="21"/>
              </w:rPr>
            </w:pPr>
            <w:r>
              <w:rPr>
                <w:rFonts w:eastAsiaTheme="minorEastAsia"/>
                <w:color w:val="000000" w:themeColor="text1"/>
                <w:szCs w:val="21"/>
              </w:rPr>
              <w:t>14</w:t>
            </w:r>
          </w:p>
        </w:tc>
        <w:tc>
          <w:tcPr>
            <w:tcW w:w="1733" w:type="pct"/>
            <w:vAlign w:val="center"/>
          </w:tcPr>
          <w:p>
            <w:pPr>
              <w:snapToGrid w:val="0"/>
              <w:ind w:right="67" w:rightChars="32" w:firstLine="21" w:firstLineChars="10"/>
              <w:jc w:val="center"/>
              <w:rPr>
                <w:rFonts w:eastAsiaTheme="minorEastAsia"/>
                <w:color w:val="000000" w:themeColor="text1"/>
                <w:spacing w:val="-10"/>
                <w:szCs w:val="21"/>
              </w:rPr>
            </w:pPr>
            <w:r>
              <w:rPr>
                <w:rFonts w:eastAsiaTheme="minorEastAsia"/>
                <w:color w:val="000000" w:themeColor="text1"/>
                <w:szCs w:val="21"/>
              </w:rPr>
              <w:t>与生活垃圾一并存放，交由环卫部门统一处理</w:t>
            </w:r>
          </w:p>
        </w:tc>
      </w:tr>
    </w:tbl>
    <w:p>
      <w:pPr>
        <w:snapToGrid w:val="0"/>
        <w:spacing w:line="360" w:lineRule="auto"/>
        <w:ind w:firstLine="480" w:firstLineChars="200"/>
        <w:rPr>
          <w:rFonts w:eastAsiaTheme="minorEastAsia"/>
          <w:sz w:val="24"/>
        </w:rPr>
      </w:pPr>
      <w:r>
        <w:rPr>
          <w:rFonts w:eastAsiaTheme="minorEastAsia"/>
          <w:sz w:val="24"/>
        </w:rPr>
        <w:t>本项目运营过程中危废废物产生情况见下表：</w:t>
      </w: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jc w:val="center"/>
        <w:rPr>
          <w:rFonts w:eastAsiaTheme="minorEastAsia"/>
          <w:b/>
          <w:sz w:val="24"/>
        </w:rPr>
      </w:pPr>
      <w:r>
        <w:rPr>
          <w:rFonts w:eastAsiaTheme="minorEastAsia"/>
          <w:b/>
          <w:sz w:val="24"/>
        </w:rPr>
        <w:t>表4.6-8  危险废物产生情况一览表</w:t>
      </w:r>
    </w:p>
    <w:tbl>
      <w:tblPr>
        <w:tblStyle w:val="80"/>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679"/>
        <w:gridCol w:w="654"/>
        <w:gridCol w:w="673"/>
        <w:gridCol w:w="945"/>
        <w:gridCol w:w="636"/>
        <w:gridCol w:w="776"/>
        <w:gridCol w:w="1406"/>
        <w:gridCol w:w="991"/>
        <w:gridCol w:w="610"/>
        <w:gridCol w:w="12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napToGrid w:val="0"/>
              <w:jc w:val="center"/>
              <w:rPr>
                <w:rFonts w:eastAsiaTheme="minorEastAsia"/>
                <w:b/>
                <w:szCs w:val="21"/>
              </w:rPr>
            </w:pPr>
            <w:r>
              <w:rPr>
                <w:rFonts w:eastAsiaTheme="minorEastAsia"/>
                <w:b/>
                <w:szCs w:val="21"/>
              </w:rPr>
              <w:t>序号</w:t>
            </w:r>
          </w:p>
        </w:tc>
        <w:tc>
          <w:tcPr>
            <w:tcW w:w="679" w:type="dxa"/>
            <w:vAlign w:val="center"/>
          </w:tcPr>
          <w:p>
            <w:pPr>
              <w:snapToGrid w:val="0"/>
              <w:jc w:val="center"/>
              <w:rPr>
                <w:rFonts w:eastAsiaTheme="minorEastAsia"/>
                <w:b/>
                <w:szCs w:val="21"/>
              </w:rPr>
            </w:pPr>
            <w:r>
              <w:rPr>
                <w:rFonts w:eastAsiaTheme="minorEastAsia"/>
                <w:b/>
                <w:szCs w:val="21"/>
              </w:rPr>
              <w:t>危废名称</w:t>
            </w:r>
          </w:p>
        </w:tc>
        <w:tc>
          <w:tcPr>
            <w:tcW w:w="654" w:type="dxa"/>
            <w:vAlign w:val="center"/>
          </w:tcPr>
          <w:p>
            <w:pPr>
              <w:snapToGrid w:val="0"/>
              <w:jc w:val="center"/>
              <w:rPr>
                <w:rFonts w:eastAsiaTheme="minorEastAsia"/>
                <w:b/>
                <w:szCs w:val="21"/>
              </w:rPr>
            </w:pPr>
            <w:r>
              <w:rPr>
                <w:rFonts w:eastAsiaTheme="minorEastAsia"/>
                <w:b/>
                <w:szCs w:val="21"/>
              </w:rPr>
              <w:t>产生工序</w:t>
            </w:r>
          </w:p>
        </w:tc>
        <w:tc>
          <w:tcPr>
            <w:tcW w:w="673" w:type="dxa"/>
            <w:vAlign w:val="center"/>
          </w:tcPr>
          <w:p>
            <w:pPr>
              <w:snapToGrid w:val="0"/>
              <w:jc w:val="center"/>
              <w:rPr>
                <w:rFonts w:eastAsiaTheme="minorEastAsia"/>
                <w:b/>
                <w:szCs w:val="21"/>
              </w:rPr>
            </w:pPr>
            <w:r>
              <w:rPr>
                <w:rFonts w:eastAsiaTheme="minorEastAsia"/>
                <w:b/>
                <w:szCs w:val="21"/>
              </w:rPr>
              <w:t>形态</w:t>
            </w:r>
          </w:p>
        </w:tc>
        <w:tc>
          <w:tcPr>
            <w:tcW w:w="945" w:type="dxa"/>
            <w:vAlign w:val="center"/>
          </w:tcPr>
          <w:p>
            <w:pPr>
              <w:snapToGrid w:val="0"/>
              <w:jc w:val="center"/>
              <w:rPr>
                <w:rFonts w:eastAsiaTheme="minorEastAsia"/>
                <w:b/>
                <w:szCs w:val="21"/>
              </w:rPr>
            </w:pPr>
            <w:r>
              <w:rPr>
                <w:rFonts w:eastAsiaTheme="minorEastAsia"/>
                <w:b/>
                <w:szCs w:val="21"/>
              </w:rPr>
              <w:t>主要成分</w:t>
            </w:r>
          </w:p>
        </w:tc>
        <w:tc>
          <w:tcPr>
            <w:tcW w:w="636" w:type="dxa"/>
            <w:vAlign w:val="center"/>
          </w:tcPr>
          <w:p>
            <w:pPr>
              <w:snapToGrid w:val="0"/>
              <w:jc w:val="center"/>
              <w:rPr>
                <w:rFonts w:eastAsiaTheme="minorEastAsia"/>
                <w:b/>
                <w:szCs w:val="21"/>
              </w:rPr>
            </w:pPr>
            <w:r>
              <w:rPr>
                <w:rFonts w:eastAsiaTheme="minorEastAsia"/>
                <w:b/>
                <w:szCs w:val="21"/>
              </w:rPr>
              <w:t>有害成分</w:t>
            </w:r>
          </w:p>
        </w:tc>
        <w:tc>
          <w:tcPr>
            <w:tcW w:w="776" w:type="dxa"/>
            <w:vAlign w:val="center"/>
          </w:tcPr>
          <w:p>
            <w:pPr>
              <w:snapToGrid w:val="0"/>
              <w:jc w:val="center"/>
              <w:rPr>
                <w:rFonts w:eastAsiaTheme="minorEastAsia"/>
                <w:b/>
                <w:szCs w:val="21"/>
              </w:rPr>
            </w:pPr>
            <w:r>
              <w:rPr>
                <w:rFonts w:eastAsiaTheme="minorEastAsia"/>
                <w:b/>
                <w:szCs w:val="21"/>
              </w:rPr>
              <w:t>危废类别</w:t>
            </w:r>
          </w:p>
        </w:tc>
        <w:tc>
          <w:tcPr>
            <w:tcW w:w="1406" w:type="dxa"/>
            <w:vAlign w:val="center"/>
          </w:tcPr>
          <w:p>
            <w:pPr>
              <w:snapToGrid w:val="0"/>
              <w:jc w:val="center"/>
              <w:rPr>
                <w:rFonts w:eastAsiaTheme="minorEastAsia"/>
                <w:b/>
                <w:szCs w:val="21"/>
              </w:rPr>
            </w:pPr>
            <w:r>
              <w:rPr>
                <w:rFonts w:eastAsiaTheme="minorEastAsia"/>
                <w:b/>
                <w:szCs w:val="21"/>
              </w:rPr>
              <w:t>危废代码</w:t>
            </w:r>
          </w:p>
        </w:tc>
        <w:tc>
          <w:tcPr>
            <w:tcW w:w="991" w:type="dxa"/>
            <w:vAlign w:val="center"/>
          </w:tcPr>
          <w:p>
            <w:pPr>
              <w:snapToGrid w:val="0"/>
              <w:jc w:val="center"/>
              <w:rPr>
                <w:rFonts w:eastAsiaTheme="minorEastAsia"/>
                <w:b/>
                <w:szCs w:val="21"/>
              </w:rPr>
            </w:pPr>
            <w:r>
              <w:rPr>
                <w:rFonts w:eastAsiaTheme="minorEastAsia"/>
                <w:b/>
                <w:szCs w:val="21"/>
              </w:rPr>
              <w:t>产生量t/a</w:t>
            </w:r>
          </w:p>
        </w:tc>
        <w:tc>
          <w:tcPr>
            <w:tcW w:w="610" w:type="dxa"/>
            <w:vAlign w:val="center"/>
          </w:tcPr>
          <w:p>
            <w:pPr>
              <w:snapToGrid w:val="0"/>
              <w:jc w:val="center"/>
              <w:rPr>
                <w:rFonts w:eastAsiaTheme="minorEastAsia"/>
                <w:b/>
                <w:szCs w:val="21"/>
              </w:rPr>
            </w:pPr>
            <w:r>
              <w:rPr>
                <w:rFonts w:eastAsiaTheme="minorEastAsia"/>
                <w:b/>
                <w:szCs w:val="21"/>
              </w:rPr>
              <w:t>产生周期</w:t>
            </w:r>
          </w:p>
        </w:tc>
        <w:tc>
          <w:tcPr>
            <w:tcW w:w="1275" w:type="dxa"/>
            <w:vAlign w:val="center"/>
          </w:tcPr>
          <w:p>
            <w:pPr>
              <w:snapToGrid w:val="0"/>
              <w:jc w:val="center"/>
              <w:rPr>
                <w:rFonts w:eastAsiaTheme="minorEastAsia"/>
                <w:b/>
                <w:szCs w:val="21"/>
              </w:rPr>
            </w:pPr>
            <w:r>
              <w:rPr>
                <w:rFonts w:eastAsiaTheme="minorEastAsia"/>
                <w:b/>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napToGrid w:val="0"/>
              <w:jc w:val="center"/>
              <w:rPr>
                <w:rFonts w:eastAsiaTheme="minorEastAsia"/>
                <w:szCs w:val="21"/>
              </w:rPr>
            </w:pPr>
            <w:r>
              <w:rPr>
                <w:rFonts w:eastAsiaTheme="minorEastAsia"/>
                <w:szCs w:val="21"/>
              </w:rPr>
              <w:t>1</w:t>
            </w:r>
          </w:p>
        </w:tc>
        <w:tc>
          <w:tcPr>
            <w:tcW w:w="679" w:type="dxa"/>
            <w:vAlign w:val="center"/>
          </w:tcPr>
          <w:p>
            <w:pPr>
              <w:snapToGrid w:val="0"/>
              <w:jc w:val="center"/>
              <w:rPr>
                <w:rFonts w:eastAsiaTheme="minorEastAsia"/>
                <w:szCs w:val="21"/>
              </w:rPr>
            </w:pPr>
            <w:r>
              <w:rPr>
                <w:rFonts w:eastAsiaTheme="minorEastAsia"/>
                <w:szCs w:val="21"/>
              </w:rPr>
              <w:t>医疗废物</w:t>
            </w:r>
          </w:p>
        </w:tc>
        <w:tc>
          <w:tcPr>
            <w:tcW w:w="654" w:type="dxa"/>
            <w:vAlign w:val="center"/>
          </w:tcPr>
          <w:p>
            <w:pPr>
              <w:snapToGrid w:val="0"/>
              <w:jc w:val="center"/>
              <w:rPr>
                <w:rFonts w:eastAsiaTheme="minorEastAsia"/>
                <w:szCs w:val="21"/>
              </w:rPr>
            </w:pPr>
            <w:r>
              <w:rPr>
                <w:rFonts w:eastAsiaTheme="minorEastAsia"/>
                <w:szCs w:val="21"/>
              </w:rPr>
              <w:t>诊疗、手术、检验</w:t>
            </w:r>
          </w:p>
        </w:tc>
        <w:tc>
          <w:tcPr>
            <w:tcW w:w="673" w:type="dxa"/>
            <w:vAlign w:val="center"/>
          </w:tcPr>
          <w:p>
            <w:pPr>
              <w:snapToGrid w:val="0"/>
              <w:jc w:val="center"/>
              <w:rPr>
                <w:rFonts w:eastAsiaTheme="minorEastAsia"/>
                <w:szCs w:val="21"/>
              </w:rPr>
            </w:pPr>
            <w:r>
              <w:rPr>
                <w:rFonts w:eastAsiaTheme="minorEastAsia"/>
                <w:szCs w:val="21"/>
              </w:rPr>
              <w:t>固态、液体</w:t>
            </w:r>
          </w:p>
        </w:tc>
        <w:tc>
          <w:tcPr>
            <w:tcW w:w="945" w:type="dxa"/>
            <w:vAlign w:val="center"/>
          </w:tcPr>
          <w:p>
            <w:pPr>
              <w:snapToGrid w:val="0"/>
              <w:jc w:val="center"/>
              <w:rPr>
                <w:rFonts w:eastAsiaTheme="minorEastAsia"/>
                <w:szCs w:val="21"/>
              </w:rPr>
            </w:pPr>
            <w:r>
              <w:rPr>
                <w:rFonts w:eastAsiaTheme="minorEastAsia"/>
                <w:szCs w:val="21"/>
              </w:rPr>
              <w:t>塑料、玻璃、棉纱、组织、血液、体液等</w:t>
            </w:r>
          </w:p>
        </w:tc>
        <w:tc>
          <w:tcPr>
            <w:tcW w:w="636" w:type="dxa"/>
            <w:vAlign w:val="center"/>
          </w:tcPr>
          <w:p>
            <w:pPr>
              <w:snapToGrid w:val="0"/>
              <w:jc w:val="center"/>
              <w:rPr>
                <w:rFonts w:eastAsiaTheme="minorEastAsia"/>
                <w:szCs w:val="21"/>
              </w:rPr>
            </w:pPr>
            <w:r>
              <w:rPr>
                <w:rFonts w:eastAsiaTheme="minorEastAsia"/>
                <w:szCs w:val="21"/>
              </w:rPr>
              <w:t>致病菌、化学试剂等</w:t>
            </w:r>
          </w:p>
        </w:tc>
        <w:tc>
          <w:tcPr>
            <w:tcW w:w="776" w:type="dxa"/>
            <w:vAlign w:val="center"/>
          </w:tcPr>
          <w:p>
            <w:pPr>
              <w:snapToGrid w:val="0"/>
              <w:jc w:val="center"/>
              <w:rPr>
                <w:rFonts w:eastAsiaTheme="minorEastAsia"/>
                <w:szCs w:val="21"/>
              </w:rPr>
            </w:pPr>
            <w:r>
              <w:rPr>
                <w:rFonts w:eastAsiaTheme="minorEastAsia"/>
                <w:szCs w:val="21"/>
              </w:rPr>
              <w:t>HW01</w:t>
            </w:r>
          </w:p>
        </w:tc>
        <w:tc>
          <w:tcPr>
            <w:tcW w:w="1406" w:type="dxa"/>
            <w:vAlign w:val="center"/>
          </w:tcPr>
          <w:p>
            <w:pPr>
              <w:snapToGrid w:val="0"/>
              <w:jc w:val="center"/>
              <w:rPr>
                <w:rFonts w:eastAsiaTheme="minorEastAsia"/>
                <w:szCs w:val="21"/>
              </w:rPr>
            </w:pPr>
            <w:r>
              <w:rPr>
                <w:rFonts w:eastAsiaTheme="minorEastAsia"/>
                <w:szCs w:val="21"/>
              </w:rPr>
              <w:t>831-001-01、831-002-01、831-003-01、831-004-01、831-005-01</w:t>
            </w:r>
          </w:p>
        </w:tc>
        <w:tc>
          <w:tcPr>
            <w:tcW w:w="991" w:type="dxa"/>
            <w:vAlign w:val="center"/>
          </w:tcPr>
          <w:p>
            <w:pPr>
              <w:snapToGrid w:val="0"/>
              <w:jc w:val="center"/>
              <w:rPr>
                <w:rFonts w:eastAsiaTheme="minorEastAsia"/>
                <w:szCs w:val="21"/>
              </w:rPr>
            </w:pPr>
            <w:r>
              <w:rPr>
                <w:rFonts w:eastAsiaTheme="minorEastAsia"/>
                <w:szCs w:val="21"/>
              </w:rPr>
              <w:t>120.5 t/a</w:t>
            </w:r>
          </w:p>
        </w:tc>
        <w:tc>
          <w:tcPr>
            <w:tcW w:w="610" w:type="dxa"/>
            <w:vAlign w:val="center"/>
          </w:tcPr>
          <w:p>
            <w:pPr>
              <w:snapToGrid w:val="0"/>
              <w:jc w:val="center"/>
              <w:rPr>
                <w:rFonts w:eastAsiaTheme="minorEastAsia"/>
                <w:szCs w:val="21"/>
              </w:rPr>
            </w:pPr>
            <w:r>
              <w:rPr>
                <w:rFonts w:eastAsiaTheme="minorEastAsia"/>
                <w:szCs w:val="21"/>
              </w:rPr>
              <w:t>每天</w:t>
            </w:r>
          </w:p>
        </w:tc>
        <w:tc>
          <w:tcPr>
            <w:tcW w:w="1275" w:type="dxa"/>
            <w:vAlign w:val="center"/>
          </w:tcPr>
          <w:p>
            <w:pPr>
              <w:snapToGrid w:val="0"/>
              <w:jc w:val="center"/>
              <w:rPr>
                <w:rFonts w:eastAsiaTheme="minorEastAsia"/>
                <w:szCs w:val="21"/>
              </w:rPr>
            </w:pPr>
            <w:r>
              <w:rPr>
                <w:rFonts w:eastAsiaTheme="minorEastAsia"/>
                <w:szCs w:val="21"/>
              </w:rPr>
              <w:t>分类暂存于医疗垃圾暂存间中，委托岳阳市方向固废安全处置有限公司每2天清运一次。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napToGrid w:val="0"/>
              <w:jc w:val="center"/>
              <w:rPr>
                <w:rFonts w:eastAsiaTheme="minorEastAsia"/>
                <w:szCs w:val="21"/>
              </w:rPr>
            </w:pPr>
            <w:r>
              <w:rPr>
                <w:rFonts w:eastAsiaTheme="minorEastAsia"/>
                <w:szCs w:val="21"/>
              </w:rPr>
              <w:t>2</w:t>
            </w:r>
          </w:p>
        </w:tc>
        <w:tc>
          <w:tcPr>
            <w:tcW w:w="679" w:type="dxa"/>
            <w:vAlign w:val="center"/>
          </w:tcPr>
          <w:p>
            <w:pPr>
              <w:snapToGrid w:val="0"/>
              <w:jc w:val="center"/>
              <w:rPr>
                <w:rFonts w:eastAsiaTheme="minorEastAsia"/>
                <w:szCs w:val="21"/>
              </w:rPr>
            </w:pPr>
            <w:r>
              <w:rPr>
                <w:rFonts w:eastAsiaTheme="minorEastAsia"/>
                <w:szCs w:val="21"/>
              </w:rPr>
              <w:t>污水处理站污泥</w:t>
            </w:r>
          </w:p>
        </w:tc>
        <w:tc>
          <w:tcPr>
            <w:tcW w:w="654" w:type="dxa"/>
            <w:vAlign w:val="center"/>
          </w:tcPr>
          <w:p>
            <w:pPr>
              <w:snapToGrid w:val="0"/>
              <w:jc w:val="center"/>
              <w:rPr>
                <w:rFonts w:eastAsiaTheme="minorEastAsia"/>
                <w:szCs w:val="21"/>
              </w:rPr>
            </w:pPr>
            <w:r>
              <w:rPr>
                <w:rFonts w:eastAsiaTheme="minorEastAsia"/>
                <w:szCs w:val="21"/>
              </w:rPr>
              <w:t>废水处理</w:t>
            </w:r>
          </w:p>
        </w:tc>
        <w:tc>
          <w:tcPr>
            <w:tcW w:w="673" w:type="dxa"/>
            <w:vAlign w:val="center"/>
          </w:tcPr>
          <w:p>
            <w:pPr>
              <w:snapToGrid w:val="0"/>
              <w:jc w:val="center"/>
              <w:rPr>
                <w:rFonts w:eastAsiaTheme="minorEastAsia"/>
                <w:szCs w:val="21"/>
              </w:rPr>
            </w:pPr>
            <w:r>
              <w:rPr>
                <w:rFonts w:eastAsiaTheme="minorEastAsia"/>
                <w:szCs w:val="21"/>
              </w:rPr>
              <w:t>固态</w:t>
            </w:r>
          </w:p>
        </w:tc>
        <w:tc>
          <w:tcPr>
            <w:tcW w:w="945" w:type="dxa"/>
            <w:vAlign w:val="center"/>
          </w:tcPr>
          <w:p>
            <w:pPr>
              <w:snapToGrid w:val="0"/>
              <w:jc w:val="center"/>
              <w:rPr>
                <w:rFonts w:eastAsiaTheme="minorEastAsia"/>
                <w:szCs w:val="21"/>
              </w:rPr>
            </w:pPr>
            <w:r>
              <w:rPr>
                <w:rFonts w:eastAsiaTheme="minorEastAsia"/>
                <w:szCs w:val="21"/>
              </w:rPr>
              <w:t>有机物质、啥事</w:t>
            </w:r>
          </w:p>
        </w:tc>
        <w:tc>
          <w:tcPr>
            <w:tcW w:w="636" w:type="dxa"/>
            <w:vAlign w:val="center"/>
          </w:tcPr>
          <w:p>
            <w:pPr>
              <w:snapToGrid w:val="0"/>
              <w:jc w:val="center"/>
              <w:rPr>
                <w:rFonts w:eastAsiaTheme="minorEastAsia"/>
                <w:szCs w:val="21"/>
              </w:rPr>
            </w:pPr>
            <w:r>
              <w:rPr>
                <w:rFonts w:eastAsiaTheme="minorEastAsia"/>
                <w:szCs w:val="21"/>
              </w:rPr>
              <w:t>致病毒</w:t>
            </w:r>
          </w:p>
        </w:tc>
        <w:tc>
          <w:tcPr>
            <w:tcW w:w="776" w:type="dxa"/>
            <w:vAlign w:val="center"/>
          </w:tcPr>
          <w:p>
            <w:pPr>
              <w:snapToGrid w:val="0"/>
              <w:jc w:val="center"/>
              <w:rPr>
                <w:rFonts w:eastAsiaTheme="minorEastAsia"/>
                <w:szCs w:val="21"/>
              </w:rPr>
            </w:pPr>
            <w:r>
              <w:rPr>
                <w:rFonts w:eastAsiaTheme="minorEastAsia"/>
                <w:szCs w:val="21"/>
              </w:rPr>
              <w:t>HW01</w:t>
            </w:r>
          </w:p>
        </w:tc>
        <w:tc>
          <w:tcPr>
            <w:tcW w:w="1406" w:type="dxa"/>
            <w:vAlign w:val="center"/>
          </w:tcPr>
          <w:p>
            <w:pPr>
              <w:snapToGrid w:val="0"/>
              <w:jc w:val="center"/>
              <w:rPr>
                <w:rFonts w:eastAsiaTheme="minorEastAsia"/>
                <w:szCs w:val="21"/>
              </w:rPr>
            </w:pPr>
            <w:r>
              <w:rPr>
                <w:rFonts w:eastAsiaTheme="minorEastAsia"/>
                <w:szCs w:val="21"/>
              </w:rPr>
              <w:t>831-001-01</w:t>
            </w:r>
          </w:p>
        </w:tc>
        <w:tc>
          <w:tcPr>
            <w:tcW w:w="991" w:type="dxa"/>
            <w:vAlign w:val="center"/>
          </w:tcPr>
          <w:p>
            <w:pPr>
              <w:snapToGrid w:val="0"/>
              <w:jc w:val="center"/>
              <w:rPr>
                <w:rFonts w:eastAsiaTheme="minorEastAsia"/>
                <w:szCs w:val="21"/>
              </w:rPr>
            </w:pPr>
            <w:r>
              <w:rPr>
                <w:rFonts w:eastAsiaTheme="minorEastAsia"/>
                <w:szCs w:val="21"/>
              </w:rPr>
              <w:t>36.28t/a</w:t>
            </w:r>
          </w:p>
        </w:tc>
        <w:tc>
          <w:tcPr>
            <w:tcW w:w="610" w:type="dxa"/>
            <w:vAlign w:val="center"/>
          </w:tcPr>
          <w:p>
            <w:pPr>
              <w:snapToGrid w:val="0"/>
              <w:jc w:val="center"/>
              <w:rPr>
                <w:rFonts w:eastAsiaTheme="minorEastAsia"/>
                <w:szCs w:val="21"/>
              </w:rPr>
            </w:pPr>
            <w:r>
              <w:rPr>
                <w:rFonts w:eastAsiaTheme="minorEastAsia"/>
                <w:szCs w:val="21"/>
              </w:rPr>
              <w:t>半年一次</w:t>
            </w:r>
          </w:p>
        </w:tc>
        <w:tc>
          <w:tcPr>
            <w:tcW w:w="1275" w:type="dxa"/>
            <w:vAlign w:val="center"/>
          </w:tcPr>
          <w:p>
            <w:pPr>
              <w:snapToGrid w:val="0"/>
              <w:jc w:val="center"/>
              <w:rPr>
                <w:rFonts w:eastAsiaTheme="minorEastAsia"/>
                <w:szCs w:val="21"/>
              </w:rPr>
            </w:pPr>
            <w:r>
              <w:rPr>
                <w:rFonts w:eastAsiaTheme="minorEastAsia"/>
                <w:szCs w:val="21"/>
              </w:rPr>
              <w:t>石灰消毒和机械脱水后交由有资质的单位回收处置。</w:t>
            </w:r>
          </w:p>
        </w:tc>
      </w:tr>
    </w:tbl>
    <w:p>
      <w:pPr>
        <w:pStyle w:val="3"/>
        <w:snapToGrid w:val="0"/>
        <w:spacing w:before="0" w:after="0" w:line="360" w:lineRule="auto"/>
        <w:rPr>
          <w:rFonts w:ascii="Times New Roman" w:hAnsi="Times New Roman" w:eastAsiaTheme="minorEastAsia"/>
          <w:sz w:val="28"/>
        </w:rPr>
      </w:pPr>
      <w:bookmarkStart w:id="95" w:name="_Toc61026602"/>
      <w:r>
        <w:rPr>
          <w:rFonts w:ascii="Times New Roman" w:hAnsi="Times New Roman" w:eastAsiaTheme="minorEastAsia"/>
          <w:sz w:val="28"/>
        </w:rPr>
        <w:t>4.7 污染物汇总</w:t>
      </w:r>
      <w:bookmarkEnd w:id="95"/>
    </w:p>
    <w:p>
      <w:pPr>
        <w:snapToGrid w:val="0"/>
        <w:spacing w:line="360" w:lineRule="auto"/>
        <w:ind w:firstLine="480" w:firstLineChars="200"/>
        <w:rPr>
          <w:rFonts w:eastAsiaTheme="minorEastAsia"/>
          <w:sz w:val="24"/>
        </w:rPr>
      </w:pPr>
      <w:r>
        <w:rPr>
          <w:rFonts w:eastAsiaTheme="minorEastAsia"/>
          <w:sz w:val="24"/>
        </w:rPr>
        <w:t>本项目营运期污染物排放情况见下表。</w:t>
      </w:r>
    </w:p>
    <w:p>
      <w:pPr>
        <w:snapToGrid w:val="0"/>
        <w:spacing w:line="360" w:lineRule="auto"/>
        <w:jc w:val="center"/>
        <w:rPr>
          <w:rFonts w:eastAsiaTheme="minorEastAsia"/>
          <w:b/>
          <w:sz w:val="24"/>
        </w:rPr>
      </w:pPr>
      <w:r>
        <w:rPr>
          <w:rFonts w:eastAsiaTheme="minorEastAsia"/>
          <w:b/>
          <w:sz w:val="24"/>
        </w:rPr>
        <w:t>表4.7-1  项目营运期污染物排放情况一览表</w:t>
      </w:r>
    </w:p>
    <w:tbl>
      <w:tblPr>
        <w:tblStyle w:val="80"/>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9"/>
        <w:gridCol w:w="426"/>
        <w:gridCol w:w="850"/>
        <w:gridCol w:w="1276"/>
        <w:gridCol w:w="1916"/>
        <w:gridCol w:w="1798"/>
        <w:gridCol w:w="22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815" w:type="dxa"/>
            <w:gridSpan w:val="3"/>
            <w:vAlign w:val="center"/>
          </w:tcPr>
          <w:p>
            <w:pPr>
              <w:snapToGrid w:val="0"/>
              <w:jc w:val="center"/>
              <w:rPr>
                <w:rFonts w:eastAsiaTheme="minorEastAsia"/>
                <w:b/>
                <w:szCs w:val="21"/>
              </w:rPr>
            </w:pPr>
            <w:r>
              <w:rPr>
                <w:rFonts w:eastAsiaTheme="minorEastAsia"/>
                <w:b/>
                <w:szCs w:val="21"/>
              </w:rPr>
              <w:t>污染源</w:t>
            </w:r>
          </w:p>
        </w:tc>
        <w:tc>
          <w:tcPr>
            <w:tcW w:w="1276" w:type="dxa"/>
            <w:vAlign w:val="center"/>
          </w:tcPr>
          <w:p>
            <w:pPr>
              <w:snapToGrid w:val="0"/>
              <w:jc w:val="center"/>
              <w:rPr>
                <w:rFonts w:eastAsiaTheme="minorEastAsia"/>
                <w:b/>
                <w:szCs w:val="21"/>
              </w:rPr>
            </w:pPr>
            <w:r>
              <w:rPr>
                <w:rFonts w:eastAsiaTheme="minorEastAsia"/>
                <w:b/>
                <w:szCs w:val="21"/>
              </w:rPr>
              <w:t>污染物</w:t>
            </w:r>
          </w:p>
        </w:tc>
        <w:tc>
          <w:tcPr>
            <w:tcW w:w="1916" w:type="dxa"/>
            <w:vAlign w:val="center"/>
          </w:tcPr>
          <w:p>
            <w:pPr>
              <w:snapToGrid w:val="0"/>
              <w:jc w:val="center"/>
              <w:rPr>
                <w:rFonts w:eastAsiaTheme="minorEastAsia"/>
                <w:b/>
                <w:szCs w:val="21"/>
              </w:rPr>
            </w:pPr>
            <w:r>
              <w:rPr>
                <w:rFonts w:eastAsiaTheme="minorEastAsia"/>
                <w:b/>
                <w:szCs w:val="21"/>
              </w:rPr>
              <w:t>产生浓度/产生量</w:t>
            </w:r>
          </w:p>
        </w:tc>
        <w:tc>
          <w:tcPr>
            <w:tcW w:w="1798" w:type="dxa"/>
            <w:vAlign w:val="center"/>
          </w:tcPr>
          <w:p>
            <w:pPr>
              <w:snapToGrid w:val="0"/>
              <w:jc w:val="center"/>
              <w:rPr>
                <w:rFonts w:eastAsiaTheme="minorEastAsia"/>
                <w:b/>
                <w:szCs w:val="21"/>
              </w:rPr>
            </w:pPr>
            <w:r>
              <w:rPr>
                <w:rFonts w:eastAsiaTheme="minorEastAsia"/>
                <w:b/>
                <w:szCs w:val="21"/>
              </w:rPr>
              <w:t>排放浓度/排放量</w:t>
            </w:r>
          </w:p>
        </w:tc>
        <w:tc>
          <w:tcPr>
            <w:tcW w:w="2267" w:type="dxa"/>
            <w:vAlign w:val="center"/>
          </w:tcPr>
          <w:p>
            <w:pPr>
              <w:snapToGrid w:val="0"/>
              <w:jc w:val="center"/>
              <w:rPr>
                <w:rFonts w:eastAsiaTheme="minorEastAsia"/>
                <w:b/>
                <w:szCs w:val="21"/>
              </w:rPr>
            </w:pPr>
            <w:r>
              <w:rPr>
                <w:rFonts w:eastAsiaTheme="minorEastAsia"/>
                <w:b/>
                <w:szCs w:val="21"/>
              </w:rPr>
              <w:t>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restart"/>
            <w:vAlign w:val="center"/>
          </w:tcPr>
          <w:p>
            <w:pPr>
              <w:snapToGrid w:val="0"/>
              <w:jc w:val="center"/>
              <w:rPr>
                <w:rFonts w:eastAsiaTheme="minorEastAsia"/>
                <w:szCs w:val="21"/>
              </w:rPr>
            </w:pPr>
            <w:r>
              <w:rPr>
                <w:rFonts w:eastAsiaTheme="minorEastAsia"/>
                <w:szCs w:val="21"/>
              </w:rPr>
              <w:t>废水</w:t>
            </w:r>
          </w:p>
        </w:tc>
        <w:tc>
          <w:tcPr>
            <w:tcW w:w="1276" w:type="dxa"/>
            <w:gridSpan w:val="2"/>
            <w:vMerge w:val="restart"/>
            <w:vAlign w:val="center"/>
          </w:tcPr>
          <w:p>
            <w:pPr>
              <w:snapToGrid w:val="0"/>
              <w:jc w:val="center"/>
              <w:rPr>
                <w:rFonts w:eastAsiaTheme="minorEastAsia"/>
                <w:szCs w:val="21"/>
              </w:rPr>
            </w:pPr>
            <w:r>
              <w:rPr>
                <w:rFonts w:eastAsiaTheme="minorEastAsia"/>
                <w:szCs w:val="21"/>
              </w:rPr>
              <w:t>医院综合废水</w:t>
            </w:r>
          </w:p>
        </w:tc>
        <w:tc>
          <w:tcPr>
            <w:tcW w:w="1276" w:type="dxa"/>
            <w:vAlign w:val="center"/>
          </w:tcPr>
          <w:p>
            <w:pPr>
              <w:snapToGrid w:val="0"/>
              <w:jc w:val="center"/>
              <w:rPr>
                <w:rFonts w:eastAsiaTheme="minorEastAsia"/>
                <w:szCs w:val="21"/>
              </w:rPr>
            </w:pPr>
            <w:r>
              <w:rPr>
                <w:rFonts w:eastAsiaTheme="minorEastAsia"/>
                <w:szCs w:val="21"/>
              </w:rPr>
              <w:t>废水</w:t>
            </w:r>
          </w:p>
        </w:tc>
        <w:tc>
          <w:tcPr>
            <w:tcW w:w="1916" w:type="dxa"/>
            <w:vAlign w:val="center"/>
          </w:tcPr>
          <w:p>
            <w:pPr>
              <w:snapToGrid w:val="0"/>
              <w:jc w:val="center"/>
              <w:rPr>
                <w:rFonts w:eastAsiaTheme="minorEastAsia"/>
                <w:szCs w:val="21"/>
              </w:rPr>
            </w:pPr>
            <w:r>
              <w:rPr>
                <w:kern w:val="0"/>
                <w:szCs w:val="21"/>
                <w:lang w:bidi="en-US"/>
              </w:rPr>
              <w:t>104636.47</w:t>
            </w:r>
            <w:r>
              <w:rPr>
                <w:rFonts w:eastAsiaTheme="minorEastAsia"/>
                <w:szCs w:val="21"/>
              </w:rPr>
              <w:t>m</w:t>
            </w:r>
            <w:r>
              <w:rPr>
                <w:rFonts w:eastAsiaTheme="minorEastAsia"/>
                <w:szCs w:val="21"/>
                <w:vertAlign w:val="superscript"/>
              </w:rPr>
              <w:t>3</w:t>
            </w:r>
            <w:r>
              <w:rPr>
                <w:rFonts w:eastAsiaTheme="minorEastAsia"/>
                <w:szCs w:val="21"/>
              </w:rPr>
              <w:t>/a</w:t>
            </w:r>
          </w:p>
        </w:tc>
        <w:tc>
          <w:tcPr>
            <w:tcW w:w="1798" w:type="dxa"/>
            <w:vAlign w:val="center"/>
          </w:tcPr>
          <w:p>
            <w:pPr>
              <w:snapToGrid w:val="0"/>
              <w:jc w:val="center"/>
              <w:rPr>
                <w:rFonts w:eastAsiaTheme="minorEastAsia"/>
                <w:szCs w:val="21"/>
              </w:rPr>
            </w:pPr>
            <w:r>
              <w:rPr>
                <w:kern w:val="0"/>
                <w:szCs w:val="21"/>
                <w:lang w:bidi="en-US"/>
              </w:rPr>
              <w:t>104636.47</w:t>
            </w:r>
            <w:r>
              <w:rPr>
                <w:rFonts w:eastAsiaTheme="minorEastAsia"/>
                <w:szCs w:val="21"/>
              </w:rPr>
              <w:t>m</w:t>
            </w:r>
            <w:r>
              <w:rPr>
                <w:rFonts w:eastAsiaTheme="minorEastAsia"/>
                <w:szCs w:val="21"/>
                <w:vertAlign w:val="superscript"/>
              </w:rPr>
              <w:t>3</w:t>
            </w:r>
            <w:r>
              <w:rPr>
                <w:rFonts w:eastAsiaTheme="minorEastAsia"/>
                <w:szCs w:val="21"/>
              </w:rPr>
              <w:t>/a</w:t>
            </w:r>
          </w:p>
        </w:tc>
        <w:tc>
          <w:tcPr>
            <w:tcW w:w="2267" w:type="dxa"/>
            <w:vMerge w:val="restart"/>
            <w:vAlign w:val="center"/>
          </w:tcPr>
          <w:p>
            <w:pPr>
              <w:snapToGrid w:val="0"/>
              <w:jc w:val="center"/>
              <w:rPr>
                <w:rFonts w:eastAsiaTheme="minorEastAsia"/>
                <w:szCs w:val="21"/>
              </w:rPr>
            </w:pPr>
            <w:r>
              <w:rPr>
                <w:rFonts w:eastAsiaTheme="minorEastAsia"/>
                <w:szCs w:val="21"/>
              </w:rPr>
              <w:t>各类废水分类收集、分别经预处理后进入污水处理站处理。污水处理站采用调节+水解酸化+生物接触氧化+斜管沉淀池+接触消毒处理后排入市政管网，进入湘阴县第一污水处理厂进一步处理。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continue"/>
            <w:vAlign w:val="center"/>
          </w:tcPr>
          <w:p>
            <w:pPr>
              <w:snapToGrid w:val="0"/>
              <w:jc w:val="center"/>
              <w:rPr>
                <w:rFonts w:eastAsiaTheme="minorEastAsia"/>
                <w:color w:val="FF0000"/>
                <w:szCs w:val="21"/>
              </w:rPr>
            </w:pPr>
          </w:p>
        </w:tc>
        <w:tc>
          <w:tcPr>
            <w:tcW w:w="1276" w:type="dxa"/>
            <w:vAlign w:val="center"/>
          </w:tcPr>
          <w:p>
            <w:pPr>
              <w:snapToGrid w:val="0"/>
              <w:jc w:val="center"/>
              <w:rPr>
                <w:rFonts w:eastAsiaTheme="minorEastAsia"/>
                <w:szCs w:val="21"/>
              </w:rPr>
            </w:pPr>
            <w:r>
              <w:rPr>
                <w:rFonts w:eastAsiaTheme="minorEastAsia"/>
                <w:szCs w:val="21"/>
              </w:rPr>
              <w:t>COD</w:t>
            </w:r>
          </w:p>
        </w:tc>
        <w:tc>
          <w:tcPr>
            <w:tcW w:w="1916" w:type="dxa"/>
            <w:vAlign w:val="center"/>
          </w:tcPr>
          <w:p>
            <w:pPr>
              <w:snapToGrid w:val="0"/>
              <w:jc w:val="center"/>
              <w:rPr>
                <w:rFonts w:eastAsiaTheme="minorEastAsia"/>
                <w:szCs w:val="21"/>
              </w:rPr>
            </w:pPr>
            <w:r>
              <w:rPr>
                <w:rFonts w:eastAsiaTheme="minorEastAsia"/>
                <w:szCs w:val="21"/>
              </w:rPr>
              <w:t>300mg/L；31.39t/a</w:t>
            </w:r>
          </w:p>
        </w:tc>
        <w:tc>
          <w:tcPr>
            <w:tcW w:w="1798" w:type="dxa"/>
            <w:vAlign w:val="center"/>
          </w:tcPr>
          <w:p>
            <w:pPr>
              <w:snapToGrid w:val="0"/>
              <w:jc w:val="center"/>
              <w:rPr>
                <w:rFonts w:eastAsiaTheme="minorEastAsia"/>
                <w:szCs w:val="21"/>
              </w:rPr>
            </w:pPr>
            <w:r>
              <w:rPr>
                <w:rFonts w:eastAsiaTheme="minorEastAsia"/>
                <w:szCs w:val="21"/>
              </w:rPr>
              <w:t>50 mg/L；26.16t/a</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continue"/>
            <w:vAlign w:val="center"/>
          </w:tcPr>
          <w:p>
            <w:pPr>
              <w:snapToGrid w:val="0"/>
              <w:jc w:val="center"/>
              <w:rPr>
                <w:rFonts w:eastAsiaTheme="minorEastAsia"/>
                <w:color w:val="FF0000"/>
                <w:szCs w:val="21"/>
              </w:rPr>
            </w:pPr>
          </w:p>
        </w:tc>
        <w:tc>
          <w:tcPr>
            <w:tcW w:w="1276" w:type="dxa"/>
            <w:vAlign w:val="center"/>
          </w:tcPr>
          <w:p>
            <w:pPr>
              <w:snapToGrid w:val="0"/>
              <w:jc w:val="center"/>
              <w:rPr>
                <w:rFonts w:eastAsiaTheme="minorEastAsia"/>
                <w:szCs w:val="21"/>
              </w:rPr>
            </w:pPr>
            <w:r>
              <w:rPr>
                <w:rFonts w:eastAsiaTheme="minorEastAsia"/>
                <w:szCs w:val="21"/>
              </w:rPr>
              <w:t>BOD</w:t>
            </w:r>
            <w:r>
              <w:rPr>
                <w:rFonts w:eastAsiaTheme="minorEastAsia"/>
                <w:szCs w:val="21"/>
                <w:vertAlign w:val="subscript"/>
              </w:rPr>
              <w:t>5</w:t>
            </w:r>
          </w:p>
        </w:tc>
        <w:tc>
          <w:tcPr>
            <w:tcW w:w="1916" w:type="dxa"/>
            <w:vAlign w:val="center"/>
          </w:tcPr>
          <w:p>
            <w:pPr>
              <w:snapToGrid w:val="0"/>
              <w:jc w:val="center"/>
              <w:rPr>
                <w:rFonts w:eastAsiaTheme="minorEastAsia"/>
                <w:szCs w:val="21"/>
              </w:rPr>
            </w:pPr>
            <w:r>
              <w:rPr>
                <w:rFonts w:eastAsiaTheme="minorEastAsia"/>
                <w:szCs w:val="21"/>
              </w:rPr>
              <w:t>150mg/L；15.70t/a</w:t>
            </w:r>
          </w:p>
        </w:tc>
        <w:tc>
          <w:tcPr>
            <w:tcW w:w="1798" w:type="dxa"/>
            <w:vAlign w:val="center"/>
          </w:tcPr>
          <w:p>
            <w:pPr>
              <w:snapToGrid w:val="0"/>
              <w:jc w:val="center"/>
              <w:rPr>
                <w:rFonts w:eastAsiaTheme="minorEastAsia"/>
                <w:szCs w:val="21"/>
              </w:rPr>
            </w:pPr>
            <w:r>
              <w:rPr>
                <w:rFonts w:eastAsiaTheme="minorEastAsia"/>
                <w:szCs w:val="21"/>
              </w:rPr>
              <w:t>10 mg/L；10.46t/a</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continue"/>
            <w:vAlign w:val="center"/>
          </w:tcPr>
          <w:p>
            <w:pPr>
              <w:snapToGrid w:val="0"/>
              <w:jc w:val="center"/>
              <w:rPr>
                <w:rFonts w:eastAsiaTheme="minorEastAsia"/>
                <w:color w:val="FF0000"/>
                <w:szCs w:val="21"/>
              </w:rPr>
            </w:pPr>
          </w:p>
        </w:tc>
        <w:tc>
          <w:tcPr>
            <w:tcW w:w="1276" w:type="dxa"/>
            <w:vAlign w:val="center"/>
          </w:tcPr>
          <w:p>
            <w:pPr>
              <w:snapToGrid w:val="0"/>
              <w:jc w:val="center"/>
              <w:rPr>
                <w:rFonts w:eastAsiaTheme="minorEastAsia"/>
                <w:szCs w:val="21"/>
              </w:rPr>
            </w:pPr>
            <w:r>
              <w:rPr>
                <w:rFonts w:eastAsiaTheme="minorEastAsia"/>
                <w:szCs w:val="21"/>
              </w:rPr>
              <w:t>氨氮</w:t>
            </w:r>
          </w:p>
        </w:tc>
        <w:tc>
          <w:tcPr>
            <w:tcW w:w="1916" w:type="dxa"/>
            <w:vAlign w:val="center"/>
          </w:tcPr>
          <w:p>
            <w:pPr>
              <w:snapToGrid w:val="0"/>
              <w:jc w:val="center"/>
              <w:rPr>
                <w:rFonts w:eastAsiaTheme="minorEastAsia"/>
                <w:szCs w:val="21"/>
              </w:rPr>
            </w:pPr>
            <w:r>
              <w:rPr>
                <w:rFonts w:eastAsiaTheme="minorEastAsia"/>
                <w:szCs w:val="21"/>
              </w:rPr>
              <w:t>30mg/L；3.14 t/a</w:t>
            </w:r>
          </w:p>
        </w:tc>
        <w:tc>
          <w:tcPr>
            <w:tcW w:w="1798" w:type="dxa"/>
            <w:vAlign w:val="center"/>
          </w:tcPr>
          <w:p>
            <w:pPr>
              <w:snapToGrid w:val="0"/>
              <w:jc w:val="center"/>
              <w:rPr>
                <w:rFonts w:eastAsiaTheme="minorEastAsia"/>
                <w:szCs w:val="21"/>
              </w:rPr>
            </w:pPr>
            <w:r>
              <w:rPr>
                <w:rFonts w:hint="eastAsia" w:eastAsiaTheme="minorEastAsia"/>
                <w:szCs w:val="21"/>
              </w:rPr>
              <w:t>8</w:t>
            </w:r>
            <w:r>
              <w:rPr>
                <w:rFonts w:eastAsiaTheme="minorEastAsia"/>
                <w:szCs w:val="21"/>
              </w:rPr>
              <w:t>mg/L；1.57t/a</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continue"/>
            <w:vAlign w:val="center"/>
          </w:tcPr>
          <w:p>
            <w:pPr>
              <w:snapToGrid w:val="0"/>
              <w:jc w:val="center"/>
              <w:rPr>
                <w:rFonts w:eastAsiaTheme="minorEastAsia"/>
                <w:color w:val="FF0000"/>
                <w:szCs w:val="21"/>
              </w:rPr>
            </w:pPr>
          </w:p>
        </w:tc>
        <w:tc>
          <w:tcPr>
            <w:tcW w:w="1276" w:type="dxa"/>
            <w:vAlign w:val="center"/>
          </w:tcPr>
          <w:p>
            <w:pPr>
              <w:snapToGrid w:val="0"/>
              <w:jc w:val="center"/>
              <w:rPr>
                <w:rFonts w:eastAsiaTheme="minorEastAsia"/>
                <w:szCs w:val="21"/>
              </w:rPr>
            </w:pPr>
            <w:r>
              <w:rPr>
                <w:rFonts w:eastAsiaTheme="minorEastAsia"/>
                <w:szCs w:val="21"/>
              </w:rPr>
              <w:t>SS</w:t>
            </w:r>
          </w:p>
        </w:tc>
        <w:tc>
          <w:tcPr>
            <w:tcW w:w="1916" w:type="dxa"/>
            <w:vAlign w:val="center"/>
          </w:tcPr>
          <w:p>
            <w:pPr>
              <w:snapToGrid w:val="0"/>
              <w:jc w:val="center"/>
              <w:rPr>
                <w:rFonts w:eastAsiaTheme="minorEastAsia"/>
                <w:szCs w:val="21"/>
              </w:rPr>
            </w:pPr>
            <w:r>
              <w:rPr>
                <w:rFonts w:eastAsiaTheme="minorEastAsia"/>
                <w:szCs w:val="21"/>
              </w:rPr>
              <w:t>200mg/L；20.93 t/a</w:t>
            </w:r>
          </w:p>
        </w:tc>
        <w:tc>
          <w:tcPr>
            <w:tcW w:w="1798" w:type="dxa"/>
            <w:vAlign w:val="center"/>
          </w:tcPr>
          <w:p>
            <w:pPr>
              <w:snapToGrid w:val="0"/>
              <w:jc w:val="center"/>
              <w:rPr>
                <w:rFonts w:eastAsiaTheme="minorEastAsia"/>
                <w:szCs w:val="21"/>
              </w:rPr>
            </w:pPr>
            <w:r>
              <w:rPr>
                <w:rFonts w:eastAsiaTheme="minorEastAsia"/>
                <w:szCs w:val="21"/>
              </w:rPr>
              <w:t>10 mg/L；6.28t/a</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continue"/>
            <w:vAlign w:val="center"/>
          </w:tcPr>
          <w:p>
            <w:pPr>
              <w:snapToGrid w:val="0"/>
              <w:jc w:val="center"/>
              <w:rPr>
                <w:rFonts w:eastAsiaTheme="minorEastAsia"/>
                <w:color w:val="FF0000"/>
                <w:szCs w:val="21"/>
              </w:rPr>
            </w:pPr>
          </w:p>
        </w:tc>
        <w:tc>
          <w:tcPr>
            <w:tcW w:w="1276" w:type="dxa"/>
            <w:vAlign w:val="center"/>
          </w:tcPr>
          <w:p>
            <w:pPr>
              <w:snapToGrid w:val="0"/>
              <w:jc w:val="center"/>
              <w:rPr>
                <w:rFonts w:eastAsiaTheme="minorEastAsia"/>
                <w:szCs w:val="21"/>
              </w:rPr>
            </w:pPr>
            <w:r>
              <w:rPr>
                <w:kern w:val="0"/>
                <w:szCs w:val="21"/>
                <w:lang w:bidi="en-US"/>
              </w:rPr>
              <w:t>总磷</w:t>
            </w:r>
          </w:p>
        </w:tc>
        <w:tc>
          <w:tcPr>
            <w:tcW w:w="1916" w:type="dxa"/>
            <w:vAlign w:val="center"/>
          </w:tcPr>
          <w:p>
            <w:pPr>
              <w:snapToGrid w:val="0"/>
              <w:jc w:val="center"/>
              <w:rPr>
                <w:rFonts w:eastAsiaTheme="minorEastAsia"/>
                <w:szCs w:val="21"/>
              </w:rPr>
            </w:pPr>
            <w:r>
              <w:rPr>
                <w:rFonts w:eastAsiaTheme="minorEastAsia"/>
                <w:szCs w:val="21"/>
              </w:rPr>
              <w:t>4mg/L；0.41t/a</w:t>
            </w:r>
          </w:p>
        </w:tc>
        <w:tc>
          <w:tcPr>
            <w:tcW w:w="1798" w:type="dxa"/>
            <w:vAlign w:val="center"/>
          </w:tcPr>
          <w:p>
            <w:pPr>
              <w:snapToGrid w:val="0"/>
              <w:jc w:val="center"/>
              <w:rPr>
                <w:rFonts w:eastAsiaTheme="minorEastAsia"/>
                <w:szCs w:val="21"/>
              </w:rPr>
            </w:pPr>
            <w:r>
              <w:rPr>
                <w:rFonts w:eastAsiaTheme="minorEastAsia"/>
                <w:szCs w:val="21"/>
              </w:rPr>
              <w:t>4mg/L；0.41t/a</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continue"/>
            <w:vAlign w:val="center"/>
          </w:tcPr>
          <w:p>
            <w:pPr>
              <w:snapToGrid w:val="0"/>
              <w:jc w:val="center"/>
              <w:rPr>
                <w:rFonts w:eastAsiaTheme="minorEastAsia"/>
                <w:color w:val="FF0000"/>
                <w:szCs w:val="21"/>
              </w:rPr>
            </w:pPr>
          </w:p>
        </w:tc>
        <w:tc>
          <w:tcPr>
            <w:tcW w:w="1276" w:type="dxa"/>
            <w:vAlign w:val="center"/>
          </w:tcPr>
          <w:p>
            <w:pPr>
              <w:snapToGrid w:val="0"/>
              <w:jc w:val="center"/>
              <w:rPr>
                <w:rFonts w:eastAsiaTheme="minorEastAsia"/>
                <w:szCs w:val="21"/>
              </w:rPr>
            </w:pPr>
            <w:r>
              <w:rPr>
                <w:rFonts w:eastAsiaTheme="minorEastAsia"/>
                <w:szCs w:val="21"/>
              </w:rPr>
              <w:t>粪大肠菌群</w:t>
            </w:r>
          </w:p>
        </w:tc>
        <w:tc>
          <w:tcPr>
            <w:tcW w:w="1916" w:type="dxa"/>
            <w:vAlign w:val="center"/>
          </w:tcPr>
          <w:p>
            <w:pPr>
              <w:snapToGrid w:val="0"/>
              <w:jc w:val="center"/>
              <w:rPr>
                <w:rFonts w:eastAsiaTheme="minorEastAsia"/>
                <w:szCs w:val="21"/>
              </w:rPr>
            </w:pPr>
            <w:r>
              <w:rPr>
                <w:rFonts w:eastAsiaTheme="minorEastAsia"/>
                <w:szCs w:val="21"/>
              </w:rPr>
              <w:t>1.6</w:t>
            </w:r>
            <w:r>
              <w:rPr>
                <w:rFonts w:hint="eastAsia" w:ascii="MS Mincho" w:hAnsi="MS Mincho" w:eastAsia="MS Mincho" w:cs="MS Mincho"/>
                <w:szCs w:val="21"/>
              </w:rPr>
              <w:t>✕</w:t>
            </w:r>
            <w:r>
              <w:rPr>
                <w:rFonts w:eastAsiaTheme="minorEastAsia"/>
                <w:szCs w:val="21"/>
              </w:rPr>
              <w:t>10</w:t>
            </w:r>
            <w:r>
              <w:rPr>
                <w:rFonts w:eastAsiaTheme="minorEastAsia"/>
                <w:szCs w:val="21"/>
                <w:vertAlign w:val="superscript"/>
              </w:rPr>
              <w:t>8</w:t>
            </w:r>
            <w:r>
              <w:rPr>
                <w:rFonts w:eastAsiaTheme="minorEastAsia"/>
                <w:szCs w:val="21"/>
              </w:rPr>
              <w:t>MPN/L</w:t>
            </w:r>
          </w:p>
          <w:p>
            <w:pPr>
              <w:snapToGrid w:val="0"/>
              <w:jc w:val="center"/>
              <w:rPr>
                <w:rFonts w:eastAsiaTheme="minorEastAsia"/>
                <w:szCs w:val="21"/>
              </w:rPr>
            </w:pPr>
            <w:r>
              <w:rPr>
                <w:rFonts w:eastAsiaTheme="minorEastAsia"/>
                <w:szCs w:val="21"/>
              </w:rPr>
              <w:t>1.66</w:t>
            </w:r>
            <w:r>
              <w:rPr>
                <w:rFonts w:hint="eastAsia" w:ascii="MS Mincho" w:hAnsi="MS Mincho" w:eastAsia="MS Mincho" w:cs="MS Mincho"/>
                <w:szCs w:val="21"/>
              </w:rPr>
              <w:t>✕</w:t>
            </w:r>
            <w:r>
              <w:rPr>
                <w:rFonts w:eastAsiaTheme="minorEastAsia"/>
                <w:szCs w:val="21"/>
              </w:rPr>
              <w:t>10</w:t>
            </w:r>
            <w:r>
              <w:rPr>
                <w:rFonts w:eastAsiaTheme="minorEastAsia"/>
                <w:szCs w:val="21"/>
                <w:vertAlign w:val="superscript"/>
              </w:rPr>
              <w:t>16</w:t>
            </w:r>
            <w:r>
              <w:rPr>
                <w:rFonts w:eastAsiaTheme="minorEastAsia"/>
                <w:szCs w:val="21"/>
              </w:rPr>
              <w:t>MPN/a</w:t>
            </w:r>
          </w:p>
        </w:tc>
        <w:tc>
          <w:tcPr>
            <w:tcW w:w="1798" w:type="dxa"/>
            <w:vAlign w:val="center"/>
          </w:tcPr>
          <w:p>
            <w:pPr>
              <w:snapToGrid w:val="0"/>
              <w:jc w:val="center"/>
              <w:rPr>
                <w:rFonts w:eastAsiaTheme="minorEastAsia"/>
                <w:szCs w:val="21"/>
              </w:rPr>
            </w:pPr>
            <w:r>
              <w:rPr>
                <w:rFonts w:eastAsiaTheme="minorEastAsia"/>
                <w:szCs w:val="21"/>
              </w:rPr>
              <w:t>5</w:t>
            </w:r>
            <w:r>
              <w:rPr>
                <w:rFonts w:hint="eastAsia" w:ascii="MS Mincho" w:hAnsi="MS Mincho" w:eastAsia="MS Mincho" w:cs="MS Mincho"/>
                <w:szCs w:val="21"/>
              </w:rPr>
              <w:t>✕</w:t>
            </w:r>
            <w:r>
              <w:rPr>
                <w:rFonts w:eastAsiaTheme="minorEastAsia"/>
                <w:szCs w:val="21"/>
              </w:rPr>
              <w:t>10</w:t>
            </w:r>
            <w:r>
              <w:rPr>
                <w:rFonts w:eastAsiaTheme="minorEastAsia"/>
                <w:szCs w:val="21"/>
                <w:vertAlign w:val="superscript"/>
              </w:rPr>
              <w:t>3</w:t>
            </w:r>
            <w:r>
              <w:rPr>
                <w:rFonts w:eastAsiaTheme="minorEastAsia"/>
                <w:szCs w:val="21"/>
              </w:rPr>
              <w:t xml:space="preserve"> MPN/L</w:t>
            </w:r>
          </w:p>
          <w:p>
            <w:pPr>
              <w:snapToGrid w:val="0"/>
              <w:jc w:val="center"/>
              <w:rPr>
                <w:rFonts w:eastAsiaTheme="minorEastAsia"/>
                <w:szCs w:val="21"/>
              </w:rPr>
            </w:pPr>
            <w:r>
              <w:rPr>
                <w:rFonts w:eastAsiaTheme="minorEastAsia"/>
                <w:szCs w:val="21"/>
              </w:rPr>
              <w:t>5.18</w:t>
            </w:r>
            <w:r>
              <w:rPr>
                <w:rFonts w:hint="eastAsia" w:ascii="MS Mincho" w:hAnsi="MS Mincho" w:eastAsia="MS Mincho" w:cs="MS Mincho"/>
                <w:szCs w:val="21"/>
              </w:rPr>
              <w:t>✕</w:t>
            </w:r>
            <w:r>
              <w:rPr>
                <w:rFonts w:eastAsiaTheme="minorEastAsia"/>
                <w:szCs w:val="21"/>
              </w:rPr>
              <w:t>10</w:t>
            </w:r>
            <w:r>
              <w:rPr>
                <w:rFonts w:eastAsiaTheme="minorEastAsia"/>
                <w:szCs w:val="21"/>
                <w:vertAlign w:val="superscript"/>
              </w:rPr>
              <w:t>8</w:t>
            </w:r>
            <w:r>
              <w:rPr>
                <w:rFonts w:eastAsiaTheme="minorEastAsia"/>
                <w:szCs w:val="21"/>
              </w:rPr>
              <w:t>MPN/a</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restart"/>
            <w:tcBorders>
              <w:right w:val="single" w:color="auto" w:sz="4" w:space="0"/>
            </w:tcBorders>
            <w:vAlign w:val="center"/>
          </w:tcPr>
          <w:p>
            <w:pPr>
              <w:snapToGrid w:val="0"/>
              <w:jc w:val="center"/>
              <w:rPr>
                <w:rFonts w:eastAsiaTheme="minorEastAsia"/>
                <w:szCs w:val="21"/>
              </w:rPr>
            </w:pPr>
            <w:r>
              <w:rPr>
                <w:rFonts w:eastAsiaTheme="minorEastAsia"/>
                <w:szCs w:val="21"/>
              </w:rPr>
              <w:t>废废气</w:t>
            </w:r>
          </w:p>
        </w:tc>
        <w:tc>
          <w:tcPr>
            <w:tcW w:w="426" w:type="dxa"/>
            <w:vMerge w:val="restart"/>
            <w:tcBorders>
              <w:left w:val="single" w:color="auto" w:sz="4" w:space="0"/>
            </w:tcBorders>
            <w:vAlign w:val="center"/>
          </w:tcPr>
          <w:p>
            <w:pPr>
              <w:snapToGrid w:val="0"/>
              <w:jc w:val="center"/>
              <w:rPr>
                <w:rFonts w:eastAsiaTheme="minorEastAsia"/>
                <w:szCs w:val="21"/>
              </w:rPr>
            </w:pPr>
            <w:r>
              <w:rPr>
                <w:rFonts w:eastAsiaTheme="minorEastAsia"/>
                <w:szCs w:val="21"/>
              </w:rPr>
              <w:t>有组织</w:t>
            </w:r>
          </w:p>
        </w:tc>
        <w:tc>
          <w:tcPr>
            <w:tcW w:w="850" w:type="dxa"/>
            <w:vMerge w:val="restart"/>
            <w:vAlign w:val="center"/>
          </w:tcPr>
          <w:p>
            <w:pPr>
              <w:snapToGrid w:val="0"/>
              <w:jc w:val="center"/>
              <w:rPr>
                <w:rFonts w:eastAsiaTheme="minorEastAsia"/>
                <w:szCs w:val="21"/>
              </w:rPr>
            </w:pPr>
            <w:r>
              <w:rPr>
                <w:rFonts w:eastAsiaTheme="minorEastAsia"/>
                <w:szCs w:val="21"/>
              </w:rPr>
              <w:t>备用柴油发电机废气</w:t>
            </w:r>
          </w:p>
        </w:tc>
        <w:tc>
          <w:tcPr>
            <w:tcW w:w="1276" w:type="dxa"/>
            <w:vAlign w:val="center"/>
          </w:tcPr>
          <w:p>
            <w:pPr>
              <w:snapToGrid w:val="0"/>
              <w:jc w:val="center"/>
              <w:rPr>
                <w:rFonts w:eastAsiaTheme="minorEastAsia"/>
                <w:szCs w:val="21"/>
              </w:rPr>
            </w:pPr>
            <w:r>
              <w:rPr>
                <w:rFonts w:eastAsiaTheme="minorEastAsia"/>
                <w:szCs w:val="21"/>
              </w:rPr>
              <w:t>废气量</w:t>
            </w:r>
          </w:p>
        </w:tc>
        <w:tc>
          <w:tcPr>
            <w:tcW w:w="1916" w:type="dxa"/>
            <w:vAlign w:val="center"/>
          </w:tcPr>
          <w:p>
            <w:pPr>
              <w:snapToGrid w:val="0"/>
              <w:jc w:val="center"/>
              <w:rPr>
                <w:rFonts w:eastAsiaTheme="minorEastAsia"/>
                <w:szCs w:val="21"/>
              </w:rPr>
            </w:pPr>
            <w:r>
              <w:rPr>
                <w:rFonts w:eastAsiaTheme="minorEastAsia"/>
                <w:szCs w:val="21"/>
              </w:rPr>
              <w:t>9.97×10</w:t>
            </w:r>
            <w:r>
              <w:rPr>
                <w:rFonts w:eastAsiaTheme="minorEastAsia"/>
                <w:szCs w:val="21"/>
                <w:vertAlign w:val="superscript"/>
              </w:rPr>
              <w:t>4</w:t>
            </w:r>
            <w:r>
              <w:rPr>
                <w:rFonts w:eastAsiaTheme="minorEastAsia"/>
                <w:szCs w:val="21"/>
              </w:rPr>
              <w:t>m</w:t>
            </w:r>
            <w:r>
              <w:rPr>
                <w:rFonts w:eastAsiaTheme="minorEastAsia"/>
                <w:szCs w:val="21"/>
                <w:vertAlign w:val="superscript"/>
              </w:rPr>
              <w:t>3</w:t>
            </w:r>
            <w:r>
              <w:rPr>
                <w:rFonts w:eastAsiaTheme="minorEastAsia"/>
                <w:szCs w:val="21"/>
              </w:rPr>
              <w:t>/a</w:t>
            </w:r>
          </w:p>
        </w:tc>
        <w:tc>
          <w:tcPr>
            <w:tcW w:w="1798" w:type="dxa"/>
            <w:vAlign w:val="center"/>
          </w:tcPr>
          <w:p>
            <w:pPr>
              <w:snapToGrid w:val="0"/>
              <w:jc w:val="center"/>
              <w:rPr>
                <w:rFonts w:eastAsiaTheme="minorEastAsia"/>
                <w:szCs w:val="21"/>
              </w:rPr>
            </w:pPr>
            <w:r>
              <w:rPr>
                <w:rFonts w:eastAsiaTheme="minorEastAsia"/>
                <w:szCs w:val="21"/>
              </w:rPr>
              <w:t>9.97×10</w:t>
            </w:r>
            <w:r>
              <w:rPr>
                <w:rFonts w:eastAsiaTheme="minorEastAsia"/>
                <w:szCs w:val="21"/>
                <w:vertAlign w:val="superscript"/>
              </w:rPr>
              <w:t>4</w:t>
            </w:r>
            <w:r>
              <w:rPr>
                <w:rFonts w:eastAsiaTheme="minorEastAsia"/>
                <w:szCs w:val="21"/>
              </w:rPr>
              <w:t>m</w:t>
            </w:r>
            <w:r>
              <w:rPr>
                <w:rFonts w:eastAsiaTheme="minorEastAsia"/>
                <w:szCs w:val="21"/>
                <w:vertAlign w:val="superscript"/>
              </w:rPr>
              <w:t>3</w:t>
            </w:r>
            <w:r>
              <w:rPr>
                <w:rFonts w:eastAsiaTheme="minorEastAsia"/>
                <w:szCs w:val="21"/>
              </w:rPr>
              <w:t>/a</w:t>
            </w:r>
          </w:p>
        </w:tc>
        <w:tc>
          <w:tcPr>
            <w:tcW w:w="2267" w:type="dxa"/>
            <w:vMerge w:val="restart"/>
            <w:vAlign w:val="center"/>
          </w:tcPr>
          <w:p>
            <w:pPr>
              <w:snapToGrid w:val="0"/>
              <w:jc w:val="center"/>
              <w:rPr>
                <w:rFonts w:eastAsiaTheme="minorEastAsia"/>
                <w:szCs w:val="21"/>
              </w:rPr>
            </w:pPr>
            <w:r>
              <w:rPr>
                <w:rFonts w:eastAsiaTheme="minorEastAsia"/>
                <w:szCs w:val="21"/>
              </w:rPr>
              <w:t>备用柴油发电机废气经排烟竖井引至住门诊楼楼顶高空排放。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continue"/>
            <w:tcBorders>
              <w:left w:val="single" w:color="auto" w:sz="4" w:space="0"/>
            </w:tcBorders>
            <w:vAlign w:val="center"/>
          </w:tcPr>
          <w:p>
            <w:pPr>
              <w:snapToGrid w:val="0"/>
              <w:jc w:val="center"/>
              <w:rPr>
                <w:rFonts w:eastAsiaTheme="minorEastAsia"/>
                <w:color w:val="FF0000"/>
                <w:szCs w:val="21"/>
              </w:rPr>
            </w:pPr>
          </w:p>
        </w:tc>
        <w:tc>
          <w:tcPr>
            <w:tcW w:w="850" w:type="dxa"/>
            <w:vMerge w:val="continue"/>
            <w:vAlign w:val="center"/>
          </w:tcPr>
          <w:p>
            <w:pPr>
              <w:snapToGrid w:val="0"/>
              <w:jc w:val="center"/>
              <w:rPr>
                <w:rFonts w:eastAsiaTheme="minorEastAsia"/>
                <w:szCs w:val="21"/>
              </w:rPr>
            </w:pPr>
          </w:p>
        </w:tc>
        <w:tc>
          <w:tcPr>
            <w:tcW w:w="1276" w:type="dxa"/>
            <w:vAlign w:val="center"/>
          </w:tcPr>
          <w:p>
            <w:pPr>
              <w:snapToGrid w:val="0"/>
              <w:jc w:val="center"/>
              <w:rPr>
                <w:rFonts w:eastAsiaTheme="minorEastAsia"/>
                <w:szCs w:val="21"/>
              </w:rPr>
            </w:pPr>
            <w:r>
              <w:rPr>
                <w:rFonts w:eastAsiaTheme="minorEastAsia"/>
                <w:szCs w:val="21"/>
              </w:rPr>
              <w:t>二氧化硫</w:t>
            </w:r>
          </w:p>
        </w:tc>
        <w:tc>
          <w:tcPr>
            <w:tcW w:w="1916" w:type="dxa"/>
            <w:vAlign w:val="center"/>
          </w:tcPr>
          <w:p>
            <w:pPr>
              <w:snapToGrid w:val="0"/>
              <w:jc w:val="center"/>
              <w:rPr>
                <w:rFonts w:eastAsiaTheme="minorEastAsia"/>
                <w:szCs w:val="21"/>
              </w:rPr>
            </w:pPr>
            <w:r>
              <w:rPr>
                <w:rFonts w:eastAsiaTheme="minorEastAsia"/>
                <w:szCs w:val="21"/>
              </w:rPr>
              <w:t>127.4 mg/m</w:t>
            </w:r>
            <w:r>
              <w:rPr>
                <w:rFonts w:eastAsiaTheme="minorEastAsia"/>
                <w:szCs w:val="21"/>
                <w:vertAlign w:val="superscript"/>
              </w:rPr>
              <w:t>3</w:t>
            </w:r>
            <w:r>
              <w:rPr>
                <w:rFonts w:eastAsiaTheme="minorEastAsia"/>
                <w:szCs w:val="21"/>
              </w:rPr>
              <w:t>，</w:t>
            </w:r>
          </w:p>
          <w:p>
            <w:pPr>
              <w:snapToGrid w:val="0"/>
              <w:jc w:val="center"/>
              <w:rPr>
                <w:rFonts w:eastAsiaTheme="minorEastAsia"/>
                <w:szCs w:val="21"/>
              </w:rPr>
            </w:pPr>
            <w:r>
              <w:rPr>
                <w:rFonts w:eastAsiaTheme="minorEastAsia"/>
                <w:szCs w:val="21"/>
              </w:rPr>
              <w:t>12.65 kg/a</w:t>
            </w:r>
          </w:p>
        </w:tc>
        <w:tc>
          <w:tcPr>
            <w:tcW w:w="1798" w:type="dxa"/>
            <w:vAlign w:val="center"/>
          </w:tcPr>
          <w:p>
            <w:pPr>
              <w:snapToGrid w:val="0"/>
              <w:jc w:val="center"/>
              <w:rPr>
                <w:rFonts w:eastAsiaTheme="minorEastAsia"/>
                <w:szCs w:val="21"/>
              </w:rPr>
            </w:pPr>
            <w:r>
              <w:rPr>
                <w:rFonts w:eastAsiaTheme="minorEastAsia"/>
                <w:szCs w:val="21"/>
              </w:rPr>
              <w:t>127.4 mg/m</w:t>
            </w:r>
            <w:r>
              <w:rPr>
                <w:rFonts w:eastAsiaTheme="minorEastAsia"/>
                <w:szCs w:val="21"/>
                <w:vertAlign w:val="superscript"/>
              </w:rPr>
              <w:t>3</w:t>
            </w:r>
            <w:r>
              <w:rPr>
                <w:rFonts w:eastAsiaTheme="minorEastAsia"/>
                <w:szCs w:val="21"/>
              </w:rPr>
              <w:t>，</w:t>
            </w:r>
          </w:p>
          <w:p>
            <w:pPr>
              <w:snapToGrid w:val="0"/>
              <w:jc w:val="center"/>
              <w:rPr>
                <w:rFonts w:eastAsiaTheme="minorEastAsia"/>
                <w:szCs w:val="21"/>
              </w:rPr>
            </w:pPr>
            <w:r>
              <w:rPr>
                <w:rFonts w:eastAsiaTheme="minorEastAsia"/>
                <w:szCs w:val="21"/>
              </w:rPr>
              <w:t>12.65 kg/a</w:t>
            </w:r>
          </w:p>
        </w:tc>
        <w:tc>
          <w:tcPr>
            <w:tcW w:w="2267" w:type="dxa"/>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continue"/>
            <w:tcBorders>
              <w:left w:val="single" w:color="auto" w:sz="4" w:space="0"/>
            </w:tcBorders>
            <w:vAlign w:val="center"/>
          </w:tcPr>
          <w:p>
            <w:pPr>
              <w:snapToGrid w:val="0"/>
              <w:jc w:val="center"/>
              <w:rPr>
                <w:rFonts w:eastAsiaTheme="minorEastAsia"/>
                <w:color w:val="FF0000"/>
                <w:szCs w:val="21"/>
              </w:rPr>
            </w:pPr>
          </w:p>
        </w:tc>
        <w:tc>
          <w:tcPr>
            <w:tcW w:w="850" w:type="dxa"/>
            <w:vMerge w:val="continue"/>
            <w:vAlign w:val="center"/>
          </w:tcPr>
          <w:p>
            <w:pPr>
              <w:snapToGrid w:val="0"/>
              <w:jc w:val="center"/>
              <w:rPr>
                <w:rFonts w:eastAsiaTheme="minorEastAsia"/>
                <w:szCs w:val="21"/>
              </w:rPr>
            </w:pPr>
          </w:p>
        </w:tc>
        <w:tc>
          <w:tcPr>
            <w:tcW w:w="1276" w:type="dxa"/>
            <w:vAlign w:val="center"/>
          </w:tcPr>
          <w:p>
            <w:pPr>
              <w:snapToGrid w:val="0"/>
              <w:jc w:val="center"/>
              <w:rPr>
                <w:rFonts w:eastAsiaTheme="minorEastAsia"/>
                <w:szCs w:val="21"/>
              </w:rPr>
            </w:pPr>
            <w:r>
              <w:rPr>
                <w:rFonts w:eastAsiaTheme="minorEastAsia"/>
                <w:szCs w:val="21"/>
              </w:rPr>
              <w:t>氮氧化物</w:t>
            </w:r>
          </w:p>
        </w:tc>
        <w:tc>
          <w:tcPr>
            <w:tcW w:w="1916" w:type="dxa"/>
            <w:vAlign w:val="center"/>
          </w:tcPr>
          <w:p>
            <w:pPr>
              <w:snapToGrid w:val="0"/>
              <w:jc w:val="center"/>
              <w:rPr>
                <w:rFonts w:eastAsiaTheme="minorEastAsia"/>
                <w:szCs w:val="21"/>
              </w:rPr>
            </w:pPr>
            <w:r>
              <w:rPr>
                <w:rFonts w:eastAsiaTheme="minorEastAsia"/>
                <w:szCs w:val="21"/>
              </w:rPr>
              <w:t>80.65 mg/m</w:t>
            </w:r>
            <w:r>
              <w:rPr>
                <w:rFonts w:eastAsiaTheme="minorEastAsia"/>
                <w:szCs w:val="21"/>
                <w:vertAlign w:val="superscript"/>
              </w:rPr>
              <w:t>3</w:t>
            </w:r>
            <w:r>
              <w:rPr>
                <w:rFonts w:eastAsiaTheme="minorEastAsia"/>
                <w:szCs w:val="21"/>
              </w:rPr>
              <w:t>，</w:t>
            </w:r>
          </w:p>
          <w:p>
            <w:pPr>
              <w:snapToGrid w:val="0"/>
              <w:jc w:val="center"/>
              <w:rPr>
                <w:rFonts w:eastAsiaTheme="minorEastAsia"/>
                <w:szCs w:val="21"/>
              </w:rPr>
            </w:pPr>
            <w:r>
              <w:rPr>
                <w:rFonts w:eastAsiaTheme="minorEastAsia"/>
                <w:szCs w:val="21"/>
              </w:rPr>
              <w:t>8.14 kg/a</w:t>
            </w:r>
          </w:p>
        </w:tc>
        <w:tc>
          <w:tcPr>
            <w:tcW w:w="1798" w:type="dxa"/>
            <w:vAlign w:val="center"/>
          </w:tcPr>
          <w:p>
            <w:pPr>
              <w:snapToGrid w:val="0"/>
              <w:jc w:val="center"/>
              <w:rPr>
                <w:rFonts w:eastAsiaTheme="minorEastAsia"/>
                <w:szCs w:val="21"/>
              </w:rPr>
            </w:pPr>
            <w:r>
              <w:rPr>
                <w:rFonts w:eastAsiaTheme="minorEastAsia"/>
                <w:szCs w:val="21"/>
              </w:rPr>
              <w:t>80.65 mg/m</w:t>
            </w:r>
            <w:r>
              <w:rPr>
                <w:rFonts w:eastAsiaTheme="minorEastAsia"/>
                <w:szCs w:val="21"/>
                <w:vertAlign w:val="superscript"/>
              </w:rPr>
              <w:t>3</w:t>
            </w:r>
            <w:r>
              <w:rPr>
                <w:rFonts w:eastAsiaTheme="minorEastAsia"/>
                <w:szCs w:val="21"/>
              </w:rPr>
              <w:t>，</w:t>
            </w:r>
          </w:p>
          <w:p>
            <w:pPr>
              <w:snapToGrid w:val="0"/>
              <w:jc w:val="center"/>
              <w:rPr>
                <w:rFonts w:eastAsiaTheme="minorEastAsia"/>
                <w:szCs w:val="21"/>
              </w:rPr>
            </w:pPr>
            <w:r>
              <w:rPr>
                <w:rFonts w:eastAsiaTheme="minorEastAsia"/>
                <w:szCs w:val="21"/>
              </w:rPr>
              <w:t>8.14 kg/a</w:t>
            </w:r>
          </w:p>
        </w:tc>
        <w:tc>
          <w:tcPr>
            <w:tcW w:w="2267" w:type="dxa"/>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continue"/>
            <w:tcBorders>
              <w:left w:val="single" w:color="auto" w:sz="4" w:space="0"/>
            </w:tcBorders>
            <w:vAlign w:val="center"/>
          </w:tcPr>
          <w:p>
            <w:pPr>
              <w:snapToGrid w:val="0"/>
              <w:jc w:val="center"/>
              <w:rPr>
                <w:rFonts w:eastAsiaTheme="minorEastAsia"/>
                <w:color w:val="FF0000"/>
                <w:szCs w:val="21"/>
              </w:rPr>
            </w:pPr>
          </w:p>
        </w:tc>
        <w:tc>
          <w:tcPr>
            <w:tcW w:w="850" w:type="dxa"/>
            <w:vMerge w:val="continue"/>
            <w:vAlign w:val="center"/>
          </w:tcPr>
          <w:p>
            <w:pPr>
              <w:snapToGrid w:val="0"/>
              <w:jc w:val="center"/>
              <w:rPr>
                <w:rFonts w:eastAsiaTheme="minorEastAsia"/>
                <w:szCs w:val="21"/>
              </w:rPr>
            </w:pPr>
          </w:p>
        </w:tc>
        <w:tc>
          <w:tcPr>
            <w:tcW w:w="1276" w:type="dxa"/>
            <w:vAlign w:val="center"/>
          </w:tcPr>
          <w:p>
            <w:pPr>
              <w:snapToGrid w:val="0"/>
              <w:jc w:val="center"/>
              <w:rPr>
                <w:rFonts w:eastAsiaTheme="minorEastAsia"/>
                <w:szCs w:val="21"/>
              </w:rPr>
            </w:pPr>
            <w:r>
              <w:rPr>
                <w:rFonts w:eastAsiaTheme="minorEastAsia"/>
                <w:szCs w:val="21"/>
              </w:rPr>
              <w:t>颗粒物</w:t>
            </w:r>
          </w:p>
        </w:tc>
        <w:tc>
          <w:tcPr>
            <w:tcW w:w="1916" w:type="dxa"/>
            <w:vAlign w:val="center"/>
          </w:tcPr>
          <w:p>
            <w:pPr>
              <w:snapToGrid w:val="0"/>
              <w:jc w:val="center"/>
              <w:rPr>
                <w:rFonts w:eastAsiaTheme="minorEastAsia"/>
                <w:szCs w:val="21"/>
              </w:rPr>
            </w:pPr>
            <w:r>
              <w:rPr>
                <w:rFonts w:eastAsiaTheme="minorEastAsia"/>
                <w:szCs w:val="21"/>
              </w:rPr>
              <w:t>22.58 mg/m</w:t>
            </w:r>
            <w:r>
              <w:rPr>
                <w:rFonts w:eastAsiaTheme="minorEastAsia"/>
                <w:szCs w:val="21"/>
                <w:vertAlign w:val="superscript"/>
              </w:rPr>
              <w:t>3</w:t>
            </w:r>
            <w:r>
              <w:rPr>
                <w:rFonts w:eastAsiaTheme="minorEastAsia"/>
                <w:szCs w:val="21"/>
              </w:rPr>
              <w:t>，</w:t>
            </w:r>
          </w:p>
          <w:p>
            <w:pPr>
              <w:snapToGrid w:val="0"/>
              <w:jc w:val="center"/>
              <w:rPr>
                <w:rFonts w:eastAsiaTheme="minorEastAsia"/>
                <w:szCs w:val="21"/>
              </w:rPr>
            </w:pPr>
            <w:r>
              <w:rPr>
                <w:rFonts w:eastAsiaTheme="minorEastAsia"/>
                <w:szCs w:val="21"/>
              </w:rPr>
              <w:t>2.24 kg/a</w:t>
            </w:r>
          </w:p>
        </w:tc>
        <w:tc>
          <w:tcPr>
            <w:tcW w:w="1798" w:type="dxa"/>
            <w:vAlign w:val="center"/>
          </w:tcPr>
          <w:p>
            <w:pPr>
              <w:snapToGrid w:val="0"/>
              <w:jc w:val="center"/>
              <w:rPr>
                <w:rFonts w:eastAsiaTheme="minorEastAsia"/>
                <w:szCs w:val="21"/>
              </w:rPr>
            </w:pPr>
            <w:r>
              <w:rPr>
                <w:rFonts w:eastAsiaTheme="minorEastAsia"/>
                <w:szCs w:val="21"/>
              </w:rPr>
              <w:t>22.58 mg/m</w:t>
            </w:r>
            <w:r>
              <w:rPr>
                <w:rFonts w:eastAsiaTheme="minorEastAsia"/>
                <w:szCs w:val="21"/>
                <w:vertAlign w:val="superscript"/>
              </w:rPr>
              <w:t>3</w:t>
            </w:r>
            <w:r>
              <w:rPr>
                <w:rFonts w:eastAsiaTheme="minorEastAsia"/>
                <w:szCs w:val="21"/>
              </w:rPr>
              <w:t>，</w:t>
            </w:r>
          </w:p>
          <w:p>
            <w:pPr>
              <w:snapToGrid w:val="0"/>
              <w:jc w:val="center"/>
              <w:rPr>
                <w:rFonts w:eastAsiaTheme="minorEastAsia"/>
                <w:szCs w:val="21"/>
              </w:rPr>
            </w:pPr>
            <w:r>
              <w:rPr>
                <w:rFonts w:eastAsiaTheme="minorEastAsia"/>
                <w:szCs w:val="21"/>
              </w:rPr>
              <w:t>2.24 kg/a</w:t>
            </w:r>
          </w:p>
        </w:tc>
        <w:tc>
          <w:tcPr>
            <w:tcW w:w="2267" w:type="dxa"/>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continue"/>
            <w:tcBorders>
              <w:left w:val="single" w:color="auto" w:sz="4" w:space="0"/>
            </w:tcBorders>
            <w:vAlign w:val="center"/>
          </w:tcPr>
          <w:p>
            <w:pPr>
              <w:snapToGrid w:val="0"/>
              <w:jc w:val="center"/>
              <w:rPr>
                <w:rFonts w:eastAsiaTheme="minorEastAsia"/>
                <w:color w:val="FF0000"/>
                <w:szCs w:val="21"/>
              </w:rPr>
            </w:pPr>
          </w:p>
        </w:tc>
        <w:tc>
          <w:tcPr>
            <w:tcW w:w="850" w:type="dxa"/>
            <w:vMerge w:val="restart"/>
            <w:vAlign w:val="center"/>
          </w:tcPr>
          <w:p>
            <w:pPr>
              <w:snapToGrid w:val="0"/>
              <w:jc w:val="center"/>
              <w:rPr>
                <w:rFonts w:eastAsiaTheme="minorEastAsia"/>
                <w:szCs w:val="21"/>
              </w:rPr>
            </w:pPr>
            <w:r>
              <w:rPr>
                <w:rFonts w:eastAsiaTheme="minorEastAsia"/>
                <w:szCs w:val="21"/>
              </w:rPr>
              <w:t>食堂油烟废气</w:t>
            </w:r>
          </w:p>
        </w:tc>
        <w:tc>
          <w:tcPr>
            <w:tcW w:w="1276" w:type="dxa"/>
            <w:vAlign w:val="center"/>
          </w:tcPr>
          <w:p>
            <w:pPr>
              <w:snapToGrid w:val="0"/>
              <w:jc w:val="center"/>
              <w:rPr>
                <w:rFonts w:eastAsiaTheme="minorEastAsia"/>
                <w:szCs w:val="21"/>
              </w:rPr>
            </w:pPr>
            <w:r>
              <w:rPr>
                <w:rFonts w:eastAsiaTheme="minorEastAsia"/>
                <w:szCs w:val="21"/>
              </w:rPr>
              <w:t>废气量</w:t>
            </w:r>
          </w:p>
        </w:tc>
        <w:tc>
          <w:tcPr>
            <w:tcW w:w="1916" w:type="dxa"/>
            <w:vAlign w:val="center"/>
          </w:tcPr>
          <w:p>
            <w:pPr>
              <w:snapToGrid w:val="0"/>
              <w:jc w:val="center"/>
              <w:rPr>
                <w:rFonts w:eastAsiaTheme="minorEastAsia"/>
                <w:szCs w:val="21"/>
              </w:rPr>
            </w:pPr>
            <w:r>
              <w:rPr>
                <w:rFonts w:eastAsiaTheme="minorEastAsia"/>
                <w:szCs w:val="21"/>
              </w:rPr>
              <w:t>8760万m</w:t>
            </w:r>
            <w:r>
              <w:rPr>
                <w:rFonts w:eastAsiaTheme="minorEastAsia"/>
                <w:szCs w:val="21"/>
                <w:vertAlign w:val="superscript"/>
              </w:rPr>
              <w:t>3</w:t>
            </w:r>
            <w:r>
              <w:rPr>
                <w:rFonts w:eastAsiaTheme="minorEastAsia"/>
                <w:szCs w:val="21"/>
              </w:rPr>
              <w:t>/a</w:t>
            </w:r>
          </w:p>
        </w:tc>
        <w:tc>
          <w:tcPr>
            <w:tcW w:w="1798" w:type="dxa"/>
            <w:vAlign w:val="center"/>
          </w:tcPr>
          <w:p>
            <w:pPr>
              <w:snapToGrid w:val="0"/>
              <w:jc w:val="center"/>
              <w:rPr>
                <w:rFonts w:eastAsiaTheme="minorEastAsia"/>
                <w:szCs w:val="21"/>
              </w:rPr>
            </w:pPr>
            <w:r>
              <w:rPr>
                <w:rFonts w:eastAsiaTheme="minorEastAsia"/>
                <w:szCs w:val="21"/>
              </w:rPr>
              <w:t>8760万m</w:t>
            </w:r>
            <w:r>
              <w:rPr>
                <w:rFonts w:eastAsiaTheme="minorEastAsia"/>
                <w:szCs w:val="21"/>
                <w:vertAlign w:val="superscript"/>
              </w:rPr>
              <w:t>3</w:t>
            </w:r>
            <w:r>
              <w:rPr>
                <w:rFonts w:eastAsiaTheme="minorEastAsia"/>
                <w:szCs w:val="21"/>
              </w:rPr>
              <w:t>/a</w:t>
            </w:r>
          </w:p>
        </w:tc>
        <w:tc>
          <w:tcPr>
            <w:tcW w:w="2267" w:type="dxa"/>
            <w:vMerge w:val="restart"/>
            <w:vAlign w:val="center"/>
          </w:tcPr>
          <w:p>
            <w:pPr>
              <w:snapToGrid w:val="0"/>
              <w:jc w:val="center"/>
              <w:rPr>
                <w:rFonts w:eastAsiaTheme="minorEastAsia"/>
                <w:szCs w:val="21"/>
              </w:rPr>
            </w:pPr>
            <w:r>
              <w:rPr>
                <w:rFonts w:eastAsiaTheme="minorEastAsia"/>
                <w:szCs w:val="21"/>
              </w:rPr>
              <w:t>经油烟净化器处理后于住院楼楼顶高空排放。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continue"/>
            <w:tcBorders>
              <w:left w:val="single" w:color="auto" w:sz="4" w:space="0"/>
            </w:tcBorders>
            <w:vAlign w:val="center"/>
          </w:tcPr>
          <w:p>
            <w:pPr>
              <w:snapToGrid w:val="0"/>
              <w:jc w:val="center"/>
              <w:rPr>
                <w:rFonts w:eastAsiaTheme="minorEastAsia"/>
                <w:color w:val="FF0000"/>
                <w:szCs w:val="21"/>
              </w:rPr>
            </w:pPr>
          </w:p>
        </w:tc>
        <w:tc>
          <w:tcPr>
            <w:tcW w:w="850" w:type="dxa"/>
            <w:vMerge w:val="continue"/>
            <w:vAlign w:val="center"/>
          </w:tcPr>
          <w:p>
            <w:pPr>
              <w:snapToGrid w:val="0"/>
              <w:jc w:val="center"/>
              <w:rPr>
                <w:rFonts w:eastAsiaTheme="minorEastAsia"/>
                <w:szCs w:val="21"/>
              </w:rPr>
            </w:pPr>
          </w:p>
        </w:tc>
        <w:tc>
          <w:tcPr>
            <w:tcW w:w="1276" w:type="dxa"/>
            <w:vAlign w:val="center"/>
          </w:tcPr>
          <w:p>
            <w:pPr>
              <w:snapToGrid w:val="0"/>
              <w:jc w:val="center"/>
              <w:rPr>
                <w:rFonts w:eastAsiaTheme="minorEastAsia"/>
                <w:szCs w:val="21"/>
              </w:rPr>
            </w:pPr>
            <w:r>
              <w:rPr>
                <w:rFonts w:eastAsiaTheme="minorEastAsia"/>
                <w:szCs w:val="21"/>
              </w:rPr>
              <w:t>食堂油烟</w:t>
            </w:r>
          </w:p>
        </w:tc>
        <w:tc>
          <w:tcPr>
            <w:tcW w:w="1916" w:type="dxa"/>
            <w:vAlign w:val="center"/>
          </w:tcPr>
          <w:p>
            <w:pPr>
              <w:snapToGrid w:val="0"/>
              <w:jc w:val="center"/>
              <w:rPr>
                <w:rFonts w:eastAsiaTheme="minorEastAsia"/>
                <w:szCs w:val="21"/>
              </w:rPr>
            </w:pPr>
            <w:r>
              <w:rPr>
                <w:rFonts w:eastAsiaTheme="minorEastAsia"/>
                <w:szCs w:val="21"/>
              </w:rPr>
              <w:t>7mg/m</w:t>
            </w:r>
            <w:r>
              <w:rPr>
                <w:rFonts w:eastAsiaTheme="minorEastAsia"/>
                <w:szCs w:val="21"/>
                <w:vertAlign w:val="superscript"/>
              </w:rPr>
              <w:t>3</w:t>
            </w:r>
            <w:r>
              <w:rPr>
                <w:rFonts w:eastAsiaTheme="minorEastAsia"/>
                <w:szCs w:val="21"/>
              </w:rPr>
              <w:t>，0.6132t/a</w:t>
            </w:r>
          </w:p>
        </w:tc>
        <w:tc>
          <w:tcPr>
            <w:tcW w:w="1798" w:type="dxa"/>
            <w:vAlign w:val="center"/>
          </w:tcPr>
          <w:p>
            <w:pPr>
              <w:snapToGrid w:val="0"/>
              <w:jc w:val="center"/>
              <w:rPr>
                <w:rFonts w:eastAsiaTheme="minorEastAsia"/>
                <w:szCs w:val="21"/>
              </w:rPr>
            </w:pPr>
            <w:r>
              <w:rPr>
                <w:rFonts w:eastAsiaTheme="minorEastAsia"/>
                <w:szCs w:val="21"/>
              </w:rPr>
              <w:t>1.05mg/m</w:t>
            </w:r>
            <w:r>
              <w:rPr>
                <w:rFonts w:eastAsiaTheme="minorEastAsia"/>
                <w:szCs w:val="21"/>
                <w:vertAlign w:val="superscript"/>
              </w:rPr>
              <w:t>3</w:t>
            </w:r>
            <w:r>
              <w:rPr>
                <w:rFonts w:eastAsiaTheme="minorEastAsia"/>
                <w:szCs w:val="21"/>
              </w:rPr>
              <w:t>，0.09198t/a</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restart"/>
            <w:tcBorders>
              <w:left w:val="single" w:color="auto" w:sz="4" w:space="0"/>
            </w:tcBorders>
            <w:vAlign w:val="center"/>
          </w:tcPr>
          <w:p>
            <w:pPr>
              <w:snapToGrid w:val="0"/>
              <w:jc w:val="center"/>
              <w:rPr>
                <w:rFonts w:eastAsiaTheme="minorEastAsia"/>
                <w:szCs w:val="21"/>
              </w:rPr>
            </w:pPr>
            <w:r>
              <w:rPr>
                <w:rFonts w:hint="eastAsia" w:eastAsiaTheme="minorEastAsia"/>
                <w:szCs w:val="21"/>
              </w:rPr>
              <w:t>有组织</w:t>
            </w:r>
          </w:p>
        </w:tc>
        <w:tc>
          <w:tcPr>
            <w:tcW w:w="850" w:type="dxa"/>
            <w:vMerge w:val="restart"/>
            <w:vAlign w:val="center"/>
          </w:tcPr>
          <w:p>
            <w:pPr>
              <w:snapToGrid w:val="0"/>
              <w:jc w:val="center"/>
              <w:rPr>
                <w:rFonts w:eastAsiaTheme="minorEastAsia"/>
                <w:szCs w:val="21"/>
              </w:rPr>
            </w:pPr>
            <w:r>
              <w:rPr>
                <w:rFonts w:eastAsiaTheme="minorEastAsia"/>
                <w:szCs w:val="21"/>
              </w:rPr>
              <w:t>污水处理站臭气</w:t>
            </w:r>
          </w:p>
        </w:tc>
        <w:tc>
          <w:tcPr>
            <w:tcW w:w="1276" w:type="dxa"/>
            <w:vAlign w:val="center"/>
          </w:tcPr>
          <w:p>
            <w:pPr>
              <w:snapToGrid w:val="0"/>
              <w:jc w:val="center"/>
              <w:rPr>
                <w:rFonts w:eastAsiaTheme="minorEastAsia"/>
                <w:szCs w:val="21"/>
                <w:u w:val="single"/>
              </w:rPr>
            </w:pPr>
            <w:r>
              <w:rPr>
                <w:rFonts w:eastAsiaTheme="minorEastAsia"/>
                <w:szCs w:val="21"/>
                <w:u w:val="single"/>
              </w:rPr>
              <w:t>氨气</w:t>
            </w:r>
          </w:p>
        </w:tc>
        <w:tc>
          <w:tcPr>
            <w:tcW w:w="1916" w:type="dxa"/>
            <w:vAlign w:val="center"/>
          </w:tcPr>
          <w:p>
            <w:pPr>
              <w:snapToGrid w:val="0"/>
              <w:jc w:val="center"/>
              <w:rPr>
                <w:kern w:val="0"/>
                <w:u w:val="single"/>
              </w:rPr>
            </w:pPr>
            <w:r>
              <w:rPr>
                <w:rFonts w:hint="eastAsia"/>
                <w:kern w:val="0"/>
                <w:u w:val="single"/>
              </w:rPr>
              <w:t>0.000056</w:t>
            </w:r>
            <w:r>
              <w:rPr>
                <w:rFonts w:eastAsiaTheme="minorEastAsia"/>
                <w:szCs w:val="21"/>
                <w:u w:val="single"/>
              </w:rPr>
              <w:t xml:space="preserve"> t/a；</w:t>
            </w:r>
          </w:p>
          <w:p>
            <w:pPr>
              <w:snapToGrid w:val="0"/>
              <w:jc w:val="center"/>
              <w:rPr>
                <w:rFonts w:eastAsiaTheme="minorEastAsia"/>
                <w:szCs w:val="21"/>
                <w:u w:val="single"/>
              </w:rPr>
            </w:pPr>
            <w:r>
              <w:rPr>
                <w:rFonts w:hint="eastAsia"/>
                <w:kern w:val="0"/>
                <w:u w:val="single"/>
              </w:rPr>
              <w:t>0</w:t>
            </w:r>
            <w:r>
              <w:rPr>
                <w:kern w:val="0"/>
                <w:u w:val="single"/>
              </w:rPr>
              <w:t>.000</w:t>
            </w:r>
            <w:r>
              <w:rPr>
                <w:rFonts w:hint="eastAsia"/>
                <w:kern w:val="0"/>
                <w:u w:val="single"/>
              </w:rPr>
              <w:t>00</w:t>
            </w:r>
            <w:r>
              <w:rPr>
                <w:kern w:val="0"/>
                <w:u w:val="single"/>
              </w:rPr>
              <w:t>63</w:t>
            </w:r>
            <w:r>
              <w:rPr>
                <w:rFonts w:eastAsiaTheme="minorEastAsia"/>
                <w:bCs/>
                <w:kern w:val="0"/>
                <w:szCs w:val="21"/>
                <w:u w:val="single"/>
              </w:rPr>
              <w:t xml:space="preserve"> kg/h</w:t>
            </w:r>
          </w:p>
        </w:tc>
        <w:tc>
          <w:tcPr>
            <w:tcW w:w="1798" w:type="dxa"/>
            <w:vAlign w:val="center"/>
          </w:tcPr>
          <w:p>
            <w:pPr>
              <w:snapToGrid w:val="0"/>
              <w:jc w:val="center"/>
              <w:rPr>
                <w:kern w:val="0"/>
                <w:u w:val="single"/>
              </w:rPr>
            </w:pPr>
            <w:r>
              <w:rPr>
                <w:rFonts w:hint="eastAsia"/>
                <w:kern w:val="0"/>
                <w:u w:val="single"/>
              </w:rPr>
              <w:t>0.000056</w:t>
            </w:r>
            <w:r>
              <w:rPr>
                <w:rFonts w:eastAsiaTheme="minorEastAsia"/>
                <w:szCs w:val="21"/>
                <w:u w:val="single"/>
              </w:rPr>
              <w:t xml:space="preserve"> t/a；</w:t>
            </w:r>
          </w:p>
          <w:p>
            <w:pPr>
              <w:snapToGrid w:val="0"/>
              <w:jc w:val="center"/>
              <w:rPr>
                <w:rFonts w:eastAsiaTheme="minorEastAsia"/>
                <w:szCs w:val="21"/>
                <w:u w:val="single"/>
              </w:rPr>
            </w:pPr>
            <w:r>
              <w:rPr>
                <w:rFonts w:hint="eastAsia"/>
                <w:kern w:val="0"/>
                <w:u w:val="single"/>
              </w:rPr>
              <w:t>0</w:t>
            </w:r>
            <w:r>
              <w:rPr>
                <w:kern w:val="0"/>
                <w:u w:val="single"/>
              </w:rPr>
              <w:t>.000</w:t>
            </w:r>
            <w:r>
              <w:rPr>
                <w:rFonts w:hint="eastAsia"/>
                <w:kern w:val="0"/>
                <w:u w:val="single"/>
              </w:rPr>
              <w:t>00</w:t>
            </w:r>
            <w:r>
              <w:rPr>
                <w:kern w:val="0"/>
                <w:u w:val="single"/>
              </w:rPr>
              <w:t>63</w:t>
            </w:r>
            <w:r>
              <w:rPr>
                <w:rFonts w:eastAsiaTheme="minorEastAsia"/>
                <w:bCs/>
                <w:kern w:val="0"/>
                <w:szCs w:val="21"/>
                <w:u w:val="single"/>
              </w:rPr>
              <w:t xml:space="preserve"> kg/h</w:t>
            </w:r>
          </w:p>
        </w:tc>
        <w:tc>
          <w:tcPr>
            <w:tcW w:w="2267" w:type="dxa"/>
            <w:vMerge w:val="restart"/>
            <w:vAlign w:val="center"/>
          </w:tcPr>
          <w:p>
            <w:pPr>
              <w:snapToGrid w:val="0"/>
              <w:jc w:val="center"/>
              <w:rPr>
                <w:rFonts w:eastAsiaTheme="minorEastAsia"/>
                <w:szCs w:val="21"/>
                <w:u w:val="single"/>
              </w:rPr>
            </w:pPr>
            <w:r>
              <w:rPr>
                <w:rFonts w:hint="eastAsia" w:eastAsiaTheme="minorEastAsia"/>
                <w:szCs w:val="21"/>
                <w:u w:val="single"/>
              </w:rPr>
              <w:t>收集后经生物除臭设备处理，15m排气筒高空排放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continue"/>
            <w:tcBorders>
              <w:left w:val="single" w:color="auto" w:sz="4" w:space="0"/>
            </w:tcBorders>
            <w:vAlign w:val="center"/>
          </w:tcPr>
          <w:p>
            <w:pPr>
              <w:snapToGrid w:val="0"/>
              <w:jc w:val="center"/>
              <w:rPr>
                <w:rFonts w:eastAsiaTheme="minorEastAsia"/>
                <w:color w:val="FF0000"/>
                <w:szCs w:val="21"/>
              </w:rPr>
            </w:pPr>
          </w:p>
        </w:tc>
        <w:tc>
          <w:tcPr>
            <w:tcW w:w="850" w:type="dxa"/>
            <w:vMerge w:val="continue"/>
            <w:vAlign w:val="center"/>
          </w:tcPr>
          <w:p>
            <w:pPr>
              <w:snapToGrid w:val="0"/>
              <w:jc w:val="center"/>
              <w:rPr>
                <w:rFonts w:eastAsiaTheme="minorEastAsia"/>
                <w:szCs w:val="21"/>
              </w:rPr>
            </w:pPr>
          </w:p>
        </w:tc>
        <w:tc>
          <w:tcPr>
            <w:tcW w:w="1276" w:type="dxa"/>
            <w:vAlign w:val="center"/>
          </w:tcPr>
          <w:p>
            <w:pPr>
              <w:snapToGrid w:val="0"/>
              <w:jc w:val="center"/>
              <w:rPr>
                <w:rFonts w:eastAsiaTheme="minorEastAsia"/>
                <w:szCs w:val="21"/>
              </w:rPr>
            </w:pPr>
            <w:r>
              <w:rPr>
                <w:rFonts w:eastAsiaTheme="minorEastAsia"/>
                <w:szCs w:val="21"/>
              </w:rPr>
              <w:t>硫化氢</w:t>
            </w:r>
          </w:p>
        </w:tc>
        <w:tc>
          <w:tcPr>
            <w:tcW w:w="1916" w:type="dxa"/>
            <w:vAlign w:val="center"/>
          </w:tcPr>
          <w:p>
            <w:pPr>
              <w:snapToGrid w:val="0"/>
              <w:jc w:val="center"/>
              <w:rPr>
                <w:kern w:val="0"/>
                <w:u w:val="single"/>
              </w:rPr>
            </w:pPr>
            <w:r>
              <w:rPr>
                <w:rFonts w:hint="eastAsia"/>
                <w:kern w:val="0"/>
                <w:u w:val="single"/>
              </w:rPr>
              <w:t>0.0014</w:t>
            </w:r>
            <w:r>
              <w:rPr>
                <w:rFonts w:eastAsiaTheme="minorEastAsia"/>
                <w:szCs w:val="21"/>
                <w:u w:val="single"/>
              </w:rPr>
              <w:t xml:space="preserve"> t/a</w:t>
            </w:r>
          </w:p>
          <w:p>
            <w:pPr>
              <w:snapToGrid w:val="0"/>
              <w:jc w:val="center"/>
              <w:rPr>
                <w:rFonts w:eastAsiaTheme="minorEastAsia"/>
                <w:szCs w:val="21"/>
              </w:rPr>
            </w:pPr>
            <w:r>
              <w:rPr>
                <w:rFonts w:hint="eastAsia"/>
                <w:kern w:val="0"/>
                <w:u w:val="single"/>
              </w:rPr>
              <w:t>0.00016</w:t>
            </w:r>
            <w:r>
              <w:rPr>
                <w:rFonts w:eastAsiaTheme="minorEastAsia"/>
                <w:bCs/>
                <w:kern w:val="0"/>
                <w:szCs w:val="21"/>
                <w:u w:val="single"/>
              </w:rPr>
              <w:t xml:space="preserve"> kg/h</w:t>
            </w:r>
          </w:p>
        </w:tc>
        <w:tc>
          <w:tcPr>
            <w:tcW w:w="1798" w:type="dxa"/>
            <w:vAlign w:val="center"/>
          </w:tcPr>
          <w:p>
            <w:pPr>
              <w:snapToGrid w:val="0"/>
              <w:jc w:val="center"/>
              <w:rPr>
                <w:kern w:val="0"/>
                <w:u w:val="single"/>
              </w:rPr>
            </w:pPr>
            <w:r>
              <w:rPr>
                <w:rFonts w:hint="eastAsia"/>
                <w:kern w:val="0"/>
                <w:u w:val="single"/>
              </w:rPr>
              <w:t>0.0014</w:t>
            </w:r>
            <w:r>
              <w:rPr>
                <w:rFonts w:eastAsiaTheme="minorEastAsia"/>
                <w:szCs w:val="21"/>
                <w:u w:val="single"/>
              </w:rPr>
              <w:t xml:space="preserve"> t/a</w:t>
            </w:r>
          </w:p>
          <w:p>
            <w:pPr>
              <w:snapToGrid w:val="0"/>
              <w:jc w:val="center"/>
              <w:rPr>
                <w:rFonts w:eastAsiaTheme="minorEastAsia"/>
                <w:szCs w:val="21"/>
              </w:rPr>
            </w:pPr>
            <w:r>
              <w:rPr>
                <w:rFonts w:hint="eastAsia"/>
                <w:kern w:val="0"/>
                <w:u w:val="single"/>
              </w:rPr>
              <w:t>0.00016</w:t>
            </w:r>
            <w:r>
              <w:rPr>
                <w:rFonts w:eastAsiaTheme="minorEastAsia"/>
                <w:bCs/>
                <w:kern w:val="0"/>
                <w:szCs w:val="21"/>
                <w:u w:val="single"/>
              </w:rPr>
              <w:t xml:space="preserve"> kg/h</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restart"/>
            <w:tcBorders>
              <w:left w:val="single" w:color="auto" w:sz="4" w:space="0"/>
            </w:tcBorders>
            <w:vAlign w:val="center"/>
          </w:tcPr>
          <w:p>
            <w:pPr>
              <w:snapToGrid w:val="0"/>
              <w:jc w:val="center"/>
              <w:rPr>
                <w:rFonts w:eastAsiaTheme="minorEastAsia"/>
                <w:szCs w:val="21"/>
              </w:rPr>
            </w:pPr>
            <w:r>
              <w:rPr>
                <w:rFonts w:eastAsiaTheme="minorEastAsia"/>
                <w:szCs w:val="21"/>
              </w:rPr>
              <w:t>无组织</w:t>
            </w:r>
          </w:p>
        </w:tc>
        <w:tc>
          <w:tcPr>
            <w:tcW w:w="850" w:type="dxa"/>
            <w:vMerge w:val="continue"/>
            <w:vAlign w:val="center"/>
          </w:tcPr>
          <w:p>
            <w:pPr>
              <w:snapToGrid w:val="0"/>
              <w:jc w:val="center"/>
              <w:rPr>
                <w:rFonts w:eastAsiaTheme="minorEastAsia"/>
                <w:szCs w:val="21"/>
              </w:rPr>
            </w:pPr>
          </w:p>
        </w:tc>
        <w:tc>
          <w:tcPr>
            <w:tcW w:w="1276" w:type="dxa"/>
            <w:vAlign w:val="center"/>
          </w:tcPr>
          <w:p>
            <w:pPr>
              <w:snapToGrid w:val="0"/>
              <w:jc w:val="center"/>
              <w:rPr>
                <w:rFonts w:eastAsiaTheme="minorEastAsia"/>
                <w:szCs w:val="21"/>
              </w:rPr>
            </w:pPr>
            <w:r>
              <w:rPr>
                <w:rFonts w:eastAsiaTheme="minorEastAsia"/>
                <w:szCs w:val="21"/>
              </w:rPr>
              <w:t>氨气</w:t>
            </w:r>
          </w:p>
        </w:tc>
        <w:tc>
          <w:tcPr>
            <w:tcW w:w="1916" w:type="dxa"/>
            <w:vAlign w:val="center"/>
          </w:tcPr>
          <w:p>
            <w:pPr>
              <w:adjustRightInd w:val="0"/>
              <w:snapToGrid w:val="0"/>
              <w:jc w:val="center"/>
              <w:rPr>
                <w:rFonts w:eastAsiaTheme="minorEastAsia"/>
                <w:szCs w:val="21"/>
                <w:u w:val="single"/>
              </w:rPr>
            </w:pPr>
            <w:r>
              <w:rPr>
                <w:rFonts w:eastAsiaTheme="minorEastAsia"/>
                <w:kern w:val="0"/>
                <w:szCs w:val="21"/>
                <w:u w:val="single"/>
              </w:rPr>
              <w:t>0.000062</w:t>
            </w:r>
            <w:r>
              <w:rPr>
                <w:rFonts w:eastAsiaTheme="minorEastAsia"/>
                <w:szCs w:val="21"/>
                <w:u w:val="single"/>
              </w:rPr>
              <w:t>t/a；</w:t>
            </w:r>
          </w:p>
          <w:p>
            <w:pPr>
              <w:adjustRightInd w:val="0"/>
              <w:snapToGrid w:val="0"/>
              <w:jc w:val="center"/>
              <w:rPr>
                <w:rFonts w:eastAsiaTheme="minorEastAsia"/>
                <w:szCs w:val="21"/>
                <w:u w:val="single"/>
              </w:rPr>
            </w:pPr>
            <w:r>
              <w:rPr>
                <w:rFonts w:eastAsiaTheme="minorEastAsia"/>
                <w:kern w:val="0"/>
                <w:szCs w:val="21"/>
                <w:u w:val="single"/>
              </w:rPr>
              <w:t>0.000007</w:t>
            </w:r>
            <w:r>
              <w:rPr>
                <w:rFonts w:eastAsiaTheme="minorEastAsia"/>
                <w:bCs/>
                <w:kern w:val="0"/>
                <w:szCs w:val="21"/>
                <w:u w:val="single"/>
              </w:rPr>
              <w:t xml:space="preserve"> kg/h</w:t>
            </w:r>
          </w:p>
        </w:tc>
        <w:tc>
          <w:tcPr>
            <w:tcW w:w="1798" w:type="dxa"/>
            <w:vAlign w:val="center"/>
          </w:tcPr>
          <w:p>
            <w:pPr>
              <w:adjustRightInd w:val="0"/>
              <w:snapToGrid w:val="0"/>
              <w:jc w:val="center"/>
              <w:rPr>
                <w:rFonts w:eastAsiaTheme="minorEastAsia"/>
                <w:szCs w:val="21"/>
                <w:u w:val="single"/>
              </w:rPr>
            </w:pPr>
            <w:r>
              <w:rPr>
                <w:rFonts w:eastAsiaTheme="minorEastAsia"/>
                <w:kern w:val="0"/>
                <w:szCs w:val="21"/>
                <w:u w:val="single"/>
              </w:rPr>
              <w:t>0.000062</w:t>
            </w:r>
            <w:r>
              <w:rPr>
                <w:rFonts w:eastAsiaTheme="minorEastAsia"/>
                <w:szCs w:val="21"/>
                <w:u w:val="single"/>
              </w:rPr>
              <w:t>t/a；</w:t>
            </w:r>
          </w:p>
          <w:p>
            <w:pPr>
              <w:adjustRightInd w:val="0"/>
              <w:snapToGrid w:val="0"/>
              <w:jc w:val="center"/>
              <w:rPr>
                <w:rFonts w:eastAsiaTheme="minorEastAsia"/>
                <w:szCs w:val="21"/>
                <w:u w:val="single"/>
              </w:rPr>
            </w:pPr>
            <w:r>
              <w:rPr>
                <w:rFonts w:eastAsiaTheme="minorEastAsia"/>
                <w:kern w:val="0"/>
                <w:szCs w:val="21"/>
                <w:u w:val="single"/>
              </w:rPr>
              <w:t>0.000007</w:t>
            </w:r>
            <w:r>
              <w:rPr>
                <w:rFonts w:eastAsiaTheme="minorEastAsia"/>
                <w:bCs/>
                <w:kern w:val="0"/>
                <w:szCs w:val="21"/>
                <w:u w:val="single"/>
              </w:rPr>
              <w:t xml:space="preserve"> kg/h</w:t>
            </w:r>
          </w:p>
        </w:tc>
        <w:tc>
          <w:tcPr>
            <w:tcW w:w="2267" w:type="dxa"/>
            <w:vMerge w:val="restart"/>
            <w:vAlign w:val="center"/>
          </w:tcPr>
          <w:p>
            <w:pPr>
              <w:adjustRightInd w:val="0"/>
              <w:snapToGrid w:val="0"/>
              <w:jc w:val="center"/>
              <w:rPr>
                <w:rFonts w:eastAsiaTheme="minorEastAsia"/>
                <w:szCs w:val="21"/>
              </w:rPr>
            </w:pPr>
            <w:r>
              <w:rPr>
                <w:rFonts w:eastAsiaTheme="minorEastAsia"/>
                <w:szCs w:val="21"/>
              </w:rPr>
              <w:t>污水站采用地下密闭结构，定期喷洒除臭剂，加强周边绿化，保持与周边建筑物的距离。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tcBorders>
              <w:right w:val="single" w:color="auto" w:sz="4" w:space="0"/>
            </w:tcBorders>
            <w:vAlign w:val="center"/>
          </w:tcPr>
          <w:p>
            <w:pPr>
              <w:snapToGrid w:val="0"/>
              <w:jc w:val="center"/>
              <w:rPr>
                <w:rFonts w:eastAsiaTheme="minorEastAsia"/>
                <w:color w:val="FF0000"/>
                <w:szCs w:val="21"/>
              </w:rPr>
            </w:pPr>
          </w:p>
        </w:tc>
        <w:tc>
          <w:tcPr>
            <w:tcW w:w="426" w:type="dxa"/>
            <w:vMerge w:val="continue"/>
            <w:tcBorders>
              <w:left w:val="single" w:color="auto" w:sz="4" w:space="0"/>
            </w:tcBorders>
            <w:vAlign w:val="center"/>
          </w:tcPr>
          <w:p>
            <w:pPr>
              <w:snapToGrid w:val="0"/>
              <w:jc w:val="center"/>
              <w:rPr>
                <w:rFonts w:eastAsiaTheme="minorEastAsia"/>
                <w:color w:val="FF0000"/>
                <w:szCs w:val="21"/>
              </w:rPr>
            </w:pPr>
          </w:p>
        </w:tc>
        <w:tc>
          <w:tcPr>
            <w:tcW w:w="850" w:type="dxa"/>
            <w:vMerge w:val="continue"/>
            <w:vAlign w:val="center"/>
          </w:tcPr>
          <w:p>
            <w:pPr>
              <w:snapToGrid w:val="0"/>
              <w:jc w:val="center"/>
              <w:rPr>
                <w:rFonts w:eastAsiaTheme="minorEastAsia"/>
                <w:color w:val="FF0000"/>
                <w:szCs w:val="21"/>
              </w:rPr>
            </w:pPr>
          </w:p>
        </w:tc>
        <w:tc>
          <w:tcPr>
            <w:tcW w:w="1276" w:type="dxa"/>
            <w:vAlign w:val="center"/>
          </w:tcPr>
          <w:p>
            <w:pPr>
              <w:snapToGrid w:val="0"/>
              <w:jc w:val="center"/>
              <w:rPr>
                <w:rFonts w:eastAsiaTheme="minorEastAsia"/>
                <w:szCs w:val="21"/>
              </w:rPr>
            </w:pPr>
            <w:r>
              <w:rPr>
                <w:rFonts w:eastAsiaTheme="minorEastAsia"/>
                <w:szCs w:val="21"/>
              </w:rPr>
              <w:t>硫化氢</w:t>
            </w:r>
          </w:p>
        </w:tc>
        <w:tc>
          <w:tcPr>
            <w:tcW w:w="1916" w:type="dxa"/>
            <w:vAlign w:val="center"/>
          </w:tcPr>
          <w:p>
            <w:pPr>
              <w:adjustRightInd w:val="0"/>
              <w:snapToGrid w:val="0"/>
              <w:jc w:val="center"/>
              <w:rPr>
                <w:rFonts w:eastAsiaTheme="minorEastAsia"/>
                <w:szCs w:val="21"/>
                <w:u w:val="single"/>
              </w:rPr>
            </w:pPr>
            <w:r>
              <w:rPr>
                <w:rFonts w:eastAsiaTheme="minorEastAsia"/>
                <w:kern w:val="0"/>
                <w:szCs w:val="21"/>
                <w:u w:val="single"/>
              </w:rPr>
              <w:t>0.0016</w:t>
            </w:r>
            <w:r>
              <w:rPr>
                <w:rFonts w:eastAsiaTheme="minorEastAsia"/>
                <w:szCs w:val="21"/>
                <w:u w:val="single"/>
              </w:rPr>
              <w:t xml:space="preserve"> t/a；</w:t>
            </w:r>
          </w:p>
          <w:p>
            <w:pPr>
              <w:adjustRightInd w:val="0"/>
              <w:snapToGrid w:val="0"/>
              <w:jc w:val="center"/>
              <w:rPr>
                <w:rFonts w:eastAsiaTheme="minorEastAsia"/>
                <w:szCs w:val="21"/>
                <w:u w:val="single"/>
              </w:rPr>
            </w:pPr>
            <w:r>
              <w:rPr>
                <w:rFonts w:eastAsiaTheme="minorEastAsia"/>
                <w:kern w:val="0"/>
                <w:szCs w:val="21"/>
                <w:u w:val="single"/>
              </w:rPr>
              <w:t>0.00018</w:t>
            </w:r>
            <w:r>
              <w:rPr>
                <w:rFonts w:eastAsiaTheme="minorEastAsia"/>
                <w:bCs/>
                <w:kern w:val="0"/>
                <w:szCs w:val="21"/>
                <w:u w:val="single"/>
              </w:rPr>
              <w:t xml:space="preserve"> kg/h</w:t>
            </w:r>
          </w:p>
        </w:tc>
        <w:tc>
          <w:tcPr>
            <w:tcW w:w="1798" w:type="dxa"/>
            <w:vAlign w:val="center"/>
          </w:tcPr>
          <w:p>
            <w:pPr>
              <w:adjustRightInd w:val="0"/>
              <w:snapToGrid w:val="0"/>
              <w:jc w:val="center"/>
              <w:rPr>
                <w:rFonts w:eastAsiaTheme="minorEastAsia"/>
                <w:szCs w:val="21"/>
                <w:u w:val="single"/>
              </w:rPr>
            </w:pPr>
            <w:r>
              <w:rPr>
                <w:rFonts w:eastAsiaTheme="minorEastAsia"/>
                <w:kern w:val="0"/>
                <w:szCs w:val="21"/>
                <w:u w:val="single"/>
              </w:rPr>
              <w:t>0.0016</w:t>
            </w:r>
            <w:r>
              <w:rPr>
                <w:rFonts w:eastAsiaTheme="minorEastAsia"/>
                <w:szCs w:val="21"/>
                <w:u w:val="single"/>
              </w:rPr>
              <w:t xml:space="preserve"> t/a；</w:t>
            </w:r>
          </w:p>
          <w:p>
            <w:pPr>
              <w:adjustRightInd w:val="0"/>
              <w:snapToGrid w:val="0"/>
              <w:jc w:val="center"/>
              <w:rPr>
                <w:rFonts w:eastAsiaTheme="minorEastAsia"/>
                <w:szCs w:val="21"/>
                <w:u w:val="single"/>
              </w:rPr>
            </w:pPr>
            <w:r>
              <w:rPr>
                <w:rFonts w:eastAsiaTheme="minorEastAsia"/>
                <w:kern w:val="0"/>
                <w:szCs w:val="21"/>
                <w:u w:val="single"/>
              </w:rPr>
              <w:t>0.00018</w:t>
            </w:r>
            <w:r>
              <w:rPr>
                <w:rFonts w:eastAsiaTheme="minorEastAsia"/>
                <w:bCs/>
                <w:kern w:val="0"/>
                <w:szCs w:val="21"/>
                <w:u w:val="single"/>
              </w:rPr>
              <w:t xml:space="preserve"> kg/h</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Align w:val="center"/>
          </w:tcPr>
          <w:p>
            <w:pPr>
              <w:snapToGrid w:val="0"/>
              <w:jc w:val="center"/>
              <w:rPr>
                <w:rFonts w:eastAsiaTheme="minorEastAsia"/>
                <w:szCs w:val="21"/>
              </w:rPr>
            </w:pPr>
            <w:r>
              <w:rPr>
                <w:rFonts w:eastAsiaTheme="minorEastAsia"/>
                <w:szCs w:val="21"/>
              </w:rPr>
              <w:t>噪声</w:t>
            </w:r>
          </w:p>
        </w:tc>
        <w:tc>
          <w:tcPr>
            <w:tcW w:w="1276" w:type="dxa"/>
            <w:gridSpan w:val="2"/>
            <w:vAlign w:val="center"/>
          </w:tcPr>
          <w:p>
            <w:pPr>
              <w:snapToGrid w:val="0"/>
              <w:jc w:val="center"/>
              <w:rPr>
                <w:rFonts w:eastAsiaTheme="minorEastAsia"/>
                <w:szCs w:val="21"/>
              </w:rPr>
            </w:pPr>
            <w:r>
              <w:rPr>
                <w:rFonts w:eastAsiaTheme="minorEastAsia"/>
                <w:szCs w:val="21"/>
              </w:rPr>
              <w:t>设备噪声</w:t>
            </w:r>
          </w:p>
        </w:tc>
        <w:tc>
          <w:tcPr>
            <w:tcW w:w="1276" w:type="dxa"/>
            <w:vAlign w:val="center"/>
          </w:tcPr>
          <w:p>
            <w:pPr>
              <w:snapToGrid w:val="0"/>
              <w:jc w:val="center"/>
              <w:rPr>
                <w:rFonts w:eastAsiaTheme="minorEastAsia"/>
                <w:szCs w:val="21"/>
              </w:rPr>
            </w:pPr>
            <w:r>
              <w:rPr>
                <w:rFonts w:eastAsiaTheme="minorEastAsia"/>
                <w:szCs w:val="21"/>
              </w:rPr>
              <w:t>锅炉、备用柴油发电机、水泵、污水处理站水泵等</w:t>
            </w:r>
          </w:p>
        </w:tc>
        <w:tc>
          <w:tcPr>
            <w:tcW w:w="1916" w:type="dxa"/>
            <w:vAlign w:val="center"/>
          </w:tcPr>
          <w:p>
            <w:pPr>
              <w:snapToGrid w:val="0"/>
              <w:jc w:val="center"/>
              <w:rPr>
                <w:rFonts w:eastAsiaTheme="minorEastAsia"/>
                <w:szCs w:val="21"/>
              </w:rPr>
            </w:pPr>
            <w:r>
              <w:rPr>
                <w:rFonts w:eastAsiaTheme="minorEastAsia"/>
                <w:szCs w:val="21"/>
              </w:rPr>
              <w:t>75～95dB(A)</w:t>
            </w:r>
          </w:p>
        </w:tc>
        <w:tc>
          <w:tcPr>
            <w:tcW w:w="1798" w:type="dxa"/>
            <w:vAlign w:val="center"/>
          </w:tcPr>
          <w:p>
            <w:pPr>
              <w:snapToGrid w:val="0"/>
              <w:jc w:val="center"/>
              <w:rPr>
                <w:rFonts w:eastAsiaTheme="minorEastAsia"/>
                <w:szCs w:val="21"/>
              </w:rPr>
            </w:pPr>
            <w:r>
              <w:rPr>
                <w:rFonts w:eastAsiaTheme="minorEastAsia"/>
                <w:szCs w:val="21"/>
              </w:rPr>
              <w:t>昼间 60 dB(A)</w:t>
            </w:r>
          </w:p>
          <w:p>
            <w:pPr>
              <w:snapToGrid w:val="0"/>
              <w:jc w:val="center"/>
              <w:rPr>
                <w:rFonts w:eastAsiaTheme="minorEastAsia"/>
                <w:szCs w:val="21"/>
              </w:rPr>
            </w:pPr>
            <w:r>
              <w:rPr>
                <w:rFonts w:eastAsiaTheme="minorEastAsia"/>
                <w:szCs w:val="21"/>
              </w:rPr>
              <w:t>夜间 50dB(A)</w:t>
            </w:r>
          </w:p>
        </w:tc>
        <w:tc>
          <w:tcPr>
            <w:tcW w:w="2267" w:type="dxa"/>
            <w:vAlign w:val="center"/>
          </w:tcPr>
          <w:p>
            <w:pPr>
              <w:snapToGrid w:val="0"/>
              <w:jc w:val="center"/>
              <w:rPr>
                <w:rFonts w:eastAsiaTheme="minorEastAsia"/>
                <w:szCs w:val="21"/>
              </w:rPr>
            </w:pPr>
            <w:r>
              <w:rPr>
                <w:rFonts w:eastAsiaTheme="minorEastAsia"/>
                <w:szCs w:val="21"/>
              </w:rPr>
              <w:t>减震基础、密闭隔声、吸声和消声等处理措施。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restart"/>
            <w:vAlign w:val="center"/>
          </w:tcPr>
          <w:p>
            <w:pPr>
              <w:snapToGrid w:val="0"/>
              <w:jc w:val="center"/>
              <w:rPr>
                <w:rFonts w:eastAsiaTheme="minorEastAsia"/>
                <w:szCs w:val="21"/>
              </w:rPr>
            </w:pPr>
            <w:r>
              <w:rPr>
                <w:rFonts w:eastAsiaTheme="minorEastAsia"/>
                <w:szCs w:val="21"/>
              </w:rPr>
              <w:t>固体废物</w:t>
            </w:r>
          </w:p>
        </w:tc>
        <w:tc>
          <w:tcPr>
            <w:tcW w:w="1276" w:type="dxa"/>
            <w:gridSpan w:val="2"/>
            <w:vAlign w:val="center"/>
          </w:tcPr>
          <w:p>
            <w:pPr>
              <w:snapToGrid w:val="0"/>
              <w:jc w:val="center"/>
              <w:rPr>
                <w:rFonts w:eastAsiaTheme="minorEastAsia"/>
                <w:szCs w:val="21"/>
              </w:rPr>
            </w:pPr>
            <w:r>
              <w:rPr>
                <w:rFonts w:eastAsiaTheme="minorEastAsia"/>
                <w:szCs w:val="21"/>
              </w:rPr>
              <w:t>医疗区</w:t>
            </w:r>
          </w:p>
        </w:tc>
        <w:tc>
          <w:tcPr>
            <w:tcW w:w="1276" w:type="dxa"/>
            <w:vAlign w:val="center"/>
          </w:tcPr>
          <w:p>
            <w:pPr>
              <w:snapToGrid w:val="0"/>
              <w:jc w:val="center"/>
              <w:rPr>
                <w:rFonts w:eastAsiaTheme="minorEastAsia"/>
                <w:szCs w:val="21"/>
              </w:rPr>
            </w:pPr>
            <w:r>
              <w:rPr>
                <w:rFonts w:eastAsiaTheme="minorEastAsia"/>
                <w:szCs w:val="21"/>
              </w:rPr>
              <w:t>医疗废物</w:t>
            </w:r>
          </w:p>
        </w:tc>
        <w:tc>
          <w:tcPr>
            <w:tcW w:w="1916" w:type="dxa"/>
            <w:vAlign w:val="center"/>
          </w:tcPr>
          <w:p>
            <w:pPr>
              <w:snapToGrid w:val="0"/>
              <w:jc w:val="center"/>
              <w:rPr>
                <w:rFonts w:eastAsiaTheme="minorEastAsia"/>
                <w:szCs w:val="21"/>
              </w:rPr>
            </w:pPr>
            <w:r>
              <w:rPr>
                <w:rFonts w:eastAsiaTheme="minorEastAsia"/>
                <w:szCs w:val="21"/>
              </w:rPr>
              <w:t>120.5 t/a</w:t>
            </w:r>
          </w:p>
        </w:tc>
        <w:tc>
          <w:tcPr>
            <w:tcW w:w="1798" w:type="dxa"/>
            <w:vAlign w:val="center"/>
          </w:tcPr>
          <w:p>
            <w:pPr>
              <w:snapToGrid w:val="0"/>
              <w:jc w:val="center"/>
              <w:rPr>
                <w:rFonts w:eastAsiaTheme="minorEastAsia"/>
                <w:szCs w:val="21"/>
              </w:rPr>
            </w:pPr>
            <w:r>
              <w:rPr>
                <w:rFonts w:hint="eastAsia" w:eastAsiaTheme="minorEastAsia"/>
                <w:szCs w:val="21"/>
              </w:rPr>
              <w:t>0</w:t>
            </w:r>
          </w:p>
        </w:tc>
        <w:tc>
          <w:tcPr>
            <w:tcW w:w="2267" w:type="dxa"/>
            <w:vAlign w:val="center"/>
          </w:tcPr>
          <w:p>
            <w:pPr>
              <w:snapToGrid w:val="0"/>
              <w:jc w:val="center"/>
              <w:rPr>
                <w:rFonts w:eastAsiaTheme="minorEastAsia"/>
                <w:szCs w:val="21"/>
              </w:rPr>
            </w:pPr>
            <w:r>
              <w:rPr>
                <w:rFonts w:eastAsiaTheme="minorEastAsia"/>
                <w:szCs w:val="21"/>
              </w:rPr>
              <w:t>分类暂存于医疗垃圾暂存间中，委托岳阳市方向固废安全处置有限公司定期清运。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Align w:val="center"/>
          </w:tcPr>
          <w:p>
            <w:pPr>
              <w:snapToGrid w:val="0"/>
              <w:jc w:val="center"/>
              <w:rPr>
                <w:rFonts w:eastAsiaTheme="minorEastAsia"/>
                <w:szCs w:val="21"/>
              </w:rPr>
            </w:pPr>
            <w:r>
              <w:rPr>
                <w:rFonts w:eastAsiaTheme="minorEastAsia"/>
                <w:szCs w:val="21"/>
              </w:rPr>
              <w:t>污水处理站</w:t>
            </w:r>
          </w:p>
        </w:tc>
        <w:tc>
          <w:tcPr>
            <w:tcW w:w="1276" w:type="dxa"/>
            <w:vAlign w:val="center"/>
          </w:tcPr>
          <w:p>
            <w:pPr>
              <w:snapToGrid w:val="0"/>
              <w:jc w:val="center"/>
              <w:rPr>
                <w:rFonts w:eastAsiaTheme="minorEastAsia"/>
                <w:szCs w:val="21"/>
              </w:rPr>
            </w:pPr>
            <w:r>
              <w:rPr>
                <w:rFonts w:eastAsiaTheme="minorEastAsia"/>
                <w:szCs w:val="21"/>
              </w:rPr>
              <w:t>污水处理站污泥</w:t>
            </w:r>
          </w:p>
        </w:tc>
        <w:tc>
          <w:tcPr>
            <w:tcW w:w="1916" w:type="dxa"/>
            <w:vAlign w:val="center"/>
          </w:tcPr>
          <w:p>
            <w:pPr>
              <w:snapToGrid w:val="0"/>
              <w:jc w:val="center"/>
              <w:rPr>
                <w:rFonts w:eastAsiaTheme="minorEastAsia"/>
                <w:szCs w:val="21"/>
              </w:rPr>
            </w:pPr>
            <w:r>
              <w:rPr>
                <w:rFonts w:eastAsiaTheme="minorEastAsia"/>
                <w:szCs w:val="21"/>
              </w:rPr>
              <w:t>36.28t/a</w:t>
            </w:r>
          </w:p>
        </w:tc>
        <w:tc>
          <w:tcPr>
            <w:tcW w:w="1798" w:type="dxa"/>
            <w:vAlign w:val="center"/>
          </w:tcPr>
          <w:p>
            <w:pPr>
              <w:snapToGrid w:val="0"/>
              <w:jc w:val="center"/>
              <w:rPr>
                <w:rFonts w:eastAsiaTheme="minorEastAsia"/>
                <w:szCs w:val="21"/>
              </w:rPr>
            </w:pPr>
            <w:r>
              <w:rPr>
                <w:rFonts w:hint="eastAsia" w:eastAsiaTheme="minorEastAsia"/>
                <w:szCs w:val="21"/>
              </w:rPr>
              <w:t>0</w:t>
            </w:r>
          </w:p>
        </w:tc>
        <w:tc>
          <w:tcPr>
            <w:tcW w:w="2267" w:type="dxa"/>
            <w:vAlign w:val="center"/>
          </w:tcPr>
          <w:p>
            <w:pPr>
              <w:snapToGrid w:val="0"/>
              <w:jc w:val="center"/>
              <w:rPr>
                <w:rFonts w:eastAsiaTheme="minorEastAsia"/>
                <w:szCs w:val="21"/>
              </w:rPr>
            </w:pPr>
            <w:r>
              <w:rPr>
                <w:rFonts w:eastAsiaTheme="minorEastAsia"/>
                <w:szCs w:val="21"/>
              </w:rPr>
              <w:t>石灰消毒和脱水后交由岳阳市方向固废安全处置有限公司回收处置。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Align w:val="center"/>
          </w:tcPr>
          <w:p>
            <w:pPr>
              <w:snapToGrid w:val="0"/>
              <w:jc w:val="center"/>
              <w:rPr>
                <w:rFonts w:eastAsiaTheme="minorEastAsia"/>
                <w:szCs w:val="21"/>
                <w:u w:val="single"/>
              </w:rPr>
            </w:pPr>
            <w:r>
              <w:rPr>
                <w:rFonts w:hint="eastAsia" w:eastAsiaTheme="minorEastAsia"/>
                <w:szCs w:val="21"/>
                <w:u w:val="single"/>
              </w:rPr>
              <w:t>未被污染的输液瓶(袋)</w:t>
            </w:r>
          </w:p>
        </w:tc>
        <w:tc>
          <w:tcPr>
            <w:tcW w:w="1276" w:type="dxa"/>
            <w:vAlign w:val="center"/>
          </w:tcPr>
          <w:p>
            <w:pPr>
              <w:snapToGrid w:val="0"/>
              <w:jc w:val="center"/>
              <w:rPr>
                <w:rFonts w:eastAsiaTheme="minorEastAsia"/>
                <w:szCs w:val="21"/>
                <w:u w:val="single"/>
              </w:rPr>
            </w:pPr>
            <w:r>
              <w:rPr>
                <w:rFonts w:hint="eastAsia" w:eastAsiaTheme="minorEastAsia"/>
                <w:szCs w:val="21"/>
                <w:u w:val="single"/>
              </w:rPr>
              <w:t>病房</w:t>
            </w:r>
          </w:p>
        </w:tc>
        <w:tc>
          <w:tcPr>
            <w:tcW w:w="1916" w:type="dxa"/>
            <w:vAlign w:val="center"/>
          </w:tcPr>
          <w:p>
            <w:pPr>
              <w:snapToGrid w:val="0"/>
              <w:jc w:val="center"/>
              <w:rPr>
                <w:rFonts w:eastAsiaTheme="minorEastAsia"/>
                <w:szCs w:val="21"/>
                <w:u w:val="single"/>
              </w:rPr>
            </w:pPr>
            <w:r>
              <w:rPr>
                <w:rFonts w:hint="eastAsia" w:eastAsiaTheme="minorEastAsia"/>
                <w:szCs w:val="21"/>
                <w:u w:val="single"/>
              </w:rPr>
              <w:t>35</w:t>
            </w:r>
            <w:r>
              <w:rPr>
                <w:rFonts w:eastAsiaTheme="minorEastAsia"/>
                <w:szCs w:val="21"/>
                <w:u w:val="single"/>
              </w:rPr>
              <w:t xml:space="preserve"> t/a</w:t>
            </w:r>
          </w:p>
        </w:tc>
        <w:tc>
          <w:tcPr>
            <w:tcW w:w="1798" w:type="dxa"/>
            <w:vAlign w:val="center"/>
          </w:tcPr>
          <w:p>
            <w:pPr>
              <w:snapToGrid w:val="0"/>
              <w:jc w:val="center"/>
              <w:rPr>
                <w:rFonts w:eastAsiaTheme="minorEastAsia"/>
                <w:szCs w:val="21"/>
                <w:u w:val="single"/>
              </w:rPr>
            </w:pPr>
            <w:r>
              <w:rPr>
                <w:rFonts w:hint="eastAsia" w:eastAsiaTheme="minorEastAsia"/>
                <w:szCs w:val="21"/>
                <w:u w:val="single"/>
              </w:rPr>
              <w:t>0</w:t>
            </w:r>
          </w:p>
        </w:tc>
        <w:tc>
          <w:tcPr>
            <w:tcW w:w="2267" w:type="dxa"/>
            <w:vAlign w:val="center"/>
          </w:tcPr>
          <w:p>
            <w:pPr>
              <w:snapToGrid w:val="0"/>
              <w:jc w:val="center"/>
              <w:rPr>
                <w:rFonts w:eastAsiaTheme="minorEastAsia"/>
                <w:szCs w:val="21"/>
                <w:u w:val="single"/>
              </w:rPr>
            </w:pPr>
            <w:r>
              <w:rPr>
                <w:rFonts w:eastAsiaTheme="minorEastAsia"/>
                <w:color w:val="000000" w:themeColor="text1"/>
                <w:szCs w:val="21"/>
                <w:u w:val="single"/>
              </w:rPr>
              <w:t>委托</w:t>
            </w:r>
            <w:bookmarkStart w:id="96" w:name="OLE_LINK22"/>
            <w:bookmarkStart w:id="97" w:name="OLE_LINK20"/>
            <w:bookmarkStart w:id="98" w:name="OLE_LINK21"/>
            <w:bookmarkStart w:id="99" w:name="OLE_LINK17"/>
            <w:bookmarkStart w:id="100" w:name="OLE_LINK16"/>
            <w:bookmarkStart w:id="101" w:name="OLE_LINK23"/>
            <w:r>
              <w:rPr>
                <w:rFonts w:hint="eastAsia" w:eastAsiaTheme="minorEastAsia"/>
                <w:color w:val="000000" w:themeColor="text1"/>
                <w:szCs w:val="21"/>
                <w:u w:val="single"/>
              </w:rPr>
              <w:t>湖南宝叶再生资源开</w:t>
            </w:r>
            <w:bookmarkEnd w:id="96"/>
            <w:bookmarkEnd w:id="97"/>
            <w:bookmarkEnd w:id="98"/>
            <w:r>
              <w:rPr>
                <w:rFonts w:hint="eastAsia" w:eastAsiaTheme="minorEastAsia"/>
                <w:color w:val="000000" w:themeColor="text1"/>
                <w:szCs w:val="21"/>
                <w:u w:val="single"/>
              </w:rPr>
              <w:t>发有限公司</w:t>
            </w:r>
            <w:bookmarkEnd w:id="99"/>
            <w:bookmarkEnd w:id="100"/>
            <w:bookmarkEnd w:id="10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Align w:val="center"/>
          </w:tcPr>
          <w:p>
            <w:pPr>
              <w:snapToGrid w:val="0"/>
              <w:jc w:val="center"/>
              <w:rPr>
                <w:rFonts w:eastAsiaTheme="minorEastAsia"/>
                <w:szCs w:val="21"/>
              </w:rPr>
            </w:pPr>
            <w:r>
              <w:rPr>
                <w:rFonts w:eastAsiaTheme="minorEastAsia"/>
                <w:szCs w:val="21"/>
              </w:rPr>
              <w:t>院区内</w:t>
            </w:r>
          </w:p>
        </w:tc>
        <w:tc>
          <w:tcPr>
            <w:tcW w:w="1276" w:type="dxa"/>
            <w:vAlign w:val="center"/>
          </w:tcPr>
          <w:p>
            <w:pPr>
              <w:snapToGrid w:val="0"/>
              <w:jc w:val="center"/>
              <w:rPr>
                <w:rFonts w:eastAsiaTheme="minorEastAsia"/>
                <w:szCs w:val="21"/>
              </w:rPr>
            </w:pPr>
            <w:r>
              <w:rPr>
                <w:rFonts w:eastAsiaTheme="minorEastAsia"/>
                <w:szCs w:val="21"/>
              </w:rPr>
              <w:t>生活垃圾</w:t>
            </w:r>
          </w:p>
        </w:tc>
        <w:tc>
          <w:tcPr>
            <w:tcW w:w="1916" w:type="dxa"/>
            <w:vAlign w:val="center"/>
          </w:tcPr>
          <w:p>
            <w:pPr>
              <w:snapToGrid w:val="0"/>
              <w:jc w:val="center"/>
              <w:rPr>
                <w:rFonts w:eastAsiaTheme="minorEastAsia"/>
                <w:szCs w:val="21"/>
              </w:rPr>
            </w:pPr>
            <w:r>
              <w:rPr>
                <w:rFonts w:eastAsiaTheme="minorEastAsia"/>
                <w:szCs w:val="21"/>
              </w:rPr>
              <w:t>301.6t/a</w:t>
            </w:r>
          </w:p>
        </w:tc>
        <w:tc>
          <w:tcPr>
            <w:tcW w:w="1798" w:type="dxa"/>
            <w:vAlign w:val="center"/>
          </w:tcPr>
          <w:p>
            <w:pPr>
              <w:snapToGrid w:val="0"/>
              <w:jc w:val="center"/>
              <w:rPr>
                <w:rFonts w:eastAsiaTheme="minorEastAsia"/>
                <w:szCs w:val="21"/>
              </w:rPr>
            </w:pPr>
            <w:r>
              <w:rPr>
                <w:rFonts w:hint="eastAsia" w:eastAsiaTheme="minorEastAsia"/>
                <w:szCs w:val="21"/>
              </w:rPr>
              <w:t>0</w:t>
            </w:r>
          </w:p>
        </w:tc>
        <w:tc>
          <w:tcPr>
            <w:tcW w:w="2267" w:type="dxa"/>
            <w:vAlign w:val="center"/>
          </w:tcPr>
          <w:p>
            <w:pPr>
              <w:snapToGrid w:val="0"/>
              <w:jc w:val="center"/>
              <w:rPr>
                <w:rFonts w:eastAsiaTheme="minorEastAsia"/>
                <w:szCs w:val="21"/>
              </w:rPr>
            </w:pPr>
            <w:r>
              <w:rPr>
                <w:rFonts w:eastAsiaTheme="minorEastAsia"/>
                <w:szCs w:val="21"/>
              </w:rPr>
              <w:t>暂存于地下室的生活垃圾暂存间，每日由环卫部门进行清运处理。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restart"/>
            <w:vAlign w:val="center"/>
          </w:tcPr>
          <w:p>
            <w:pPr>
              <w:snapToGrid w:val="0"/>
              <w:jc w:val="center"/>
              <w:rPr>
                <w:rFonts w:eastAsiaTheme="minorEastAsia"/>
                <w:szCs w:val="21"/>
              </w:rPr>
            </w:pPr>
            <w:r>
              <w:rPr>
                <w:rFonts w:hint="eastAsia" w:eastAsiaTheme="minorEastAsia"/>
                <w:szCs w:val="21"/>
              </w:rPr>
              <w:t>食堂</w:t>
            </w:r>
          </w:p>
        </w:tc>
        <w:tc>
          <w:tcPr>
            <w:tcW w:w="1276" w:type="dxa"/>
            <w:vAlign w:val="center"/>
          </w:tcPr>
          <w:p>
            <w:pPr>
              <w:snapToGrid w:val="0"/>
              <w:jc w:val="center"/>
              <w:rPr>
                <w:rFonts w:eastAsiaTheme="minorEastAsia"/>
                <w:szCs w:val="21"/>
              </w:rPr>
            </w:pPr>
            <w:r>
              <w:rPr>
                <w:rFonts w:eastAsiaTheme="minorEastAsia"/>
                <w:szCs w:val="21"/>
              </w:rPr>
              <w:t>餐厨垃圾</w:t>
            </w:r>
          </w:p>
        </w:tc>
        <w:tc>
          <w:tcPr>
            <w:tcW w:w="1916" w:type="dxa"/>
            <w:vAlign w:val="center"/>
          </w:tcPr>
          <w:p>
            <w:pPr>
              <w:snapToGrid w:val="0"/>
              <w:jc w:val="center"/>
              <w:rPr>
                <w:rFonts w:eastAsiaTheme="minorEastAsia"/>
                <w:szCs w:val="21"/>
              </w:rPr>
            </w:pPr>
            <w:r>
              <w:rPr>
                <w:rFonts w:eastAsiaTheme="minorEastAsia"/>
                <w:szCs w:val="21"/>
              </w:rPr>
              <w:t>51.1t/a</w:t>
            </w:r>
          </w:p>
        </w:tc>
        <w:tc>
          <w:tcPr>
            <w:tcW w:w="1798" w:type="dxa"/>
            <w:vAlign w:val="center"/>
          </w:tcPr>
          <w:p>
            <w:pPr>
              <w:snapToGrid w:val="0"/>
              <w:jc w:val="center"/>
              <w:rPr>
                <w:rFonts w:eastAsiaTheme="minorEastAsia"/>
                <w:szCs w:val="21"/>
              </w:rPr>
            </w:pPr>
            <w:r>
              <w:rPr>
                <w:rFonts w:hint="eastAsia" w:eastAsiaTheme="minorEastAsia"/>
                <w:szCs w:val="21"/>
              </w:rPr>
              <w:t>0</w:t>
            </w:r>
          </w:p>
        </w:tc>
        <w:tc>
          <w:tcPr>
            <w:tcW w:w="2267" w:type="dxa"/>
            <w:vMerge w:val="restart"/>
            <w:vAlign w:val="center"/>
          </w:tcPr>
          <w:p>
            <w:pPr>
              <w:snapToGrid w:val="0"/>
              <w:jc w:val="center"/>
              <w:rPr>
                <w:rFonts w:eastAsiaTheme="minorEastAsia"/>
                <w:color w:val="FF0000"/>
                <w:szCs w:val="21"/>
              </w:rPr>
            </w:pPr>
            <w:r>
              <w:rPr>
                <w:szCs w:val="21"/>
              </w:rPr>
              <w:t>交由有</w:t>
            </w:r>
            <w:bookmarkStart w:id="102" w:name="OLE_LINK18"/>
            <w:bookmarkStart w:id="103" w:name="OLE_LINK19"/>
            <w:r>
              <w:rPr>
                <w:szCs w:val="21"/>
              </w:rPr>
              <w:t>相关</w:t>
            </w:r>
            <w:bookmarkEnd w:id="102"/>
            <w:bookmarkEnd w:id="103"/>
            <w:r>
              <w:rPr>
                <w:szCs w:val="21"/>
              </w:rPr>
              <w:t>单位统一处理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Merge w:val="continue"/>
            <w:vAlign w:val="center"/>
          </w:tcPr>
          <w:p>
            <w:pPr>
              <w:snapToGrid w:val="0"/>
              <w:jc w:val="center"/>
              <w:rPr>
                <w:rFonts w:eastAsiaTheme="minorEastAsia"/>
                <w:szCs w:val="21"/>
              </w:rPr>
            </w:pPr>
          </w:p>
        </w:tc>
        <w:tc>
          <w:tcPr>
            <w:tcW w:w="1276" w:type="dxa"/>
            <w:vAlign w:val="center"/>
          </w:tcPr>
          <w:p>
            <w:pPr>
              <w:snapToGrid w:val="0"/>
              <w:jc w:val="center"/>
              <w:rPr>
                <w:rFonts w:eastAsiaTheme="minorEastAsia"/>
                <w:szCs w:val="21"/>
              </w:rPr>
            </w:pPr>
            <w:r>
              <w:rPr>
                <w:rFonts w:eastAsiaTheme="minorEastAsia"/>
                <w:szCs w:val="21"/>
              </w:rPr>
              <w:t>隔油沉淀池）</w:t>
            </w:r>
          </w:p>
        </w:tc>
        <w:tc>
          <w:tcPr>
            <w:tcW w:w="1916" w:type="dxa"/>
            <w:vAlign w:val="center"/>
          </w:tcPr>
          <w:p>
            <w:pPr>
              <w:snapToGrid w:val="0"/>
              <w:jc w:val="center"/>
              <w:rPr>
                <w:rFonts w:eastAsiaTheme="minorEastAsia"/>
                <w:szCs w:val="21"/>
              </w:rPr>
            </w:pPr>
            <w:r>
              <w:rPr>
                <w:rFonts w:eastAsiaTheme="minorEastAsia"/>
                <w:szCs w:val="21"/>
              </w:rPr>
              <w:t>1.69t/a</w:t>
            </w:r>
          </w:p>
        </w:tc>
        <w:tc>
          <w:tcPr>
            <w:tcW w:w="1798" w:type="dxa"/>
            <w:vAlign w:val="center"/>
          </w:tcPr>
          <w:p>
            <w:pPr>
              <w:snapToGrid w:val="0"/>
              <w:jc w:val="center"/>
              <w:rPr>
                <w:rFonts w:eastAsiaTheme="minorEastAsia"/>
                <w:szCs w:val="21"/>
              </w:rPr>
            </w:pPr>
            <w:r>
              <w:rPr>
                <w:rFonts w:hint="eastAsia" w:eastAsiaTheme="minorEastAsia"/>
                <w:szCs w:val="21"/>
              </w:rPr>
              <w:t>0</w:t>
            </w:r>
          </w:p>
        </w:tc>
        <w:tc>
          <w:tcPr>
            <w:tcW w:w="2267" w:type="dxa"/>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dxa"/>
            <w:vMerge w:val="continue"/>
            <w:vAlign w:val="center"/>
          </w:tcPr>
          <w:p>
            <w:pPr>
              <w:snapToGrid w:val="0"/>
              <w:jc w:val="center"/>
              <w:rPr>
                <w:rFonts w:eastAsiaTheme="minorEastAsia"/>
                <w:color w:val="FF0000"/>
                <w:szCs w:val="21"/>
              </w:rPr>
            </w:pPr>
          </w:p>
        </w:tc>
        <w:tc>
          <w:tcPr>
            <w:tcW w:w="1276" w:type="dxa"/>
            <w:gridSpan w:val="2"/>
            <w:vAlign w:val="center"/>
          </w:tcPr>
          <w:p>
            <w:pPr>
              <w:snapToGrid w:val="0"/>
              <w:jc w:val="center"/>
              <w:rPr>
                <w:rFonts w:eastAsiaTheme="minorEastAsia"/>
                <w:szCs w:val="21"/>
              </w:rPr>
            </w:pPr>
            <w:r>
              <w:rPr>
                <w:rFonts w:eastAsiaTheme="minorEastAsia"/>
                <w:szCs w:val="21"/>
              </w:rPr>
              <w:t>煎药房</w:t>
            </w:r>
          </w:p>
        </w:tc>
        <w:tc>
          <w:tcPr>
            <w:tcW w:w="1276" w:type="dxa"/>
            <w:vAlign w:val="center"/>
          </w:tcPr>
          <w:p>
            <w:pPr>
              <w:snapToGrid w:val="0"/>
              <w:jc w:val="center"/>
              <w:rPr>
                <w:rFonts w:eastAsiaTheme="minorEastAsia"/>
                <w:szCs w:val="21"/>
              </w:rPr>
            </w:pPr>
            <w:r>
              <w:rPr>
                <w:rFonts w:eastAsiaTheme="minorEastAsia"/>
                <w:color w:val="000000" w:themeColor="text1"/>
                <w:szCs w:val="21"/>
              </w:rPr>
              <w:t>中药渣</w:t>
            </w:r>
          </w:p>
        </w:tc>
        <w:tc>
          <w:tcPr>
            <w:tcW w:w="1916" w:type="dxa"/>
            <w:vAlign w:val="center"/>
          </w:tcPr>
          <w:p>
            <w:pPr>
              <w:snapToGrid w:val="0"/>
              <w:jc w:val="center"/>
              <w:rPr>
                <w:rFonts w:eastAsiaTheme="minorEastAsia"/>
                <w:szCs w:val="21"/>
              </w:rPr>
            </w:pPr>
            <w:r>
              <w:rPr>
                <w:rFonts w:eastAsiaTheme="minorEastAsia"/>
                <w:szCs w:val="21"/>
              </w:rPr>
              <w:t>14 t/a</w:t>
            </w:r>
          </w:p>
        </w:tc>
        <w:tc>
          <w:tcPr>
            <w:tcW w:w="1798" w:type="dxa"/>
            <w:vAlign w:val="center"/>
          </w:tcPr>
          <w:p>
            <w:pPr>
              <w:snapToGrid w:val="0"/>
              <w:jc w:val="center"/>
              <w:rPr>
                <w:rFonts w:eastAsiaTheme="minorEastAsia"/>
                <w:szCs w:val="21"/>
              </w:rPr>
            </w:pPr>
            <w:r>
              <w:rPr>
                <w:rFonts w:hint="eastAsia" w:eastAsiaTheme="minorEastAsia"/>
                <w:szCs w:val="21"/>
              </w:rPr>
              <w:t>0</w:t>
            </w:r>
          </w:p>
        </w:tc>
        <w:tc>
          <w:tcPr>
            <w:tcW w:w="2267" w:type="dxa"/>
            <w:vAlign w:val="center"/>
          </w:tcPr>
          <w:p>
            <w:pPr>
              <w:snapToGrid w:val="0"/>
              <w:jc w:val="center"/>
              <w:rPr>
                <w:rFonts w:eastAsiaTheme="minorEastAsia"/>
                <w:color w:val="FF0000"/>
                <w:szCs w:val="21"/>
              </w:rPr>
            </w:pPr>
            <w:r>
              <w:rPr>
                <w:rFonts w:eastAsiaTheme="minorEastAsia"/>
                <w:color w:val="000000" w:themeColor="text1"/>
                <w:szCs w:val="21"/>
              </w:rPr>
              <w:t>与生活垃圾一并存放，由环卫部门统一处理</w:t>
            </w:r>
          </w:p>
        </w:tc>
      </w:tr>
    </w:tbl>
    <w:p>
      <w:pPr>
        <w:snapToGrid w:val="0"/>
        <w:jc w:val="left"/>
        <w:rPr>
          <w:rFonts w:eastAsiaTheme="minorEastAsia"/>
        </w:rPr>
      </w:pPr>
      <w:r>
        <w:rPr>
          <w:rFonts w:eastAsiaTheme="minorEastAsia"/>
        </w:rPr>
        <w:t>注：湘阴县第一污水处理厂废水排放执行《城镇污水处理厂污染物排放标准》(GB18918-2002)一级A标准。</w:t>
      </w:r>
    </w:p>
    <w:p>
      <w:pPr>
        <w:pStyle w:val="3"/>
        <w:snapToGrid w:val="0"/>
        <w:spacing w:before="0" w:after="0" w:line="360" w:lineRule="auto"/>
        <w:rPr>
          <w:rFonts w:ascii="Times New Roman" w:hAnsi="Times New Roman" w:eastAsiaTheme="minorEastAsia"/>
          <w:sz w:val="28"/>
        </w:rPr>
      </w:pPr>
      <w:bookmarkStart w:id="104" w:name="_Toc61026603"/>
      <w:r>
        <w:rPr>
          <w:rFonts w:ascii="Times New Roman" w:hAnsi="Times New Roman" w:eastAsiaTheme="minorEastAsia"/>
          <w:sz w:val="28"/>
        </w:rPr>
        <w:t>4.8 项目迁建前后污染物 “ 三本账 ”</w:t>
      </w:r>
      <w:bookmarkEnd w:id="104"/>
    </w:p>
    <w:p>
      <w:pPr>
        <w:snapToGrid w:val="0"/>
        <w:spacing w:line="360" w:lineRule="auto"/>
        <w:ind w:firstLine="480" w:firstLineChars="200"/>
        <w:rPr>
          <w:rFonts w:eastAsiaTheme="minorEastAsia"/>
          <w:sz w:val="24"/>
        </w:rPr>
      </w:pPr>
      <w:r>
        <w:rPr>
          <w:rFonts w:eastAsiaTheme="minorEastAsia"/>
          <w:sz w:val="24"/>
        </w:rPr>
        <w:t>本项目迁建前后废水、废气、固废三本帐汇总情况见下表。</w:t>
      </w: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sectPr>
          <w:headerReference r:id="rId14" w:type="first"/>
          <w:footerReference r:id="rId16" w:type="first"/>
          <w:headerReference r:id="rId13" w:type="even"/>
          <w:footerReference r:id="rId15" w:type="even"/>
          <w:pgSz w:w="11907" w:h="16840"/>
          <w:pgMar w:top="1418" w:right="1304" w:bottom="1418" w:left="1474" w:header="851" w:footer="992" w:gutter="0"/>
          <w:cols w:space="720" w:num="1"/>
          <w:docGrid w:linePitch="312" w:charSpace="0"/>
        </w:sectPr>
      </w:pPr>
    </w:p>
    <w:p>
      <w:pPr>
        <w:snapToGrid w:val="0"/>
        <w:jc w:val="center"/>
        <w:rPr>
          <w:rFonts w:eastAsiaTheme="minorEastAsia"/>
          <w:b/>
          <w:bCs/>
          <w:sz w:val="24"/>
        </w:rPr>
      </w:pPr>
      <w:r>
        <w:rPr>
          <w:rFonts w:eastAsiaTheme="minorEastAsia"/>
          <w:b/>
          <w:bCs/>
          <w:sz w:val="24"/>
        </w:rPr>
        <w:t>表4.8-1  项目改扩建主要污染物“三本帐”核算（单位：t/a）</w:t>
      </w:r>
    </w:p>
    <w:tbl>
      <w:tblPr>
        <w:tblStyle w:val="79"/>
        <w:tblW w:w="142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1"/>
        <w:gridCol w:w="2297"/>
        <w:gridCol w:w="1417"/>
        <w:gridCol w:w="1418"/>
        <w:gridCol w:w="1417"/>
        <w:gridCol w:w="1530"/>
        <w:gridCol w:w="1601"/>
        <w:gridCol w:w="1749"/>
        <w:gridCol w:w="17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71" w:type="dxa"/>
            <w:vMerge w:val="restart"/>
            <w:vAlign w:val="center"/>
          </w:tcPr>
          <w:p>
            <w:pPr>
              <w:widowControl/>
              <w:adjustRightInd w:val="0"/>
              <w:snapToGrid w:val="0"/>
              <w:jc w:val="center"/>
              <w:rPr>
                <w:b/>
                <w:bCs/>
                <w:color w:val="000000"/>
                <w:kern w:val="0"/>
                <w:szCs w:val="21"/>
                <w:lang w:eastAsia="en-US" w:bidi="en-US"/>
              </w:rPr>
            </w:pPr>
            <w:bookmarkStart w:id="105" w:name="OLE_LINK2" w:colFirst="4" w:colLast="4"/>
            <w:bookmarkStart w:id="106" w:name="OLE_LINK1" w:colFirst="4" w:colLast="4"/>
            <w:bookmarkStart w:id="107" w:name="_Hlk490000039"/>
            <w:r>
              <w:rPr>
                <w:b/>
                <w:bCs/>
                <w:color w:val="000000"/>
                <w:kern w:val="0"/>
                <w:szCs w:val="21"/>
                <w:lang w:eastAsia="en-US" w:bidi="en-US"/>
              </w:rPr>
              <w:t>种类</w:t>
            </w:r>
          </w:p>
        </w:tc>
        <w:tc>
          <w:tcPr>
            <w:tcW w:w="2297" w:type="dxa"/>
            <w:vMerge w:val="restart"/>
            <w:vAlign w:val="center"/>
          </w:tcPr>
          <w:p>
            <w:pPr>
              <w:widowControl/>
              <w:adjustRightInd w:val="0"/>
              <w:snapToGrid w:val="0"/>
              <w:jc w:val="center"/>
              <w:rPr>
                <w:b/>
                <w:bCs/>
                <w:color w:val="000000"/>
                <w:kern w:val="0"/>
                <w:szCs w:val="21"/>
                <w:lang w:eastAsia="en-US" w:bidi="en-US"/>
              </w:rPr>
            </w:pPr>
            <w:r>
              <w:rPr>
                <w:b/>
                <w:bCs/>
                <w:color w:val="000000"/>
                <w:kern w:val="0"/>
                <w:szCs w:val="21"/>
                <w:lang w:eastAsia="en-US" w:bidi="en-US"/>
              </w:rPr>
              <w:t>污染物名称</w:t>
            </w:r>
          </w:p>
        </w:tc>
        <w:tc>
          <w:tcPr>
            <w:tcW w:w="1417" w:type="dxa"/>
            <w:vMerge w:val="restart"/>
            <w:vAlign w:val="center"/>
          </w:tcPr>
          <w:p>
            <w:pPr>
              <w:widowControl/>
              <w:adjustRightInd w:val="0"/>
              <w:snapToGrid w:val="0"/>
              <w:jc w:val="center"/>
              <w:rPr>
                <w:b/>
                <w:bCs/>
                <w:color w:val="000000"/>
                <w:kern w:val="0"/>
                <w:szCs w:val="21"/>
                <w:lang w:eastAsia="en-US" w:bidi="en-US"/>
              </w:rPr>
            </w:pPr>
            <w:r>
              <w:rPr>
                <w:b/>
                <w:bCs/>
                <w:color w:val="000000"/>
                <w:kern w:val="0"/>
                <w:szCs w:val="21"/>
                <w:lang w:bidi="en-US"/>
              </w:rPr>
              <w:t>改</w:t>
            </w:r>
            <w:r>
              <w:rPr>
                <w:b/>
                <w:bCs/>
                <w:color w:val="000000"/>
                <w:kern w:val="0"/>
                <w:szCs w:val="21"/>
                <w:lang w:eastAsia="en-US" w:bidi="en-US"/>
              </w:rPr>
              <w:t>扩建前排放量</w:t>
            </w:r>
          </w:p>
        </w:tc>
        <w:tc>
          <w:tcPr>
            <w:tcW w:w="4365" w:type="dxa"/>
            <w:gridSpan w:val="3"/>
            <w:vAlign w:val="center"/>
          </w:tcPr>
          <w:p>
            <w:pPr>
              <w:widowControl/>
              <w:adjustRightInd w:val="0"/>
              <w:snapToGrid w:val="0"/>
              <w:jc w:val="center"/>
              <w:rPr>
                <w:b/>
                <w:bCs/>
                <w:color w:val="000000"/>
                <w:kern w:val="0"/>
                <w:szCs w:val="21"/>
                <w:lang w:bidi="en-US"/>
              </w:rPr>
            </w:pPr>
            <w:r>
              <w:rPr>
                <w:b/>
                <w:bCs/>
                <w:color w:val="000000"/>
                <w:kern w:val="0"/>
                <w:szCs w:val="21"/>
                <w:lang w:bidi="en-US"/>
              </w:rPr>
              <w:t>改</w:t>
            </w:r>
            <w:r>
              <w:rPr>
                <w:b/>
                <w:bCs/>
                <w:color w:val="000000"/>
                <w:kern w:val="0"/>
                <w:szCs w:val="21"/>
                <w:lang w:eastAsia="en-US" w:bidi="en-US"/>
              </w:rPr>
              <w:t>扩建</w:t>
            </w:r>
            <w:r>
              <w:rPr>
                <w:b/>
                <w:bCs/>
                <w:color w:val="000000"/>
                <w:kern w:val="0"/>
                <w:szCs w:val="21"/>
                <w:lang w:bidi="en-US"/>
              </w:rPr>
              <w:t>项目</w:t>
            </w:r>
          </w:p>
        </w:tc>
        <w:tc>
          <w:tcPr>
            <w:tcW w:w="1601" w:type="dxa"/>
            <w:vMerge w:val="restart"/>
            <w:vAlign w:val="center"/>
          </w:tcPr>
          <w:p>
            <w:pPr>
              <w:widowControl/>
              <w:adjustRightInd w:val="0"/>
              <w:snapToGrid w:val="0"/>
              <w:jc w:val="center"/>
              <w:rPr>
                <w:b/>
                <w:bCs/>
                <w:color w:val="000000"/>
                <w:kern w:val="0"/>
                <w:szCs w:val="21"/>
                <w:lang w:eastAsia="en-US" w:bidi="en-US"/>
              </w:rPr>
            </w:pPr>
            <w:r>
              <w:rPr>
                <w:b/>
                <w:bCs/>
                <w:color w:val="000000"/>
                <w:kern w:val="0"/>
                <w:szCs w:val="21"/>
                <w:lang w:eastAsia="en-US" w:bidi="en-US"/>
              </w:rPr>
              <w:t>“以新带老”削减量</w:t>
            </w:r>
          </w:p>
        </w:tc>
        <w:tc>
          <w:tcPr>
            <w:tcW w:w="1749" w:type="dxa"/>
            <w:vMerge w:val="restart"/>
            <w:vAlign w:val="center"/>
          </w:tcPr>
          <w:p>
            <w:pPr>
              <w:widowControl/>
              <w:adjustRightInd w:val="0"/>
              <w:snapToGrid w:val="0"/>
              <w:jc w:val="center"/>
              <w:rPr>
                <w:b/>
                <w:bCs/>
                <w:color w:val="000000"/>
                <w:kern w:val="0"/>
                <w:szCs w:val="21"/>
                <w:lang w:bidi="en-US"/>
              </w:rPr>
            </w:pPr>
            <w:r>
              <w:rPr>
                <w:b/>
                <w:bCs/>
                <w:color w:val="000000"/>
                <w:kern w:val="0"/>
                <w:szCs w:val="21"/>
                <w:lang w:bidi="en-US"/>
              </w:rPr>
              <w:t>改扩建工程完成后排放量</w:t>
            </w:r>
          </w:p>
        </w:tc>
        <w:tc>
          <w:tcPr>
            <w:tcW w:w="1718" w:type="dxa"/>
            <w:vMerge w:val="restart"/>
            <w:vAlign w:val="center"/>
          </w:tcPr>
          <w:p>
            <w:pPr>
              <w:widowControl/>
              <w:adjustRightInd w:val="0"/>
              <w:snapToGrid w:val="0"/>
              <w:jc w:val="center"/>
              <w:rPr>
                <w:b/>
                <w:bCs/>
                <w:color w:val="000000"/>
                <w:kern w:val="0"/>
                <w:szCs w:val="21"/>
                <w:lang w:eastAsia="en-US" w:bidi="en-US"/>
              </w:rPr>
            </w:pPr>
            <w:r>
              <w:rPr>
                <w:b/>
                <w:bCs/>
                <w:color w:val="000000"/>
                <w:kern w:val="0"/>
                <w:szCs w:val="21"/>
                <w:lang w:bidi="en-US"/>
              </w:rPr>
              <w:t>改</w:t>
            </w:r>
            <w:r>
              <w:rPr>
                <w:b/>
                <w:bCs/>
                <w:color w:val="000000"/>
                <w:kern w:val="0"/>
                <w:szCs w:val="21"/>
                <w:lang w:eastAsia="en-US" w:bidi="en-US"/>
              </w:rPr>
              <w:t>扩建前后</w:t>
            </w:r>
          </w:p>
          <w:p>
            <w:pPr>
              <w:widowControl/>
              <w:adjustRightInd w:val="0"/>
              <w:snapToGrid w:val="0"/>
              <w:jc w:val="center"/>
              <w:rPr>
                <w:b/>
                <w:bCs/>
                <w:color w:val="000000"/>
                <w:kern w:val="0"/>
                <w:szCs w:val="21"/>
                <w:lang w:eastAsia="en-US" w:bidi="en-US"/>
              </w:rPr>
            </w:pPr>
            <w:r>
              <w:rPr>
                <w:b/>
                <w:bCs/>
                <w:color w:val="000000"/>
                <w:kern w:val="0"/>
                <w:szCs w:val="21"/>
                <w:lang w:eastAsia="en-US" w:bidi="en-US"/>
              </w:rPr>
              <w:t>变化量</w:t>
            </w:r>
          </w:p>
        </w:tc>
      </w:tr>
      <w:bookmarkEnd w:id="105"/>
      <w:bookmarkEnd w:id="106"/>
      <w:bookmarkEnd w:id="107"/>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1071" w:type="dxa"/>
            <w:vMerge w:val="continue"/>
            <w:vAlign w:val="center"/>
          </w:tcPr>
          <w:p>
            <w:pPr>
              <w:widowControl/>
              <w:adjustRightInd w:val="0"/>
              <w:snapToGrid w:val="0"/>
              <w:jc w:val="center"/>
              <w:rPr>
                <w:b/>
                <w:color w:val="000000"/>
                <w:kern w:val="0"/>
                <w:szCs w:val="21"/>
                <w:lang w:eastAsia="en-US" w:bidi="en-US"/>
              </w:rPr>
            </w:pPr>
          </w:p>
        </w:tc>
        <w:tc>
          <w:tcPr>
            <w:tcW w:w="2297" w:type="dxa"/>
            <w:vMerge w:val="continue"/>
            <w:vAlign w:val="center"/>
          </w:tcPr>
          <w:p>
            <w:pPr>
              <w:widowControl/>
              <w:adjustRightInd w:val="0"/>
              <w:snapToGrid w:val="0"/>
              <w:jc w:val="center"/>
              <w:rPr>
                <w:b/>
                <w:color w:val="000000"/>
                <w:kern w:val="0"/>
                <w:szCs w:val="21"/>
                <w:lang w:eastAsia="en-US" w:bidi="en-US"/>
              </w:rPr>
            </w:pPr>
          </w:p>
        </w:tc>
        <w:tc>
          <w:tcPr>
            <w:tcW w:w="1417" w:type="dxa"/>
            <w:vMerge w:val="continue"/>
            <w:vAlign w:val="center"/>
          </w:tcPr>
          <w:p>
            <w:pPr>
              <w:widowControl/>
              <w:adjustRightInd w:val="0"/>
              <w:snapToGrid w:val="0"/>
              <w:jc w:val="center"/>
              <w:rPr>
                <w:b/>
                <w:color w:val="000000"/>
                <w:kern w:val="0"/>
                <w:szCs w:val="21"/>
                <w:lang w:bidi="en-US"/>
              </w:rPr>
            </w:pPr>
          </w:p>
        </w:tc>
        <w:tc>
          <w:tcPr>
            <w:tcW w:w="1418" w:type="dxa"/>
            <w:vAlign w:val="center"/>
          </w:tcPr>
          <w:p>
            <w:pPr>
              <w:widowControl/>
              <w:adjustRightInd w:val="0"/>
              <w:snapToGrid w:val="0"/>
              <w:jc w:val="center"/>
              <w:rPr>
                <w:b/>
                <w:bCs/>
                <w:color w:val="000000"/>
                <w:kern w:val="0"/>
                <w:szCs w:val="21"/>
                <w:lang w:bidi="en-US"/>
              </w:rPr>
            </w:pPr>
            <w:r>
              <w:rPr>
                <w:b/>
                <w:bCs/>
                <w:color w:val="000000"/>
                <w:kern w:val="0"/>
                <w:szCs w:val="21"/>
                <w:lang w:bidi="en-US"/>
              </w:rPr>
              <w:t>产生量</w:t>
            </w:r>
          </w:p>
        </w:tc>
        <w:tc>
          <w:tcPr>
            <w:tcW w:w="1417" w:type="dxa"/>
            <w:vAlign w:val="center"/>
          </w:tcPr>
          <w:p>
            <w:pPr>
              <w:widowControl/>
              <w:adjustRightInd w:val="0"/>
              <w:snapToGrid w:val="0"/>
              <w:jc w:val="center"/>
              <w:rPr>
                <w:b/>
                <w:bCs/>
                <w:color w:val="000000"/>
                <w:kern w:val="0"/>
                <w:szCs w:val="21"/>
                <w:lang w:bidi="en-US"/>
              </w:rPr>
            </w:pPr>
            <w:r>
              <w:rPr>
                <w:b/>
                <w:bCs/>
                <w:color w:val="000000"/>
                <w:kern w:val="0"/>
                <w:szCs w:val="21"/>
                <w:lang w:bidi="en-US"/>
              </w:rPr>
              <w:t>削减量</w:t>
            </w:r>
          </w:p>
        </w:tc>
        <w:tc>
          <w:tcPr>
            <w:tcW w:w="1530" w:type="dxa"/>
            <w:vAlign w:val="center"/>
          </w:tcPr>
          <w:p>
            <w:pPr>
              <w:widowControl/>
              <w:adjustRightInd w:val="0"/>
              <w:snapToGrid w:val="0"/>
              <w:jc w:val="center"/>
              <w:rPr>
                <w:b/>
                <w:bCs/>
                <w:color w:val="000000"/>
                <w:kern w:val="0"/>
                <w:szCs w:val="21"/>
                <w:lang w:bidi="en-US"/>
              </w:rPr>
            </w:pPr>
            <w:r>
              <w:rPr>
                <w:b/>
                <w:bCs/>
                <w:color w:val="000000"/>
                <w:kern w:val="0"/>
                <w:szCs w:val="21"/>
                <w:lang w:bidi="en-US"/>
              </w:rPr>
              <w:t>排放量</w:t>
            </w:r>
          </w:p>
        </w:tc>
        <w:tc>
          <w:tcPr>
            <w:tcW w:w="1601" w:type="dxa"/>
            <w:vMerge w:val="continue"/>
            <w:vAlign w:val="center"/>
          </w:tcPr>
          <w:p>
            <w:pPr>
              <w:widowControl/>
              <w:adjustRightInd w:val="0"/>
              <w:snapToGrid w:val="0"/>
              <w:jc w:val="center"/>
              <w:rPr>
                <w:b/>
                <w:color w:val="000000"/>
                <w:kern w:val="0"/>
                <w:szCs w:val="21"/>
                <w:lang w:eastAsia="en-US" w:bidi="en-US"/>
              </w:rPr>
            </w:pPr>
          </w:p>
        </w:tc>
        <w:tc>
          <w:tcPr>
            <w:tcW w:w="1749" w:type="dxa"/>
            <w:vMerge w:val="continue"/>
            <w:vAlign w:val="center"/>
          </w:tcPr>
          <w:p>
            <w:pPr>
              <w:widowControl/>
              <w:adjustRightInd w:val="0"/>
              <w:snapToGrid w:val="0"/>
              <w:jc w:val="center"/>
              <w:rPr>
                <w:b/>
                <w:color w:val="000000"/>
                <w:kern w:val="0"/>
                <w:szCs w:val="21"/>
                <w:lang w:bidi="en-US"/>
              </w:rPr>
            </w:pPr>
          </w:p>
        </w:tc>
        <w:tc>
          <w:tcPr>
            <w:tcW w:w="1718" w:type="dxa"/>
            <w:vMerge w:val="continue"/>
            <w:vAlign w:val="center"/>
          </w:tcPr>
          <w:p>
            <w:pPr>
              <w:widowControl/>
              <w:adjustRightInd w:val="0"/>
              <w:snapToGrid w:val="0"/>
              <w:jc w:val="center"/>
              <w:rPr>
                <w:b/>
                <w:color w:val="000000"/>
                <w:kern w:val="0"/>
                <w:szCs w:val="21"/>
                <w:lang w:bidi="en-U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restart"/>
            <w:vAlign w:val="center"/>
          </w:tcPr>
          <w:p>
            <w:pPr>
              <w:widowControl/>
              <w:snapToGrid w:val="0"/>
              <w:jc w:val="center"/>
              <w:rPr>
                <w:color w:val="000000"/>
                <w:kern w:val="0"/>
                <w:szCs w:val="21"/>
                <w:lang w:eastAsia="en-US" w:bidi="en-US"/>
              </w:rPr>
            </w:pPr>
            <w:r>
              <w:rPr>
                <w:color w:val="000000"/>
                <w:kern w:val="0"/>
                <w:szCs w:val="21"/>
                <w:lang w:eastAsia="en-US" w:bidi="en-US"/>
              </w:rPr>
              <w:t>废水</w:t>
            </w:r>
          </w:p>
        </w:tc>
        <w:tc>
          <w:tcPr>
            <w:tcW w:w="2297" w:type="dxa"/>
            <w:vAlign w:val="center"/>
          </w:tcPr>
          <w:p>
            <w:pPr>
              <w:widowControl/>
              <w:adjustRightInd w:val="0"/>
              <w:snapToGrid w:val="0"/>
              <w:jc w:val="center"/>
              <w:rPr>
                <w:color w:val="000000"/>
                <w:kern w:val="0"/>
                <w:szCs w:val="21"/>
                <w:lang w:eastAsia="en-US" w:bidi="en-US"/>
              </w:rPr>
            </w:pPr>
            <w:r>
              <w:rPr>
                <w:rFonts w:eastAsiaTheme="minorEastAsia"/>
                <w:szCs w:val="21"/>
              </w:rPr>
              <w:t>废水（万吨）</w:t>
            </w:r>
          </w:p>
        </w:tc>
        <w:tc>
          <w:tcPr>
            <w:tcW w:w="1417" w:type="dxa"/>
            <w:vAlign w:val="center"/>
          </w:tcPr>
          <w:p>
            <w:pPr>
              <w:widowControl/>
              <w:snapToGrid w:val="0"/>
              <w:jc w:val="center"/>
              <w:textAlignment w:val="center"/>
              <w:rPr>
                <w:color w:val="000000"/>
                <w:kern w:val="0"/>
                <w:szCs w:val="21"/>
                <w:lang w:bidi="ar"/>
              </w:rPr>
            </w:pPr>
            <w:r>
              <w:rPr>
                <w:kern w:val="0"/>
                <w:szCs w:val="21"/>
                <w:lang w:bidi="en-US"/>
              </w:rPr>
              <w:t>6.219</w:t>
            </w:r>
          </w:p>
        </w:tc>
        <w:tc>
          <w:tcPr>
            <w:tcW w:w="1418" w:type="dxa"/>
            <w:vAlign w:val="center"/>
          </w:tcPr>
          <w:p>
            <w:pPr>
              <w:widowControl/>
              <w:snapToGrid w:val="0"/>
              <w:jc w:val="center"/>
              <w:textAlignment w:val="center"/>
              <w:rPr>
                <w:kern w:val="0"/>
                <w:szCs w:val="21"/>
                <w:lang w:eastAsia="en-US" w:bidi="ar"/>
              </w:rPr>
            </w:pPr>
            <w:r>
              <w:rPr>
                <w:rFonts w:hint="eastAsia"/>
                <w:kern w:val="0"/>
                <w:szCs w:val="21"/>
                <w:lang w:bidi="en-US"/>
              </w:rPr>
              <w:t>10.464</w:t>
            </w:r>
          </w:p>
        </w:tc>
        <w:tc>
          <w:tcPr>
            <w:tcW w:w="1417" w:type="dxa"/>
            <w:vAlign w:val="center"/>
          </w:tcPr>
          <w:p>
            <w:pPr>
              <w:widowControl/>
              <w:snapToGrid w:val="0"/>
              <w:jc w:val="center"/>
              <w:textAlignment w:val="center"/>
              <w:rPr>
                <w:kern w:val="0"/>
                <w:szCs w:val="21"/>
                <w:lang w:eastAsia="en-US" w:bidi="ar"/>
              </w:rPr>
            </w:pPr>
            <w:r>
              <w:rPr>
                <w:kern w:val="0"/>
                <w:szCs w:val="21"/>
                <w:lang w:bidi="ar"/>
              </w:rPr>
              <w:t>0</w:t>
            </w:r>
          </w:p>
        </w:tc>
        <w:tc>
          <w:tcPr>
            <w:tcW w:w="1530" w:type="dxa"/>
            <w:vAlign w:val="center"/>
          </w:tcPr>
          <w:p>
            <w:pPr>
              <w:widowControl/>
              <w:snapToGrid w:val="0"/>
              <w:jc w:val="center"/>
              <w:textAlignment w:val="center"/>
              <w:rPr>
                <w:color w:val="000000"/>
                <w:kern w:val="0"/>
                <w:szCs w:val="21"/>
                <w:lang w:eastAsia="en-US" w:bidi="ar"/>
              </w:rPr>
            </w:pPr>
            <w:r>
              <w:rPr>
                <w:kern w:val="0"/>
                <w:szCs w:val="21"/>
                <w:lang w:bidi="en-US"/>
              </w:rPr>
              <w:t>10.464</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kern w:val="0"/>
                <w:szCs w:val="21"/>
                <w:lang w:bidi="en-US"/>
              </w:rPr>
              <w:t>10.464</w:t>
            </w:r>
          </w:p>
        </w:tc>
        <w:tc>
          <w:tcPr>
            <w:tcW w:w="1718" w:type="dxa"/>
            <w:vAlign w:val="center"/>
          </w:tcPr>
          <w:p>
            <w:pPr>
              <w:widowControl/>
              <w:snapToGrid w:val="0"/>
              <w:jc w:val="center"/>
              <w:textAlignment w:val="center"/>
              <w:rPr>
                <w:color w:val="000000"/>
                <w:kern w:val="0"/>
                <w:szCs w:val="21"/>
                <w:lang w:eastAsia="en-US" w:bidi="ar"/>
              </w:rPr>
            </w:pPr>
            <w:r>
              <w:rPr>
                <w:rFonts w:eastAsiaTheme="minorEastAsia"/>
                <w:szCs w:val="21"/>
              </w:rPr>
              <w:t>+4.145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COD</w:t>
            </w:r>
          </w:p>
        </w:tc>
        <w:tc>
          <w:tcPr>
            <w:tcW w:w="1417" w:type="dxa"/>
            <w:vAlign w:val="center"/>
          </w:tcPr>
          <w:p>
            <w:pPr>
              <w:widowControl/>
              <w:snapToGrid w:val="0"/>
              <w:jc w:val="center"/>
              <w:textAlignment w:val="center"/>
              <w:rPr>
                <w:color w:val="000000"/>
                <w:kern w:val="0"/>
                <w:szCs w:val="21"/>
                <w:lang w:bidi="ar"/>
              </w:rPr>
            </w:pPr>
            <w:r>
              <w:rPr>
                <w:rFonts w:eastAsia="等线"/>
                <w:kern w:val="0"/>
                <w:szCs w:val="21"/>
              </w:rPr>
              <w:t>15.546</w:t>
            </w:r>
          </w:p>
        </w:tc>
        <w:tc>
          <w:tcPr>
            <w:tcW w:w="1418" w:type="dxa"/>
            <w:vAlign w:val="center"/>
          </w:tcPr>
          <w:p>
            <w:pPr>
              <w:widowControl/>
              <w:snapToGrid w:val="0"/>
              <w:jc w:val="center"/>
              <w:textAlignment w:val="center"/>
              <w:rPr>
                <w:color w:val="000000"/>
                <w:kern w:val="0"/>
                <w:szCs w:val="21"/>
                <w:lang w:eastAsia="en-US" w:bidi="ar"/>
              </w:rPr>
            </w:pPr>
            <w:r>
              <w:rPr>
                <w:color w:val="000000"/>
                <w:kern w:val="0"/>
                <w:szCs w:val="21"/>
                <w:lang w:bidi="ar"/>
              </w:rPr>
              <w:t>31.39</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 xml:space="preserve">5.23 </w:t>
            </w:r>
          </w:p>
        </w:tc>
        <w:tc>
          <w:tcPr>
            <w:tcW w:w="1530" w:type="dxa"/>
            <w:vAlign w:val="center"/>
          </w:tcPr>
          <w:p>
            <w:pPr>
              <w:widowControl/>
              <w:snapToGrid w:val="0"/>
              <w:jc w:val="center"/>
              <w:textAlignment w:val="center"/>
              <w:rPr>
                <w:color w:val="000000"/>
                <w:kern w:val="0"/>
                <w:szCs w:val="21"/>
                <w:lang w:eastAsia="en-US" w:bidi="ar"/>
              </w:rPr>
            </w:pPr>
            <w:r>
              <w:rPr>
                <w:rFonts w:eastAsiaTheme="minorEastAsia"/>
                <w:szCs w:val="21"/>
              </w:rPr>
              <w:t>26.16</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szCs w:val="21"/>
              </w:rPr>
              <w:t>26.16</w:t>
            </w:r>
          </w:p>
        </w:tc>
        <w:tc>
          <w:tcPr>
            <w:tcW w:w="1718" w:type="dxa"/>
            <w:vAlign w:val="center"/>
          </w:tcPr>
          <w:p>
            <w:pPr>
              <w:widowControl/>
              <w:snapToGrid w:val="0"/>
              <w:jc w:val="center"/>
              <w:textAlignment w:val="center"/>
              <w:rPr>
                <w:color w:val="000000"/>
                <w:kern w:val="0"/>
                <w:szCs w:val="21"/>
                <w:lang w:eastAsia="en-US" w:bidi="ar"/>
              </w:rPr>
            </w:pPr>
            <w:r>
              <w:rPr>
                <w:rFonts w:eastAsiaTheme="minorEastAsia"/>
                <w:szCs w:val="21"/>
              </w:rPr>
              <w:t>+</w:t>
            </w:r>
            <w:r>
              <w:rPr>
                <w:rFonts w:eastAsia="等线"/>
                <w:kern w:val="0"/>
                <w:szCs w:val="21"/>
              </w:rPr>
              <w:t>10.464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BOD</w:t>
            </w:r>
            <w:r>
              <w:rPr>
                <w:rFonts w:eastAsiaTheme="minorEastAsia"/>
                <w:szCs w:val="21"/>
                <w:vertAlign w:val="subscript"/>
              </w:rPr>
              <w:t>5</w:t>
            </w:r>
          </w:p>
        </w:tc>
        <w:tc>
          <w:tcPr>
            <w:tcW w:w="1417" w:type="dxa"/>
            <w:vAlign w:val="center"/>
          </w:tcPr>
          <w:p>
            <w:pPr>
              <w:widowControl/>
              <w:snapToGrid w:val="0"/>
              <w:jc w:val="center"/>
              <w:textAlignment w:val="center"/>
              <w:rPr>
                <w:color w:val="000000"/>
                <w:kern w:val="0"/>
                <w:szCs w:val="21"/>
                <w:lang w:bidi="ar"/>
              </w:rPr>
            </w:pPr>
            <w:r>
              <w:rPr>
                <w:rFonts w:eastAsia="等线"/>
                <w:kern w:val="0"/>
                <w:szCs w:val="21"/>
              </w:rPr>
              <w:t>6.216</w:t>
            </w:r>
          </w:p>
        </w:tc>
        <w:tc>
          <w:tcPr>
            <w:tcW w:w="1418" w:type="dxa"/>
            <w:vAlign w:val="center"/>
          </w:tcPr>
          <w:p>
            <w:pPr>
              <w:widowControl/>
              <w:snapToGrid w:val="0"/>
              <w:jc w:val="center"/>
              <w:textAlignment w:val="center"/>
              <w:rPr>
                <w:color w:val="000000"/>
                <w:kern w:val="0"/>
                <w:szCs w:val="21"/>
                <w:lang w:eastAsia="en-US" w:bidi="ar"/>
              </w:rPr>
            </w:pPr>
            <w:r>
              <w:rPr>
                <w:color w:val="000000"/>
                <w:kern w:val="0"/>
                <w:szCs w:val="21"/>
                <w:lang w:bidi="ar"/>
              </w:rPr>
              <w:t>15.70</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 xml:space="preserve">5.23 </w:t>
            </w:r>
          </w:p>
        </w:tc>
        <w:tc>
          <w:tcPr>
            <w:tcW w:w="1530" w:type="dxa"/>
            <w:vAlign w:val="center"/>
          </w:tcPr>
          <w:p>
            <w:pPr>
              <w:widowControl/>
              <w:snapToGrid w:val="0"/>
              <w:jc w:val="center"/>
              <w:textAlignment w:val="center"/>
              <w:rPr>
                <w:color w:val="000000"/>
                <w:kern w:val="0"/>
                <w:szCs w:val="21"/>
                <w:lang w:eastAsia="en-US" w:bidi="ar"/>
              </w:rPr>
            </w:pPr>
            <w:r>
              <w:rPr>
                <w:rFonts w:eastAsiaTheme="minorEastAsia"/>
                <w:szCs w:val="21"/>
              </w:rPr>
              <w:t>10.46</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szCs w:val="21"/>
              </w:rPr>
              <w:t>10.46</w:t>
            </w:r>
          </w:p>
        </w:tc>
        <w:tc>
          <w:tcPr>
            <w:tcW w:w="1718" w:type="dxa"/>
            <w:vAlign w:val="center"/>
          </w:tcPr>
          <w:p>
            <w:pPr>
              <w:widowControl/>
              <w:snapToGrid w:val="0"/>
              <w:jc w:val="center"/>
              <w:textAlignment w:val="center"/>
              <w:rPr>
                <w:color w:val="000000"/>
                <w:kern w:val="0"/>
                <w:szCs w:val="21"/>
                <w:lang w:eastAsia="en-US" w:bidi="ar"/>
              </w:rPr>
            </w:pPr>
            <w:r>
              <w:rPr>
                <w:rFonts w:eastAsiaTheme="minorEastAsia"/>
                <w:szCs w:val="21"/>
              </w:rPr>
              <w:t>+</w:t>
            </w:r>
            <w:r>
              <w:rPr>
                <w:rFonts w:eastAsia="等线"/>
                <w:kern w:val="0"/>
                <w:szCs w:val="21"/>
              </w:rPr>
              <w:t>4.144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氨氮</w:t>
            </w:r>
          </w:p>
        </w:tc>
        <w:tc>
          <w:tcPr>
            <w:tcW w:w="1417" w:type="dxa"/>
            <w:vAlign w:val="center"/>
          </w:tcPr>
          <w:p>
            <w:pPr>
              <w:widowControl/>
              <w:snapToGrid w:val="0"/>
              <w:jc w:val="center"/>
              <w:textAlignment w:val="center"/>
              <w:rPr>
                <w:color w:val="000000"/>
                <w:kern w:val="0"/>
                <w:szCs w:val="21"/>
                <w:lang w:bidi="ar"/>
              </w:rPr>
            </w:pPr>
            <w:r>
              <w:rPr>
                <w:rFonts w:eastAsia="等线"/>
                <w:kern w:val="0"/>
                <w:szCs w:val="21"/>
              </w:rPr>
              <w:t>0.93</w:t>
            </w:r>
          </w:p>
        </w:tc>
        <w:tc>
          <w:tcPr>
            <w:tcW w:w="1418" w:type="dxa"/>
            <w:vAlign w:val="center"/>
          </w:tcPr>
          <w:p>
            <w:pPr>
              <w:widowControl/>
              <w:snapToGrid w:val="0"/>
              <w:jc w:val="center"/>
              <w:textAlignment w:val="center"/>
              <w:rPr>
                <w:color w:val="000000"/>
                <w:kern w:val="0"/>
                <w:szCs w:val="21"/>
                <w:lang w:bidi="ar"/>
              </w:rPr>
            </w:pPr>
            <w:r>
              <w:rPr>
                <w:color w:val="000000"/>
                <w:kern w:val="0"/>
                <w:szCs w:val="21"/>
                <w:lang w:bidi="ar"/>
              </w:rPr>
              <w:t>3.14</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 xml:space="preserve">1.57 </w:t>
            </w:r>
          </w:p>
        </w:tc>
        <w:tc>
          <w:tcPr>
            <w:tcW w:w="1530" w:type="dxa"/>
            <w:vAlign w:val="center"/>
          </w:tcPr>
          <w:p>
            <w:pPr>
              <w:widowControl/>
              <w:snapToGrid w:val="0"/>
              <w:jc w:val="center"/>
              <w:textAlignment w:val="center"/>
              <w:rPr>
                <w:color w:val="000000"/>
                <w:kern w:val="0"/>
                <w:szCs w:val="21"/>
                <w:lang w:bidi="ar"/>
              </w:rPr>
            </w:pPr>
            <w:r>
              <w:rPr>
                <w:rFonts w:eastAsiaTheme="minorEastAsia"/>
                <w:szCs w:val="21"/>
              </w:rPr>
              <w:t>1.57</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szCs w:val="21"/>
              </w:rPr>
              <w:t>1.57</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eastAsia="等线"/>
                <w:kern w:val="0"/>
                <w:szCs w:val="21"/>
              </w:rPr>
              <w:t>0.62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SS</w:t>
            </w:r>
          </w:p>
        </w:tc>
        <w:tc>
          <w:tcPr>
            <w:tcW w:w="1417" w:type="dxa"/>
            <w:vAlign w:val="center"/>
          </w:tcPr>
          <w:p>
            <w:pPr>
              <w:widowControl/>
              <w:snapToGrid w:val="0"/>
              <w:jc w:val="center"/>
              <w:textAlignment w:val="center"/>
              <w:rPr>
                <w:color w:val="000000"/>
                <w:kern w:val="0"/>
                <w:szCs w:val="21"/>
                <w:lang w:bidi="ar"/>
              </w:rPr>
            </w:pPr>
            <w:r>
              <w:rPr>
                <w:rFonts w:eastAsia="等线"/>
                <w:kern w:val="0"/>
                <w:szCs w:val="21"/>
              </w:rPr>
              <w:t>3.732</w:t>
            </w:r>
          </w:p>
        </w:tc>
        <w:tc>
          <w:tcPr>
            <w:tcW w:w="1418" w:type="dxa"/>
            <w:vAlign w:val="center"/>
          </w:tcPr>
          <w:p>
            <w:pPr>
              <w:widowControl/>
              <w:snapToGrid w:val="0"/>
              <w:jc w:val="center"/>
              <w:textAlignment w:val="center"/>
              <w:rPr>
                <w:color w:val="000000"/>
                <w:kern w:val="0"/>
                <w:szCs w:val="21"/>
                <w:lang w:bidi="ar"/>
              </w:rPr>
            </w:pPr>
            <w:r>
              <w:rPr>
                <w:color w:val="000000"/>
                <w:kern w:val="0"/>
                <w:szCs w:val="21"/>
                <w:lang w:bidi="ar"/>
              </w:rPr>
              <w:t>20.93</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 xml:space="preserve">14.65 </w:t>
            </w:r>
          </w:p>
        </w:tc>
        <w:tc>
          <w:tcPr>
            <w:tcW w:w="1530" w:type="dxa"/>
            <w:vAlign w:val="center"/>
          </w:tcPr>
          <w:p>
            <w:pPr>
              <w:widowControl/>
              <w:snapToGrid w:val="0"/>
              <w:jc w:val="center"/>
              <w:textAlignment w:val="center"/>
              <w:rPr>
                <w:color w:val="000000"/>
                <w:kern w:val="0"/>
                <w:szCs w:val="21"/>
                <w:lang w:bidi="ar"/>
              </w:rPr>
            </w:pPr>
            <w:r>
              <w:rPr>
                <w:rFonts w:eastAsiaTheme="minorEastAsia"/>
                <w:szCs w:val="21"/>
              </w:rPr>
              <w:t>6.28</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szCs w:val="21"/>
              </w:rPr>
              <w:t>6.28</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eastAsia="等线"/>
                <w:kern w:val="0"/>
                <w:szCs w:val="21"/>
              </w:rPr>
              <w:t>2.488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kern w:val="0"/>
                <w:szCs w:val="21"/>
                <w:lang w:bidi="en-US"/>
              </w:rPr>
              <w:t>总磷</w:t>
            </w:r>
          </w:p>
        </w:tc>
        <w:tc>
          <w:tcPr>
            <w:tcW w:w="1417" w:type="dxa"/>
            <w:vAlign w:val="center"/>
          </w:tcPr>
          <w:p>
            <w:pPr>
              <w:widowControl/>
              <w:snapToGrid w:val="0"/>
              <w:jc w:val="center"/>
              <w:textAlignment w:val="center"/>
              <w:rPr>
                <w:color w:val="000000"/>
                <w:kern w:val="0"/>
                <w:szCs w:val="21"/>
                <w:lang w:bidi="ar"/>
              </w:rPr>
            </w:pPr>
            <w:r>
              <w:rPr>
                <w:rFonts w:eastAsia="等线"/>
                <w:kern w:val="0"/>
                <w:szCs w:val="21"/>
              </w:rPr>
              <w:t>0.246</w:t>
            </w:r>
          </w:p>
        </w:tc>
        <w:tc>
          <w:tcPr>
            <w:tcW w:w="1418" w:type="dxa"/>
            <w:vAlign w:val="center"/>
          </w:tcPr>
          <w:p>
            <w:pPr>
              <w:widowControl/>
              <w:snapToGrid w:val="0"/>
              <w:jc w:val="center"/>
              <w:textAlignment w:val="center"/>
              <w:rPr>
                <w:color w:val="000000"/>
                <w:kern w:val="0"/>
                <w:szCs w:val="21"/>
                <w:lang w:bidi="ar"/>
              </w:rPr>
            </w:pPr>
            <w:r>
              <w:rPr>
                <w:color w:val="000000"/>
                <w:kern w:val="0"/>
                <w:szCs w:val="21"/>
                <w:lang w:bidi="ar"/>
              </w:rPr>
              <w:t>0.41</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530" w:type="dxa"/>
            <w:vAlign w:val="center"/>
          </w:tcPr>
          <w:p>
            <w:pPr>
              <w:widowControl/>
              <w:snapToGrid w:val="0"/>
              <w:jc w:val="center"/>
              <w:textAlignment w:val="center"/>
              <w:rPr>
                <w:color w:val="000000"/>
                <w:kern w:val="0"/>
                <w:szCs w:val="21"/>
                <w:lang w:bidi="ar"/>
              </w:rPr>
            </w:pPr>
            <w:r>
              <w:rPr>
                <w:rFonts w:eastAsiaTheme="minorEastAsia"/>
                <w:szCs w:val="21"/>
              </w:rPr>
              <w:t>0.41</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szCs w:val="21"/>
              </w:rPr>
              <w:t>0.41</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eastAsia="等线"/>
                <w:kern w:val="0"/>
                <w:szCs w:val="21"/>
              </w:rPr>
              <w:t>0.164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粪大肠菌群MPN/a</w:t>
            </w:r>
          </w:p>
        </w:tc>
        <w:tc>
          <w:tcPr>
            <w:tcW w:w="1417" w:type="dxa"/>
            <w:vAlign w:val="center"/>
          </w:tcPr>
          <w:p>
            <w:pPr>
              <w:widowControl/>
              <w:snapToGrid w:val="0"/>
              <w:jc w:val="center"/>
              <w:textAlignment w:val="center"/>
              <w:rPr>
                <w:color w:val="000000"/>
                <w:kern w:val="0"/>
                <w:szCs w:val="21"/>
                <w:lang w:bidi="ar"/>
              </w:rPr>
            </w:pPr>
            <w:r>
              <w:rPr>
                <w:rFonts w:eastAsiaTheme="minorEastAsia"/>
                <w:szCs w:val="21"/>
              </w:rPr>
              <w:t>3.1</w:t>
            </w:r>
            <w:r>
              <w:rPr>
                <w:rFonts w:eastAsia="MS Gothic"/>
                <w:szCs w:val="21"/>
              </w:rPr>
              <w:t>×</w:t>
            </w:r>
            <w:r>
              <w:rPr>
                <w:rFonts w:eastAsiaTheme="minorEastAsia"/>
                <w:szCs w:val="21"/>
              </w:rPr>
              <w:t>10</w:t>
            </w:r>
            <w:r>
              <w:rPr>
                <w:rFonts w:eastAsiaTheme="minorEastAsia"/>
                <w:szCs w:val="21"/>
                <w:vertAlign w:val="superscript"/>
              </w:rPr>
              <w:t>8</w:t>
            </w:r>
          </w:p>
        </w:tc>
        <w:tc>
          <w:tcPr>
            <w:tcW w:w="1418" w:type="dxa"/>
            <w:vAlign w:val="center"/>
          </w:tcPr>
          <w:p>
            <w:pPr>
              <w:widowControl/>
              <w:snapToGrid w:val="0"/>
              <w:jc w:val="center"/>
              <w:textAlignment w:val="center"/>
              <w:rPr>
                <w:color w:val="000000"/>
                <w:kern w:val="0"/>
                <w:szCs w:val="21"/>
                <w:lang w:bidi="ar"/>
              </w:rPr>
            </w:pPr>
            <w:r>
              <w:rPr>
                <w:color w:val="000000"/>
                <w:kern w:val="0"/>
                <w:szCs w:val="21"/>
                <w:lang w:bidi="ar"/>
              </w:rPr>
              <w:t>1.66×10</w:t>
            </w:r>
            <w:r>
              <w:rPr>
                <w:color w:val="000000"/>
                <w:kern w:val="0"/>
                <w:szCs w:val="21"/>
                <w:vertAlign w:val="superscript"/>
                <w:lang w:bidi="ar"/>
              </w:rPr>
              <w:t>16</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1.66×10</w:t>
            </w:r>
            <w:r>
              <w:rPr>
                <w:color w:val="000000"/>
                <w:kern w:val="0"/>
                <w:szCs w:val="21"/>
                <w:vertAlign w:val="superscript"/>
                <w:lang w:bidi="ar"/>
              </w:rPr>
              <w:t>15</w:t>
            </w:r>
          </w:p>
        </w:tc>
        <w:tc>
          <w:tcPr>
            <w:tcW w:w="1530" w:type="dxa"/>
            <w:vAlign w:val="center"/>
          </w:tcPr>
          <w:p>
            <w:pPr>
              <w:widowControl/>
              <w:snapToGrid w:val="0"/>
              <w:jc w:val="center"/>
              <w:textAlignment w:val="center"/>
              <w:rPr>
                <w:color w:val="000000"/>
                <w:kern w:val="0"/>
                <w:szCs w:val="21"/>
                <w:lang w:bidi="ar"/>
              </w:rPr>
            </w:pPr>
            <w:r>
              <w:rPr>
                <w:rFonts w:eastAsiaTheme="minorEastAsia"/>
                <w:szCs w:val="21"/>
              </w:rPr>
              <w:t>5.18</w:t>
            </w:r>
            <w:r>
              <w:rPr>
                <w:rFonts w:eastAsia="MS Gothic"/>
                <w:szCs w:val="21"/>
              </w:rPr>
              <w:t>×</w:t>
            </w:r>
            <w:r>
              <w:rPr>
                <w:rFonts w:eastAsiaTheme="minorEastAsia"/>
                <w:szCs w:val="21"/>
              </w:rPr>
              <w:t>10</w:t>
            </w:r>
            <w:r>
              <w:rPr>
                <w:rFonts w:eastAsiaTheme="minorEastAsia"/>
                <w:szCs w:val="21"/>
                <w:vertAlign w:val="superscript"/>
              </w:rPr>
              <w:t>8</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szCs w:val="21"/>
              </w:rPr>
              <w:t>5.18</w:t>
            </w:r>
            <w:r>
              <w:rPr>
                <w:rFonts w:eastAsia="MS Gothic"/>
                <w:szCs w:val="21"/>
              </w:rPr>
              <w:t>×</w:t>
            </w:r>
            <w:r>
              <w:rPr>
                <w:rFonts w:eastAsiaTheme="minorEastAsia"/>
                <w:szCs w:val="21"/>
              </w:rPr>
              <w:t>10</w:t>
            </w:r>
            <w:r>
              <w:rPr>
                <w:rFonts w:eastAsiaTheme="minorEastAsia"/>
                <w:szCs w:val="21"/>
                <w:vertAlign w:val="superscript"/>
              </w:rPr>
              <w:t>8</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+2.08</w:t>
            </w:r>
            <w:r>
              <w:rPr>
                <w:rFonts w:eastAsia="MS Gothic"/>
                <w:szCs w:val="21"/>
              </w:rPr>
              <w:t>×</w:t>
            </w:r>
            <w:r>
              <w:rPr>
                <w:rFonts w:eastAsiaTheme="minorEastAsia"/>
                <w:szCs w:val="21"/>
              </w:rPr>
              <w:t>10</w:t>
            </w:r>
            <w:r>
              <w:rPr>
                <w:rFonts w:eastAsiaTheme="minorEastAsia"/>
                <w:szCs w:val="21"/>
                <w:vertAlign w:val="superscript"/>
              </w:rPr>
              <w:t>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restart"/>
            <w:vAlign w:val="center"/>
          </w:tcPr>
          <w:p>
            <w:pPr>
              <w:widowControl/>
              <w:snapToGrid w:val="0"/>
              <w:jc w:val="center"/>
              <w:rPr>
                <w:color w:val="000000"/>
                <w:kern w:val="0"/>
                <w:szCs w:val="21"/>
                <w:lang w:bidi="en-US"/>
              </w:rPr>
            </w:pPr>
            <w:r>
              <w:rPr>
                <w:color w:val="000000"/>
                <w:kern w:val="0"/>
                <w:szCs w:val="21"/>
                <w:lang w:bidi="en-US"/>
              </w:rPr>
              <w:t>地下停车场尾气</w:t>
            </w:r>
          </w:p>
        </w:tc>
        <w:tc>
          <w:tcPr>
            <w:tcW w:w="2297" w:type="dxa"/>
            <w:vAlign w:val="center"/>
          </w:tcPr>
          <w:p>
            <w:pPr>
              <w:widowControl/>
              <w:adjustRightInd w:val="0"/>
              <w:snapToGrid w:val="0"/>
              <w:jc w:val="center"/>
              <w:textAlignment w:val="baseline"/>
              <w:rPr>
                <w:color w:val="000000"/>
                <w:kern w:val="0"/>
                <w:szCs w:val="21"/>
                <w:lang w:bidi="en-US"/>
              </w:rPr>
            </w:pPr>
            <w:r>
              <w:rPr>
                <w:color w:val="000000"/>
                <w:kern w:val="0"/>
                <w:szCs w:val="21"/>
                <w:lang w:eastAsia="en-US" w:bidi="en-US"/>
              </w:rPr>
              <w:t>NO</w:t>
            </w:r>
            <w:r>
              <w:rPr>
                <w:color w:val="000000"/>
                <w:kern w:val="0"/>
                <w:szCs w:val="21"/>
                <w:vertAlign w:val="subscript"/>
                <w:lang w:eastAsia="en-US" w:bidi="en-US"/>
              </w:rPr>
              <w:t>2</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0.012</w:t>
            </w:r>
          </w:p>
        </w:tc>
        <w:tc>
          <w:tcPr>
            <w:tcW w:w="1418" w:type="dxa"/>
            <w:vAlign w:val="center"/>
          </w:tcPr>
          <w:p>
            <w:pPr>
              <w:widowControl/>
              <w:snapToGrid w:val="0"/>
              <w:jc w:val="center"/>
              <w:textAlignment w:val="center"/>
              <w:rPr>
                <w:color w:val="000000"/>
                <w:kern w:val="0"/>
                <w:szCs w:val="21"/>
                <w:lang w:bidi="ar"/>
              </w:rPr>
            </w:pPr>
            <w:r>
              <w:rPr>
                <w:color w:val="000000"/>
                <w:kern w:val="0"/>
                <w:szCs w:val="21"/>
                <w:lang w:bidi="ar"/>
              </w:rPr>
              <w:t>0.02</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0.02</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0.0361</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color w:val="000000"/>
                <w:kern w:val="0"/>
                <w:szCs w:val="21"/>
                <w:lang w:bidi="ar"/>
              </w:rPr>
              <w:t>0.008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adjustRightInd w:val="0"/>
              <w:snapToGrid w:val="0"/>
              <w:jc w:val="center"/>
              <w:textAlignment w:val="baseline"/>
              <w:rPr>
                <w:color w:val="000000"/>
                <w:kern w:val="0"/>
                <w:szCs w:val="21"/>
                <w:lang w:bidi="en-US"/>
              </w:rPr>
            </w:pPr>
            <w:r>
              <w:rPr>
                <w:color w:val="000000"/>
                <w:kern w:val="0"/>
                <w:szCs w:val="21"/>
                <w:lang w:eastAsia="en-US" w:bidi="en-US"/>
              </w:rPr>
              <w:t>CO</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0.078</w:t>
            </w:r>
          </w:p>
        </w:tc>
        <w:tc>
          <w:tcPr>
            <w:tcW w:w="1418" w:type="dxa"/>
            <w:vAlign w:val="center"/>
          </w:tcPr>
          <w:p>
            <w:pPr>
              <w:widowControl/>
              <w:snapToGrid w:val="0"/>
              <w:jc w:val="center"/>
              <w:textAlignment w:val="center"/>
              <w:rPr>
                <w:color w:val="000000"/>
                <w:kern w:val="0"/>
                <w:szCs w:val="21"/>
                <w:lang w:bidi="ar"/>
              </w:rPr>
            </w:pPr>
            <w:r>
              <w:rPr>
                <w:color w:val="000000"/>
                <w:kern w:val="0"/>
                <w:szCs w:val="21"/>
                <w:lang w:bidi="ar"/>
              </w:rPr>
              <w:t>0.13</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0.13</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0.2927</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color w:val="000000"/>
                <w:kern w:val="0"/>
                <w:szCs w:val="21"/>
                <w:lang w:bidi="ar"/>
              </w:rPr>
              <w:t>0.052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adjustRightInd w:val="0"/>
              <w:snapToGrid w:val="0"/>
              <w:jc w:val="center"/>
              <w:textAlignment w:val="baseline"/>
              <w:rPr>
                <w:color w:val="000000"/>
                <w:kern w:val="0"/>
                <w:szCs w:val="21"/>
                <w:lang w:bidi="en-US"/>
              </w:rPr>
            </w:pPr>
            <w:r>
              <w:rPr>
                <w:color w:val="000000"/>
                <w:kern w:val="0"/>
                <w:szCs w:val="21"/>
                <w:lang w:eastAsia="en-US" w:bidi="en-US"/>
              </w:rPr>
              <w:t>THC</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0.018</w:t>
            </w:r>
          </w:p>
        </w:tc>
        <w:tc>
          <w:tcPr>
            <w:tcW w:w="1418" w:type="dxa"/>
            <w:vAlign w:val="center"/>
          </w:tcPr>
          <w:p>
            <w:pPr>
              <w:widowControl/>
              <w:snapToGrid w:val="0"/>
              <w:jc w:val="center"/>
              <w:textAlignment w:val="center"/>
              <w:rPr>
                <w:color w:val="000000"/>
                <w:kern w:val="0"/>
                <w:szCs w:val="21"/>
                <w:lang w:bidi="ar"/>
              </w:rPr>
            </w:pPr>
            <w:r>
              <w:rPr>
                <w:color w:val="000000"/>
                <w:kern w:val="0"/>
                <w:szCs w:val="21"/>
                <w:lang w:bidi="ar"/>
              </w:rPr>
              <w:t>0.03</w:t>
            </w:r>
          </w:p>
        </w:tc>
        <w:tc>
          <w:tcPr>
            <w:tcW w:w="1417"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0.03</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0.0576</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color w:val="000000"/>
                <w:kern w:val="0"/>
                <w:szCs w:val="21"/>
                <w:lang w:bidi="ar"/>
              </w:rPr>
              <w:t>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restart"/>
            <w:vAlign w:val="center"/>
          </w:tcPr>
          <w:p>
            <w:pPr>
              <w:widowControl/>
              <w:snapToGrid w:val="0"/>
              <w:jc w:val="center"/>
              <w:rPr>
                <w:color w:val="000000"/>
                <w:kern w:val="0"/>
                <w:szCs w:val="21"/>
                <w:lang w:bidi="en-US"/>
              </w:rPr>
            </w:pPr>
            <w:r>
              <w:rPr>
                <w:color w:val="000000"/>
                <w:kern w:val="0"/>
                <w:szCs w:val="21"/>
                <w:lang w:eastAsia="en-US" w:bidi="en-US"/>
              </w:rPr>
              <w:t>污水处理站</w:t>
            </w:r>
            <w:r>
              <w:rPr>
                <w:color w:val="000000"/>
                <w:kern w:val="0"/>
                <w:szCs w:val="21"/>
                <w:lang w:bidi="en-US"/>
              </w:rPr>
              <w:t>臭气</w:t>
            </w:r>
          </w:p>
        </w:tc>
        <w:tc>
          <w:tcPr>
            <w:tcW w:w="2297" w:type="dxa"/>
            <w:vAlign w:val="center"/>
          </w:tcPr>
          <w:p>
            <w:pPr>
              <w:widowControl/>
              <w:autoSpaceDE w:val="0"/>
              <w:autoSpaceDN w:val="0"/>
              <w:snapToGrid w:val="0"/>
              <w:spacing w:line="300" w:lineRule="exact"/>
              <w:jc w:val="center"/>
              <w:rPr>
                <w:color w:val="000000"/>
                <w:kern w:val="0"/>
                <w:szCs w:val="21"/>
                <w:lang w:eastAsia="en-US" w:bidi="en-US"/>
              </w:rPr>
            </w:pPr>
            <w:r>
              <w:rPr>
                <w:color w:val="000000"/>
                <w:kern w:val="0"/>
                <w:szCs w:val="21"/>
                <w:lang w:eastAsia="en-US" w:bidi="en-US"/>
              </w:rPr>
              <w:t>NH</w:t>
            </w:r>
            <w:r>
              <w:rPr>
                <w:color w:val="000000"/>
                <w:kern w:val="0"/>
                <w:szCs w:val="21"/>
                <w:vertAlign w:val="subscript"/>
                <w:lang w:eastAsia="en-US" w:bidi="en-US"/>
              </w:rPr>
              <w:t>3</w:t>
            </w:r>
          </w:p>
        </w:tc>
        <w:tc>
          <w:tcPr>
            <w:tcW w:w="1417" w:type="dxa"/>
            <w:vAlign w:val="center"/>
          </w:tcPr>
          <w:p>
            <w:pPr>
              <w:widowControl/>
              <w:snapToGrid w:val="0"/>
              <w:spacing w:line="240" w:lineRule="atLeast"/>
              <w:jc w:val="center"/>
              <w:textAlignment w:val="center"/>
              <w:rPr>
                <w:color w:val="000000"/>
                <w:kern w:val="0"/>
                <w:szCs w:val="21"/>
                <w:lang w:bidi="ar"/>
              </w:rPr>
            </w:pPr>
            <w:r>
              <w:rPr>
                <w:rFonts w:eastAsiaTheme="minorEastAsia"/>
                <w:szCs w:val="21"/>
              </w:rPr>
              <w:t>0.00192</w:t>
            </w:r>
          </w:p>
        </w:tc>
        <w:tc>
          <w:tcPr>
            <w:tcW w:w="1418" w:type="dxa"/>
            <w:vAlign w:val="center"/>
          </w:tcPr>
          <w:p>
            <w:pPr>
              <w:widowControl/>
              <w:snapToGrid w:val="0"/>
              <w:spacing w:line="240" w:lineRule="atLeast"/>
              <w:jc w:val="center"/>
              <w:textAlignment w:val="center"/>
              <w:rPr>
                <w:color w:val="000000"/>
                <w:kern w:val="0"/>
                <w:szCs w:val="21"/>
                <w:lang w:bidi="ar"/>
              </w:rPr>
            </w:pPr>
            <w:r>
              <w:rPr>
                <w:rFonts w:eastAsiaTheme="minorEastAsia"/>
                <w:kern w:val="0"/>
                <w:szCs w:val="21"/>
              </w:rPr>
              <w:t>0.0032</w:t>
            </w:r>
          </w:p>
        </w:tc>
        <w:tc>
          <w:tcPr>
            <w:tcW w:w="1417" w:type="dxa"/>
            <w:vAlign w:val="center"/>
          </w:tcPr>
          <w:p>
            <w:pPr>
              <w:widowControl/>
              <w:snapToGrid w:val="0"/>
              <w:spacing w:line="240" w:lineRule="atLeast"/>
              <w:jc w:val="center"/>
              <w:textAlignment w:val="center"/>
              <w:rPr>
                <w:color w:val="000000"/>
                <w:kern w:val="0"/>
                <w:szCs w:val="21"/>
                <w:lang w:bidi="ar"/>
              </w:rPr>
            </w:pPr>
            <w:r>
              <w:rPr>
                <w:color w:val="000000"/>
                <w:kern w:val="0"/>
                <w:szCs w:val="21"/>
              </w:rPr>
              <w:t>0</w:t>
            </w:r>
          </w:p>
        </w:tc>
        <w:tc>
          <w:tcPr>
            <w:tcW w:w="1530" w:type="dxa"/>
            <w:vAlign w:val="center"/>
          </w:tcPr>
          <w:p>
            <w:pPr>
              <w:widowControl/>
              <w:snapToGrid w:val="0"/>
              <w:spacing w:line="240" w:lineRule="atLeast"/>
              <w:jc w:val="center"/>
              <w:textAlignment w:val="center"/>
              <w:rPr>
                <w:color w:val="000000"/>
                <w:kern w:val="0"/>
                <w:szCs w:val="21"/>
                <w:lang w:bidi="ar"/>
              </w:rPr>
            </w:pPr>
            <w:r>
              <w:rPr>
                <w:rFonts w:eastAsiaTheme="minorEastAsia"/>
                <w:kern w:val="0"/>
                <w:szCs w:val="21"/>
              </w:rPr>
              <w:t>0.0032</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kern w:val="0"/>
                <w:szCs w:val="21"/>
              </w:rPr>
              <w:t>0.0032</w:t>
            </w:r>
          </w:p>
        </w:tc>
        <w:tc>
          <w:tcPr>
            <w:tcW w:w="1718" w:type="dxa"/>
            <w:vAlign w:val="center"/>
          </w:tcPr>
          <w:p>
            <w:pPr>
              <w:widowControl/>
              <w:snapToGrid w:val="0"/>
              <w:spacing w:line="240" w:lineRule="atLeast"/>
              <w:jc w:val="center"/>
              <w:textAlignment w:val="center"/>
              <w:rPr>
                <w:color w:val="000000"/>
                <w:kern w:val="0"/>
                <w:szCs w:val="21"/>
                <w:lang w:bidi="ar"/>
              </w:rPr>
            </w:pPr>
            <w:r>
              <w:rPr>
                <w:rFonts w:eastAsiaTheme="minorEastAsia"/>
                <w:szCs w:val="21"/>
              </w:rPr>
              <w:t>+0.00128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autoSpaceDE w:val="0"/>
              <w:autoSpaceDN w:val="0"/>
              <w:snapToGrid w:val="0"/>
              <w:spacing w:line="300" w:lineRule="exact"/>
              <w:jc w:val="center"/>
              <w:rPr>
                <w:color w:val="000000"/>
                <w:kern w:val="0"/>
                <w:szCs w:val="21"/>
                <w:lang w:eastAsia="en-US" w:bidi="en-US"/>
              </w:rPr>
            </w:pPr>
            <w:r>
              <w:rPr>
                <w:color w:val="000000"/>
                <w:kern w:val="0"/>
                <w:szCs w:val="21"/>
                <w:lang w:eastAsia="en-US" w:bidi="en-US"/>
              </w:rPr>
              <w:t>H</w:t>
            </w:r>
            <w:r>
              <w:rPr>
                <w:color w:val="000000"/>
                <w:kern w:val="0"/>
                <w:szCs w:val="21"/>
                <w:vertAlign w:val="subscript"/>
                <w:lang w:eastAsia="en-US" w:bidi="en-US"/>
              </w:rPr>
              <w:t>2</w:t>
            </w:r>
            <w:r>
              <w:rPr>
                <w:color w:val="000000"/>
                <w:kern w:val="0"/>
                <w:szCs w:val="21"/>
                <w:lang w:eastAsia="en-US" w:bidi="en-US"/>
              </w:rPr>
              <w:t>S</w:t>
            </w:r>
          </w:p>
        </w:tc>
        <w:tc>
          <w:tcPr>
            <w:tcW w:w="1417" w:type="dxa"/>
            <w:vAlign w:val="center"/>
          </w:tcPr>
          <w:p>
            <w:pPr>
              <w:widowControl/>
              <w:snapToGrid w:val="0"/>
              <w:spacing w:line="240" w:lineRule="atLeast"/>
              <w:jc w:val="center"/>
              <w:textAlignment w:val="center"/>
              <w:rPr>
                <w:color w:val="000000"/>
                <w:kern w:val="0"/>
                <w:szCs w:val="21"/>
                <w:lang w:bidi="ar"/>
              </w:rPr>
            </w:pPr>
            <w:r>
              <w:rPr>
                <w:rFonts w:eastAsiaTheme="minorEastAsia"/>
                <w:szCs w:val="21"/>
              </w:rPr>
              <w:t>0.000074</w:t>
            </w:r>
          </w:p>
        </w:tc>
        <w:tc>
          <w:tcPr>
            <w:tcW w:w="1418" w:type="dxa"/>
            <w:vAlign w:val="center"/>
          </w:tcPr>
          <w:p>
            <w:pPr>
              <w:widowControl/>
              <w:snapToGrid w:val="0"/>
              <w:spacing w:line="240" w:lineRule="atLeast"/>
              <w:jc w:val="center"/>
              <w:textAlignment w:val="center"/>
              <w:rPr>
                <w:color w:val="000000"/>
                <w:kern w:val="0"/>
                <w:szCs w:val="21"/>
                <w:lang w:bidi="ar"/>
              </w:rPr>
            </w:pPr>
            <w:r>
              <w:rPr>
                <w:rFonts w:eastAsiaTheme="minorEastAsia"/>
                <w:kern w:val="0"/>
                <w:szCs w:val="21"/>
              </w:rPr>
              <w:t>0.000124</w:t>
            </w:r>
            <w:r>
              <w:rPr>
                <w:rFonts w:eastAsiaTheme="minorEastAsia"/>
                <w:szCs w:val="21"/>
              </w:rPr>
              <w:t xml:space="preserve"> </w:t>
            </w:r>
          </w:p>
        </w:tc>
        <w:tc>
          <w:tcPr>
            <w:tcW w:w="1417" w:type="dxa"/>
            <w:vAlign w:val="center"/>
          </w:tcPr>
          <w:p>
            <w:pPr>
              <w:widowControl/>
              <w:snapToGrid w:val="0"/>
              <w:spacing w:line="240" w:lineRule="atLeast"/>
              <w:jc w:val="center"/>
              <w:textAlignment w:val="center"/>
              <w:rPr>
                <w:color w:val="000000"/>
                <w:kern w:val="0"/>
                <w:szCs w:val="21"/>
                <w:lang w:bidi="ar"/>
              </w:rPr>
            </w:pPr>
            <w:r>
              <w:rPr>
                <w:color w:val="000000"/>
                <w:kern w:val="0"/>
                <w:szCs w:val="21"/>
                <w:lang w:bidi="ar"/>
              </w:rPr>
              <w:t>0</w:t>
            </w:r>
          </w:p>
        </w:tc>
        <w:tc>
          <w:tcPr>
            <w:tcW w:w="1530" w:type="dxa"/>
            <w:vAlign w:val="center"/>
          </w:tcPr>
          <w:p>
            <w:pPr>
              <w:widowControl/>
              <w:snapToGrid w:val="0"/>
              <w:spacing w:line="240" w:lineRule="atLeast"/>
              <w:jc w:val="center"/>
              <w:textAlignment w:val="center"/>
              <w:rPr>
                <w:color w:val="000000"/>
                <w:kern w:val="0"/>
                <w:szCs w:val="21"/>
                <w:lang w:bidi="ar"/>
              </w:rPr>
            </w:pPr>
            <w:r>
              <w:rPr>
                <w:rFonts w:eastAsiaTheme="minorEastAsia"/>
                <w:kern w:val="0"/>
                <w:szCs w:val="21"/>
              </w:rPr>
              <w:t>0.000124</w:t>
            </w:r>
            <w:r>
              <w:rPr>
                <w:rFonts w:eastAsiaTheme="minorEastAsia"/>
                <w:szCs w:val="21"/>
              </w:rPr>
              <w:t xml:space="preserve"> </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kern w:val="0"/>
                <w:szCs w:val="21"/>
              </w:rPr>
              <w:t>0.000124</w:t>
            </w:r>
            <w:r>
              <w:rPr>
                <w:rFonts w:eastAsiaTheme="minorEastAsia"/>
                <w:szCs w:val="21"/>
              </w:rPr>
              <w:t xml:space="preserve"> </w:t>
            </w:r>
          </w:p>
        </w:tc>
        <w:tc>
          <w:tcPr>
            <w:tcW w:w="1718" w:type="dxa"/>
            <w:vAlign w:val="center"/>
          </w:tcPr>
          <w:p>
            <w:pPr>
              <w:widowControl/>
              <w:snapToGrid w:val="0"/>
              <w:spacing w:line="240" w:lineRule="atLeast"/>
              <w:jc w:val="center"/>
              <w:textAlignment w:val="center"/>
              <w:rPr>
                <w:color w:val="000000"/>
                <w:kern w:val="0"/>
                <w:szCs w:val="21"/>
                <w:lang w:bidi="ar"/>
              </w:rPr>
            </w:pPr>
            <w:r>
              <w:rPr>
                <w:rFonts w:eastAsiaTheme="minorEastAsia"/>
                <w:szCs w:val="21"/>
              </w:rPr>
              <w:t>+0.0000248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restart"/>
            <w:vAlign w:val="center"/>
          </w:tcPr>
          <w:p>
            <w:pPr>
              <w:widowControl/>
              <w:snapToGrid w:val="0"/>
              <w:jc w:val="center"/>
              <w:rPr>
                <w:color w:val="000000"/>
                <w:kern w:val="0"/>
                <w:szCs w:val="21"/>
                <w:lang w:bidi="en-US"/>
              </w:rPr>
            </w:pPr>
            <w:r>
              <w:rPr>
                <w:color w:val="000000"/>
                <w:kern w:val="0"/>
                <w:szCs w:val="21"/>
                <w:lang w:bidi="en-US"/>
              </w:rPr>
              <w:t>发电机尾气</w:t>
            </w:r>
          </w:p>
        </w:tc>
        <w:tc>
          <w:tcPr>
            <w:tcW w:w="2297" w:type="dxa"/>
            <w:vAlign w:val="center"/>
          </w:tcPr>
          <w:p>
            <w:pPr>
              <w:widowControl/>
              <w:autoSpaceDE w:val="0"/>
              <w:autoSpaceDN w:val="0"/>
              <w:snapToGrid w:val="0"/>
              <w:spacing w:line="300" w:lineRule="exact"/>
              <w:jc w:val="center"/>
              <w:rPr>
                <w:color w:val="000000"/>
                <w:kern w:val="0"/>
                <w:szCs w:val="21"/>
                <w:lang w:bidi="en-US"/>
              </w:rPr>
            </w:pPr>
            <w:r>
              <w:rPr>
                <w:color w:val="000000"/>
                <w:kern w:val="0"/>
                <w:szCs w:val="21"/>
                <w:lang w:bidi="en-US"/>
              </w:rPr>
              <w:t>SO</w:t>
            </w:r>
            <w:r>
              <w:rPr>
                <w:color w:val="000000"/>
                <w:kern w:val="0"/>
                <w:szCs w:val="21"/>
                <w:vertAlign w:val="subscript"/>
                <w:lang w:bidi="en-US"/>
              </w:rPr>
              <w:t>2</w:t>
            </w:r>
          </w:p>
        </w:tc>
        <w:tc>
          <w:tcPr>
            <w:tcW w:w="1417" w:type="dxa"/>
            <w:vAlign w:val="center"/>
          </w:tcPr>
          <w:p>
            <w:pPr>
              <w:widowControl/>
              <w:tabs>
                <w:tab w:val="left" w:pos="480"/>
              </w:tabs>
              <w:snapToGrid w:val="0"/>
              <w:jc w:val="center"/>
              <w:rPr>
                <w:color w:val="000000"/>
                <w:kern w:val="0"/>
                <w:szCs w:val="21"/>
              </w:rPr>
            </w:pPr>
            <w:r>
              <w:rPr>
                <w:rFonts w:hint="eastAsia" w:eastAsiaTheme="minorEastAsia"/>
                <w:szCs w:val="21"/>
              </w:rPr>
              <w:t>0.0</w:t>
            </w:r>
            <w:r>
              <w:rPr>
                <w:rFonts w:eastAsiaTheme="minorEastAsia"/>
                <w:szCs w:val="21"/>
              </w:rPr>
              <w:t>1265</w:t>
            </w:r>
          </w:p>
        </w:tc>
        <w:tc>
          <w:tcPr>
            <w:tcW w:w="1418" w:type="dxa"/>
            <w:vAlign w:val="center"/>
          </w:tcPr>
          <w:p>
            <w:pPr>
              <w:widowControl/>
              <w:tabs>
                <w:tab w:val="left" w:pos="480"/>
              </w:tabs>
              <w:snapToGrid w:val="0"/>
              <w:jc w:val="center"/>
              <w:rPr>
                <w:color w:val="000000"/>
                <w:kern w:val="0"/>
                <w:szCs w:val="21"/>
              </w:rPr>
            </w:pPr>
            <w:r>
              <w:rPr>
                <w:rFonts w:hint="eastAsia" w:eastAsiaTheme="minorEastAsia"/>
                <w:szCs w:val="21"/>
              </w:rPr>
              <w:t>0.0</w:t>
            </w:r>
            <w:r>
              <w:rPr>
                <w:rFonts w:eastAsiaTheme="minorEastAsia"/>
                <w:szCs w:val="21"/>
              </w:rPr>
              <w:t>1265</w:t>
            </w:r>
          </w:p>
        </w:tc>
        <w:tc>
          <w:tcPr>
            <w:tcW w:w="1417" w:type="dxa"/>
            <w:vAlign w:val="center"/>
          </w:tcPr>
          <w:p>
            <w:pPr>
              <w:widowControl/>
              <w:tabs>
                <w:tab w:val="left" w:pos="480"/>
              </w:tabs>
              <w:snapToGrid w:val="0"/>
              <w:jc w:val="center"/>
              <w:rPr>
                <w:color w:val="000000"/>
                <w:kern w:val="0"/>
                <w:szCs w:val="21"/>
              </w:rPr>
            </w:pPr>
            <w:r>
              <w:rPr>
                <w:color w:val="000000"/>
                <w:kern w:val="0"/>
                <w:szCs w:val="21"/>
              </w:rPr>
              <w:t>0</w:t>
            </w:r>
          </w:p>
        </w:tc>
        <w:tc>
          <w:tcPr>
            <w:tcW w:w="1530" w:type="dxa"/>
            <w:vAlign w:val="center"/>
          </w:tcPr>
          <w:p>
            <w:pPr>
              <w:widowControl/>
              <w:tabs>
                <w:tab w:val="left" w:pos="480"/>
              </w:tabs>
              <w:snapToGrid w:val="0"/>
              <w:jc w:val="center"/>
              <w:rPr>
                <w:color w:val="000000"/>
                <w:kern w:val="0"/>
                <w:szCs w:val="21"/>
              </w:rPr>
            </w:pPr>
            <w:r>
              <w:rPr>
                <w:rFonts w:hint="eastAsia" w:eastAsiaTheme="minorEastAsia"/>
                <w:szCs w:val="21"/>
              </w:rPr>
              <w:t>0.0</w:t>
            </w:r>
            <w:r>
              <w:rPr>
                <w:rFonts w:eastAsiaTheme="minorEastAsia"/>
                <w:szCs w:val="21"/>
              </w:rPr>
              <w:t>1265</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tabs>
                <w:tab w:val="left" w:pos="480"/>
              </w:tabs>
              <w:snapToGrid w:val="0"/>
              <w:jc w:val="center"/>
              <w:rPr>
                <w:color w:val="000000"/>
                <w:kern w:val="0"/>
                <w:szCs w:val="21"/>
              </w:rPr>
            </w:pPr>
            <w:r>
              <w:rPr>
                <w:rFonts w:hint="eastAsia" w:eastAsiaTheme="minorEastAsia"/>
                <w:szCs w:val="21"/>
              </w:rPr>
              <w:t>0.0</w:t>
            </w:r>
            <w:r>
              <w:rPr>
                <w:rFonts w:eastAsiaTheme="minorEastAsia"/>
                <w:szCs w:val="21"/>
              </w:rPr>
              <w:t>1265</w:t>
            </w:r>
          </w:p>
        </w:tc>
        <w:tc>
          <w:tcPr>
            <w:tcW w:w="1718" w:type="dxa"/>
            <w:vAlign w:val="center"/>
          </w:tcPr>
          <w:p>
            <w:pPr>
              <w:widowControl/>
              <w:tabs>
                <w:tab w:val="left" w:pos="480"/>
              </w:tabs>
              <w:snapToGrid w:val="0"/>
              <w:jc w:val="center"/>
              <w:rPr>
                <w:color w:val="000000"/>
                <w:kern w:val="0"/>
                <w:szCs w:val="21"/>
              </w:rPr>
            </w:pPr>
            <w:r>
              <w:rPr>
                <w:color w:val="000000"/>
                <w:kern w:val="0"/>
                <w:szCs w:val="21"/>
                <w:lang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autoSpaceDE w:val="0"/>
              <w:autoSpaceDN w:val="0"/>
              <w:snapToGrid w:val="0"/>
              <w:spacing w:line="300" w:lineRule="exact"/>
              <w:jc w:val="center"/>
              <w:rPr>
                <w:color w:val="000000"/>
                <w:kern w:val="0"/>
                <w:szCs w:val="21"/>
                <w:lang w:bidi="en-US"/>
              </w:rPr>
            </w:pPr>
            <w:r>
              <w:rPr>
                <w:color w:val="000000"/>
                <w:kern w:val="0"/>
                <w:szCs w:val="21"/>
                <w:lang w:bidi="en-US"/>
              </w:rPr>
              <w:t>NO</w:t>
            </w:r>
            <w:r>
              <w:rPr>
                <w:color w:val="000000"/>
                <w:kern w:val="0"/>
                <w:szCs w:val="21"/>
                <w:vertAlign w:val="subscript"/>
                <w:lang w:bidi="en-US"/>
              </w:rPr>
              <w:t>2</w:t>
            </w:r>
          </w:p>
        </w:tc>
        <w:tc>
          <w:tcPr>
            <w:tcW w:w="1417"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814</w:t>
            </w:r>
          </w:p>
        </w:tc>
        <w:tc>
          <w:tcPr>
            <w:tcW w:w="1418"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814</w:t>
            </w:r>
          </w:p>
        </w:tc>
        <w:tc>
          <w:tcPr>
            <w:tcW w:w="1417" w:type="dxa"/>
            <w:vAlign w:val="center"/>
          </w:tcPr>
          <w:p>
            <w:pPr>
              <w:widowControl/>
              <w:snapToGrid w:val="0"/>
              <w:spacing w:line="240" w:lineRule="atLeast"/>
              <w:jc w:val="center"/>
              <w:textAlignment w:val="center"/>
              <w:rPr>
                <w:color w:val="000000"/>
                <w:kern w:val="0"/>
                <w:szCs w:val="21"/>
                <w:lang w:bidi="ar"/>
              </w:rPr>
            </w:pPr>
            <w:r>
              <w:rPr>
                <w:color w:val="000000"/>
                <w:kern w:val="0"/>
                <w:szCs w:val="21"/>
                <w:lang w:bidi="ar"/>
              </w:rPr>
              <w:t>0</w:t>
            </w:r>
          </w:p>
        </w:tc>
        <w:tc>
          <w:tcPr>
            <w:tcW w:w="1530"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814</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814</w:t>
            </w:r>
          </w:p>
        </w:tc>
        <w:tc>
          <w:tcPr>
            <w:tcW w:w="1718" w:type="dxa"/>
            <w:vAlign w:val="center"/>
          </w:tcPr>
          <w:p>
            <w:pPr>
              <w:widowControl/>
              <w:snapToGrid w:val="0"/>
              <w:spacing w:line="240" w:lineRule="atLeast"/>
              <w:jc w:val="center"/>
              <w:textAlignment w:val="center"/>
              <w:rPr>
                <w:color w:val="000000"/>
                <w:kern w:val="0"/>
                <w:szCs w:val="21"/>
                <w:lang w:bidi="ar"/>
              </w:rPr>
            </w:pPr>
            <w:r>
              <w:rPr>
                <w:color w:val="000000"/>
                <w:kern w:val="0"/>
                <w:szCs w:val="21"/>
                <w:lang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autoSpaceDE w:val="0"/>
              <w:autoSpaceDN w:val="0"/>
              <w:snapToGrid w:val="0"/>
              <w:spacing w:line="300" w:lineRule="exact"/>
              <w:jc w:val="center"/>
              <w:rPr>
                <w:color w:val="000000"/>
                <w:kern w:val="0"/>
                <w:szCs w:val="21"/>
                <w:lang w:bidi="en-US"/>
              </w:rPr>
            </w:pPr>
            <w:r>
              <w:rPr>
                <w:color w:val="000000"/>
                <w:kern w:val="0"/>
                <w:szCs w:val="21"/>
                <w:lang w:bidi="en-US"/>
              </w:rPr>
              <w:t>烟尘</w:t>
            </w:r>
          </w:p>
        </w:tc>
        <w:tc>
          <w:tcPr>
            <w:tcW w:w="1417"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224</w:t>
            </w:r>
          </w:p>
        </w:tc>
        <w:tc>
          <w:tcPr>
            <w:tcW w:w="1418"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224</w:t>
            </w:r>
          </w:p>
        </w:tc>
        <w:tc>
          <w:tcPr>
            <w:tcW w:w="1417" w:type="dxa"/>
            <w:vAlign w:val="center"/>
          </w:tcPr>
          <w:p>
            <w:pPr>
              <w:widowControl/>
              <w:snapToGrid w:val="0"/>
              <w:spacing w:line="240" w:lineRule="atLeast"/>
              <w:jc w:val="center"/>
              <w:textAlignment w:val="center"/>
              <w:rPr>
                <w:color w:val="000000"/>
                <w:kern w:val="0"/>
                <w:szCs w:val="21"/>
                <w:lang w:bidi="ar"/>
              </w:rPr>
            </w:pPr>
            <w:r>
              <w:rPr>
                <w:color w:val="000000"/>
                <w:kern w:val="0"/>
                <w:szCs w:val="21"/>
                <w:lang w:bidi="ar"/>
              </w:rPr>
              <w:t>0</w:t>
            </w:r>
          </w:p>
        </w:tc>
        <w:tc>
          <w:tcPr>
            <w:tcW w:w="1530"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224</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spacing w:line="240" w:lineRule="atLeast"/>
              <w:jc w:val="center"/>
              <w:textAlignment w:val="center"/>
              <w:rPr>
                <w:color w:val="000000"/>
                <w:kern w:val="0"/>
                <w:szCs w:val="21"/>
                <w:lang w:bidi="ar"/>
              </w:rPr>
            </w:pPr>
            <w:r>
              <w:rPr>
                <w:rFonts w:hint="eastAsia" w:eastAsiaTheme="minorEastAsia"/>
                <w:szCs w:val="21"/>
              </w:rPr>
              <w:t>0.0</w:t>
            </w:r>
            <w:r>
              <w:rPr>
                <w:rFonts w:eastAsiaTheme="minorEastAsia"/>
                <w:szCs w:val="21"/>
              </w:rPr>
              <w:t>224</w:t>
            </w:r>
          </w:p>
        </w:tc>
        <w:tc>
          <w:tcPr>
            <w:tcW w:w="1718" w:type="dxa"/>
            <w:vAlign w:val="center"/>
          </w:tcPr>
          <w:p>
            <w:pPr>
              <w:widowControl/>
              <w:snapToGrid w:val="0"/>
              <w:spacing w:line="240" w:lineRule="atLeast"/>
              <w:jc w:val="center"/>
              <w:textAlignment w:val="center"/>
              <w:rPr>
                <w:color w:val="000000"/>
                <w:kern w:val="0"/>
                <w:szCs w:val="21"/>
                <w:lang w:bidi="ar"/>
              </w:rPr>
            </w:pPr>
            <w:r>
              <w:rPr>
                <w:color w:val="000000"/>
                <w:kern w:val="0"/>
                <w:szCs w:val="21"/>
                <w:lang w:bidi="ar"/>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Align w:val="center"/>
          </w:tcPr>
          <w:p>
            <w:pPr>
              <w:widowControl/>
              <w:snapToGrid w:val="0"/>
              <w:jc w:val="center"/>
              <w:rPr>
                <w:color w:val="000000"/>
                <w:kern w:val="0"/>
                <w:szCs w:val="21"/>
                <w:lang w:bidi="en-US"/>
              </w:rPr>
            </w:pPr>
            <w:r>
              <w:rPr>
                <w:color w:val="000000"/>
                <w:kern w:val="0"/>
                <w:szCs w:val="21"/>
                <w:lang w:bidi="en-US"/>
              </w:rPr>
              <w:t>油烟</w:t>
            </w:r>
          </w:p>
        </w:tc>
        <w:tc>
          <w:tcPr>
            <w:tcW w:w="2297" w:type="dxa"/>
            <w:vAlign w:val="center"/>
          </w:tcPr>
          <w:p>
            <w:pPr>
              <w:widowControl/>
              <w:autoSpaceDE w:val="0"/>
              <w:autoSpaceDN w:val="0"/>
              <w:snapToGrid w:val="0"/>
              <w:spacing w:line="300" w:lineRule="exact"/>
              <w:jc w:val="center"/>
              <w:rPr>
                <w:color w:val="000000"/>
                <w:kern w:val="0"/>
                <w:szCs w:val="21"/>
                <w:lang w:bidi="en-US"/>
              </w:rPr>
            </w:pPr>
            <w:r>
              <w:rPr>
                <w:color w:val="000000"/>
                <w:kern w:val="0"/>
                <w:szCs w:val="21"/>
                <w:lang w:bidi="en-US"/>
              </w:rPr>
              <w:t>油烟</w:t>
            </w:r>
          </w:p>
        </w:tc>
        <w:tc>
          <w:tcPr>
            <w:tcW w:w="1417" w:type="dxa"/>
            <w:vAlign w:val="center"/>
          </w:tcPr>
          <w:p>
            <w:pPr>
              <w:widowControl/>
              <w:snapToGrid w:val="0"/>
              <w:spacing w:line="240" w:lineRule="atLeast"/>
              <w:jc w:val="center"/>
              <w:textAlignment w:val="center"/>
              <w:rPr>
                <w:color w:val="000000"/>
                <w:kern w:val="0"/>
                <w:szCs w:val="21"/>
                <w:lang w:bidi="ar"/>
              </w:rPr>
            </w:pPr>
            <w:r>
              <w:rPr>
                <w:rFonts w:eastAsiaTheme="minorEastAsia"/>
                <w:szCs w:val="21"/>
              </w:rPr>
              <w:t>0.0552</w:t>
            </w:r>
          </w:p>
        </w:tc>
        <w:tc>
          <w:tcPr>
            <w:tcW w:w="1418" w:type="dxa"/>
            <w:vAlign w:val="center"/>
          </w:tcPr>
          <w:p>
            <w:pPr>
              <w:widowControl/>
              <w:snapToGrid w:val="0"/>
              <w:spacing w:line="240" w:lineRule="atLeast"/>
              <w:jc w:val="center"/>
              <w:textAlignment w:val="center"/>
              <w:rPr>
                <w:color w:val="000000"/>
                <w:kern w:val="0"/>
                <w:szCs w:val="21"/>
                <w:lang w:bidi="ar"/>
              </w:rPr>
            </w:pPr>
            <w:r>
              <w:rPr>
                <w:rFonts w:eastAsiaTheme="minorEastAsia"/>
                <w:szCs w:val="21"/>
              </w:rPr>
              <w:t>0.6132</w:t>
            </w:r>
          </w:p>
        </w:tc>
        <w:tc>
          <w:tcPr>
            <w:tcW w:w="1417" w:type="dxa"/>
            <w:vAlign w:val="center"/>
          </w:tcPr>
          <w:p>
            <w:pPr>
              <w:widowControl/>
              <w:snapToGrid w:val="0"/>
              <w:spacing w:line="240" w:lineRule="atLeast"/>
              <w:jc w:val="center"/>
              <w:textAlignment w:val="center"/>
              <w:rPr>
                <w:color w:val="000000"/>
                <w:kern w:val="0"/>
                <w:szCs w:val="21"/>
                <w:lang w:bidi="ar"/>
              </w:rPr>
            </w:pPr>
            <w:r>
              <w:rPr>
                <w:color w:val="000000"/>
                <w:kern w:val="0"/>
                <w:szCs w:val="21"/>
                <w:lang w:bidi="ar"/>
              </w:rPr>
              <w:t>0.5212</w:t>
            </w:r>
          </w:p>
        </w:tc>
        <w:tc>
          <w:tcPr>
            <w:tcW w:w="1530" w:type="dxa"/>
            <w:vAlign w:val="center"/>
          </w:tcPr>
          <w:p>
            <w:pPr>
              <w:widowControl/>
              <w:snapToGrid w:val="0"/>
              <w:spacing w:line="240" w:lineRule="atLeast"/>
              <w:jc w:val="center"/>
              <w:textAlignment w:val="center"/>
              <w:rPr>
                <w:color w:val="000000"/>
                <w:kern w:val="0"/>
                <w:szCs w:val="21"/>
                <w:lang w:bidi="ar"/>
              </w:rPr>
            </w:pPr>
            <w:r>
              <w:rPr>
                <w:rFonts w:eastAsiaTheme="minorEastAsia"/>
                <w:szCs w:val="21"/>
              </w:rPr>
              <w:t>0.09198</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eastAsiaTheme="minorEastAsia"/>
                <w:szCs w:val="21"/>
              </w:rPr>
              <w:t>0.09198</w:t>
            </w:r>
          </w:p>
        </w:tc>
        <w:tc>
          <w:tcPr>
            <w:tcW w:w="1718" w:type="dxa"/>
            <w:vAlign w:val="center"/>
          </w:tcPr>
          <w:p>
            <w:pPr>
              <w:widowControl/>
              <w:snapToGrid w:val="0"/>
              <w:spacing w:line="240" w:lineRule="atLeast"/>
              <w:jc w:val="center"/>
              <w:textAlignment w:val="center"/>
              <w:rPr>
                <w:color w:val="000000"/>
                <w:kern w:val="0"/>
                <w:szCs w:val="21"/>
                <w:lang w:bidi="ar"/>
              </w:rPr>
            </w:pPr>
            <w:r>
              <w:rPr>
                <w:color w:val="000000"/>
                <w:kern w:val="0"/>
                <w:szCs w:val="21"/>
                <w:lang w:bidi="ar"/>
              </w:rPr>
              <w:t>+0.4292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restart"/>
            <w:vAlign w:val="center"/>
          </w:tcPr>
          <w:p>
            <w:pPr>
              <w:widowControl/>
              <w:snapToGrid w:val="0"/>
              <w:jc w:val="center"/>
              <w:rPr>
                <w:color w:val="000000"/>
                <w:kern w:val="0"/>
                <w:szCs w:val="21"/>
                <w:lang w:eastAsia="en-US" w:bidi="en-US"/>
              </w:rPr>
            </w:pPr>
            <w:r>
              <w:rPr>
                <w:color w:val="000000"/>
                <w:kern w:val="0"/>
                <w:szCs w:val="21"/>
                <w:lang w:eastAsia="en-US" w:bidi="en-US"/>
              </w:rPr>
              <w:t>固废</w:t>
            </w:r>
          </w:p>
        </w:tc>
        <w:tc>
          <w:tcPr>
            <w:tcW w:w="2297" w:type="dxa"/>
            <w:vAlign w:val="center"/>
          </w:tcPr>
          <w:p>
            <w:pPr>
              <w:widowControl/>
              <w:snapToGrid w:val="0"/>
              <w:jc w:val="center"/>
              <w:rPr>
                <w:color w:val="000000"/>
                <w:kern w:val="0"/>
                <w:szCs w:val="21"/>
                <w:lang w:bidi="en-US"/>
              </w:rPr>
            </w:pPr>
            <w:r>
              <w:rPr>
                <w:rFonts w:eastAsiaTheme="minorEastAsia"/>
                <w:szCs w:val="21"/>
              </w:rPr>
              <w:t>医疗废物</w:t>
            </w:r>
          </w:p>
        </w:tc>
        <w:tc>
          <w:tcPr>
            <w:tcW w:w="1417" w:type="dxa"/>
            <w:vAlign w:val="center"/>
          </w:tcPr>
          <w:p>
            <w:pPr>
              <w:widowControl/>
              <w:snapToGrid w:val="0"/>
              <w:jc w:val="center"/>
              <w:textAlignment w:val="center"/>
              <w:rPr>
                <w:color w:val="000000"/>
                <w:kern w:val="0"/>
                <w:szCs w:val="21"/>
                <w:lang w:bidi="ar"/>
              </w:rPr>
            </w:pPr>
            <w:r>
              <w:rPr>
                <w:rFonts w:eastAsiaTheme="minorEastAsia"/>
                <w:szCs w:val="21"/>
              </w:rPr>
              <w:t>36.5</w:t>
            </w:r>
          </w:p>
        </w:tc>
        <w:tc>
          <w:tcPr>
            <w:tcW w:w="1418" w:type="dxa"/>
            <w:vAlign w:val="center"/>
          </w:tcPr>
          <w:p>
            <w:pPr>
              <w:widowControl/>
              <w:snapToGrid w:val="0"/>
              <w:jc w:val="center"/>
              <w:textAlignment w:val="center"/>
              <w:rPr>
                <w:color w:val="000000"/>
                <w:kern w:val="0"/>
                <w:szCs w:val="21"/>
                <w:lang w:eastAsia="en-US" w:bidi="ar"/>
              </w:rPr>
            </w:pPr>
            <w:r>
              <w:rPr>
                <w:rFonts w:eastAsiaTheme="minorEastAsia"/>
                <w:szCs w:val="21"/>
              </w:rPr>
              <w:t xml:space="preserve">120.5 </w:t>
            </w:r>
          </w:p>
        </w:tc>
        <w:tc>
          <w:tcPr>
            <w:tcW w:w="1417" w:type="dxa"/>
            <w:vAlign w:val="center"/>
          </w:tcPr>
          <w:p>
            <w:pPr>
              <w:widowControl/>
              <w:snapToGrid w:val="0"/>
              <w:jc w:val="center"/>
              <w:textAlignment w:val="center"/>
              <w:rPr>
                <w:color w:val="000000"/>
                <w:kern w:val="0"/>
                <w:szCs w:val="21"/>
                <w:lang w:eastAsia="en-US" w:bidi="ar"/>
              </w:rPr>
            </w:pPr>
            <w:r>
              <w:rPr>
                <w:rFonts w:eastAsiaTheme="minorEastAsia"/>
                <w:szCs w:val="21"/>
              </w:rPr>
              <w:t xml:space="preserve">120.5 </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hint="eastAsia" w:eastAsiaTheme="minorEastAsia"/>
                <w:szCs w:val="21"/>
              </w:rPr>
              <w:t>84</w:t>
            </w:r>
            <w:r>
              <w:rPr>
                <w:rFonts w:eastAsiaTheme="minorEastAsia"/>
                <w:szCs w:val="21"/>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污水处理站污泥</w:t>
            </w:r>
          </w:p>
        </w:tc>
        <w:tc>
          <w:tcPr>
            <w:tcW w:w="1417" w:type="dxa"/>
            <w:vAlign w:val="center"/>
          </w:tcPr>
          <w:p>
            <w:pPr>
              <w:widowControl/>
              <w:snapToGrid w:val="0"/>
              <w:jc w:val="center"/>
              <w:textAlignment w:val="center"/>
              <w:rPr>
                <w:color w:val="000000"/>
                <w:kern w:val="0"/>
                <w:szCs w:val="21"/>
                <w:lang w:bidi="ar"/>
              </w:rPr>
            </w:pPr>
            <w:r>
              <w:rPr>
                <w:szCs w:val="21"/>
              </w:rPr>
              <w:t>21.77</w:t>
            </w:r>
          </w:p>
        </w:tc>
        <w:tc>
          <w:tcPr>
            <w:tcW w:w="1418" w:type="dxa"/>
            <w:vAlign w:val="center"/>
          </w:tcPr>
          <w:p>
            <w:pPr>
              <w:widowControl/>
              <w:snapToGrid w:val="0"/>
              <w:jc w:val="center"/>
              <w:textAlignment w:val="center"/>
              <w:rPr>
                <w:color w:val="000000"/>
                <w:kern w:val="0"/>
                <w:szCs w:val="21"/>
                <w:lang w:eastAsia="en-US" w:bidi="ar"/>
              </w:rPr>
            </w:pPr>
            <w:r>
              <w:rPr>
                <w:rFonts w:eastAsiaTheme="minorEastAsia"/>
                <w:szCs w:val="21"/>
              </w:rPr>
              <w:t>36.28</w:t>
            </w:r>
          </w:p>
        </w:tc>
        <w:tc>
          <w:tcPr>
            <w:tcW w:w="1417" w:type="dxa"/>
            <w:vAlign w:val="center"/>
          </w:tcPr>
          <w:p>
            <w:pPr>
              <w:widowControl/>
              <w:snapToGrid w:val="0"/>
              <w:jc w:val="center"/>
              <w:textAlignment w:val="center"/>
              <w:rPr>
                <w:color w:val="000000"/>
                <w:kern w:val="0"/>
                <w:szCs w:val="21"/>
                <w:lang w:eastAsia="en-US" w:bidi="ar"/>
              </w:rPr>
            </w:pPr>
            <w:r>
              <w:rPr>
                <w:rFonts w:eastAsiaTheme="minorEastAsia"/>
                <w:szCs w:val="21"/>
              </w:rPr>
              <w:t>36.28</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hint="eastAsia" w:eastAsiaTheme="minorEastAsia"/>
                <w:szCs w:val="21"/>
              </w:rPr>
              <w:t>14.51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rFonts w:eastAsiaTheme="minorEastAsia"/>
                <w:szCs w:val="21"/>
              </w:rPr>
            </w:pPr>
            <w:r>
              <w:rPr>
                <w:rFonts w:hint="eastAsia" w:eastAsiaTheme="minorEastAsia"/>
                <w:szCs w:val="21"/>
              </w:rPr>
              <w:t>未被污染的输液瓶(袋)</w:t>
            </w:r>
          </w:p>
        </w:tc>
        <w:tc>
          <w:tcPr>
            <w:tcW w:w="1417" w:type="dxa"/>
            <w:vAlign w:val="center"/>
          </w:tcPr>
          <w:p>
            <w:pPr>
              <w:widowControl/>
              <w:snapToGrid w:val="0"/>
              <w:jc w:val="center"/>
              <w:textAlignment w:val="center"/>
              <w:rPr>
                <w:szCs w:val="21"/>
              </w:rPr>
            </w:pPr>
            <w:r>
              <w:rPr>
                <w:rFonts w:hint="eastAsia"/>
                <w:szCs w:val="21"/>
              </w:rPr>
              <w:t>26</w:t>
            </w:r>
          </w:p>
        </w:tc>
        <w:tc>
          <w:tcPr>
            <w:tcW w:w="1418" w:type="dxa"/>
            <w:vAlign w:val="center"/>
          </w:tcPr>
          <w:p>
            <w:pPr>
              <w:widowControl/>
              <w:snapToGrid w:val="0"/>
              <w:jc w:val="center"/>
              <w:textAlignment w:val="center"/>
              <w:rPr>
                <w:rFonts w:eastAsiaTheme="minorEastAsia"/>
                <w:szCs w:val="21"/>
              </w:rPr>
            </w:pPr>
            <w:r>
              <w:rPr>
                <w:rFonts w:hint="eastAsia" w:eastAsiaTheme="minorEastAsia"/>
                <w:szCs w:val="21"/>
              </w:rPr>
              <w:t>35</w:t>
            </w:r>
          </w:p>
        </w:tc>
        <w:tc>
          <w:tcPr>
            <w:tcW w:w="1417" w:type="dxa"/>
            <w:vAlign w:val="center"/>
          </w:tcPr>
          <w:p>
            <w:pPr>
              <w:widowControl/>
              <w:snapToGrid w:val="0"/>
              <w:jc w:val="center"/>
              <w:textAlignment w:val="center"/>
              <w:rPr>
                <w:rFonts w:eastAsiaTheme="minorEastAsia"/>
                <w:szCs w:val="21"/>
              </w:rPr>
            </w:pPr>
            <w:r>
              <w:rPr>
                <w:rFonts w:hint="eastAsia" w:eastAsiaTheme="minorEastAsia"/>
                <w:szCs w:val="21"/>
              </w:rPr>
              <w:t>35</w:t>
            </w:r>
          </w:p>
        </w:tc>
        <w:tc>
          <w:tcPr>
            <w:tcW w:w="1530" w:type="dxa"/>
            <w:vAlign w:val="center"/>
          </w:tcPr>
          <w:p>
            <w:pPr>
              <w:widowControl/>
              <w:snapToGrid w:val="0"/>
              <w:jc w:val="center"/>
              <w:textAlignment w:val="center"/>
              <w:rPr>
                <w:color w:val="000000"/>
                <w:kern w:val="0"/>
                <w:szCs w:val="21"/>
                <w:lang w:bidi="ar"/>
              </w:rPr>
            </w:pPr>
            <w:r>
              <w:rPr>
                <w:rFonts w:hint="eastAsia"/>
                <w:color w:val="000000"/>
                <w:kern w:val="0"/>
                <w:szCs w:val="21"/>
                <w:lang w:bidi="ar"/>
              </w:rPr>
              <w:t>0</w:t>
            </w:r>
          </w:p>
        </w:tc>
        <w:tc>
          <w:tcPr>
            <w:tcW w:w="1601" w:type="dxa"/>
            <w:vAlign w:val="center"/>
          </w:tcPr>
          <w:p>
            <w:pPr>
              <w:widowControl/>
              <w:snapToGrid w:val="0"/>
              <w:jc w:val="center"/>
              <w:textAlignment w:val="center"/>
              <w:rPr>
                <w:color w:val="000000"/>
                <w:kern w:val="0"/>
                <w:szCs w:val="21"/>
                <w:lang w:bidi="ar"/>
              </w:rPr>
            </w:pPr>
            <w:r>
              <w:rPr>
                <w:rFonts w:hint="eastAsia"/>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rFonts w:hint="eastAsia"/>
                <w:color w:val="000000"/>
                <w:kern w:val="0"/>
                <w:szCs w:val="21"/>
                <w:lang w:bidi="ar"/>
              </w:rPr>
              <w:t>0</w:t>
            </w:r>
          </w:p>
        </w:tc>
        <w:tc>
          <w:tcPr>
            <w:tcW w:w="1718" w:type="dxa"/>
            <w:vAlign w:val="center"/>
          </w:tcPr>
          <w:p>
            <w:pPr>
              <w:widowControl/>
              <w:snapToGrid w:val="0"/>
              <w:jc w:val="center"/>
              <w:textAlignment w:val="center"/>
              <w:rPr>
                <w:rFonts w:eastAsiaTheme="minorEastAsia"/>
                <w:szCs w:val="21"/>
              </w:rPr>
            </w:pPr>
            <w:r>
              <w:rPr>
                <w:rFonts w:hint="eastAsia" w:eastAsiaTheme="minorEastAsia"/>
                <w:szCs w:val="21"/>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生活垃圾</w:t>
            </w:r>
          </w:p>
        </w:tc>
        <w:tc>
          <w:tcPr>
            <w:tcW w:w="1417" w:type="dxa"/>
            <w:vAlign w:val="center"/>
          </w:tcPr>
          <w:p>
            <w:pPr>
              <w:widowControl/>
              <w:snapToGrid w:val="0"/>
              <w:jc w:val="center"/>
              <w:textAlignment w:val="center"/>
              <w:rPr>
                <w:color w:val="000000"/>
                <w:kern w:val="0"/>
                <w:szCs w:val="21"/>
                <w:lang w:bidi="ar"/>
              </w:rPr>
            </w:pPr>
            <w:r>
              <w:rPr>
                <w:rFonts w:hint="eastAsia"/>
                <w:szCs w:val="21"/>
              </w:rPr>
              <w:t>15</w:t>
            </w:r>
            <w:r>
              <w:rPr>
                <w:szCs w:val="21"/>
              </w:rPr>
              <w:t>0</w:t>
            </w:r>
          </w:p>
        </w:tc>
        <w:tc>
          <w:tcPr>
            <w:tcW w:w="1418" w:type="dxa"/>
            <w:vAlign w:val="center"/>
          </w:tcPr>
          <w:p>
            <w:pPr>
              <w:widowControl/>
              <w:snapToGrid w:val="0"/>
              <w:jc w:val="center"/>
              <w:textAlignment w:val="center"/>
              <w:rPr>
                <w:color w:val="000000"/>
                <w:kern w:val="0"/>
                <w:szCs w:val="21"/>
                <w:lang w:eastAsia="en-US" w:bidi="ar"/>
              </w:rPr>
            </w:pPr>
            <w:r>
              <w:rPr>
                <w:rFonts w:eastAsiaTheme="minorEastAsia"/>
                <w:szCs w:val="21"/>
              </w:rPr>
              <w:t>301.6</w:t>
            </w:r>
          </w:p>
        </w:tc>
        <w:tc>
          <w:tcPr>
            <w:tcW w:w="1417" w:type="dxa"/>
            <w:vAlign w:val="center"/>
          </w:tcPr>
          <w:p>
            <w:pPr>
              <w:widowControl/>
              <w:snapToGrid w:val="0"/>
              <w:jc w:val="center"/>
              <w:textAlignment w:val="center"/>
              <w:rPr>
                <w:color w:val="000000"/>
                <w:kern w:val="0"/>
                <w:szCs w:val="21"/>
                <w:lang w:eastAsia="en-US" w:bidi="ar"/>
              </w:rPr>
            </w:pPr>
            <w:r>
              <w:rPr>
                <w:rFonts w:eastAsiaTheme="minorEastAsia"/>
                <w:szCs w:val="21"/>
              </w:rPr>
              <w:t>301.6</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hint="eastAsia" w:eastAsiaTheme="minorEastAsia"/>
                <w:szCs w:val="21"/>
              </w:rPr>
              <w:t>15</w:t>
            </w:r>
            <w:r>
              <w:rPr>
                <w:rFonts w:eastAsiaTheme="minorEastAsia"/>
                <w:szCs w:val="21"/>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餐厨垃圾</w:t>
            </w:r>
          </w:p>
        </w:tc>
        <w:tc>
          <w:tcPr>
            <w:tcW w:w="1417" w:type="dxa"/>
            <w:vAlign w:val="center"/>
          </w:tcPr>
          <w:p>
            <w:pPr>
              <w:widowControl/>
              <w:snapToGrid w:val="0"/>
              <w:jc w:val="center"/>
              <w:textAlignment w:val="center"/>
              <w:rPr>
                <w:color w:val="000000"/>
                <w:kern w:val="0"/>
                <w:szCs w:val="21"/>
                <w:lang w:bidi="ar"/>
              </w:rPr>
            </w:pPr>
            <w:r>
              <w:rPr>
                <w:rFonts w:eastAsiaTheme="minorEastAsia"/>
                <w:szCs w:val="21"/>
              </w:rPr>
              <w:t>35</w:t>
            </w:r>
          </w:p>
        </w:tc>
        <w:tc>
          <w:tcPr>
            <w:tcW w:w="1418" w:type="dxa"/>
            <w:vAlign w:val="center"/>
          </w:tcPr>
          <w:p>
            <w:pPr>
              <w:widowControl/>
              <w:snapToGrid w:val="0"/>
              <w:jc w:val="center"/>
              <w:textAlignment w:val="center"/>
              <w:rPr>
                <w:color w:val="000000"/>
                <w:kern w:val="0"/>
                <w:szCs w:val="21"/>
                <w:lang w:bidi="ar"/>
              </w:rPr>
            </w:pPr>
            <w:r>
              <w:rPr>
                <w:rFonts w:eastAsiaTheme="minorEastAsia"/>
                <w:szCs w:val="21"/>
              </w:rPr>
              <w:t>51.1</w:t>
            </w:r>
          </w:p>
        </w:tc>
        <w:tc>
          <w:tcPr>
            <w:tcW w:w="1417" w:type="dxa"/>
            <w:vAlign w:val="center"/>
          </w:tcPr>
          <w:p>
            <w:pPr>
              <w:widowControl/>
              <w:snapToGrid w:val="0"/>
              <w:jc w:val="center"/>
              <w:textAlignment w:val="center"/>
              <w:rPr>
                <w:color w:val="000000"/>
                <w:kern w:val="0"/>
                <w:szCs w:val="21"/>
                <w:lang w:bidi="ar"/>
              </w:rPr>
            </w:pPr>
            <w:r>
              <w:rPr>
                <w:rFonts w:eastAsiaTheme="minorEastAsia"/>
                <w:szCs w:val="21"/>
              </w:rPr>
              <w:t>51.1</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hint="eastAsia" w:eastAsiaTheme="minorEastAsia"/>
                <w:szCs w:val="21"/>
              </w:rPr>
              <w:t>16.1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color w:val="000000"/>
                <w:kern w:val="0"/>
                <w:szCs w:val="21"/>
                <w:lang w:eastAsia="en-US" w:bidi="en-US"/>
              </w:rPr>
            </w:pPr>
            <w:r>
              <w:rPr>
                <w:rFonts w:eastAsiaTheme="minorEastAsia"/>
                <w:szCs w:val="21"/>
              </w:rPr>
              <w:t>隔油池油脂</w:t>
            </w:r>
          </w:p>
        </w:tc>
        <w:tc>
          <w:tcPr>
            <w:tcW w:w="1417" w:type="dxa"/>
            <w:vAlign w:val="center"/>
          </w:tcPr>
          <w:p>
            <w:pPr>
              <w:widowControl/>
              <w:snapToGrid w:val="0"/>
              <w:jc w:val="center"/>
              <w:textAlignment w:val="center"/>
              <w:rPr>
                <w:rFonts w:eastAsiaTheme="minorEastAsia"/>
                <w:szCs w:val="21"/>
              </w:rPr>
            </w:pPr>
            <w:r>
              <w:rPr>
                <w:rFonts w:eastAsiaTheme="minorEastAsia"/>
                <w:szCs w:val="21"/>
              </w:rPr>
              <w:t>0.8</w:t>
            </w:r>
          </w:p>
        </w:tc>
        <w:tc>
          <w:tcPr>
            <w:tcW w:w="1418" w:type="dxa"/>
            <w:vAlign w:val="center"/>
          </w:tcPr>
          <w:p>
            <w:pPr>
              <w:widowControl/>
              <w:snapToGrid w:val="0"/>
              <w:jc w:val="center"/>
              <w:textAlignment w:val="center"/>
              <w:rPr>
                <w:color w:val="000000"/>
                <w:kern w:val="0"/>
                <w:szCs w:val="21"/>
                <w:lang w:bidi="ar"/>
              </w:rPr>
            </w:pPr>
            <w:r>
              <w:rPr>
                <w:rFonts w:eastAsiaTheme="minorEastAsia"/>
                <w:szCs w:val="21"/>
              </w:rPr>
              <w:t>1.69</w:t>
            </w:r>
          </w:p>
        </w:tc>
        <w:tc>
          <w:tcPr>
            <w:tcW w:w="1417" w:type="dxa"/>
            <w:vAlign w:val="center"/>
          </w:tcPr>
          <w:p>
            <w:pPr>
              <w:widowControl/>
              <w:snapToGrid w:val="0"/>
              <w:jc w:val="center"/>
              <w:textAlignment w:val="center"/>
              <w:rPr>
                <w:color w:val="000000"/>
                <w:kern w:val="0"/>
                <w:szCs w:val="21"/>
                <w:lang w:bidi="ar"/>
              </w:rPr>
            </w:pPr>
            <w:r>
              <w:rPr>
                <w:rFonts w:eastAsiaTheme="minorEastAsia"/>
                <w:szCs w:val="21"/>
              </w:rPr>
              <w:t>1.69</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18" w:type="dxa"/>
            <w:vAlign w:val="center"/>
          </w:tcPr>
          <w:p>
            <w:pPr>
              <w:widowControl/>
              <w:snapToGrid w:val="0"/>
              <w:jc w:val="center"/>
              <w:textAlignment w:val="center"/>
              <w:rPr>
                <w:color w:val="000000"/>
                <w:kern w:val="0"/>
                <w:szCs w:val="21"/>
                <w:lang w:bidi="ar"/>
              </w:rPr>
            </w:pPr>
            <w:r>
              <w:rPr>
                <w:rFonts w:eastAsiaTheme="minorEastAsia"/>
                <w:szCs w:val="21"/>
              </w:rPr>
              <w:t>+</w:t>
            </w:r>
            <w:r>
              <w:rPr>
                <w:rFonts w:hint="eastAsia" w:eastAsiaTheme="minorEastAsia"/>
                <w:szCs w:val="21"/>
              </w:rPr>
              <w:t>0.8</w:t>
            </w:r>
            <w:r>
              <w:rPr>
                <w:rFonts w:eastAsiaTheme="minorEastAsia"/>
                <w:szCs w:val="21"/>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1" w:type="dxa"/>
            <w:vMerge w:val="continue"/>
            <w:vAlign w:val="center"/>
          </w:tcPr>
          <w:p>
            <w:pPr>
              <w:widowControl/>
              <w:snapToGrid w:val="0"/>
              <w:jc w:val="center"/>
              <w:rPr>
                <w:color w:val="000000"/>
                <w:kern w:val="0"/>
                <w:szCs w:val="21"/>
                <w:lang w:eastAsia="en-US" w:bidi="en-US"/>
              </w:rPr>
            </w:pPr>
          </w:p>
        </w:tc>
        <w:tc>
          <w:tcPr>
            <w:tcW w:w="2297" w:type="dxa"/>
            <w:vAlign w:val="center"/>
          </w:tcPr>
          <w:p>
            <w:pPr>
              <w:widowControl/>
              <w:snapToGrid w:val="0"/>
              <w:jc w:val="center"/>
              <w:rPr>
                <w:rFonts w:eastAsiaTheme="minorEastAsia"/>
                <w:szCs w:val="21"/>
              </w:rPr>
            </w:pPr>
            <w:r>
              <w:rPr>
                <w:rFonts w:eastAsiaTheme="minorEastAsia"/>
                <w:szCs w:val="21"/>
              </w:rPr>
              <w:t>中药渣</w:t>
            </w:r>
          </w:p>
        </w:tc>
        <w:tc>
          <w:tcPr>
            <w:tcW w:w="1417" w:type="dxa"/>
            <w:vAlign w:val="center"/>
          </w:tcPr>
          <w:p>
            <w:pPr>
              <w:widowControl/>
              <w:snapToGrid w:val="0"/>
              <w:jc w:val="center"/>
              <w:textAlignment w:val="center"/>
              <w:rPr>
                <w:rFonts w:eastAsiaTheme="minorEastAsia"/>
                <w:szCs w:val="21"/>
              </w:rPr>
            </w:pPr>
            <w:r>
              <w:rPr>
                <w:rFonts w:eastAsiaTheme="minorEastAsia"/>
                <w:szCs w:val="21"/>
              </w:rPr>
              <w:t>7</w:t>
            </w:r>
          </w:p>
        </w:tc>
        <w:tc>
          <w:tcPr>
            <w:tcW w:w="1418" w:type="dxa"/>
            <w:vAlign w:val="center"/>
          </w:tcPr>
          <w:p>
            <w:pPr>
              <w:widowControl/>
              <w:snapToGrid w:val="0"/>
              <w:jc w:val="center"/>
              <w:textAlignment w:val="center"/>
              <w:rPr>
                <w:rFonts w:eastAsiaTheme="minorEastAsia"/>
                <w:szCs w:val="21"/>
              </w:rPr>
            </w:pPr>
            <w:r>
              <w:rPr>
                <w:rFonts w:eastAsiaTheme="minorEastAsia"/>
                <w:szCs w:val="21"/>
              </w:rPr>
              <w:t>14</w:t>
            </w:r>
          </w:p>
        </w:tc>
        <w:tc>
          <w:tcPr>
            <w:tcW w:w="1417" w:type="dxa"/>
            <w:vAlign w:val="center"/>
          </w:tcPr>
          <w:p>
            <w:pPr>
              <w:widowControl/>
              <w:snapToGrid w:val="0"/>
              <w:jc w:val="center"/>
              <w:textAlignment w:val="center"/>
              <w:rPr>
                <w:rFonts w:eastAsiaTheme="minorEastAsia"/>
                <w:szCs w:val="21"/>
              </w:rPr>
            </w:pPr>
            <w:r>
              <w:rPr>
                <w:rFonts w:eastAsiaTheme="minorEastAsia"/>
                <w:szCs w:val="21"/>
              </w:rPr>
              <w:t>14</w:t>
            </w:r>
          </w:p>
        </w:tc>
        <w:tc>
          <w:tcPr>
            <w:tcW w:w="1530"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601"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49" w:type="dxa"/>
            <w:vAlign w:val="center"/>
          </w:tcPr>
          <w:p>
            <w:pPr>
              <w:widowControl/>
              <w:snapToGrid w:val="0"/>
              <w:jc w:val="center"/>
              <w:textAlignment w:val="center"/>
              <w:rPr>
                <w:color w:val="000000"/>
                <w:kern w:val="0"/>
                <w:szCs w:val="21"/>
                <w:lang w:bidi="ar"/>
              </w:rPr>
            </w:pPr>
            <w:r>
              <w:rPr>
                <w:color w:val="000000"/>
                <w:kern w:val="0"/>
                <w:szCs w:val="21"/>
                <w:lang w:bidi="ar"/>
              </w:rPr>
              <w:t>0</w:t>
            </w:r>
          </w:p>
        </w:tc>
        <w:tc>
          <w:tcPr>
            <w:tcW w:w="1718" w:type="dxa"/>
            <w:vAlign w:val="center"/>
          </w:tcPr>
          <w:p>
            <w:pPr>
              <w:widowControl/>
              <w:snapToGrid w:val="0"/>
              <w:jc w:val="center"/>
              <w:textAlignment w:val="center"/>
              <w:rPr>
                <w:rFonts w:eastAsiaTheme="minorEastAsia"/>
                <w:szCs w:val="21"/>
              </w:rPr>
            </w:pPr>
            <w:r>
              <w:rPr>
                <w:rFonts w:eastAsiaTheme="minorEastAsia"/>
                <w:szCs w:val="21"/>
              </w:rPr>
              <w:t>+7</w:t>
            </w:r>
          </w:p>
        </w:tc>
      </w:tr>
    </w:tbl>
    <w:p>
      <w:pPr>
        <w:snapToGrid w:val="0"/>
        <w:spacing w:line="360" w:lineRule="auto"/>
        <w:rPr>
          <w:rFonts w:eastAsiaTheme="minorEastAsia"/>
          <w:sz w:val="24"/>
        </w:rPr>
        <w:sectPr>
          <w:pgSz w:w="16840" w:h="11907" w:orient="landscape"/>
          <w:pgMar w:top="1135" w:right="1304" w:bottom="1418" w:left="1474" w:header="851" w:footer="992" w:gutter="0"/>
          <w:cols w:space="720" w:num="1"/>
          <w:docGrid w:linePitch="312" w:charSpace="0"/>
        </w:sectPr>
      </w:pPr>
    </w:p>
    <w:bookmarkEnd w:id="61"/>
    <w:bookmarkEnd w:id="62"/>
    <w:bookmarkEnd w:id="63"/>
    <w:bookmarkEnd w:id="64"/>
    <w:bookmarkEnd w:id="65"/>
    <w:p>
      <w:pPr>
        <w:pStyle w:val="2"/>
        <w:spacing w:after="0" w:line="480" w:lineRule="auto"/>
        <w:jc w:val="center"/>
        <w:rPr>
          <w:rFonts w:ascii="Times New Roman" w:eastAsiaTheme="minorEastAsia"/>
          <w:b/>
          <w:bCs/>
          <w:sz w:val="36"/>
          <w:szCs w:val="36"/>
          <w:lang w:val="zh-CN"/>
        </w:rPr>
      </w:pPr>
      <w:bookmarkStart w:id="108" w:name="_Toc61026604"/>
      <w:bookmarkStart w:id="109" w:name="_Toc299451773"/>
      <w:bookmarkStart w:id="110" w:name="_Toc299450807"/>
      <w:bookmarkStart w:id="111" w:name="_Toc299450907"/>
      <w:bookmarkStart w:id="112" w:name="_Toc299451007"/>
      <w:bookmarkStart w:id="113" w:name="_Toc299451568"/>
      <w:bookmarkStart w:id="114" w:name="_Toc298226387"/>
      <w:bookmarkStart w:id="115" w:name="_Toc299451780"/>
      <w:bookmarkStart w:id="116" w:name="_Toc299451014"/>
      <w:bookmarkStart w:id="117" w:name="_Toc299450814"/>
      <w:bookmarkStart w:id="118" w:name="_Toc299450914"/>
      <w:bookmarkStart w:id="119" w:name="_Toc299451575"/>
      <w:r>
        <w:rPr>
          <w:rFonts w:ascii="Times New Roman" w:eastAsiaTheme="minorEastAsia"/>
          <w:b/>
          <w:bCs/>
          <w:sz w:val="36"/>
          <w:szCs w:val="36"/>
          <w:lang w:val="zh-CN"/>
        </w:rPr>
        <w:t>5 环境现状调查与评价</w:t>
      </w:r>
      <w:bookmarkEnd w:id="108"/>
    </w:p>
    <w:p>
      <w:pPr>
        <w:pStyle w:val="3"/>
        <w:snapToGrid w:val="0"/>
        <w:spacing w:before="0" w:after="0" w:line="360" w:lineRule="auto"/>
        <w:rPr>
          <w:rFonts w:ascii="Times New Roman" w:hAnsi="Times New Roman" w:eastAsiaTheme="minorEastAsia"/>
          <w:sz w:val="28"/>
          <w:lang w:val="zh-CN"/>
        </w:rPr>
      </w:pPr>
      <w:bookmarkStart w:id="120" w:name="_Toc61026605"/>
      <w:r>
        <w:rPr>
          <w:rFonts w:ascii="Times New Roman" w:hAnsi="Times New Roman" w:eastAsiaTheme="minorEastAsia"/>
          <w:sz w:val="28"/>
          <w:lang w:val="zh-CN"/>
        </w:rPr>
        <w:t>5.1 自然环境</w:t>
      </w:r>
      <w:bookmarkEnd w:id="109"/>
      <w:bookmarkEnd w:id="110"/>
      <w:bookmarkEnd w:id="111"/>
      <w:bookmarkEnd w:id="112"/>
      <w:bookmarkEnd w:id="113"/>
      <w:r>
        <w:rPr>
          <w:rFonts w:ascii="Times New Roman" w:hAnsi="Times New Roman" w:eastAsiaTheme="minorEastAsia"/>
          <w:sz w:val="28"/>
          <w:lang w:val="zh-CN"/>
        </w:rPr>
        <w:t>现状调查</w:t>
      </w:r>
      <w:bookmarkEnd w:id="120"/>
    </w:p>
    <w:p>
      <w:pPr>
        <w:pStyle w:val="4"/>
        <w:snapToGrid w:val="0"/>
        <w:spacing w:before="0" w:after="0" w:line="360" w:lineRule="auto"/>
        <w:rPr>
          <w:rFonts w:eastAsiaTheme="minorEastAsia"/>
          <w:kern w:val="0"/>
          <w:sz w:val="24"/>
        </w:rPr>
      </w:pPr>
      <w:r>
        <w:rPr>
          <w:rFonts w:eastAsiaTheme="minorEastAsia"/>
          <w:kern w:val="0"/>
          <w:sz w:val="24"/>
        </w:rPr>
        <w:t>5.1.1 地理位置</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岳阳市位于湖南省的东北部，素称“湘北门户”。地处东经112°18′31″~114°9′6″，北纬28°25′33″~29°51′00″之间。东邻江西省铜鼓、修水县和湖南省通城县；南抵湖南省浏阳市、长沙县、望城县；西接湖南省南县、安乡县、沅江市；北界湖北省赤壁、洪湖、监利、石首县（市）。全市东西横跨177.84km，南北纵长157.87km。土地总面积14898km</w:t>
      </w:r>
      <w:r>
        <w:rPr>
          <w:rFonts w:eastAsiaTheme="minorEastAsia"/>
          <w:sz w:val="24"/>
          <w:szCs w:val="24"/>
          <w:vertAlign w:val="superscript"/>
        </w:rPr>
        <w:t>2</w:t>
      </w:r>
      <w:r>
        <w:rPr>
          <w:rFonts w:eastAsiaTheme="minorEastAsia"/>
          <w:sz w:val="24"/>
          <w:szCs w:val="24"/>
        </w:rPr>
        <w:t>，占全省总面积的7.05%。城市规划区面积845km</w:t>
      </w:r>
      <w:r>
        <w:rPr>
          <w:rFonts w:eastAsiaTheme="minorEastAsia"/>
          <w:sz w:val="24"/>
          <w:szCs w:val="24"/>
          <w:vertAlign w:val="superscript"/>
        </w:rPr>
        <w:t>2</w:t>
      </w:r>
      <w:r>
        <w:rPr>
          <w:rFonts w:eastAsiaTheme="minorEastAsia"/>
          <w:sz w:val="24"/>
          <w:szCs w:val="24"/>
        </w:rPr>
        <w:t>，其中市区建成区面积83.73km</w:t>
      </w:r>
      <w:r>
        <w:rPr>
          <w:rFonts w:eastAsiaTheme="minorEastAsia"/>
          <w:sz w:val="24"/>
          <w:szCs w:val="24"/>
          <w:vertAlign w:val="superscript"/>
        </w:rPr>
        <w:t>2</w:t>
      </w:r>
      <w:r>
        <w:rPr>
          <w:rFonts w:eastAsiaTheme="minorEastAsia"/>
          <w:sz w:val="24"/>
          <w:szCs w:val="24"/>
        </w:rPr>
        <w:t>。</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湘阴位于湖南省东北部、居湘、资两水尾间，濒南洞庭湖。东邻汨罗市、西接益阳市，南界望城县，北抵沅江市、屈原行政区，介于东经112°30′—113°02′，北纬28°30′—29°03′之间。南北长61公里,东西宽51.3公里，面积1581.5平方公里。</w:t>
      </w:r>
    </w:p>
    <w:p>
      <w:pPr>
        <w:pStyle w:val="77"/>
        <w:adjustRightInd w:val="0"/>
        <w:snapToGrid w:val="0"/>
        <w:spacing w:after="0" w:line="360" w:lineRule="auto"/>
        <w:ind w:firstLine="480" w:firstLineChars="200"/>
        <w:rPr>
          <w:rFonts w:eastAsiaTheme="minorEastAsia"/>
          <w:sz w:val="24"/>
          <w:szCs w:val="24"/>
        </w:rPr>
      </w:pPr>
      <w:r>
        <w:rPr>
          <w:rFonts w:eastAsiaTheme="minorEastAsia"/>
          <w:sz w:val="24"/>
          <w:szCs w:val="24"/>
        </w:rPr>
        <w:t>本项目位于湘阴县先锋路，原湘阴县人民医院旧址，本项目地理位置图见附图1。</w:t>
      </w:r>
    </w:p>
    <w:p>
      <w:pPr>
        <w:pStyle w:val="4"/>
        <w:snapToGrid w:val="0"/>
        <w:spacing w:before="0" w:after="0" w:line="360" w:lineRule="auto"/>
        <w:rPr>
          <w:rFonts w:eastAsiaTheme="minorEastAsia"/>
          <w:kern w:val="0"/>
          <w:sz w:val="24"/>
        </w:rPr>
      </w:pPr>
      <w:bookmarkStart w:id="121" w:name="_Toc282766067"/>
      <w:bookmarkStart w:id="122" w:name="_Toc298226383"/>
      <w:r>
        <w:rPr>
          <w:rFonts w:eastAsiaTheme="minorEastAsia"/>
          <w:kern w:val="0"/>
          <w:sz w:val="24"/>
        </w:rPr>
        <w:t xml:space="preserve">5.1.2 </w:t>
      </w:r>
      <w:bookmarkEnd w:id="121"/>
      <w:bookmarkEnd w:id="122"/>
      <w:r>
        <w:rPr>
          <w:rFonts w:eastAsiaTheme="minorEastAsia"/>
          <w:kern w:val="0"/>
          <w:sz w:val="24"/>
        </w:rPr>
        <w:t>地形、地貌、地质</w:t>
      </w:r>
    </w:p>
    <w:p>
      <w:pPr>
        <w:adjustRightInd w:val="0"/>
        <w:snapToGrid w:val="0"/>
        <w:spacing w:line="360" w:lineRule="auto"/>
        <w:ind w:firstLine="480" w:firstLineChars="200"/>
        <w:rPr>
          <w:rFonts w:eastAsiaTheme="minorEastAsia"/>
          <w:sz w:val="24"/>
        </w:rPr>
      </w:pPr>
      <w:r>
        <w:rPr>
          <w:rFonts w:eastAsiaTheme="minorEastAsia"/>
          <w:sz w:val="24"/>
        </w:rPr>
        <w:t>湘阴县位于新华夏系巨型第二沉降带的次一级隆起带中。区内出露地层有元古界冷家溪群、震旦系、下古生界寒武系、奥陶系、志留系，中生界上白垩系、第三系。其中奥陶系上系、志留系上系，白垩系下系及上第三系缺失。</w:t>
      </w:r>
    </w:p>
    <w:p>
      <w:pPr>
        <w:adjustRightInd w:val="0"/>
        <w:snapToGrid w:val="0"/>
        <w:spacing w:line="360" w:lineRule="auto"/>
        <w:ind w:firstLine="480" w:firstLineChars="200"/>
        <w:rPr>
          <w:rFonts w:eastAsiaTheme="minorEastAsia"/>
          <w:sz w:val="24"/>
        </w:rPr>
      </w:pPr>
      <w:r>
        <w:rPr>
          <w:rFonts w:eastAsiaTheme="minorEastAsia"/>
          <w:sz w:val="24"/>
        </w:rPr>
        <w:t>岳阳—平江北东向构造带：有冷家溪群板岩、千枚状板岩构成的古北东向构造和一系列压扭性段裂所组成。段裂构造主要有岳阳—平江段裂，其段裂构造结构面零星分布，或成带雁行斜列，分岩体呈北东向分布。由震旦、寒武系组成的新开塘—郭镇向斜均属此列，其活动时间最早可追溯到寒武系，直到中新生代仍有活动。</w:t>
      </w:r>
    </w:p>
    <w:p>
      <w:pPr>
        <w:adjustRightInd w:val="0"/>
        <w:snapToGrid w:val="0"/>
        <w:spacing w:line="360" w:lineRule="auto"/>
        <w:ind w:firstLine="480" w:firstLineChars="200"/>
        <w:rPr>
          <w:rFonts w:eastAsiaTheme="minorEastAsia"/>
          <w:sz w:val="24"/>
        </w:rPr>
      </w:pPr>
      <w:r>
        <w:rPr>
          <w:rFonts w:eastAsiaTheme="minorEastAsia"/>
          <w:sz w:val="24"/>
        </w:rPr>
        <w:t>洞庭盆地：西部边缘在石门以东，东部一湘阴段裂为界，是受新华系一级沉降带控制的中新带盆地，由白垩系、第三系内陆湖相沉积所组成，基底为元古界冷家溪群板岩所组成。</w:t>
      </w:r>
    </w:p>
    <w:p>
      <w:pPr>
        <w:adjustRightInd w:val="0"/>
        <w:snapToGrid w:val="0"/>
        <w:spacing w:line="360" w:lineRule="auto"/>
        <w:ind w:firstLine="480" w:firstLineChars="200"/>
        <w:rPr>
          <w:rFonts w:eastAsiaTheme="minorEastAsia"/>
          <w:sz w:val="24"/>
        </w:rPr>
      </w:pPr>
      <w:r>
        <w:rPr>
          <w:rFonts w:eastAsiaTheme="minorEastAsia"/>
          <w:sz w:val="24"/>
        </w:rPr>
        <w:t>湘阴大段裂：是宁乡—崇阳大段裂中段，是控制岩体及洞庭盆地东缘展布的一条大段裂，具有多次活动的特点，是本区较古老的活动段裂之一。</w:t>
      </w:r>
    </w:p>
    <w:p>
      <w:pPr>
        <w:adjustRightInd w:val="0"/>
        <w:snapToGrid w:val="0"/>
        <w:spacing w:line="360" w:lineRule="auto"/>
        <w:ind w:firstLine="480" w:firstLineChars="200"/>
        <w:rPr>
          <w:rFonts w:eastAsiaTheme="minorEastAsia"/>
          <w:sz w:val="24"/>
        </w:rPr>
      </w:pPr>
      <w:r>
        <w:rPr>
          <w:rFonts w:eastAsiaTheme="minorEastAsia"/>
          <w:sz w:val="24"/>
        </w:rPr>
        <w:t>路口—平江段裂：控制边缘的长平断陷盆地，为白垩系陆相碎屑堆积，未发现活动行迹。</w:t>
      </w:r>
    </w:p>
    <w:p>
      <w:pPr>
        <w:adjustRightInd w:val="0"/>
        <w:snapToGrid w:val="0"/>
        <w:spacing w:line="360" w:lineRule="auto"/>
        <w:ind w:firstLine="480" w:firstLineChars="200"/>
        <w:rPr>
          <w:rFonts w:eastAsiaTheme="minorEastAsia"/>
          <w:sz w:val="24"/>
        </w:rPr>
      </w:pPr>
      <w:r>
        <w:rPr>
          <w:rFonts w:eastAsiaTheme="minorEastAsia"/>
          <w:sz w:val="24"/>
        </w:rPr>
        <w:t>湘阴—岳阳段裂：是洞庭盆地最晚期产物，段裂西大幅度沉降，接受厚度较大的第四系堆积，段裂晚近期仍在继续活动。</w:t>
      </w:r>
    </w:p>
    <w:p>
      <w:pPr>
        <w:adjustRightInd w:val="0"/>
        <w:snapToGrid w:val="0"/>
        <w:spacing w:line="360" w:lineRule="auto"/>
        <w:ind w:firstLine="480" w:firstLineChars="200"/>
        <w:rPr>
          <w:rFonts w:eastAsiaTheme="minorEastAsia"/>
          <w:sz w:val="24"/>
        </w:rPr>
      </w:pPr>
      <w:r>
        <w:rPr>
          <w:rFonts w:eastAsiaTheme="minorEastAsia"/>
          <w:sz w:val="24"/>
        </w:rPr>
        <w:t>由于地质构造不一，而形成地貌形态景观多样，即北部以幕阜山隆起带前震旦系冷家溪群变质岩构成的山区低山地貌，而南部为红色砂岩构成红色丘陵盆地和灰白色的低矮的新市花岗岩山岗。兰家洞水库处在冷家溪群薄～中厚层泥质板岩的低山区内，岩石硬度中～软，风化较深，岩层倾角陡，构造以褶皱为主，断层少见，节理发育。</w:t>
      </w:r>
    </w:p>
    <w:p>
      <w:pPr>
        <w:adjustRightInd w:val="0"/>
        <w:snapToGrid w:val="0"/>
        <w:spacing w:line="360" w:lineRule="auto"/>
        <w:ind w:firstLine="480" w:firstLineChars="200"/>
        <w:rPr>
          <w:rFonts w:eastAsiaTheme="minorEastAsia"/>
          <w:sz w:val="24"/>
        </w:rPr>
      </w:pPr>
      <w:r>
        <w:rPr>
          <w:rFonts w:eastAsiaTheme="minorEastAsia"/>
          <w:sz w:val="24"/>
        </w:rPr>
        <w:t>据地震历史记载，区内仅发生过几次微弱地震，属于弱震区。地质测绘时未发现新构造活动痕迹，本区挽近期新构造运动表现形式为振荡式抬升。根据1：400万《中国地震动峰值加速度区划图》和《中国地震动反应谱特征周期区划图》(GB18306-2001)，工程区地震动峰值加速度0.05g，地震动反应谱特征周期0.35s，对应的地震基本烈度为Ⅵ度，属于场地稳定地区。</w:t>
      </w:r>
    </w:p>
    <w:p>
      <w:pPr>
        <w:adjustRightInd w:val="0"/>
        <w:snapToGrid w:val="0"/>
        <w:spacing w:line="360" w:lineRule="auto"/>
        <w:ind w:firstLine="480" w:firstLineChars="200"/>
        <w:rPr>
          <w:rFonts w:eastAsiaTheme="minorEastAsia"/>
          <w:sz w:val="24"/>
        </w:rPr>
      </w:pPr>
      <w:r>
        <w:rPr>
          <w:rFonts w:eastAsiaTheme="minorEastAsia"/>
          <w:sz w:val="24"/>
        </w:rPr>
        <w:t>湘阴地块属新华夏构造体系的第二隆地带。地貌呈低山、岗地、平原三种形态，地势东南高，西北低。位居幕阜山余脉走向洞庭湖凹陷处的过渡带上，地势自东南向西北递降，形成一个微向洞庭湖盆中心的倾斜面。最高处青山庵,海拔552.4米，最低处濠河口河底,低于黄海水平面4.3米。滨湖平原多呈块状分布，地处湘江大断裂带，构成低山、岗地；西盘下切，形成滨湖平原。除去江河湖泊及其它水面,滨湖、江河、溪谷3种平原共702.11平方公里，占全县总面积的44.4%，岗地占13.59%，低山占1.51%。</w:t>
      </w:r>
    </w:p>
    <w:p>
      <w:pPr>
        <w:adjustRightInd w:val="0"/>
        <w:snapToGrid w:val="0"/>
        <w:spacing w:line="360" w:lineRule="auto"/>
        <w:ind w:firstLine="480" w:firstLineChars="200"/>
        <w:rPr>
          <w:rFonts w:eastAsiaTheme="minorEastAsia"/>
          <w:sz w:val="24"/>
        </w:rPr>
      </w:pPr>
      <w:r>
        <w:rPr>
          <w:rFonts w:eastAsiaTheme="minorEastAsia"/>
          <w:sz w:val="24"/>
        </w:rPr>
        <w:t>（1）素填土（Q4），褐黄色，由粘土及少量有机物成份填成，松散、多孔隙，层厚0.5-4.5米。</w:t>
      </w:r>
    </w:p>
    <w:p>
      <w:pPr>
        <w:adjustRightInd w:val="0"/>
        <w:snapToGrid w:val="0"/>
        <w:spacing w:line="360" w:lineRule="auto"/>
        <w:ind w:firstLine="480" w:firstLineChars="200"/>
        <w:rPr>
          <w:rFonts w:eastAsiaTheme="minorEastAsia"/>
          <w:sz w:val="24"/>
        </w:rPr>
      </w:pPr>
      <w:r>
        <w:rPr>
          <w:rFonts w:eastAsiaTheme="minorEastAsia"/>
          <w:sz w:val="24"/>
        </w:rPr>
        <w:t>（2）软朔粘土（Q4），褐灰黄色，粉粘粒成份，含有机质，很湿。呈软—可塑状态，为原塘湖泥，层厚0-1.5米。</w:t>
      </w:r>
    </w:p>
    <w:p>
      <w:pPr>
        <w:adjustRightInd w:val="0"/>
        <w:snapToGrid w:val="0"/>
        <w:spacing w:line="360" w:lineRule="auto"/>
        <w:ind w:firstLine="480" w:firstLineChars="200"/>
        <w:rPr>
          <w:rFonts w:eastAsiaTheme="minorEastAsia"/>
          <w:sz w:val="24"/>
        </w:rPr>
      </w:pPr>
      <w:r>
        <w:rPr>
          <w:rFonts w:eastAsiaTheme="minorEastAsia"/>
          <w:sz w:val="24"/>
        </w:rPr>
        <w:t>（3）粘土（Q3），黄色，粘土为主，粘性较强，较湿，呈硬塑状态，层厚0-1.5米。</w:t>
      </w:r>
    </w:p>
    <w:p>
      <w:pPr>
        <w:adjustRightInd w:val="0"/>
        <w:snapToGrid w:val="0"/>
        <w:spacing w:line="360" w:lineRule="auto"/>
        <w:ind w:firstLine="480" w:firstLineChars="200"/>
        <w:rPr>
          <w:rFonts w:eastAsiaTheme="minorEastAsia"/>
          <w:sz w:val="24"/>
        </w:rPr>
      </w:pPr>
      <w:r>
        <w:rPr>
          <w:rFonts w:eastAsiaTheme="minorEastAsia"/>
          <w:sz w:val="24"/>
        </w:rPr>
        <w:t>（4）全风化岩板（pt），土紫红色，泥质，板状，已全风化。呈土状，手捏易脆碎，强度较低，层厚0-7米，变化大。</w:t>
      </w:r>
    </w:p>
    <w:p>
      <w:pPr>
        <w:adjustRightInd w:val="0"/>
        <w:snapToGrid w:val="0"/>
        <w:spacing w:line="360" w:lineRule="auto"/>
        <w:ind w:firstLine="480" w:firstLineChars="200"/>
        <w:rPr>
          <w:rFonts w:eastAsiaTheme="minorEastAsia"/>
          <w:sz w:val="24"/>
        </w:rPr>
      </w:pPr>
      <w:r>
        <w:rPr>
          <w:rFonts w:eastAsiaTheme="minorEastAsia"/>
          <w:sz w:val="24"/>
        </w:rPr>
        <w:t>（5）强风化板岩，褐黄，淡黄色，泥粉质结构，板状构造，风化强，层厚0-4米。</w:t>
      </w:r>
    </w:p>
    <w:p>
      <w:pPr>
        <w:adjustRightInd w:val="0"/>
        <w:snapToGrid w:val="0"/>
        <w:spacing w:line="360" w:lineRule="auto"/>
        <w:ind w:firstLine="480" w:firstLineChars="200"/>
        <w:rPr>
          <w:rFonts w:eastAsiaTheme="minorEastAsia"/>
          <w:sz w:val="24"/>
        </w:rPr>
      </w:pPr>
      <w:r>
        <w:rPr>
          <w:rFonts w:eastAsiaTheme="minorEastAsia"/>
          <w:sz w:val="24"/>
        </w:rPr>
        <w:t>（6）中化岩板（pt），黄绿色，粉质，板状，风化中等，强度较高，钻入浓度0-3.5米。</w:t>
      </w:r>
    </w:p>
    <w:p>
      <w:pPr>
        <w:adjustRightInd w:val="0"/>
        <w:snapToGrid w:val="0"/>
        <w:spacing w:line="360" w:lineRule="auto"/>
        <w:ind w:firstLine="480" w:firstLineChars="200"/>
        <w:rPr>
          <w:rFonts w:eastAsiaTheme="minorEastAsia"/>
          <w:sz w:val="24"/>
        </w:rPr>
      </w:pPr>
      <w:r>
        <w:rPr>
          <w:rFonts w:eastAsiaTheme="minorEastAsia"/>
          <w:sz w:val="24"/>
        </w:rPr>
        <w:t>本项目位于地震基本烈度7度区，设计基本地震加速度值为0.15g，地震动反应谱特征周期值为0.45s，抗震设防烈度8度设防。</w:t>
      </w:r>
    </w:p>
    <w:p>
      <w:pPr>
        <w:pStyle w:val="4"/>
        <w:snapToGrid w:val="0"/>
        <w:spacing w:before="0" w:after="0" w:line="360" w:lineRule="auto"/>
        <w:rPr>
          <w:rFonts w:eastAsiaTheme="minorEastAsia"/>
          <w:kern w:val="0"/>
          <w:sz w:val="24"/>
        </w:rPr>
      </w:pPr>
      <w:r>
        <w:rPr>
          <w:rFonts w:eastAsiaTheme="minorEastAsia"/>
          <w:kern w:val="0"/>
          <w:sz w:val="24"/>
        </w:rPr>
        <w:t>5.1.3 气候、气象</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湘阴位处中亚热带向北亚热带过渡的季风气候区，四季分明，湿润多雨，年平均气温为17℃，年均降雨量为1390mm，年均相对湿度为81.37%，常年主导风向为北风，占34%，夏季主导风为南风和偏南风，年均风速2.90m∕s，具有春温变幅大，初夏雨水多，伏秋天热易旱，冬季严寒不多的特点。</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年平均气温 17℃；</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最冷月（一月）平均气温 4.5℃；</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最热月（七月）平均气温 29.2℃；</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极端最高气温 40.0℃；</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极端最低气温 －14.7℃；</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年平均气压 1009.9 百帕；</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年平均日照 1760小时；</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年主导风向 N；</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夏季主导风向 S（6-7）；</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年平均风速 2.96m/s；</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年平均降水量 1509.6mm；</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年最少降水量 1043.2mm（1963 年）</w:t>
      </w:r>
    </w:p>
    <w:p>
      <w:pPr>
        <w:pStyle w:val="77"/>
        <w:adjustRightInd w:val="0"/>
        <w:snapToGrid w:val="0"/>
        <w:spacing w:line="360" w:lineRule="auto"/>
        <w:ind w:firstLine="480" w:firstLineChars="200"/>
        <w:rPr>
          <w:rFonts w:eastAsiaTheme="minorEastAsia"/>
          <w:sz w:val="24"/>
          <w:szCs w:val="24"/>
        </w:rPr>
      </w:pPr>
      <w:r>
        <w:rPr>
          <w:rFonts w:eastAsiaTheme="minorEastAsia"/>
          <w:sz w:val="24"/>
          <w:szCs w:val="24"/>
        </w:rPr>
        <w:t>历史最大积雪深度 32cm（1972 年）</w:t>
      </w:r>
    </w:p>
    <w:p>
      <w:pPr>
        <w:pStyle w:val="4"/>
        <w:snapToGrid w:val="0"/>
        <w:spacing w:before="0" w:after="0" w:line="360" w:lineRule="auto"/>
        <w:rPr>
          <w:rFonts w:eastAsiaTheme="minorEastAsia"/>
          <w:kern w:val="0"/>
          <w:sz w:val="24"/>
        </w:rPr>
      </w:pPr>
      <w:r>
        <w:rPr>
          <w:rFonts w:eastAsiaTheme="minorEastAsia"/>
          <w:kern w:val="0"/>
          <w:sz w:val="24"/>
        </w:rPr>
        <w:t>5.1.4 地表水</w:t>
      </w:r>
    </w:p>
    <w:p>
      <w:pPr>
        <w:pStyle w:val="77"/>
        <w:adjustRightInd w:val="0"/>
        <w:snapToGrid w:val="0"/>
        <w:spacing w:after="0" w:line="360" w:lineRule="auto"/>
        <w:ind w:firstLine="480" w:firstLineChars="200"/>
        <w:rPr>
          <w:rFonts w:eastAsiaTheme="minorEastAsia"/>
          <w:sz w:val="24"/>
          <w:szCs w:val="24"/>
        </w:rPr>
      </w:pPr>
      <w:r>
        <w:rPr>
          <w:rFonts w:eastAsiaTheme="minorEastAsia"/>
          <w:sz w:val="24"/>
          <w:szCs w:val="24"/>
        </w:rPr>
        <w:t>区域地表水发达，主要水系有洋沙湖、白水河、资江、湘江，湘江发源于湖南省蓝山县紫良瑶族自治乡，全长约856km，湘江湘阴段水面宽500～1000m，水深2.5～3.5米，水力波度0.102‰。多年平均流量1780 m</w:t>
      </w:r>
      <w:r>
        <w:rPr>
          <w:rFonts w:eastAsiaTheme="minorEastAsia"/>
          <w:sz w:val="24"/>
          <w:szCs w:val="24"/>
          <w:vertAlign w:val="superscript"/>
        </w:rPr>
        <w:t>3</w:t>
      </w:r>
      <w:r>
        <w:rPr>
          <w:rFonts w:eastAsiaTheme="minorEastAsia"/>
          <w:sz w:val="24"/>
          <w:szCs w:val="24"/>
        </w:rPr>
        <w:t>∕s，历年最大流量20200 m</w:t>
      </w:r>
      <w:r>
        <w:rPr>
          <w:rFonts w:eastAsiaTheme="minorEastAsia"/>
          <w:sz w:val="24"/>
          <w:szCs w:val="24"/>
          <w:vertAlign w:val="superscript"/>
        </w:rPr>
        <w:t>3</w:t>
      </w:r>
      <w:r>
        <w:rPr>
          <w:rFonts w:eastAsiaTheme="minorEastAsia"/>
          <w:sz w:val="24"/>
          <w:szCs w:val="24"/>
        </w:rPr>
        <w:t>∕s，枯水流量101 m</w:t>
      </w:r>
      <w:r>
        <w:rPr>
          <w:rFonts w:eastAsiaTheme="minorEastAsia"/>
          <w:sz w:val="24"/>
          <w:szCs w:val="24"/>
          <w:vertAlign w:val="superscript"/>
        </w:rPr>
        <w:t>3</w:t>
      </w:r>
      <w:r>
        <w:rPr>
          <w:rFonts w:eastAsiaTheme="minorEastAsia"/>
          <w:sz w:val="24"/>
          <w:szCs w:val="24"/>
        </w:rPr>
        <w:t>∕s，最高水位44.59m，最低水位27.83m，平均水位34m。年均流速0.25m∕s，年均总径流量644亿m</w:t>
      </w:r>
      <w:r>
        <w:rPr>
          <w:rFonts w:eastAsiaTheme="minorEastAsia"/>
          <w:sz w:val="24"/>
          <w:szCs w:val="24"/>
          <w:vertAlign w:val="superscript"/>
        </w:rPr>
        <w:t>3</w:t>
      </w:r>
      <w:r>
        <w:rPr>
          <w:rFonts w:eastAsiaTheme="minorEastAsia"/>
          <w:sz w:val="24"/>
          <w:szCs w:val="24"/>
        </w:rPr>
        <w:t>。</w:t>
      </w:r>
    </w:p>
    <w:p>
      <w:pPr>
        <w:pStyle w:val="4"/>
        <w:snapToGrid w:val="0"/>
        <w:spacing w:before="0" w:after="0" w:line="360" w:lineRule="auto"/>
        <w:rPr>
          <w:rFonts w:eastAsiaTheme="minorEastAsia"/>
          <w:kern w:val="0"/>
          <w:sz w:val="24"/>
        </w:rPr>
      </w:pPr>
      <w:r>
        <w:rPr>
          <w:rFonts w:eastAsiaTheme="minorEastAsia"/>
          <w:kern w:val="0"/>
          <w:sz w:val="24"/>
        </w:rPr>
        <w:t>5.1.5 地下水</w:t>
      </w:r>
    </w:p>
    <w:p>
      <w:pPr>
        <w:snapToGrid w:val="0"/>
        <w:spacing w:line="500" w:lineRule="exact"/>
        <w:ind w:firstLine="480" w:firstLineChars="200"/>
        <w:rPr>
          <w:rFonts w:eastAsiaTheme="minorEastAsia"/>
          <w:sz w:val="24"/>
        </w:rPr>
      </w:pPr>
      <w:r>
        <w:rPr>
          <w:rFonts w:eastAsiaTheme="minorEastAsia"/>
          <w:sz w:val="24"/>
        </w:rPr>
        <w:t>项目所在区域水文地质条件较为简单，地下水类型主要为第四系松散堆积层中的孔隙潜水和孔隙承压水。前者存储和运移于第四系全新统冲击堆积中，径流条件差，水交替弱，主要受大气降水与地表水补给向河床排泄，枯水期地下水位埋深1-3m。后者分布于粉质粘土及砂质粘质土下部的沙砾石中，分布广，补给源主要为河水，承压水头随外河水位的涨幅变动，顶板埋深&gt;11m。据黄金部队对汨罗江普查结果，项目所在地地下水位高程为31.4~30.2m，地下水埋深6.2~5.9m，地下水的化学类型对建筑砼和钢筋无腐蚀性。</w:t>
      </w:r>
    </w:p>
    <w:p>
      <w:pPr>
        <w:snapToGrid w:val="0"/>
        <w:spacing w:line="500" w:lineRule="exact"/>
        <w:ind w:firstLine="480" w:firstLineChars="200"/>
        <w:rPr>
          <w:rFonts w:eastAsiaTheme="minorEastAsia"/>
          <w:sz w:val="24"/>
        </w:rPr>
      </w:pPr>
      <w:r>
        <w:rPr>
          <w:rFonts w:eastAsiaTheme="minorEastAsia"/>
          <w:sz w:val="24"/>
        </w:rPr>
        <w:t>本项目周边居民饮用水水源为城市自来水。</w:t>
      </w:r>
    </w:p>
    <w:p>
      <w:pPr>
        <w:pStyle w:val="4"/>
        <w:snapToGrid w:val="0"/>
        <w:spacing w:before="0" w:after="0" w:line="360" w:lineRule="auto"/>
        <w:rPr>
          <w:rFonts w:eastAsiaTheme="minorEastAsia"/>
          <w:kern w:val="0"/>
          <w:sz w:val="24"/>
        </w:rPr>
      </w:pPr>
      <w:r>
        <w:rPr>
          <w:rFonts w:eastAsiaTheme="minorEastAsia"/>
          <w:kern w:val="0"/>
          <w:sz w:val="24"/>
        </w:rPr>
        <w:t>5.1.6 生物资源</w:t>
      </w:r>
    </w:p>
    <w:p>
      <w:pPr>
        <w:snapToGrid w:val="0"/>
        <w:spacing w:line="360" w:lineRule="auto"/>
        <w:ind w:firstLine="480" w:firstLineChars="200"/>
        <w:jc w:val="left"/>
        <w:rPr>
          <w:rFonts w:eastAsiaTheme="minorEastAsia"/>
          <w:sz w:val="24"/>
        </w:rPr>
      </w:pPr>
      <w:r>
        <w:rPr>
          <w:rFonts w:eastAsiaTheme="minorEastAsia"/>
          <w:sz w:val="24"/>
        </w:rPr>
        <w:t>湘阴县属亚热带常绿阔叶林区，植物资源十分丰富。境内共有蕨类植物15科，25种；裸子植物7科，13种；被子植物94科，383种。其中有培植的48科，253种，有实用推广价值的达180余种。属国家保护的有水杉、银杏、杜仲等，主要用材树种有松、杉、樟、檫、楠竹等。</w:t>
      </w:r>
    </w:p>
    <w:p>
      <w:pPr>
        <w:snapToGrid w:val="0"/>
        <w:spacing w:line="360" w:lineRule="auto"/>
        <w:ind w:firstLine="480" w:firstLineChars="200"/>
        <w:jc w:val="left"/>
        <w:rPr>
          <w:rFonts w:eastAsiaTheme="minorEastAsia"/>
          <w:sz w:val="24"/>
        </w:rPr>
      </w:pPr>
      <w:r>
        <w:rPr>
          <w:rFonts w:eastAsiaTheme="minorEastAsia"/>
          <w:sz w:val="24"/>
        </w:rPr>
        <w:t>湘阴县已查明的野生动物有昆虫65科，168种；鱼类20科，90种；鸟类28科，50种；哺乳类16科，29种。还有大量的两栖类、爬行类动物。属国家保护动物的有鲮鲤（穿山甲）、大鲵（娃娃鱼）、草（猴面鹰）、麂子、猪獾、上树狸、大灵猫等。主要经济鱼类有草、青、鲢、鳙、鲤等；主要爬行动物有鳖、乌龟、蟹等；主要家畜有牛、猪、羊等；主要家禽有鸡、鸭、鹅等。</w:t>
      </w:r>
    </w:p>
    <w:p>
      <w:pPr>
        <w:snapToGrid w:val="0"/>
        <w:spacing w:line="360" w:lineRule="auto"/>
        <w:ind w:firstLine="480" w:firstLineChars="200"/>
        <w:jc w:val="left"/>
        <w:rPr>
          <w:rFonts w:eastAsiaTheme="minorEastAsia"/>
          <w:sz w:val="24"/>
        </w:rPr>
      </w:pPr>
      <w:r>
        <w:rPr>
          <w:rFonts w:eastAsiaTheme="minorEastAsia"/>
          <w:sz w:val="24"/>
        </w:rPr>
        <w:t>根据现场调查走访，本项目周边区域植被以人工作物为主，主要草本植物以蔬菜水稻为主，主要树种有马尾松、杉木、湿地松、茶叶、油茶等，区内无天然林和原生自然植物群落，田间及田埂地带生长着与农业生态系统相互依托的少量次生自然物种，常见的有马齿苋、爬地草等。动物资源主要以人工养殖的家畜、家禽为主，主要家畜有牛、猪、羊、狗等，主要家禽有鸡、鸭、鹅等，主要经济鱼类有草、青、鲢、鲤等，由于该区属于城郊，人为活动频繁，开发活动较为强烈，野生动物尤其大型野生动物生存环境遭到破坏，因此野生动物的活动踪迹较少，主要野生动物都是一些常见的种类如：田鼠、竹鼠、蛇、蛙、黄鼠狼，以及一些鸟类有燕、喜鹊、八哥、画眉、布谷、猫头鹰等。园区规划区域范围内无列入国家重点保护名录的珍稀野生动植物分布。</w:t>
      </w:r>
    </w:p>
    <w:p>
      <w:pPr>
        <w:pStyle w:val="3"/>
        <w:snapToGrid w:val="0"/>
        <w:spacing w:before="0" w:after="0" w:line="360" w:lineRule="auto"/>
        <w:rPr>
          <w:rFonts w:ascii="Times New Roman" w:hAnsi="Times New Roman" w:eastAsiaTheme="minorEastAsia"/>
          <w:sz w:val="28"/>
          <w:lang w:val="zh-CN"/>
        </w:rPr>
      </w:pPr>
      <w:bookmarkStart w:id="123" w:name="_Toc61026606"/>
      <w:r>
        <w:rPr>
          <w:rFonts w:ascii="Times New Roman" w:hAnsi="Times New Roman" w:eastAsiaTheme="minorEastAsia"/>
          <w:sz w:val="28"/>
          <w:lang w:val="zh-CN"/>
        </w:rPr>
        <w:t>5.2 地表水质量现状调查与评价</w:t>
      </w:r>
      <w:bookmarkEnd w:id="123"/>
    </w:p>
    <w:p>
      <w:pPr>
        <w:snapToGrid w:val="0"/>
        <w:spacing w:line="360" w:lineRule="auto"/>
        <w:ind w:firstLine="480" w:firstLineChars="200"/>
        <w:rPr>
          <w:rFonts w:eastAsiaTheme="minorEastAsia"/>
          <w:sz w:val="24"/>
          <w:u w:val="single"/>
        </w:rPr>
      </w:pPr>
      <w:r>
        <w:rPr>
          <w:rFonts w:eastAsiaTheme="minorEastAsia"/>
          <w:sz w:val="24"/>
        </w:rPr>
        <w:t>本项目产生的废水经预处理达标后，进入湘阴县第一污水处理厂，最终排入湘江。</w:t>
      </w:r>
      <w:bookmarkStart w:id="124" w:name="_Toc11138846"/>
      <w:r>
        <w:rPr>
          <w:rFonts w:eastAsiaTheme="minorEastAsia"/>
          <w:sz w:val="24"/>
        </w:rPr>
        <w:t>为了了解项目纳污水体水质现状，</w:t>
      </w:r>
      <w:r>
        <w:rPr>
          <w:rFonts w:eastAsiaTheme="minorEastAsia"/>
          <w:sz w:val="24"/>
          <w:u w:val="single"/>
        </w:rPr>
        <w:t>本项目引用湘阴县环境监测站对湘江设置的乌龙嘴断面的监测数据</w:t>
      </w:r>
      <w:r>
        <w:rPr>
          <w:rFonts w:hint="eastAsia" w:eastAsiaTheme="minorEastAsia"/>
          <w:sz w:val="24"/>
          <w:u w:val="single"/>
        </w:rPr>
        <w:t>以及湘阴县东湖水质监测数据（11月）</w:t>
      </w:r>
      <w:r>
        <w:rPr>
          <w:rFonts w:eastAsiaTheme="minorEastAsia"/>
          <w:sz w:val="24"/>
          <w:u w:val="single"/>
        </w:rPr>
        <w:t>。</w:t>
      </w:r>
    </w:p>
    <w:p>
      <w:pPr>
        <w:snapToGrid w:val="0"/>
        <w:spacing w:line="360" w:lineRule="auto"/>
        <w:ind w:firstLine="480" w:firstLineChars="200"/>
        <w:rPr>
          <w:rFonts w:eastAsiaTheme="minorEastAsia"/>
          <w:sz w:val="24"/>
        </w:rPr>
      </w:pPr>
    </w:p>
    <w:p>
      <w:pPr>
        <w:snapToGrid w:val="0"/>
        <w:spacing w:line="360" w:lineRule="auto"/>
        <w:ind w:firstLine="482" w:firstLineChars="200"/>
        <w:rPr>
          <w:rFonts w:eastAsiaTheme="minorEastAsia"/>
          <w:b/>
          <w:bCs/>
          <w:sz w:val="24"/>
        </w:rPr>
      </w:pPr>
      <w:r>
        <w:rPr>
          <w:rFonts w:hint="eastAsia" w:eastAsiaTheme="minorEastAsia"/>
          <w:b/>
          <w:bCs/>
          <w:sz w:val="24"/>
        </w:rPr>
        <w:t>一、湘江水环境质量现状</w:t>
      </w:r>
    </w:p>
    <w:p>
      <w:pPr>
        <w:autoSpaceDE w:val="0"/>
        <w:autoSpaceDN w:val="0"/>
        <w:adjustRightInd w:val="0"/>
        <w:snapToGrid w:val="0"/>
        <w:spacing w:line="360" w:lineRule="auto"/>
        <w:ind w:firstLine="480"/>
        <w:jc w:val="left"/>
        <w:rPr>
          <w:rFonts w:eastAsiaTheme="minorEastAsia"/>
          <w:sz w:val="24"/>
        </w:rPr>
      </w:pPr>
      <w:bookmarkStart w:id="125" w:name="_Hlk60261784"/>
      <w:r>
        <w:rPr>
          <w:rFonts w:eastAsiaTheme="minorEastAsia"/>
          <w:sz w:val="24"/>
        </w:rPr>
        <w:t>（1）监测布点：乌龙嘴断面。</w:t>
      </w:r>
    </w:p>
    <w:p>
      <w:pPr>
        <w:autoSpaceDE w:val="0"/>
        <w:autoSpaceDN w:val="0"/>
        <w:adjustRightInd w:val="0"/>
        <w:snapToGrid w:val="0"/>
        <w:spacing w:line="360" w:lineRule="auto"/>
        <w:ind w:firstLine="480"/>
        <w:jc w:val="left"/>
        <w:rPr>
          <w:rFonts w:eastAsiaTheme="minorEastAsia"/>
          <w:sz w:val="24"/>
        </w:rPr>
      </w:pPr>
      <w:r>
        <w:rPr>
          <w:rFonts w:eastAsiaTheme="minorEastAsia"/>
          <w:sz w:val="24"/>
        </w:rPr>
        <w:t>（2）监测因子：pH、DO、COD、BOD</w:t>
      </w:r>
      <w:r>
        <w:rPr>
          <w:rFonts w:eastAsiaTheme="minorEastAsia"/>
          <w:sz w:val="24"/>
          <w:vertAlign w:val="subscript"/>
        </w:rPr>
        <w:t>5</w:t>
      </w:r>
      <w:r>
        <w:rPr>
          <w:rFonts w:eastAsiaTheme="minorEastAsia"/>
          <w:sz w:val="24"/>
        </w:rPr>
        <w:t>、氨氮、石油类、总磷、粪大肠菌群等。</w:t>
      </w:r>
    </w:p>
    <w:p>
      <w:pPr>
        <w:autoSpaceDE w:val="0"/>
        <w:autoSpaceDN w:val="0"/>
        <w:adjustRightInd w:val="0"/>
        <w:snapToGrid w:val="0"/>
        <w:spacing w:line="360" w:lineRule="auto"/>
        <w:ind w:firstLine="480"/>
        <w:jc w:val="left"/>
        <w:rPr>
          <w:rFonts w:eastAsiaTheme="minorEastAsia"/>
          <w:sz w:val="24"/>
        </w:rPr>
      </w:pPr>
      <w:r>
        <w:rPr>
          <w:rFonts w:eastAsiaTheme="minorEastAsia"/>
          <w:sz w:val="24"/>
        </w:rPr>
        <w:t>（3）监测时间：乌龙嘴断面（2019年5月、6月）：分别于左、中、右各点采样1次。</w:t>
      </w:r>
    </w:p>
    <w:p>
      <w:pPr>
        <w:autoSpaceDE w:val="0"/>
        <w:autoSpaceDN w:val="0"/>
        <w:adjustRightInd w:val="0"/>
        <w:snapToGrid w:val="0"/>
        <w:spacing w:line="360" w:lineRule="auto"/>
        <w:ind w:firstLine="480"/>
        <w:jc w:val="left"/>
        <w:rPr>
          <w:rFonts w:eastAsiaTheme="minorEastAsia"/>
          <w:sz w:val="24"/>
        </w:rPr>
      </w:pPr>
      <w:r>
        <w:rPr>
          <w:rFonts w:eastAsiaTheme="minorEastAsia"/>
          <w:sz w:val="24"/>
        </w:rPr>
        <w:t>（4）监测结果统计与评价：监测结果统计见下表。</w:t>
      </w:r>
    </w:p>
    <w:bookmarkEnd w:id="125"/>
    <w:p>
      <w:pPr>
        <w:autoSpaceDE w:val="0"/>
        <w:autoSpaceDN w:val="0"/>
        <w:adjustRightInd w:val="0"/>
        <w:snapToGrid w:val="0"/>
        <w:jc w:val="center"/>
        <w:rPr>
          <w:rFonts w:eastAsiaTheme="minorEastAsia"/>
          <w:b/>
          <w:bCs/>
          <w:sz w:val="24"/>
        </w:rPr>
      </w:pPr>
      <w:r>
        <w:rPr>
          <w:rFonts w:eastAsiaTheme="minorEastAsia"/>
          <w:b/>
          <w:bCs/>
          <w:sz w:val="24"/>
        </w:rPr>
        <w:t>表6.1-1  湘江乌龙嘴断面监测数据统计表</w:t>
      </w:r>
    </w:p>
    <w:p>
      <w:pPr>
        <w:autoSpaceDE w:val="0"/>
        <w:autoSpaceDN w:val="0"/>
        <w:adjustRightInd w:val="0"/>
        <w:snapToGrid w:val="0"/>
        <w:ind w:firstLine="3400" w:firstLineChars="1411"/>
        <w:jc w:val="center"/>
        <w:rPr>
          <w:rFonts w:eastAsiaTheme="minorEastAsia"/>
          <w:b/>
          <w:bCs/>
          <w:sz w:val="24"/>
        </w:rPr>
      </w:pPr>
      <w:r>
        <w:rPr>
          <w:rFonts w:eastAsiaTheme="minorEastAsia"/>
          <w:b/>
          <w:bCs/>
          <w:sz w:val="24"/>
        </w:rPr>
        <w:t>单位：mg/L（pH无量纲、粪大肠菌群：个/L）</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2"/>
        <w:gridCol w:w="1315"/>
        <w:gridCol w:w="1034"/>
        <w:gridCol w:w="949"/>
        <w:gridCol w:w="1051"/>
        <w:gridCol w:w="1065"/>
        <w:gridCol w:w="1092"/>
        <w:gridCol w:w="13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restart"/>
            <w:vAlign w:val="center"/>
          </w:tcPr>
          <w:p>
            <w:pPr>
              <w:widowControl/>
              <w:snapToGrid w:val="0"/>
              <w:jc w:val="center"/>
              <w:textAlignment w:val="center"/>
              <w:rPr>
                <w:rFonts w:eastAsiaTheme="minorEastAsia"/>
                <w:b/>
                <w:bCs/>
                <w:szCs w:val="21"/>
              </w:rPr>
            </w:pPr>
            <w:r>
              <w:rPr>
                <w:rFonts w:eastAsiaTheme="minorEastAsia"/>
                <w:b/>
                <w:bCs/>
                <w:szCs w:val="21"/>
              </w:rPr>
              <w:t>监测</w:t>
            </w:r>
          </w:p>
          <w:p>
            <w:pPr>
              <w:widowControl/>
              <w:snapToGrid w:val="0"/>
              <w:jc w:val="center"/>
              <w:textAlignment w:val="center"/>
              <w:rPr>
                <w:rFonts w:eastAsiaTheme="minorEastAsia"/>
                <w:b/>
                <w:bCs/>
                <w:szCs w:val="21"/>
              </w:rPr>
            </w:pPr>
            <w:r>
              <w:rPr>
                <w:rFonts w:eastAsiaTheme="minorEastAsia"/>
                <w:b/>
                <w:bCs/>
                <w:szCs w:val="21"/>
              </w:rPr>
              <w:t>时间</w:t>
            </w:r>
          </w:p>
        </w:tc>
        <w:tc>
          <w:tcPr>
            <w:tcW w:w="748" w:type="pct"/>
            <w:vMerge w:val="restart"/>
            <w:vAlign w:val="center"/>
          </w:tcPr>
          <w:p>
            <w:pPr>
              <w:widowControl/>
              <w:snapToGrid w:val="0"/>
              <w:jc w:val="center"/>
              <w:textAlignment w:val="center"/>
              <w:rPr>
                <w:rFonts w:eastAsiaTheme="minorEastAsia"/>
                <w:b/>
                <w:bCs/>
                <w:szCs w:val="21"/>
              </w:rPr>
            </w:pPr>
            <w:r>
              <w:rPr>
                <w:rFonts w:eastAsiaTheme="minorEastAsia"/>
                <w:b/>
                <w:bCs/>
                <w:szCs w:val="21"/>
              </w:rPr>
              <w:t>监测因子</w:t>
            </w:r>
          </w:p>
        </w:tc>
        <w:tc>
          <w:tcPr>
            <w:tcW w:w="1726" w:type="pct"/>
            <w:gridSpan w:val="3"/>
            <w:vAlign w:val="center"/>
          </w:tcPr>
          <w:p>
            <w:pPr>
              <w:widowControl/>
              <w:snapToGrid w:val="0"/>
              <w:jc w:val="center"/>
              <w:textAlignment w:val="center"/>
              <w:rPr>
                <w:rFonts w:eastAsiaTheme="minorEastAsia"/>
                <w:b/>
                <w:bCs/>
                <w:szCs w:val="21"/>
              </w:rPr>
            </w:pPr>
            <w:r>
              <w:rPr>
                <w:rFonts w:eastAsiaTheme="minorEastAsia"/>
                <w:b/>
                <w:bCs/>
                <w:szCs w:val="21"/>
              </w:rPr>
              <w:t>分析或测试结果</w:t>
            </w:r>
          </w:p>
        </w:tc>
        <w:tc>
          <w:tcPr>
            <w:tcW w:w="606" w:type="pct"/>
            <w:vMerge w:val="restart"/>
            <w:vAlign w:val="center"/>
          </w:tcPr>
          <w:p>
            <w:pPr>
              <w:widowControl/>
              <w:snapToGrid w:val="0"/>
              <w:jc w:val="center"/>
              <w:textAlignment w:val="center"/>
              <w:rPr>
                <w:rFonts w:eastAsiaTheme="minorEastAsia"/>
                <w:b/>
                <w:bCs/>
                <w:szCs w:val="21"/>
              </w:rPr>
            </w:pPr>
            <w:r>
              <w:rPr>
                <w:rFonts w:eastAsiaTheme="minorEastAsia"/>
                <w:b/>
                <w:bCs/>
                <w:szCs w:val="21"/>
              </w:rPr>
              <w:t>范围值或平均值</w:t>
            </w:r>
          </w:p>
        </w:tc>
        <w:tc>
          <w:tcPr>
            <w:tcW w:w="621" w:type="pct"/>
            <w:vMerge w:val="restart"/>
            <w:vAlign w:val="center"/>
          </w:tcPr>
          <w:p>
            <w:pPr>
              <w:widowControl/>
              <w:snapToGrid w:val="0"/>
              <w:jc w:val="center"/>
              <w:textAlignment w:val="center"/>
              <w:rPr>
                <w:rFonts w:eastAsiaTheme="minorEastAsia"/>
                <w:b/>
                <w:bCs/>
                <w:szCs w:val="21"/>
              </w:rPr>
            </w:pPr>
            <w:r>
              <w:rPr>
                <w:rFonts w:eastAsiaTheme="minorEastAsia"/>
                <w:b/>
                <w:bCs/>
                <w:szCs w:val="21"/>
              </w:rPr>
              <w:t>超标（%）</w:t>
            </w:r>
          </w:p>
        </w:tc>
        <w:tc>
          <w:tcPr>
            <w:tcW w:w="757" w:type="pct"/>
            <w:vMerge w:val="restart"/>
            <w:vAlign w:val="center"/>
          </w:tcPr>
          <w:p>
            <w:pPr>
              <w:widowControl/>
              <w:snapToGrid w:val="0"/>
              <w:jc w:val="center"/>
              <w:textAlignment w:val="center"/>
              <w:rPr>
                <w:rFonts w:eastAsiaTheme="minorEastAsia"/>
                <w:b/>
                <w:bCs/>
                <w:szCs w:val="21"/>
              </w:rPr>
            </w:pPr>
            <w:r>
              <w:rPr>
                <w:rFonts w:eastAsiaTheme="minorEastAsia"/>
                <w:b/>
                <w:bCs/>
                <w:szCs w:val="21"/>
              </w:rPr>
              <w:t>执行标准</w:t>
            </w:r>
          </w:p>
          <w:p>
            <w:pPr>
              <w:widowControl/>
              <w:snapToGrid w:val="0"/>
              <w:jc w:val="center"/>
              <w:textAlignment w:val="center"/>
              <w:rPr>
                <w:rFonts w:eastAsiaTheme="minorEastAsia"/>
                <w:b/>
                <w:bCs/>
                <w:szCs w:val="21"/>
              </w:rPr>
            </w:pPr>
            <w:r>
              <w:rPr>
                <w:rFonts w:eastAsiaTheme="minorEastAsia"/>
                <w:b/>
                <w:bCs/>
                <w:szCs w:val="21"/>
              </w:rPr>
              <w:t>（Ⅲ类）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Merge w:val="continue"/>
            <w:vAlign w:val="center"/>
          </w:tcPr>
          <w:p>
            <w:pPr>
              <w:widowControl/>
              <w:snapToGrid w:val="0"/>
              <w:jc w:val="center"/>
              <w:textAlignment w:val="center"/>
              <w:rPr>
                <w:rFonts w:eastAsiaTheme="minorEastAsia"/>
                <w:szCs w:val="21"/>
              </w:rPr>
            </w:pPr>
          </w:p>
        </w:tc>
        <w:tc>
          <w:tcPr>
            <w:tcW w:w="588" w:type="pct"/>
            <w:vAlign w:val="center"/>
          </w:tcPr>
          <w:p>
            <w:pPr>
              <w:widowControl/>
              <w:snapToGrid w:val="0"/>
              <w:jc w:val="center"/>
              <w:textAlignment w:val="center"/>
              <w:rPr>
                <w:rFonts w:eastAsiaTheme="minorEastAsia"/>
                <w:b/>
                <w:bCs/>
                <w:szCs w:val="21"/>
              </w:rPr>
            </w:pPr>
            <w:r>
              <w:rPr>
                <w:rFonts w:eastAsiaTheme="minorEastAsia"/>
                <w:b/>
                <w:bCs/>
                <w:szCs w:val="21"/>
              </w:rPr>
              <w:t>左</w:t>
            </w:r>
          </w:p>
        </w:tc>
        <w:tc>
          <w:tcPr>
            <w:tcW w:w="540" w:type="pct"/>
            <w:vAlign w:val="center"/>
          </w:tcPr>
          <w:p>
            <w:pPr>
              <w:widowControl/>
              <w:snapToGrid w:val="0"/>
              <w:jc w:val="center"/>
              <w:textAlignment w:val="center"/>
              <w:rPr>
                <w:rFonts w:eastAsiaTheme="minorEastAsia"/>
                <w:b/>
                <w:bCs/>
                <w:szCs w:val="21"/>
              </w:rPr>
            </w:pPr>
            <w:r>
              <w:rPr>
                <w:rFonts w:eastAsiaTheme="minorEastAsia"/>
                <w:b/>
                <w:bCs/>
                <w:szCs w:val="21"/>
              </w:rPr>
              <w:t>中</w:t>
            </w:r>
          </w:p>
        </w:tc>
        <w:tc>
          <w:tcPr>
            <w:tcW w:w="598" w:type="pct"/>
            <w:vAlign w:val="center"/>
          </w:tcPr>
          <w:p>
            <w:pPr>
              <w:widowControl/>
              <w:snapToGrid w:val="0"/>
              <w:jc w:val="center"/>
              <w:textAlignment w:val="center"/>
              <w:rPr>
                <w:rFonts w:eastAsiaTheme="minorEastAsia"/>
                <w:b/>
                <w:bCs/>
                <w:szCs w:val="21"/>
              </w:rPr>
            </w:pPr>
            <w:r>
              <w:rPr>
                <w:rFonts w:eastAsiaTheme="minorEastAsia"/>
                <w:b/>
                <w:bCs/>
                <w:szCs w:val="21"/>
              </w:rPr>
              <w:t>右</w:t>
            </w:r>
          </w:p>
        </w:tc>
        <w:tc>
          <w:tcPr>
            <w:tcW w:w="606" w:type="pct"/>
            <w:vMerge w:val="continue"/>
            <w:vAlign w:val="center"/>
          </w:tcPr>
          <w:p>
            <w:pPr>
              <w:widowControl/>
              <w:snapToGrid w:val="0"/>
              <w:jc w:val="center"/>
              <w:textAlignment w:val="center"/>
              <w:rPr>
                <w:rFonts w:eastAsiaTheme="minorEastAsia"/>
                <w:szCs w:val="21"/>
              </w:rPr>
            </w:pPr>
          </w:p>
        </w:tc>
        <w:tc>
          <w:tcPr>
            <w:tcW w:w="621" w:type="pct"/>
            <w:vMerge w:val="continue"/>
            <w:vAlign w:val="center"/>
          </w:tcPr>
          <w:p>
            <w:pPr>
              <w:widowControl/>
              <w:snapToGrid w:val="0"/>
              <w:jc w:val="center"/>
              <w:textAlignment w:val="center"/>
              <w:rPr>
                <w:rFonts w:eastAsiaTheme="minorEastAsia"/>
                <w:szCs w:val="21"/>
              </w:rPr>
            </w:pPr>
          </w:p>
        </w:tc>
        <w:tc>
          <w:tcPr>
            <w:tcW w:w="757" w:type="pct"/>
            <w:vMerge w:val="continue"/>
            <w:vAlign w:val="center"/>
          </w:tcPr>
          <w:p>
            <w:pPr>
              <w:widowControl/>
              <w:snapToGrid w:val="0"/>
              <w:jc w:val="center"/>
              <w:textAlignment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restart"/>
            <w:vAlign w:val="center"/>
          </w:tcPr>
          <w:p>
            <w:pPr>
              <w:widowControl/>
              <w:snapToGrid w:val="0"/>
              <w:jc w:val="center"/>
              <w:textAlignment w:val="center"/>
              <w:rPr>
                <w:rFonts w:eastAsiaTheme="minorEastAsia"/>
                <w:szCs w:val="21"/>
              </w:rPr>
            </w:pPr>
            <w:r>
              <w:rPr>
                <w:rFonts w:eastAsiaTheme="minorEastAsia"/>
                <w:szCs w:val="21"/>
              </w:rPr>
              <w:t>2019.6.3</w:t>
            </w:r>
          </w:p>
        </w:tc>
        <w:tc>
          <w:tcPr>
            <w:tcW w:w="748" w:type="pct"/>
            <w:vAlign w:val="center"/>
          </w:tcPr>
          <w:p>
            <w:pPr>
              <w:widowControl/>
              <w:snapToGrid w:val="0"/>
              <w:jc w:val="center"/>
              <w:textAlignment w:val="center"/>
              <w:rPr>
                <w:rFonts w:eastAsiaTheme="minorEastAsia"/>
                <w:szCs w:val="21"/>
              </w:rPr>
            </w:pPr>
            <w:r>
              <w:rPr>
                <w:rFonts w:eastAsiaTheme="minorEastAsia"/>
                <w:szCs w:val="21"/>
              </w:rPr>
              <w:t>pH</w:t>
            </w:r>
          </w:p>
        </w:tc>
        <w:tc>
          <w:tcPr>
            <w:tcW w:w="588" w:type="pct"/>
            <w:vAlign w:val="center"/>
          </w:tcPr>
          <w:p>
            <w:pPr>
              <w:widowControl/>
              <w:snapToGrid w:val="0"/>
              <w:jc w:val="center"/>
              <w:textAlignment w:val="center"/>
              <w:rPr>
                <w:rFonts w:eastAsiaTheme="minorEastAsia"/>
                <w:szCs w:val="21"/>
              </w:rPr>
            </w:pPr>
            <w:r>
              <w:rPr>
                <w:rFonts w:eastAsiaTheme="minorEastAsia"/>
                <w:szCs w:val="21"/>
              </w:rPr>
              <w:t>7.28</w:t>
            </w:r>
          </w:p>
        </w:tc>
        <w:tc>
          <w:tcPr>
            <w:tcW w:w="540" w:type="pct"/>
            <w:vAlign w:val="center"/>
          </w:tcPr>
          <w:p>
            <w:pPr>
              <w:widowControl/>
              <w:snapToGrid w:val="0"/>
              <w:jc w:val="center"/>
              <w:textAlignment w:val="center"/>
              <w:rPr>
                <w:rFonts w:eastAsiaTheme="minorEastAsia"/>
                <w:szCs w:val="21"/>
              </w:rPr>
            </w:pPr>
            <w:r>
              <w:rPr>
                <w:rFonts w:eastAsiaTheme="minorEastAsia"/>
                <w:szCs w:val="21"/>
              </w:rPr>
              <w:t>7.14</w:t>
            </w:r>
          </w:p>
        </w:tc>
        <w:tc>
          <w:tcPr>
            <w:tcW w:w="598" w:type="pct"/>
            <w:vAlign w:val="center"/>
          </w:tcPr>
          <w:p>
            <w:pPr>
              <w:widowControl/>
              <w:snapToGrid w:val="0"/>
              <w:jc w:val="center"/>
              <w:textAlignment w:val="center"/>
              <w:rPr>
                <w:rFonts w:eastAsiaTheme="minorEastAsia"/>
                <w:szCs w:val="21"/>
              </w:rPr>
            </w:pPr>
            <w:r>
              <w:rPr>
                <w:rFonts w:eastAsiaTheme="minorEastAsia"/>
                <w:szCs w:val="21"/>
              </w:rPr>
              <w:t>7.19</w:t>
            </w:r>
          </w:p>
        </w:tc>
        <w:tc>
          <w:tcPr>
            <w:tcW w:w="606" w:type="pct"/>
            <w:vAlign w:val="center"/>
          </w:tcPr>
          <w:p>
            <w:pPr>
              <w:widowControl/>
              <w:snapToGrid w:val="0"/>
              <w:jc w:val="center"/>
              <w:textAlignment w:val="center"/>
              <w:rPr>
                <w:rFonts w:eastAsiaTheme="minorEastAsia"/>
                <w:szCs w:val="21"/>
              </w:rPr>
            </w:pPr>
            <w:r>
              <w:rPr>
                <w:rFonts w:eastAsiaTheme="minorEastAsia"/>
                <w:szCs w:val="21"/>
              </w:rPr>
              <w:t>7.19~7.28</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DO</w:t>
            </w:r>
          </w:p>
        </w:tc>
        <w:tc>
          <w:tcPr>
            <w:tcW w:w="588" w:type="pct"/>
            <w:vAlign w:val="center"/>
          </w:tcPr>
          <w:p>
            <w:pPr>
              <w:widowControl/>
              <w:snapToGrid w:val="0"/>
              <w:jc w:val="center"/>
              <w:textAlignment w:val="center"/>
              <w:rPr>
                <w:rFonts w:eastAsiaTheme="minorEastAsia"/>
                <w:szCs w:val="21"/>
              </w:rPr>
            </w:pPr>
            <w:r>
              <w:rPr>
                <w:rFonts w:eastAsiaTheme="minorEastAsia"/>
                <w:szCs w:val="21"/>
              </w:rPr>
              <w:t>7.2</w:t>
            </w:r>
          </w:p>
        </w:tc>
        <w:tc>
          <w:tcPr>
            <w:tcW w:w="540" w:type="pct"/>
            <w:vAlign w:val="center"/>
          </w:tcPr>
          <w:p>
            <w:pPr>
              <w:widowControl/>
              <w:snapToGrid w:val="0"/>
              <w:jc w:val="center"/>
              <w:textAlignment w:val="center"/>
              <w:rPr>
                <w:rFonts w:eastAsiaTheme="minorEastAsia"/>
                <w:szCs w:val="21"/>
              </w:rPr>
            </w:pPr>
            <w:r>
              <w:rPr>
                <w:rFonts w:eastAsiaTheme="minorEastAsia"/>
                <w:szCs w:val="21"/>
              </w:rPr>
              <w:t>7.4</w:t>
            </w:r>
          </w:p>
        </w:tc>
        <w:tc>
          <w:tcPr>
            <w:tcW w:w="598" w:type="pct"/>
            <w:vAlign w:val="center"/>
          </w:tcPr>
          <w:p>
            <w:pPr>
              <w:widowControl/>
              <w:snapToGrid w:val="0"/>
              <w:jc w:val="center"/>
              <w:textAlignment w:val="center"/>
              <w:rPr>
                <w:rFonts w:eastAsiaTheme="minorEastAsia"/>
                <w:szCs w:val="21"/>
              </w:rPr>
            </w:pPr>
            <w:r>
              <w:rPr>
                <w:rFonts w:eastAsiaTheme="minorEastAsia"/>
                <w:szCs w:val="21"/>
              </w:rPr>
              <w:t>7.8</w:t>
            </w:r>
          </w:p>
        </w:tc>
        <w:tc>
          <w:tcPr>
            <w:tcW w:w="606" w:type="pct"/>
            <w:vAlign w:val="center"/>
          </w:tcPr>
          <w:p>
            <w:pPr>
              <w:widowControl/>
              <w:snapToGrid w:val="0"/>
              <w:jc w:val="center"/>
              <w:textAlignment w:val="center"/>
              <w:rPr>
                <w:rFonts w:eastAsiaTheme="minorEastAsia"/>
                <w:szCs w:val="21"/>
              </w:rPr>
            </w:pPr>
            <w:r>
              <w:rPr>
                <w:rFonts w:eastAsiaTheme="minorEastAsia"/>
                <w:szCs w:val="21"/>
              </w:rPr>
              <w:t>7.5</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COD</w:t>
            </w:r>
          </w:p>
        </w:tc>
        <w:tc>
          <w:tcPr>
            <w:tcW w:w="588" w:type="pct"/>
            <w:vAlign w:val="center"/>
          </w:tcPr>
          <w:p>
            <w:pPr>
              <w:widowControl/>
              <w:snapToGrid w:val="0"/>
              <w:jc w:val="center"/>
              <w:textAlignment w:val="center"/>
              <w:rPr>
                <w:rFonts w:eastAsiaTheme="minorEastAsia"/>
                <w:szCs w:val="21"/>
              </w:rPr>
            </w:pPr>
            <w:r>
              <w:rPr>
                <w:rFonts w:eastAsiaTheme="minorEastAsia"/>
                <w:szCs w:val="21"/>
              </w:rPr>
              <w:t>13</w:t>
            </w:r>
          </w:p>
        </w:tc>
        <w:tc>
          <w:tcPr>
            <w:tcW w:w="540" w:type="pct"/>
            <w:vAlign w:val="center"/>
          </w:tcPr>
          <w:p>
            <w:pPr>
              <w:widowControl/>
              <w:snapToGrid w:val="0"/>
              <w:jc w:val="center"/>
              <w:textAlignment w:val="center"/>
              <w:rPr>
                <w:rFonts w:eastAsiaTheme="minorEastAsia"/>
                <w:szCs w:val="21"/>
              </w:rPr>
            </w:pPr>
            <w:r>
              <w:rPr>
                <w:rFonts w:eastAsiaTheme="minorEastAsia"/>
                <w:szCs w:val="21"/>
              </w:rPr>
              <w:t>15</w:t>
            </w:r>
          </w:p>
        </w:tc>
        <w:tc>
          <w:tcPr>
            <w:tcW w:w="598" w:type="pct"/>
            <w:vAlign w:val="center"/>
          </w:tcPr>
          <w:p>
            <w:pPr>
              <w:widowControl/>
              <w:snapToGrid w:val="0"/>
              <w:jc w:val="center"/>
              <w:textAlignment w:val="center"/>
              <w:rPr>
                <w:rFonts w:eastAsiaTheme="minorEastAsia"/>
                <w:szCs w:val="21"/>
              </w:rPr>
            </w:pPr>
            <w:r>
              <w:rPr>
                <w:rFonts w:eastAsiaTheme="minorEastAsia"/>
                <w:szCs w:val="21"/>
              </w:rPr>
              <w:t>14</w:t>
            </w:r>
          </w:p>
        </w:tc>
        <w:tc>
          <w:tcPr>
            <w:tcW w:w="606" w:type="pct"/>
            <w:vAlign w:val="center"/>
          </w:tcPr>
          <w:p>
            <w:pPr>
              <w:widowControl/>
              <w:snapToGrid w:val="0"/>
              <w:jc w:val="center"/>
              <w:textAlignment w:val="center"/>
              <w:rPr>
                <w:rFonts w:eastAsiaTheme="minorEastAsia"/>
                <w:szCs w:val="21"/>
              </w:rPr>
            </w:pPr>
            <w:r>
              <w:rPr>
                <w:rFonts w:eastAsiaTheme="minorEastAsia"/>
                <w:szCs w:val="21"/>
              </w:rPr>
              <w:t>14</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BOD</w:t>
            </w:r>
            <w:r>
              <w:rPr>
                <w:rFonts w:eastAsiaTheme="minorEastAsia"/>
                <w:szCs w:val="21"/>
                <w:vertAlign w:val="subscript"/>
              </w:rPr>
              <w:t>5</w:t>
            </w:r>
          </w:p>
        </w:tc>
        <w:tc>
          <w:tcPr>
            <w:tcW w:w="588" w:type="pct"/>
            <w:vAlign w:val="center"/>
          </w:tcPr>
          <w:p>
            <w:pPr>
              <w:widowControl/>
              <w:snapToGrid w:val="0"/>
              <w:jc w:val="center"/>
              <w:textAlignment w:val="center"/>
              <w:rPr>
                <w:rFonts w:eastAsiaTheme="minorEastAsia"/>
                <w:szCs w:val="21"/>
              </w:rPr>
            </w:pPr>
            <w:r>
              <w:rPr>
                <w:rFonts w:eastAsiaTheme="minorEastAsia"/>
                <w:szCs w:val="21"/>
              </w:rPr>
              <w:t>1.4</w:t>
            </w:r>
          </w:p>
        </w:tc>
        <w:tc>
          <w:tcPr>
            <w:tcW w:w="540" w:type="pct"/>
            <w:vAlign w:val="center"/>
          </w:tcPr>
          <w:p>
            <w:pPr>
              <w:widowControl/>
              <w:snapToGrid w:val="0"/>
              <w:jc w:val="center"/>
              <w:textAlignment w:val="center"/>
              <w:rPr>
                <w:rFonts w:eastAsiaTheme="minorEastAsia"/>
                <w:szCs w:val="21"/>
              </w:rPr>
            </w:pPr>
            <w:r>
              <w:rPr>
                <w:rFonts w:eastAsiaTheme="minorEastAsia"/>
                <w:szCs w:val="21"/>
              </w:rPr>
              <w:t>1.7</w:t>
            </w:r>
          </w:p>
        </w:tc>
        <w:tc>
          <w:tcPr>
            <w:tcW w:w="598" w:type="pct"/>
            <w:vAlign w:val="center"/>
          </w:tcPr>
          <w:p>
            <w:pPr>
              <w:widowControl/>
              <w:snapToGrid w:val="0"/>
              <w:jc w:val="center"/>
              <w:textAlignment w:val="center"/>
              <w:rPr>
                <w:rFonts w:eastAsiaTheme="minorEastAsia"/>
                <w:szCs w:val="21"/>
              </w:rPr>
            </w:pPr>
            <w:r>
              <w:rPr>
                <w:rFonts w:eastAsiaTheme="minorEastAsia"/>
                <w:szCs w:val="21"/>
              </w:rPr>
              <w:t>1.9</w:t>
            </w:r>
          </w:p>
        </w:tc>
        <w:tc>
          <w:tcPr>
            <w:tcW w:w="606" w:type="pct"/>
            <w:vAlign w:val="center"/>
          </w:tcPr>
          <w:p>
            <w:pPr>
              <w:widowControl/>
              <w:snapToGrid w:val="0"/>
              <w:jc w:val="center"/>
              <w:textAlignment w:val="center"/>
              <w:rPr>
                <w:rFonts w:eastAsiaTheme="minorEastAsia"/>
                <w:szCs w:val="21"/>
              </w:rPr>
            </w:pPr>
            <w:r>
              <w:rPr>
                <w:rFonts w:eastAsiaTheme="minorEastAsia"/>
                <w:szCs w:val="21"/>
              </w:rPr>
              <w:t>1.7</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588" w:type="pct"/>
            <w:vAlign w:val="center"/>
          </w:tcPr>
          <w:p>
            <w:pPr>
              <w:widowControl/>
              <w:snapToGrid w:val="0"/>
              <w:jc w:val="center"/>
              <w:textAlignment w:val="center"/>
              <w:rPr>
                <w:rFonts w:eastAsiaTheme="minorEastAsia"/>
                <w:szCs w:val="21"/>
              </w:rPr>
            </w:pPr>
            <w:r>
              <w:rPr>
                <w:rFonts w:eastAsiaTheme="minorEastAsia"/>
                <w:szCs w:val="21"/>
              </w:rPr>
              <w:t>0.14</w:t>
            </w:r>
          </w:p>
        </w:tc>
        <w:tc>
          <w:tcPr>
            <w:tcW w:w="540" w:type="pct"/>
            <w:vAlign w:val="center"/>
          </w:tcPr>
          <w:p>
            <w:pPr>
              <w:widowControl/>
              <w:snapToGrid w:val="0"/>
              <w:jc w:val="center"/>
              <w:textAlignment w:val="center"/>
              <w:rPr>
                <w:rFonts w:eastAsiaTheme="minorEastAsia"/>
                <w:szCs w:val="21"/>
              </w:rPr>
            </w:pPr>
            <w:r>
              <w:rPr>
                <w:rFonts w:eastAsiaTheme="minorEastAsia"/>
                <w:szCs w:val="21"/>
              </w:rPr>
              <w:t>0.13</w:t>
            </w:r>
          </w:p>
        </w:tc>
        <w:tc>
          <w:tcPr>
            <w:tcW w:w="598" w:type="pct"/>
            <w:vAlign w:val="center"/>
          </w:tcPr>
          <w:p>
            <w:pPr>
              <w:widowControl/>
              <w:snapToGrid w:val="0"/>
              <w:jc w:val="center"/>
              <w:textAlignment w:val="center"/>
              <w:rPr>
                <w:rFonts w:eastAsiaTheme="minorEastAsia"/>
                <w:szCs w:val="21"/>
              </w:rPr>
            </w:pPr>
            <w:r>
              <w:rPr>
                <w:rFonts w:eastAsiaTheme="minorEastAsia"/>
                <w:szCs w:val="21"/>
              </w:rPr>
              <w:t>0.13</w:t>
            </w:r>
          </w:p>
        </w:tc>
        <w:tc>
          <w:tcPr>
            <w:tcW w:w="606" w:type="pct"/>
            <w:vAlign w:val="center"/>
          </w:tcPr>
          <w:p>
            <w:pPr>
              <w:widowControl/>
              <w:snapToGrid w:val="0"/>
              <w:jc w:val="center"/>
              <w:textAlignment w:val="center"/>
              <w:rPr>
                <w:rFonts w:eastAsiaTheme="minorEastAsia"/>
                <w:szCs w:val="21"/>
              </w:rPr>
            </w:pPr>
            <w:r>
              <w:rPr>
                <w:rFonts w:eastAsiaTheme="minorEastAsia"/>
                <w:szCs w:val="21"/>
              </w:rPr>
              <w:t>0.13</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总磷</w:t>
            </w:r>
          </w:p>
        </w:tc>
        <w:tc>
          <w:tcPr>
            <w:tcW w:w="588" w:type="pct"/>
            <w:vAlign w:val="center"/>
          </w:tcPr>
          <w:p>
            <w:pPr>
              <w:widowControl/>
              <w:snapToGrid w:val="0"/>
              <w:jc w:val="center"/>
              <w:textAlignment w:val="center"/>
              <w:rPr>
                <w:rFonts w:eastAsiaTheme="minorEastAsia"/>
                <w:szCs w:val="21"/>
              </w:rPr>
            </w:pPr>
            <w:r>
              <w:rPr>
                <w:rFonts w:eastAsiaTheme="minorEastAsia"/>
                <w:szCs w:val="21"/>
              </w:rPr>
              <w:t>0.04</w:t>
            </w:r>
          </w:p>
        </w:tc>
        <w:tc>
          <w:tcPr>
            <w:tcW w:w="540" w:type="pct"/>
            <w:vAlign w:val="center"/>
          </w:tcPr>
          <w:p>
            <w:pPr>
              <w:widowControl/>
              <w:snapToGrid w:val="0"/>
              <w:jc w:val="center"/>
              <w:textAlignment w:val="center"/>
              <w:rPr>
                <w:rFonts w:eastAsiaTheme="minorEastAsia"/>
                <w:szCs w:val="21"/>
              </w:rPr>
            </w:pPr>
            <w:r>
              <w:rPr>
                <w:rFonts w:eastAsiaTheme="minorEastAsia"/>
                <w:szCs w:val="21"/>
              </w:rPr>
              <w:t>0.03</w:t>
            </w:r>
          </w:p>
        </w:tc>
        <w:tc>
          <w:tcPr>
            <w:tcW w:w="598" w:type="pct"/>
            <w:vAlign w:val="center"/>
          </w:tcPr>
          <w:p>
            <w:pPr>
              <w:widowControl/>
              <w:snapToGrid w:val="0"/>
              <w:jc w:val="center"/>
              <w:textAlignment w:val="center"/>
              <w:rPr>
                <w:rFonts w:eastAsiaTheme="minorEastAsia"/>
                <w:szCs w:val="21"/>
              </w:rPr>
            </w:pPr>
            <w:r>
              <w:rPr>
                <w:rFonts w:eastAsiaTheme="minorEastAsia"/>
                <w:szCs w:val="21"/>
              </w:rPr>
              <w:t>0.04</w:t>
            </w:r>
          </w:p>
        </w:tc>
        <w:tc>
          <w:tcPr>
            <w:tcW w:w="606" w:type="pct"/>
            <w:vAlign w:val="center"/>
          </w:tcPr>
          <w:p>
            <w:pPr>
              <w:widowControl/>
              <w:snapToGrid w:val="0"/>
              <w:jc w:val="center"/>
              <w:textAlignment w:val="center"/>
              <w:rPr>
                <w:rFonts w:eastAsiaTheme="minorEastAsia"/>
                <w:szCs w:val="21"/>
              </w:rPr>
            </w:pPr>
            <w:r>
              <w:rPr>
                <w:rFonts w:eastAsiaTheme="minorEastAsia"/>
                <w:szCs w:val="21"/>
              </w:rPr>
              <w:t>0.04</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石油类</w:t>
            </w:r>
          </w:p>
        </w:tc>
        <w:tc>
          <w:tcPr>
            <w:tcW w:w="588" w:type="pct"/>
            <w:vAlign w:val="center"/>
          </w:tcPr>
          <w:p>
            <w:pPr>
              <w:widowControl/>
              <w:snapToGrid w:val="0"/>
              <w:jc w:val="center"/>
              <w:textAlignment w:val="center"/>
              <w:rPr>
                <w:rFonts w:eastAsiaTheme="minorEastAsia"/>
                <w:szCs w:val="21"/>
              </w:rPr>
            </w:pPr>
            <w:r>
              <w:rPr>
                <w:rFonts w:eastAsiaTheme="minorEastAsia"/>
                <w:szCs w:val="21"/>
              </w:rPr>
              <w:t>0.01</w:t>
            </w:r>
          </w:p>
        </w:tc>
        <w:tc>
          <w:tcPr>
            <w:tcW w:w="540" w:type="pct"/>
            <w:vAlign w:val="center"/>
          </w:tcPr>
          <w:p>
            <w:pPr>
              <w:widowControl/>
              <w:snapToGrid w:val="0"/>
              <w:jc w:val="center"/>
              <w:textAlignment w:val="center"/>
              <w:rPr>
                <w:rFonts w:eastAsiaTheme="minorEastAsia"/>
                <w:szCs w:val="21"/>
              </w:rPr>
            </w:pPr>
            <w:r>
              <w:rPr>
                <w:rFonts w:eastAsiaTheme="minorEastAsia"/>
                <w:szCs w:val="21"/>
              </w:rPr>
              <w:t>0.01</w:t>
            </w:r>
          </w:p>
        </w:tc>
        <w:tc>
          <w:tcPr>
            <w:tcW w:w="598" w:type="pct"/>
            <w:vAlign w:val="center"/>
          </w:tcPr>
          <w:p>
            <w:pPr>
              <w:widowControl/>
              <w:snapToGrid w:val="0"/>
              <w:jc w:val="center"/>
              <w:textAlignment w:val="center"/>
              <w:rPr>
                <w:rFonts w:eastAsiaTheme="minorEastAsia"/>
                <w:szCs w:val="21"/>
              </w:rPr>
            </w:pPr>
            <w:r>
              <w:rPr>
                <w:rFonts w:eastAsiaTheme="minorEastAsia"/>
                <w:szCs w:val="21"/>
              </w:rPr>
              <w:t>0.01</w:t>
            </w:r>
          </w:p>
        </w:tc>
        <w:tc>
          <w:tcPr>
            <w:tcW w:w="606" w:type="pct"/>
            <w:vAlign w:val="center"/>
          </w:tcPr>
          <w:p>
            <w:pPr>
              <w:widowControl/>
              <w:snapToGrid w:val="0"/>
              <w:jc w:val="center"/>
              <w:textAlignment w:val="center"/>
              <w:rPr>
                <w:rFonts w:eastAsiaTheme="minorEastAsia"/>
                <w:szCs w:val="21"/>
              </w:rPr>
            </w:pPr>
            <w:r>
              <w:rPr>
                <w:rFonts w:eastAsiaTheme="minorEastAsia"/>
                <w:szCs w:val="21"/>
              </w:rPr>
              <w:t>0.01</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widowControl/>
              <w:snapToGrid w:val="0"/>
              <w:jc w:val="center"/>
              <w:textAlignment w:val="center"/>
              <w:rPr>
                <w:rFonts w:eastAsiaTheme="minorEastAsia"/>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粪大肠菌群</w:t>
            </w:r>
          </w:p>
        </w:tc>
        <w:tc>
          <w:tcPr>
            <w:tcW w:w="588" w:type="pct"/>
            <w:vAlign w:val="center"/>
          </w:tcPr>
          <w:p>
            <w:pPr>
              <w:widowControl/>
              <w:snapToGrid w:val="0"/>
              <w:jc w:val="center"/>
              <w:textAlignment w:val="center"/>
              <w:rPr>
                <w:rFonts w:eastAsiaTheme="minorEastAsia"/>
                <w:szCs w:val="21"/>
              </w:rPr>
            </w:pPr>
            <w:r>
              <w:rPr>
                <w:rFonts w:eastAsiaTheme="minorEastAsia"/>
                <w:szCs w:val="21"/>
              </w:rPr>
              <w:t>9200</w:t>
            </w:r>
          </w:p>
        </w:tc>
        <w:tc>
          <w:tcPr>
            <w:tcW w:w="540" w:type="pct"/>
            <w:vAlign w:val="center"/>
          </w:tcPr>
          <w:p>
            <w:pPr>
              <w:widowControl/>
              <w:snapToGrid w:val="0"/>
              <w:jc w:val="center"/>
              <w:textAlignment w:val="center"/>
              <w:rPr>
                <w:rFonts w:eastAsiaTheme="minorEastAsia"/>
                <w:szCs w:val="21"/>
              </w:rPr>
            </w:pPr>
            <w:r>
              <w:rPr>
                <w:rFonts w:eastAsiaTheme="minorEastAsia"/>
                <w:szCs w:val="21"/>
              </w:rPr>
              <w:t>9200</w:t>
            </w:r>
          </w:p>
        </w:tc>
        <w:tc>
          <w:tcPr>
            <w:tcW w:w="598" w:type="pct"/>
            <w:vAlign w:val="center"/>
          </w:tcPr>
          <w:p>
            <w:pPr>
              <w:widowControl/>
              <w:snapToGrid w:val="0"/>
              <w:jc w:val="center"/>
              <w:textAlignment w:val="center"/>
              <w:rPr>
                <w:rFonts w:eastAsiaTheme="minorEastAsia"/>
                <w:szCs w:val="21"/>
              </w:rPr>
            </w:pPr>
            <w:r>
              <w:rPr>
                <w:rFonts w:eastAsiaTheme="minorEastAsia"/>
                <w:szCs w:val="21"/>
              </w:rPr>
              <w:t>9200</w:t>
            </w:r>
          </w:p>
        </w:tc>
        <w:tc>
          <w:tcPr>
            <w:tcW w:w="606" w:type="pct"/>
            <w:vAlign w:val="center"/>
          </w:tcPr>
          <w:p>
            <w:pPr>
              <w:widowControl/>
              <w:snapToGrid w:val="0"/>
              <w:jc w:val="center"/>
              <w:textAlignment w:val="center"/>
              <w:rPr>
                <w:rFonts w:eastAsiaTheme="minorEastAsia"/>
                <w:szCs w:val="21"/>
              </w:rPr>
            </w:pPr>
            <w:r>
              <w:rPr>
                <w:rFonts w:eastAsiaTheme="minorEastAsia"/>
                <w:szCs w:val="21"/>
              </w:rPr>
              <w:t>9200</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restart"/>
            <w:vAlign w:val="center"/>
          </w:tcPr>
          <w:p>
            <w:pPr>
              <w:widowControl/>
              <w:snapToGrid w:val="0"/>
              <w:jc w:val="center"/>
              <w:textAlignment w:val="center"/>
              <w:rPr>
                <w:rFonts w:eastAsiaTheme="minorEastAsia"/>
                <w:szCs w:val="21"/>
              </w:rPr>
            </w:pPr>
            <w:r>
              <w:rPr>
                <w:rFonts w:eastAsiaTheme="minorEastAsia"/>
                <w:szCs w:val="21"/>
              </w:rPr>
              <w:t>2019.5.5</w:t>
            </w:r>
          </w:p>
        </w:tc>
        <w:tc>
          <w:tcPr>
            <w:tcW w:w="748" w:type="pct"/>
            <w:vAlign w:val="center"/>
          </w:tcPr>
          <w:p>
            <w:pPr>
              <w:widowControl/>
              <w:snapToGrid w:val="0"/>
              <w:jc w:val="center"/>
              <w:textAlignment w:val="center"/>
              <w:rPr>
                <w:rFonts w:eastAsiaTheme="minorEastAsia"/>
                <w:szCs w:val="21"/>
              </w:rPr>
            </w:pPr>
            <w:r>
              <w:rPr>
                <w:rFonts w:eastAsiaTheme="minorEastAsia"/>
                <w:szCs w:val="21"/>
              </w:rPr>
              <w:t>pH</w:t>
            </w:r>
          </w:p>
        </w:tc>
        <w:tc>
          <w:tcPr>
            <w:tcW w:w="588" w:type="pct"/>
            <w:vAlign w:val="center"/>
          </w:tcPr>
          <w:p>
            <w:pPr>
              <w:widowControl/>
              <w:snapToGrid w:val="0"/>
              <w:jc w:val="center"/>
              <w:textAlignment w:val="center"/>
              <w:rPr>
                <w:rFonts w:eastAsiaTheme="minorEastAsia"/>
                <w:szCs w:val="21"/>
              </w:rPr>
            </w:pPr>
            <w:r>
              <w:rPr>
                <w:rFonts w:eastAsiaTheme="minorEastAsia"/>
                <w:szCs w:val="21"/>
              </w:rPr>
              <w:t>7.77</w:t>
            </w:r>
          </w:p>
        </w:tc>
        <w:tc>
          <w:tcPr>
            <w:tcW w:w="540" w:type="pct"/>
            <w:vAlign w:val="center"/>
          </w:tcPr>
          <w:p>
            <w:pPr>
              <w:widowControl/>
              <w:snapToGrid w:val="0"/>
              <w:jc w:val="center"/>
              <w:textAlignment w:val="center"/>
              <w:rPr>
                <w:rFonts w:eastAsiaTheme="minorEastAsia"/>
                <w:szCs w:val="21"/>
              </w:rPr>
            </w:pPr>
            <w:r>
              <w:rPr>
                <w:rFonts w:eastAsiaTheme="minorEastAsia"/>
                <w:szCs w:val="21"/>
              </w:rPr>
              <w:t>7.64</w:t>
            </w:r>
          </w:p>
        </w:tc>
        <w:tc>
          <w:tcPr>
            <w:tcW w:w="598" w:type="pct"/>
            <w:vAlign w:val="center"/>
          </w:tcPr>
          <w:p>
            <w:pPr>
              <w:widowControl/>
              <w:snapToGrid w:val="0"/>
              <w:jc w:val="center"/>
              <w:textAlignment w:val="center"/>
              <w:rPr>
                <w:rFonts w:eastAsiaTheme="minorEastAsia"/>
                <w:szCs w:val="21"/>
              </w:rPr>
            </w:pPr>
            <w:r>
              <w:rPr>
                <w:rFonts w:eastAsiaTheme="minorEastAsia"/>
                <w:szCs w:val="21"/>
              </w:rPr>
              <w:t>7.59</w:t>
            </w:r>
          </w:p>
        </w:tc>
        <w:tc>
          <w:tcPr>
            <w:tcW w:w="606" w:type="pct"/>
            <w:vAlign w:val="center"/>
          </w:tcPr>
          <w:p>
            <w:pPr>
              <w:widowControl/>
              <w:snapToGrid w:val="0"/>
              <w:jc w:val="center"/>
              <w:textAlignment w:val="center"/>
              <w:rPr>
                <w:rFonts w:eastAsiaTheme="minorEastAsia"/>
                <w:szCs w:val="21"/>
              </w:rPr>
            </w:pPr>
            <w:r>
              <w:rPr>
                <w:rFonts w:eastAsiaTheme="minorEastAsia"/>
                <w:szCs w:val="21"/>
              </w:rPr>
              <w:t>7.59~7.77</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snapToGrid w:val="0"/>
              <w:jc w:val="center"/>
              <w:rPr>
                <w:color w:val="FF0000"/>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DO</w:t>
            </w:r>
          </w:p>
        </w:tc>
        <w:tc>
          <w:tcPr>
            <w:tcW w:w="588" w:type="pct"/>
            <w:vAlign w:val="center"/>
          </w:tcPr>
          <w:p>
            <w:pPr>
              <w:widowControl/>
              <w:snapToGrid w:val="0"/>
              <w:jc w:val="center"/>
              <w:textAlignment w:val="center"/>
              <w:rPr>
                <w:rFonts w:eastAsiaTheme="minorEastAsia"/>
                <w:szCs w:val="21"/>
              </w:rPr>
            </w:pPr>
            <w:r>
              <w:rPr>
                <w:rFonts w:eastAsiaTheme="minorEastAsia"/>
                <w:szCs w:val="21"/>
              </w:rPr>
              <w:t>6.4</w:t>
            </w:r>
          </w:p>
        </w:tc>
        <w:tc>
          <w:tcPr>
            <w:tcW w:w="540" w:type="pct"/>
            <w:vAlign w:val="center"/>
          </w:tcPr>
          <w:p>
            <w:pPr>
              <w:widowControl/>
              <w:snapToGrid w:val="0"/>
              <w:jc w:val="center"/>
              <w:textAlignment w:val="center"/>
              <w:rPr>
                <w:rFonts w:eastAsiaTheme="minorEastAsia"/>
                <w:szCs w:val="21"/>
              </w:rPr>
            </w:pPr>
            <w:r>
              <w:rPr>
                <w:rFonts w:eastAsiaTheme="minorEastAsia"/>
                <w:szCs w:val="21"/>
              </w:rPr>
              <w:t>6.5</w:t>
            </w:r>
          </w:p>
        </w:tc>
        <w:tc>
          <w:tcPr>
            <w:tcW w:w="598" w:type="pct"/>
            <w:vAlign w:val="center"/>
          </w:tcPr>
          <w:p>
            <w:pPr>
              <w:widowControl/>
              <w:snapToGrid w:val="0"/>
              <w:jc w:val="center"/>
              <w:textAlignment w:val="center"/>
              <w:rPr>
                <w:rFonts w:eastAsiaTheme="minorEastAsia"/>
                <w:szCs w:val="21"/>
              </w:rPr>
            </w:pPr>
            <w:r>
              <w:rPr>
                <w:rFonts w:eastAsiaTheme="minorEastAsia"/>
                <w:szCs w:val="21"/>
              </w:rPr>
              <w:t>6.7</w:t>
            </w:r>
          </w:p>
        </w:tc>
        <w:tc>
          <w:tcPr>
            <w:tcW w:w="606" w:type="pct"/>
            <w:vAlign w:val="center"/>
          </w:tcPr>
          <w:p>
            <w:pPr>
              <w:widowControl/>
              <w:snapToGrid w:val="0"/>
              <w:jc w:val="center"/>
              <w:textAlignment w:val="center"/>
              <w:rPr>
                <w:rFonts w:eastAsiaTheme="minorEastAsia"/>
                <w:szCs w:val="21"/>
              </w:rPr>
            </w:pPr>
            <w:r>
              <w:rPr>
                <w:rFonts w:eastAsiaTheme="minorEastAsia"/>
                <w:szCs w:val="21"/>
              </w:rPr>
              <w:t>6.5</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snapToGrid w:val="0"/>
              <w:jc w:val="center"/>
              <w:rPr>
                <w:color w:val="FF0000"/>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COD</w:t>
            </w:r>
          </w:p>
        </w:tc>
        <w:tc>
          <w:tcPr>
            <w:tcW w:w="588" w:type="pct"/>
            <w:vAlign w:val="center"/>
          </w:tcPr>
          <w:p>
            <w:pPr>
              <w:widowControl/>
              <w:snapToGrid w:val="0"/>
              <w:jc w:val="center"/>
              <w:textAlignment w:val="center"/>
              <w:rPr>
                <w:rFonts w:eastAsiaTheme="minorEastAsia"/>
                <w:szCs w:val="21"/>
              </w:rPr>
            </w:pPr>
            <w:r>
              <w:rPr>
                <w:rFonts w:eastAsiaTheme="minorEastAsia"/>
                <w:szCs w:val="21"/>
              </w:rPr>
              <w:t>8</w:t>
            </w:r>
          </w:p>
        </w:tc>
        <w:tc>
          <w:tcPr>
            <w:tcW w:w="540" w:type="pct"/>
            <w:vAlign w:val="center"/>
          </w:tcPr>
          <w:p>
            <w:pPr>
              <w:widowControl/>
              <w:snapToGrid w:val="0"/>
              <w:jc w:val="center"/>
              <w:textAlignment w:val="center"/>
              <w:rPr>
                <w:rFonts w:eastAsiaTheme="minorEastAsia"/>
                <w:szCs w:val="21"/>
              </w:rPr>
            </w:pPr>
            <w:r>
              <w:rPr>
                <w:rFonts w:eastAsiaTheme="minorEastAsia"/>
                <w:szCs w:val="21"/>
              </w:rPr>
              <w:t>9</w:t>
            </w:r>
          </w:p>
        </w:tc>
        <w:tc>
          <w:tcPr>
            <w:tcW w:w="598" w:type="pct"/>
            <w:vAlign w:val="center"/>
          </w:tcPr>
          <w:p>
            <w:pPr>
              <w:widowControl/>
              <w:snapToGrid w:val="0"/>
              <w:jc w:val="center"/>
              <w:textAlignment w:val="center"/>
              <w:rPr>
                <w:rFonts w:eastAsiaTheme="minorEastAsia"/>
                <w:szCs w:val="21"/>
              </w:rPr>
            </w:pPr>
            <w:r>
              <w:rPr>
                <w:rFonts w:eastAsiaTheme="minorEastAsia"/>
                <w:szCs w:val="21"/>
              </w:rPr>
              <w:t>10</w:t>
            </w:r>
          </w:p>
        </w:tc>
        <w:tc>
          <w:tcPr>
            <w:tcW w:w="606" w:type="pct"/>
            <w:vAlign w:val="center"/>
          </w:tcPr>
          <w:p>
            <w:pPr>
              <w:widowControl/>
              <w:snapToGrid w:val="0"/>
              <w:jc w:val="center"/>
              <w:textAlignment w:val="center"/>
              <w:rPr>
                <w:rFonts w:eastAsiaTheme="minorEastAsia"/>
                <w:szCs w:val="21"/>
              </w:rPr>
            </w:pPr>
            <w:r>
              <w:rPr>
                <w:rFonts w:eastAsiaTheme="minorEastAsia"/>
                <w:szCs w:val="21"/>
              </w:rPr>
              <w:t>9</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snapToGrid w:val="0"/>
              <w:jc w:val="center"/>
              <w:rPr>
                <w:color w:val="FF0000"/>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BOD</w:t>
            </w:r>
            <w:r>
              <w:rPr>
                <w:rFonts w:eastAsiaTheme="minorEastAsia"/>
                <w:szCs w:val="21"/>
                <w:vertAlign w:val="subscript"/>
              </w:rPr>
              <w:t>5</w:t>
            </w:r>
          </w:p>
        </w:tc>
        <w:tc>
          <w:tcPr>
            <w:tcW w:w="588" w:type="pct"/>
            <w:vAlign w:val="center"/>
          </w:tcPr>
          <w:p>
            <w:pPr>
              <w:widowControl/>
              <w:snapToGrid w:val="0"/>
              <w:jc w:val="center"/>
              <w:textAlignment w:val="center"/>
              <w:rPr>
                <w:rFonts w:eastAsiaTheme="minorEastAsia"/>
                <w:szCs w:val="21"/>
              </w:rPr>
            </w:pPr>
            <w:r>
              <w:rPr>
                <w:rFonts w:eastAsiaTheme="minorEastAsia"/>
                <w:szCs w:val="21"/>
              </w:rPr>
              <w:t>1.2</w:t>
            </w:r>
          </w:p>
        </w:tc>
        <w:tc>
          <w:tcPr>
            <w:tcW w:w="540" w:type="pct"/>
            <w:vAlign w:val="center"/>
          </w:tcPr>
          <w:p>
            <w:pPr>
              <w:widowControl/>
              <w:snapToGrid w:val="0"/>
              <w:jc w:val="center"/>
              <w:textAlignment w:val="center"/>
              <w:rPr>
                <w:rFonts w:eastAsiaTheme="minorEastAsia"/>
                <w:szCs w:val="21"/>
              </w:rPr>
            </w:pPr>
            <w:r>
              <w:rPr>
                <w:rFonts w:eastAsiaTheme="minorEastAsia"/>
                <w:szCs w:val="21"/>
              </w:rPr>
              <w:t>1.4</w:t>
            </w:r>
          </w:p>
        </w:tc>
        <w:tc>
          <w:tcPr>
            <w:tcW w:w="598" w:type="pct"/>
            <w:vAlign w:val="center"/>
          </w:tcPr>
          <w:p>
            <w:pPr>
              <w:widowControl/>
              <w:snapToGrid w:val="0"/>
              <w:jc w:val="center"/>
              <w:textAlignment w:val="center"/>
              <w:rPr>
                <w:rFonts w:eastAsiaTheme="minorEastAsia"/>
                <w:szCs w:val="21"/>
              </w:rPr>
            </w:pPr>
            <w:r>
              <w:rPr>
                <w:rFonts w:eastAsiaTheme="minorEastAsia"/>
                <w:szCs w:val="21"/>
              </w:rPr>
              <w:t>1.6</w:t>
            </w:r>
          </w:p>
        </w:tc>
        <w:tc>
          <w:tcPr>
            <w:tcW w:w="606" w:type="pct"/>
            <w:vAlign w:val="center"/>
          </w:tcPr>
          <w:p>
            <w:pPr>
              <w:widowControl/>
              <w:snapToGrid w:val="0"/>
              <w:jc w:val="center"/>
              <w:textAlignment w:val="center"/>
              <w:rPr>
                <w:rFonts w:eastAsiaTheme="minorEastAsia"/>
                <w:szCs w:val="21"/>
              </w:rPr>
            </w:pPr>
            <w:r>
              <w:rPr>
                <w:rFonts w:eastAsiaTheme="minorEastAsia"/>
                <w:szCs w:val="21"/>
              </w:rPr>
              <w:t>1.4</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snapToGrid w:val="0"/>
              <w:jc w:val="center"/>
              <w:rPr>
                <w:color w:val="FF0000"/>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588" w:type="pct"/>
            <w:vAlign w:val="center"/>
          </w:tcPr>
          <w:p>
            <w:pPr>
              <w:widowControl/>
              <w:snapToGrid w:val="0"/>
              <w:jc w:val="center"/>
              <w:textAlignment w:val="center"/>
              <w:rPr>
                <w:rFonts w:eastAsiaTheme="minorEastAsia"/>
                <w:szCs w:val="21"/>
              </w:rPr>
            </w:pPr>
            <w:r>
              <w:rPr>
                <w:rFonts w:eastAsiaTheme="minorEastAsia"/>
                <w:szCs w:val="21"/>
              </w:rPr>
              <w:t>0.07</w:t>
            </w:r>
          </w:p>
        </w:tc>
        <w:tc>
          <w:tcPr>
            <w:tcW w:w="540" w:type="pct"/>
            <w:vAlign w:val="center"/>
          </w:tcPr>
          <w:p>
            <w:pPr>
              <w:widowControl/>
              <w:snapToGrid w:val="0"/>
              <w:jc w:val="center"/>
              <w:textAlignment w:val="center"/>
              <w:rPr>
                <w:rFonts w:eastAsiaTheme="minorEastAsia"/>
                <w:szCs w:val="21"/>
              </w:rPr>
            </w:pPr>
            <w:r>
              <w:rPr>
                <w:rFonts w:eastAsiaTheme="minorEastAsia"/>
                <w:szCs w:val="21"/>
              </w:rPr>
              <w:t>0.07</w:t>
            </w:r>
          </w:p>
        </w:tc>
        <w:tc>
          <w:tcPr>
            <w:tcW w:w="598" w:type="pct"/>
            <w:vAlign w:val="center"/>
          </w:tcPr>
          <w:p>
            <w:pPr>
              <w:widowControl/>
              <w:snapToGrid w:val="0"/>
              <w:jc w:val="center"/>
              <w:textAlignment w:val="center"/>
              <w:rPr>
                <w:rFonts w:eastAsiaTheme="minorEastAsia"/>
                <w:szCs w:val="21"/>
              </w:rPr>
            </w:pPr>
            <w:r>
              <w:rPr>
                <w:rFonts w:eastAsiaTheme="minorEastAsia"/>
                <w:szCs w:val="21"/>
              </w:rPr>
              <w:t>0.06</w:t>
            </w:r>
          </w:p>
        </w:tc>
        <w:tc>
          <w:tcPr>
            <w:tcW w:w="606" w:type="pct"/>
            <w:vAlign w:val="center"/>
          </w:tcPr>
          <w:p>
            <w:pPr>
              <w:widowControl/>
              <w:snapToGrid w:val="0"/>
              <w:jc w:val="center"/>
              <w:textAlignment w:val="center"/>
              <w:rPr>
                <w:rFonts w:eastAsiaTheme="minorEastAsia"/>
                <w:szCs w:val="21"/>
              </w:rPr>
            </w:pPr>
            <w:r>
              <w:rPr>
                <w:rFonts w:eastAsiaTheme="minorEastAsia"/>
                <w:szCs w:val="21"/>
              </w:rPr>
              <w:t>0.07</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snapToGrid w:val="0"/>
              <w:jc w:val="center"/>
              <w:rPr>
                <w:color w:val="FF0000"/>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总磷</w:t>
            </w:r>
          </w:p>
        </w:tc>
        <w:tc>
          <w:tcPr>
            <w:tcW w:w="588" w:type="pct"/>
            <w:vAlign w:val="center"/>
          </w:tcPr>
          <w:p>
            <w:pPr>
              <w:widowControl/>
              <w:snapToGrid w:val="0"/>
              <w:jc w:val="center"/>
              <w:textAlignment w:val="center"/>
              <w:rPr>
                <w:rFonts w:eastAsiaTheme="minorEastAsia"/>
                <w:szCs w:val="21"/>
              </w:rPr>
            </w:pPr>
            <w:r>
              <w:rPr>
                <w:rFonts w:eastAsiaTheme="minorEastAsia"/>
                <w:szCs w:val="21"/>
              </w:rPr>
              <w:t>0.01</w:t>
            </w:r>
          </w:p>
        </w:tc>
        <w:tc>
          <w:tcPr>
            <w:tcW w:w="540" w:type="pct"/>
            <w:vAlign w:val="center"/>
          </w:tcPr>
          <w:p>
            <w:pPr>
              <w:widowControl/>
              <w:snapToGrid w:val="0"/>
              <w:jc w:val="center"/>
              <w:textAlignment w:val="center"/>
              <w:rPr>
                <w:rFonts w:eastAsiaTheme="minorEastAsia"/>
                <w:szCs w:val="21"/>
              </w:rPr>
            </w:pPr>
            <w:r>
              <w:rPr>
                <w:rFonts w:eastAsiaTheme="minorEastAsia"/>
                <w:szCs w:val="21"/>
              </w:rPr>
              <w:t>0.02</w:t>
            </w:r>
          </w:p>
        </w:tc>
        <w:tc>
          <w:tcPr>
            <w:tcW w:w="598" w:type="pct"/>
            <w:vAlign w:val="center"/>
          </w:tcPr>
          <w:p>
            <w:pPr>
              <w:widowControl/>
              <w:snapToGrid w:val="0"/>
              <w:jc w:val="center"/>
              <w:textAlignment w:val="center"/>
              <w:rPr>
                <w:rFonts w:eastAsiaTheme="minorEastAsia"/>
                <w:szCs w:val="21"/>
              </w:rPr>
            </w:pPr>
            <w:r>
              <w:rPr>
                <w:rFonts w:eastAsiaTheme="minorEastAsia"/>
                <w:szCs w:val="21"/>
              </w:rPr>
              <w:t>0.02</w:t>
            </w:r>
          </w:p>
        </w:tc>
        <w:tc>
          <w:tcPr>
            <w:tcW w:w="606" w:type="pct"/>
            <w:vAlign w:val="center"/>
          </w:tcPr>
          <w:p>
            <w:pPr>
              <w:widowControl/>
              <w:snapToGrid w:val="0"/>
              <w:jc w:val="center"/>
              <w:textAlignment w:val="center"/>
              <w:rPr>
                <w:rFonts w:eastAsiaTheme="minorEastAsia"/>
                <w:szCs w:val="21"/>
              </w:rPr>
            </w:pPr>
            <w:r>
              <w:rPr>
                <w:rFonts w:eastAsiaTheme="minorEastAsia"/>
                <w:szCs w:val="21"/>
              </w:rPr>
              <w:t>0.02</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snapToGrid w:val="0"/>
              <w:jc w:val="center"/>
              <w:rPr>
                <w:color w:val="FF0000"/>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石油类</w:t>
            </w:r>
          </w:p>
        </w:tc>
        <w:tc>
          <w:tcPr>
            <w:tcW w:w="588" w:type="pct"/>
            <w:vAlign w:val="center"/>
          </w:tcPr>
          <w:p>
            <w:pPr>
              <w:widowControl/>
              <w:snapToGrid w:val="0"/>
              <w:jc w:val="center"/>
              <w:textAlignment w:val="center"/>
              <w:rPr>
                <w:rFonts w:eastAsiaTheme="minorEastAsia"/>
                <w:szCs w:val="21"/>
              </w:rPr>
            </w:pPr>
            <w:r>
              <w:rPr>
                <w:rFonts w:eastAsiaTheme="minorEastAsia"/>
                <w:szCs w:val="21"/>
              </w:rPr>
              <w:t>0.01</w:t>
            </w:r>
          </w:p>
        </w:tc>
        <w:tc>
          <w:tcPr>
            <w:tcW w:w="540" w:type="pct"/>
            <w:vAlign w:val="center"/>
          </w:tcPr>
          <w:p>
            <w:pPr>
              <w:widowControl/>
              <w:snapToGrid w:val="0"/>
              <w:jc w:val="center"/>
              <w:textAlignment w:val="center"/>
              <w:rPr>
                <w:rFonts w:eastAsiaTheme="minorEastAsia"/>
                <w:szCs w:val="21"/>
              </w:rPr>
            </w:pPr>
            <w:r>
              <w:rPr>
                <w:rFonts w:eastAsiaTheme="minorEastAsia"/>
                <w:szCs w:val="21"/>
              </w:rPr>
              <w:t>0.01</w:t>
            </w:r>
          </w:p>
        </w:tc>
        <w:tc>
          <w:tcPr>
            <w:tcW w:w="598" w:type="pct"/>
            <w:vAlign w:val="center"/>
          </w:tcPr>
          <w:p>
            <w:pPr>
              <w:widowControl/>
              <w:snapToGrid w:val="0"/>
              <w:jc w:val="center"/>
              <w:textAlignment w:val="center"/>
              <w:rPr>
                <w:rFonts w:eastAsiaTheme="minorEastAsia"/>
                <w:szCs w:val="21"/>
              </w:rPr>
            </w:pPr>
            <w:r>
              <w:rPr>
                <w:rFonts w:eastAsiaTheme="minorEastAsia"/>
                <w:szCs w:val="21"/>
              </w:rPr>
              <w:t>0.01</w:t>
            </w:r>
          </w:p>
        </w:tc>
        <w:tc>
          <w:tcPr>
            <w:tcW w:w="606" w:type="pct"/>
            <w:vAlign w:val="center"/>
          </w:tcPr>
          <w:p>
            <w:pPr>
              <w:widowControl/>
              <w:snapToGrid w:val="0"/>
              <w:jc w:val="center"/>
              <w:textAlignment w:val="center"/>
              <w:rPr>
                <w:rFonts w:eastAsiaTheme="minorEastAsia"/>
                <w:szCs w:val="21"/>
              </w:rPr>
            </w:pPr>
            <w:r>
              <w:rPr>
                <w:rFonts w:eastAsiaTheme="minorEastAsia"/>
                <w:szCs w:val="21"/>
              </w:rPr>
              <w:t>0.01</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2" w:type="pct"/>
            <w:vMerge w:val="continue"/>
            <w:vAlign w:val="center"/>
          </w:tcPr>
          <w:p>
            <w:pPr>
              <w:snapToGrid w:val="0"/>
              <w:jc w:val="center"/>
              <w:rPr>
                <w:color w:val="FF0000"/>
                <w:szCs w:val="21"/>
              </w:rPr>
            </w:pPr>
          </w:p>
        </w:tc>
        <w:tc>
          <w:tcPr>
            <w:tcW w:w="748" w:type="pct"/>
            <w:vAlign w:val="center"/>
          </w:tcPr>
          <w:p>
            <w:pPr>
              <w:widowControl/>
              <w:snapToGrid w:val="0"/>
              <w:jc w:val="center"/>
              <w:textAlignment w:val="center"/>
              <w:rPr>
                <w:rFonts w:eastAsiaTheme="minorEastAsia"/>
                <w:szCs w:val="21"/>
              </w:rPr>
            </w:pPr>
            <w:r>
              <w:rPr>
                <w:rFonts w:eastAsiaTheme="minorEastAsia"/>
                <w:szCs w:val="21"/>
              </w:rPr>
              <w:t>粪大肠菌群</w:t>
            </w:r>
          </w:p>
        </w:tc>
        <w:tc>
          <w:tcPr>
            <w:tcW w:w="588" w:type="pct"/>
            <w:vAlign w:val="center"/>
          </w:tcPr>
          <w:p>
            <w:pPr>
              <w:widowControl/>
              <w:snapToGrid w:val="0"/>
              <w:jc w:val="center"/>
              <w:textAlignment w:val="center"/>
              <w:rPr>
                <w:rFonts w:eastAsiaTheme="minorEastAsia"/>
                <w:szCs w:val="21"/>
              </w:rPr>
            </w:pPr>
            <w:r>
              <w:rPr>
                <w:rFonts w:eastAsiaTheme="minorEastAsia"/>
                <w:szCs w:val="21"/>
              </w:rPr>
              <w:t>9200</w:t>
            </w:r>
          </w:p>
        </w:tc>
        <w:tc>
          <w:tcPr>
            <w:tcW w:w="540" w:type="pct"/>
            <w:vAlign w:val="center"/>
          </w:tcPr>
          <w:p>
            <w:pPr>
              <w:widowControl/>
              <w:snapToGrid w:val="0"/>
              <w:jc w:val="center"/>
              <w:textAlignment w:val="center"/>
              <w:rPr>
                <w:rFonts w:eastAsiaTheme="minorEastAsia"/>
                <w:szCs w:val="21"/>
              </w:rPr>
            </w:pPr>
            <w:r>
              <w:rPr>
                <w:rFonts w:eastAsiaTheme="minorEastAsia"/>
                <w:szCs w:val="21"/>
              </w:rPr>
              <w:t>5400</w:t>
            </w:r>
          </w:p>
        </w:tc>
        <w:tc>
          <w:tcPr>
            <w:tcW w:w="598" w:type="pct"/>
            <w:vAlign w:val="center"/>
          </w:tcPr>
          <w:p>
            <w:pPr>
              <w:widowControl/>
              <w:snapToGrid w:val="0"/>
              <w:jc w:val="center"/>
              <w:textAlignment w:val="center"/>
              <w:rPr>
                <w:rFonts w:eastAsiaTheme="minorEastAsia"/>
                <w:szCs w:val="21"/>
              </w:rPr>
            </w:pPr>
            <w:r>
              <w:rPr>
                <w:rFonts w:eastAsiaTheme="minorEastAsia"/>
                <w:szCs w:val="21"/>
              </w:rPr>
              <w:t>9200</w:t>
            </w:r>
          </w:p>
        </w:tc>
        <w:tc>
          <w:tcPr>
            <w:tcW w:w="606" w:type="pct"/>
            <w:vAlign w:val="center"/>
          </w:tcPr>
          <w:p>
            <w:pPr>
              <w:widowControl/>
              <w:snapToGrid w:val="0"/>
              <w:jc w:val="center"/>
              <w:textAlignment w:val="center"/>
              <w:rPr>
                <w:rFonts w:eastAsiaTheme="minorEastAsia"/>
                <w:szCs w:val="21"/>
              </w:rPr>
            </w:pPr>
            <w:r>
              <w:rPr>
                <w:rFonts w:eastAsiaTheme="minorEastAsia"/>
                <w:szCs w:val="21"/>
              </w:rPr>
              <w:t>7933</w:t>
            </w:r>
          </w:p>
        </w:tc>
        <w:tc>
          <w:tcPr>
            <w:tcW w:w="621" w:type="pct"/>
            <w:vAlign w:val="center"/>
          </w:tcPr>
          <w:p>
            <w:pPr>
              <w:widowControl/>
              <w:snapToGrid w:val="0"/>
              <w:jc w:val="center"/>
              <w:textAlignment w:val="center"/>
              <w:rPr>
                <w:rFonts w:eastAsiaTheme="minorEastAsia"/>
                <w:szCs w:val="21"/>
              </w:rPr>
            </w:pPr>
            <w:r>
              <w:rPr>
                <w:rFonts w:eastAsiaTheme="minorEastAsia"/>
                <w:szCs w:val="21"/>
              </w:rPr>
              <w:t>0.00</w:t>
            </w:r>
          </w:p>
        </w:tc>
        <w:tc>
          <w:tcPr>
            <w:tcW w:w="757" w:type="pct"/>
            <w:vAlign w:val="center"/>
          </w:tcPr>
          <w:p>
            <w:pPr>
              <w:widowControl/>
              <w:snapToGrid w:val="0"/>
              <w:jc w:val="center"/>
              <w:textAlignment w:val="center"/>
              <w:rPr>
                <w:rFonts w:eastAsiaTheme="minorEastAsia"/>
                <w:szCs w:val="21"/>
              </w:rPr>
            </w:pPr>
            <w:r>
              <w:rPr>
                <w:rFonts w:eastAsiaTheme="minorEastAsia"/>
                <w:szCs w:val="21"/>
              </w:rPr>
              <w:t>≤10000</w:t>
            </w:r>
          </w:p>
        </w:tc>
      </w:tr>
    </w:tbl>
    <w:p>
      <w:pPr>
        <w:autoSpaceDE w:val="0"/>
        <w:autoSpaceDN w:val="0"/>
        <w:adjustRightInd w:val="0"/>
        <w:snapToGrid w:val="0"/>
        <w:spacing w:line="360" w:lineRule="auto"/>
        <w:ind w:firstLine="480"/>
        <w:jc w:val="left"/>
        <w:rPr>
          <w:rFonts w:eastAsiaTheme="minorEastAsia"/>
          <w:sz w:val="24"/>
        </w:rPr>
      </w:pPr>
      <w:r>
        <w:rPr>
          <w:rFonts w:eastAsiaTheme="minorEastAsia"/>
          <w:sz w:val="24"/>
        </w:rPr>
        <w:t>监测结果表明，湘江乌龙嘴断面水质监测因子监测值均达到《地表水环境质量标准》（GB3838-2002）中的III类标准要求。</w:t>
      </w:r>
    </w:p>
    <w:p>
      <w:pPr>
        <w:snapToGrid w:val="0"/>
        <w:spacing w:line="360" w:lineRule="auto"/>
        <w:ind w:firstLine="482" w:firstLineChars="200"/>
        <w:rPr>
          <w:rFonts w:eastAsiaTheme="minorEastAsia"/>
          <w:b/>
          <w:bCs/>
          <w:sz w:val="24"/>
          <w:u w:val="single"/>
        </w:rPr>
      </w:pPr>
      <w:r>
        <w:rPr>
          <w:rFonts w:hint="eastAsia" w:eastAsiaTheme="minorEastAsia"/>
          <w:b/>
          <w:bCs/>
          <w:sz w:val="24"/>
          <w:u w:val="single"/>
        </w:rPr>
        <w:t>二、东湖水环境质量现状</w:t>
      </w:r>
    </w:p>
    <w:p>
      <w:pPr>
        <w:autoSpaceDE w:val="0"/>
        <w:autoSpaceDN w:val="0"/>
        <w:adjustRightInd w:val="0"/>
        <w:snapToGrid w:val="0"/>
        <w:spacing w:line="360" w:lineRule="auto"/>
        <w:ind w:firstLine="480"/>
        <w:jc w:val="left"/>
        <w:rPr>
          <w:rFonts w:eastAsiaTheme="minorEastAsia"/>
          <w:sz w:val="24"/>
          <w:u w:val="single"/>
        </w:rPr>
      </w:pPr>
      <w:r>
        <w:rPr>
          <w:rFonts w:hint="eastAsia" w:eastAsiaTheme="minorEastAsia"/>
          <w:sz w:val="24"/>
          <w:u w:val="single"/>
        </w:rPr>
        <w:t>（1）监测布点：东湖湖心。</w:t>
      </w:r>
    </w:p>
    <w:p>
      <w:pPr>
        <w:autoSpaceDE w:val="0"/>
        <w:autoSpaceDN w:val="0"/>
        <w:adjustRightInd w:val="0"/>
        <w:snapToGrid w:val="0"/>
        <w:spacing w:line="360" w:lineRule="auto"/>
        <w:ind w:firstLine="480"/>
        <w:jc w:val="left"/>
        <w:rPr>
          <w:rFonts w:eastAsiaTheme="minorEastAsia"/>
          <w:sz w:val="24"/>
          <w:u w:val="single"/>
        </w:rPr>
      </w:pPr>
      <w:r>
        <w:rPr>
          <w:rFonts w:hint="eastAsia" w:eastAsiaTheme="minorEastAsia"/>
          <w:sz w:val="24"/>
          <w:u w:val="single"/>
        </w:rPr>
        <w:t>（3）监测时间：20</w:t>
      </w:r>
      <w:r>
        <w:rPr>
          <w:rFonts w:eastAsiaTheme="minorEastAsia"/>
          <w:sz w:val="24"/>
          <w:u w:val="single"/>
        </w:rPr>
        <w:t>20</w:t>
      </w:r>
      <w:r>
        <w:rPr>
          <w:rFonts w:hint="eastAsia" w:eastAsiaTheme="minorEastAsia"/>
          <w:sz w:val="24"/>
          <w:u w:val="single"/>
        </w:rPr>
        <w:t>年11月；采样1次。</w:t>
      </w:r>
    </w:p>
    <w:p>
      <w:pPr>
        <w:autoSpaceDE w:val="0"/>
        <w:autoSpaceDN w:val="0"/>
        <w:adjustRightInd w:val="0"/>
        <w:snapToGrid w:val="0"/>
        <w:spacing w:line="360" w:lineRule="auto"/>
        <w:ind w:firstLine="480"/>
        <w:jc w:val="left"/>
        <w:rPr>
          <w:rFonts w:eastAsiaTheme="minorEastAsia"/>
          <w:sz w:val="24"/>
          <w:u w:val="single"/>
        </w:rPr>
      </w:pPr>
      <w:r>
        <w:rPr>
          <w:rFonts w:hint="eastAsia" w:eastAsiaTheme="minorEastAsia"/>
          <w:sz w:val="24"/>
          <w:u w:val="single"/>
        </w:rPr>
        <w:t>（4）监测结果统计与评价：监测结果统计见下表。</w:t>
      </w:r>
    </w:p>
    <w:p>
      <w:pPr>
        <w:autoSpaceDE w:val="0"/>
        <w:autoSpaceDN w:val="0"/>
        <w:adjustRightInd w:val="0"/>
        <w:snapToGrid w:val="0"/>
        <w:spacing w:line="360" w:lineRule="auto"/>
        <w:ind w:firstLine="480"/>
        <w:jc w:val="left"/>
        <w:rPr>
          <w:rFonts w:eastAsiaTheme="minorEastAsia"/>
          <w:sz w:val="24"/>
          <w:u w:val="single"/>
        </w:rPr>
      </w:pPr>
    </w:p>
    <w:p>
      <w:pPr>
        <w:autoSpaceDE w:val="0"/>
        <w:autoSpaceDN w:val="0"/>
        <w:adjustRightInd w:val="0"/>
        <w:snapToGrid w:val="0"/>
        <w:spacing w:line="360" w:lineRule="auto"/>
        <w:ind w:firstLine="480"/>
        <w:jc w:val="left"/>
        <w:rPr>
          <w:rFonts w:eastAsiaTheme="minorEastAsia"/>
          <w:sz w:val="24"/>
          <w:u w:val="single"/>
        </w:rPr>
      </w:pPr>
    </w:p>
    <w:p>
      <w:pPr>
        <w:autoSpaceDE w:val="0"/>
        <w:autoSpaceDN w:val="0"/>
        <w:adjustRightInd w:val="0"/>
        <w:snapToGrid w:val="0"/>
        <w:spacing w:line="360" w:lineRule="auto"/>
        <w:jc w:val="center"/>
        <w:rPr>
          <w:rFonts w:eastAsiaTheme="minorEastAsia"/>
          <w:b/>
          <w:bCs/>
          <w:sz w:val="24"/>
          <w:u w:val="single"/>
        </w:rPr>
      </w:pPr>
      <w:r>
        <w:rPr>
          <w:rFonts w:hint="eastAsia" w:eastAsiaTheme="minorEastAsia"/>
          <w:b/>
          <w:bCs/>
          <w:sz w:val="24"/>
          <w:u w:val="single"/>
        </w:rPr>
        <w:t>表6.1-2  东湖监测数据统计表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24"/>
        <w:gridCol w:w="708"/>
        <w:gridCol w:w="993"/>
        <w:gridCol w:w="992"/>
        <w:gridCol w:w="709"/>
        <w:gridCol w:w="1134"/>
        <w:gridCol w:w="708"/>
        <w:gridCol w:w="1134"/>
        <w:gridCol w:w="993"/>
        <w:gridCol w:w="5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b/>
                <w:bCs/>
                <w:szCs w:val="21"/>
                <w:u w:val="single"/>
              </w:rPr>
            </w:pPr>
            <w:r>
              <w:rPr>
                <w:rFonts w:hint="eastAsia" w:eastAsiaTheme="minorEastAsia"/>
                <w:b/>
                <w:bCs/>
                <w:szCs w:val="21"/>
                <w:u w:val="single"/>
              </w:rPr>
              <w:t>监测</w:t>
            </w:r>
          </w:p>
          <w:p>
            <w:pPr>
              <w:widowControl/>
              <w:snapToGrid w:val="0"/>
              <w:jc w:val="center"/>
              <w:textAlignment w:val="center"/>
              <w:rPr>
                <w:rFonts w:eastAsiaTheme="minorEastAsia"/>
                <w:b/>
                <w:bCs/>
                <w:szCs w:val="21"/>
                <w:u w:val="single"/>
              </w:rPr>
            </w:pPr>
            <w:r>
              <w:rPr>
                <w:rFonts w:hint="eastAsia" w:eastAsiaTheme="minorEastAsia"/>
                <w:b/>
                <w:bCs/>
                <w:szCs w:val="21"/>
                <w:u w:val="single"/>
              </w:rPr>
              <w:t>项目</w:t>
            </w:r>
          </w:p>
        </w:tc>
        <w:tc>
          <w:tcPr>
            <w:tcW w:w="708" w:type="dxa"/>
            <w:shd w:val="clear" w:color="auto" w:fill="FFFFFF"/>
            <w:vAlign w:val="center"/>
          </w:tcPr>
          <w:p>
            <w:pPr>
              <w:widowControl/>
              <w:snapToGrid w:val="0"/>
              <w:jc w:val="center"/>
              <w:textAlignment w:val="center"/>
              <w:rPr>
                <w:rFonts w:eastAsiaTheme="minorEastAsia"/>
                <w:b/>
                <w:bCs/>
                <w:szCs w:val="21"/>
                <w:u w:val="single"/>
              </w:rPr>
            </w:pPr>
            <w:r>
              <w:rPr>
                <w:rFonts w:hint="eastAsia" w:eastAsiaTheme="minorEastAsia"/>
                <w:b/>
                <w:bCs/>
                <w:szCs w:val="21"/>
                <w:u w:val="single"/>
              </w:rPr>
              <w:t>单位</w:t>
            </w:r>
          </w:p>
        </w:tc>
        <w:tc>
          <w:tcPr>
            <w:tcW w:w="993" w:type="dxa"/>
            <w:shd w:val="clear" w:color="auto" w:fill="FFFFFF"/>
            <w:vAlign w:val="center"/>
          </w:tcPr>
          <w:p>
            <w:pPr>
              <w:widowControl/>
              <w:snapToGrid w:val="0"/>
              <w:jc w:val="center"/>
              <w:textAlignment w:val="center"/>
              <w:rPr>
                <w:rFonts w:eastAsiaTheme="minorEastAsia"/>
                <w:b/>
                <w:bCs/>
                <w:szCs w:val="21"/>
                <w:u w:val="single"/>
              </w:rPr>
            </w:pPr>
            <w:r>
              <w:rPr>
                <w:rFonts w:hint="eastAsia" w:eastAsiaTheme="minorEastAsia"/>
                <w:b/>
                <w:bCs/>
                <w:szCs w:val="21"/>
                <w:u w:val="single"/>
              </w:rPr>
              <w:t>监测值</w:t>
            </w:r>
          </w:p>
        </w:tc>
        <w:tc>
          <w:tcPr>
            <w:tcW w:w="992" w:type="dxa"/>
            <w:shd w:val="clear" w:color="auto" w:fill="FFFFFF"/>
            <w:vAlign w:val="center"/>
          </w:tcPr>
          <w:p>
            <w:pPr>
              <w:widowControl/>
              <w:snapToGrid w:val="0"/>
              <w:jc w:val="center"/>
              <w:textAlignment w:val="center"/>
              <w:rPr>
                <w:rFonts w:eastAsiaTheme="minorEastAsia"/>
                <w:b/>
                <w:bCs/>
                <w:szCs w:val="21"/>
                <w:u w:val="single"/>
              </w:rPr>
            </w:pPr>
            <w:r>
              <w:rPr>
                <w:rFonts w:eastAsiaTheme="minorEastAsia"/>
                <w:b/>
                <w:bCs/>
                <w:szCs w:val="21"/>
                <w:u w:val="single"/>
              </w:rPr>
              <w:t>执行标准</w:t>
            </w:r>
          </w:p>
          <w:p>
            <w:pPr>
              <w:widowControl/>
              <w:snapToGrid w:val="0"/>
              <w:jc w:val="center"/>
              <w:textAlignment w:val="center"/>
              <w:rPr>
                <w:rFonts w:eastAsiaTheme="minorEastAsia"/>
                <w:b/>
                <w:bCs/>
                <w:szCs w:val="21"/>
                <w:u w:val="single"/>
              </w:rPr>
            </w:pPr>
            <w:r>
              <w:rPr>
                <w:rFonts w:eastAsiaTheme="minorEastAsia"/>
                <w:b/>
                <w:bCs/>
                <w:szCs w:val="21"/>
                <w:u w:val="single"/>
              </w:rPr>
              <w:t>（Ⅲ类）</w:t>
            </w:r>
          </w:p>
        </w:tc>
        <w:tc>
          <w:tcPr>
            <w:tcW w:w="709" w:type="dxa"/>
            <w:shd w:val="clear" w:color="auto" w:fill="FFFFFF"/>
            <w:vAlign w:val="center"/>
          </w:tcPr>
          <w:p>
            <w:pPr>
              <w:widowControl/>
              <w:snapToGrid w:val="0"/>
              <w:jc w:val="center"/>
              <w:textAlignment w:val="center"/>
              <w:rPr>
                <w:rFonts w:eastAsiaTheme="minorEastAsia"/>
                <w:b/>
                <w:bCs/>
                <w:szCs w:val="21"/>
                <w:u w:val="single"/>
              </w:rPr>
            </w:pPr>
            <w:r>
              <w:rPr>
                <w:rFonts w:eastAsiaTheme="minorEastAsia"/>
                <w:b/>
                <w:bCs/>
                <w:szCs w:val="21"/>
                <w:u w:val="single"/>
              </w:rPr>
              <w:t>超标（%）</w:t>
            </w:r>
          </w:p>
        </w:tc>
        <w:tc>
          <w:tcPr>
            <w:tcW w:w="1134" w:type="dxa"/>
            <w:shd w:val="clear" w:color="auto" w:fill="FFFFFF"/>
            <w:vAlign w:val="center"/>
          </w:tcPr>
          <w:p>
            <w:pPr>
              <w:widowControl/>
              <w:snapToGrid w:val="0"/>
              <w:jc w:val="center"/>
              <w:textAlignment w:val="center"/>
              <w:rPr>
                <w:rFonts w:eastAsiaTheme="minorEastAsia"/>
                <w:b/>
                <w:bCs/>
                <w:szCs w:val="21"/>
                <w:u w:val="single"/>
              </w:rPr>
            </w:pPr>
            <w:r>
              <w:rPr>
                <w:rFonts w:hint="eastAsia" w:eastAsiaTheme="minorEastAsia"/>
                <w:b/>
                <w:bCs/>
                <w:szCs w:val="21"/>
                <w:u w:val="single"/>
              </w:rPr>
              <w:t>监测</w:t>
            </w:r>
          </w:p>
          <w:p>
            <w:pPr>
              <w:widowControl/>
              <w:snapToGrid w:val="0"/>
              <w:jc w:val="center"/>
              <w:textAlignment w:val="center"/>
              <w:rPr>
                <w:rFonts w:eastAsiaTheme="minorEastAsia"/>
                <w:b/>
                <w:bCs/>
                <w:szCs w:val="21"/>
                <w:u w:val="single"/>
              </w:rPr>
            </w:pPr>
            <w:r>
              <w:rPr>
                <w:rFonts w:hint="eastAsia" w:eastAsiaTheme="minorEastAsia"/>
                <w:b/>
                <w:bCs/>
                <w:szCs w:val="21"/>
                <w:u w:val="single"/>
              </w:rPr>
              <w:t>项目</w:t>
            </w:r>
          </w:p>
        </w:tc>
        <w:tc>
          <w:tcPr>
            <w:tcW w:w="708" w:type="dxa"/>
            <w:shd w:val="clear" w:color="auto" w:fill="FFFFFF"/>
            <w:vAlign w:val="center"/>
          </w:tcPr>
          <w:p>
            <w:pPr>
              <w:widowControl/>
              <w:snapToGrid w:val="0"/>
              <w:jc w:val="center"/>
              <w:textAlignment w:val="center"/>
              <w:rPr>
                <w:rFonts w:eastAsiaTheme="minorEastAsia"/>
                <w:b/>
                <w:bCs/>
                <w:szCs w:val="21"/>
                <w:u w:val="single"/>
              </w:rPr>
            </w:pPr>
            <w:r>
              <w:rPr>
                <w:rFonts w:hint="eastAsia" w:eastAsiaTheme="minorEastAsia"/>
                <w:b/>
                <w:bCs/>
                <w:szCs w:val="21"/>
                <w:u w:val="single"/>
              </w:rPr>
              <w:t>单位</w:t>
            </w:r>
          </w:p>
        </w:tc>
        <w:tc>
          <w:tcPr>
            <w:tcW w:w="1134" w:type="dxa"/>
            <w:shd w:val="clear" w:color="auto" w:fill="FFFFFF"/>
            <w:vAlign w:val="center"/>
          </w:tcPr>
          <w:p>
            <w:pPr>
              <w:widowControl/>
              <w:snapToGrid w:val="0"/>
              <w:jc w:val="center"/>
              <w:textAlignment w:val="center"/>
              <w:rPr>
                <w:rFonts w:eastAsiaTheme="minorEastAsia"/>
                <w:b/>
                <w:bCs/>
                <w:szCs w:val="21"/>
                <w:u w:val="single"/>
              </w:rPr>
            </w:pPr>
            <w:r>
              <w:rPr>
                <w:rFonts w:hint="eastAsia" w:eastAsiaTheme="minorEastAsia"/>
                <w:b/>
                <w:bCs/>
                <w:szCs w:val="21"/>
                <w:u w:val="single"/>
              </w:rPr>
              <w:t>监测值</w:t>
            </w:r>
          </w:p>
        </w:tc>
        <w:tc>
          <w:tcPr>
            <w:tcW w:w="993" w:type="dxa"/>
            <w:shd w:val="clear" w:color="auto" w:fill="FFFFFF"/>
            <w:vAlign w:val="center"/>
          </w:tcPr>
          <w:p>
            <w:pPr>
              <w:widowControl/>
              <w:snapToGrid w:val="0"/>
              <w:jc w:val="center"/>
              <w:textAlignment w:val="center"/>
              <w:rPr>
                <w:rFonts w:eastAsiaTheme="minorEastAsia"/>
                <w:b/>
                <w:bCs/>
                <w:szCs w:val="21"/>
                <w:u w:val="single"/>
              </w:rPr>
            </w:pPr>
            <w:r>
              <w:rPr>
                <w:rFonts w:eastAsiaTheme="minorEastAsia"/>
                <w:b/>
                <w:bCs/>
                <w:szCs w:val="21"/>
                <w:u w:val="single"/>
              </w:rPr>
              <w:t>执行标准</w:t>
            </w:r>
          </w:p>
          <w:p>
            <w:pPr>
              <w:widowControl/>
              <w:snapToGrid w:val="0"/>
              <w:jc w:val="center"/>
              <w:textAlignment w:val="center"/>
              <w:rPr>
                <w:rFonts w:eastAsiaTheme="minorEastAsia"/>
                <w:b/>
                <w:bCs/>
                <w:szCs w:val="21"/>
                <w:u w:val="single"/>
              </w:rPr>
            </w:pPr>
            <w:r>
              <w:rPr>
                <w:rFonts w:eastAsiaTheme="minorEastAsia"/>
                <w:b/>
                <w:bCs/>
                <w:szCs w:val="21"/>
                <w:u w:val="single"/>
              </w:rPr>
              <w:t>（Ⅲ类）</w:t>
            </w:r>
          </w:p>
        </w:tc>
        <w:tc>
          <w:tcPr>
            <w:tcW w:w="594" w:type="dxa"/>
            <w:shd w:val="clear" w:color="auto" w:fill="FFFFFF"/>
            <w:vAlign w:val="center"/>
          </w:tcPr>
          <w:p>
            <w:pPr>
              <w:widowControl/>
              <w:snapToGrid w:val="0"/>
              <w:jc w:val="center"/>
              <w:textAlignment w:val="center"/>
              <w:rPr>
                <w:rFonts w:eastAsiaTheme="minorEastAsia"/>
                <w:b/>
                <w:bCs/>
                <w:szCs w:val="21"/>
                <w:u w:val="single"/>
              </w:rPr>
            </w:pPr>
            <w:r>
              <w:rPr>
                <w:rFonts w:eastAsiaTheme="minorEastAsia"/>
                <w:b/>
                <w:bCs/>
                <w:szCs w:val="21"/>
                <w:u w:val="single"/>
              </w:rPr>
              <w:t>超标（%）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水温</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摄氏度</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18.8</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砷</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 0003ND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≤0.05</w:t>
            </w:r>
          </w:p>
        </w:tc>
        <w:tc>
          <w:tcPr>
            <w:tcW w:w="59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电导率</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m</w:t>
            </w:r>
            <w:r>
              <w:rPr>
                <w:rFonts w:eastAsiaTheme="minorEastAsia"/>
                <w:szCs w:val="21"/>
                <w:u w:val="single"/>
              </w:rPr>
              <w:t>s/</w:t>
            </w:r>
            <w:r>
              <w:rPr>
                <w:rFonts w:hint="eastAsia" w:eastAsiaTheme="minorEastAsia"/>
                <w:szCs w:val="21"/>
                <w:u w:val="single"/>
              </w:rPr>
              <w:t>m</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269</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汞</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 00004ND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0001</w:t>
            </w:r>
          </w:p>
        </w:tc>
        <w:tc>
          <w:tcPr>
            <w:tcW w:w="594" w:type="dxa"/>
            <w:shd w:val="clear" w:color="auto" w:fill="FFFFFF"/>
            <w:vAlign w:val="center"/>
          </w:tcPr>
          <w:p>
            <w:pPr>
              <w:widowControl/>
              <w:snapToGrid w:val="0"/>
              <w:ind w:firstLine="25" w:firstLineChars="12"/>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pH</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无量纲</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7</w:t>
            </w:r>
            <w:r>
              <w:rPr>
                <w:rFonts w:hint="eastAsia" w:eastAsiaTheme="minorEastAsia"/>
                <w:szCs w:val="21"/>
                <w:u w:val="single"/>
              </w:rPr>
              <w:t>.</w:t>
            </w:r>
            <w:r>
              <w:rPr>
                <w:rFonts w:eastAsiaTheme="minorEastAsia"/>
                <w:szCs w:val="21"/>
                <w:u w:val="single"/>
              </w:rPr>
              <w:t>53</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6-9</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镉</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 0001ND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005</w:t>
            </w:r>
          </w:p>
        </w:tc>
        <w:tc>
          <w:tcPr>
            <w:tcW w:w="594" w:type="dxa"/>
            <w:shd w:val="clear" w:color="auto" w:fill="FFFFFF"/>
            <w:vAlign w:val="center"/>
          </w:tcPr>
          <w:p>
            <w:pPr>
              <w:widowControl/>
              <w:snapToGrid w:val="0"/>
              <w:ind w:firstLine="25" w:firstLineChars="12"/>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DO</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83</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≥5</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六价铬</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0 004ND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0.0</w:t>
            </w:r>
            <w:r>
              <w:rPr>
                <w:rFonts w:eastAsiaTheme="minorEastAsia"/>
                <w:szCs w:val="21"/>
                <w:u w:val="single"/>
              </w:rPr>
              <w:t>5</w:t>
            </w:r>
          </w:p>
        </w:tc>
        <w:tc>
          <w:tcPr>
            <w:tcW w:w="594" w:type="dxa"/>
            <w:shd w:val="clear" w:color="auto" w:fill="FFFFFF"/>
            <w:vAlign w:val="center"/>
          </w:tcPr>
          <w:p>
            <w:pPr>
              <w:widowControl/>
              <w:snapToGrid w:val="0"/>
              <w:ind w:firstLine="25" w:firstLineChars="12"/>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COD</w:t>
            </w:r>
            <w:r>
              <w:rPr>
                <w:rFonts w:eastAsiaTheme="minorEastAsia"/>
                <w:szCs w:val="21"/>
                <w:u w:val="single"/>
                <w:vertAlign w:val="subscript"/>
              </w:rPr>
              <w:t>Mn</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2.6</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≤6</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铅</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0.002ND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05</w:t>
            </w:r>
          </w:p>
        </w:tc>
        <w:tc>
          <w:tcPr>
            <w:tcW w:w="594" w:type="dxa"/>
            <w:shd w:val="clear" w:color="auto" w:fill="FFFFFF"/>
            <w:vAlign w:val="center"/>
          </w:tcPr>
          <w:p>
            <w:pPr>
              <w:widowControl/>
              <w:snapToGrid w:val="0"/>
              <w:ind w:firstLine="25" w:firstLineChars="12"/>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COD</w:t>
            </w:r>
            <w:r>
              <w:rPr>
                <w:rFonts w:hint="eastAsia" w:eastAsiaTheme="minorEastAsia"/>
                <w:szCs w:val="21"/>
                <w:u w:val="single"/>
                <w:vertAlign w:val="subscript"/>
              </w:rPr>
              <w:t>c</w:t>
            </w:r>
            <w:r>
              <w:rPr>
                <w:rFonts w:eastAsiaTheme="minorEastAsia"/>
                <w:szCs w:val="21"/>
                <w:u w:val="single"/>
                <w:vertAlign w:val="subscript"/>
              </w:rPr>
              <w:t>r</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15</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≤20</w:t>
            </w:r>
          </w:p>
        </w:tc>
        <w:tc>
          <w:tcPr>
            <w:tcW w:w="709" w:type="dxa"/>
            <w:shd w:val="clear" w:color="auto" w:fill="FFFFFF"/>
            <w:vAlign w:val="center"/>
          </w:tcPr>
          <w:p>
            <w:pPr>
              <w:widowControl/>
              <w:snapToGrid w:val="0"/>
              <w:ind w:firstLine="6"/>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氰化物</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0.001ND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2</w:t>
            </w:r>
          </w:p>
        </w:tc>
        <w:tc>
          <w:tcPr>
            <w:tcW w:w="594" w:type="dxa"/>
            <w:shd w:val="clear" w:color="auto" w:fill="FFFFFF"/>
            <w:vAlign w:val="center"/>
          </w:tcPr>
          <w:p>
            <w:pPr>
              <w:widowControl/>
              <w:snapToGrid w:val="0"/>
              <w:ind w:firstLine="25" w:firstLineChars="12"/>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B0D</w:t>
            </w:r>
            <w:r>
              <w:rPr>
                <w:rFonts w:eastAsiaTheme="minorEastAsia"/>
                <w:szCs w:val="21"/>
                <w:u w:val="single"/>
                <w:vertAlign w:val="subscript"/>
              </w:rPr>
              <w:t>5</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1.5</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≤4</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挥发酚</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 0003ND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005</w:t>
            </w:r>
          </w:p>
        </w:tc>
        <w:tc>
          <w:tcPr>
            <w:tcW w:w="594" w:type="dxa"/>
            <w:shd w:val="clear" w:color="auto" w:fill="FFFFFF"/>
            <w:vAlign w:val="center"/>
          </w:tcPr>
          <w:p>
            <w:pPr>
              <w:widowControl/>
              <w:snapToGrid w:val="0"/>
              <w:ind w:firstLine="25" w:firstLineChars="12"/>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Mm</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0.87</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≤1.0</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石油类</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0.05</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≤0.05</w:t>
            </w:r>
          </w:p>
        </w:tc>
        <w:tc>
          <w:tcPr>
            <w:tcW w:w="59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总磷</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0.05</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.05</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LAS</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005ND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2</w:t>
            </w:r>
          </w:p>
        </w:tc>
        <w:tc>
          <w:tcPr>
            <w:tcW w:w="59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总氮</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2.04</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1.0</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100.04</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硫化物</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0 005ND</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2</w:t>
            </w:r>
          </w:p>
        </w:tc>
        <w:tc>
          <w:tcPr>
            <w:tcW w:w="59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铜</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0.001ND</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≤1.0</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粪大肠菌群</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个</w:t>
            </w:r>
            <w:r>
              <w:rPr>
                <w:rFonts w:eastAsiaTheme="minorEastAsia"/>
                <w:szCs w:val="21"/>
                <w:u w:val="single"/>
              </w:rPr>
              <w:t>/L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9200</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10000</w:t>
            </w:r>
          </w:p>
        </w:tc>
        <w:tc>
          <w:tcPr>
            <w:tcW w:w="59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锌</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0.05ND</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≤1.0</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叶绿素</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0.008</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p>
        </w:tc>
        <w:tc>
          <w:tcPr>
            <w:tcW w:w="59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氟化物</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0.</w:t>
            </w:r>
            <w:r>
              <w:rPr>
                <w:rFonts w:eastAsiaTheme="minorEastAsia"/>
                <w:szCs w:val="21"/>
                <w:u w:val="single"/>
              </w:rPr>
              <w:t>216</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≤1.0</w:t>
            </w:r>
          </w:p>
        </w:tc>
        <w:tc>
          <w:tcPr>
            <w:tcW w:w="709" w:type="dxa"/>
            <w:shd w:val="clear" w:color="auto" w:fill="FFFFFF"/>
            <w:vAlign w:val="center"/>
          </w:tcPr>
          <w:p>
            <w:pPr>
              <w:widowControl/>
              <w:snapToGrid w:val="0"/>
              <w:ind w:firstLine="6"/>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透明度</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cm</w:t>
            </w:r>
          </w:p>
        </w:tc>
        <w:tc>
          <w:tcPr>
            <w:tcW w:w="1134"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30</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p>
        </w:tc>
        <w:tc>
          <w:tcPr>
            <w:tcW w:w="594" w:type="dxa"/>
            <w:shd w:val="clear" w:color="auto" w:fill="FFFFFF"/>
            <w:vAlign w:val="center"/>
          </w:tcPr>
          <w:p>
            <w:pPr>
              <w:widowControl/>
              <w:snapToGrid w:val="0"/>
              <w:ind w:firstLine="30"/>
              <w:jc w:val="center"/>
              <w:textAlignment w:val="center"/>
              <w:rPr>
                <w:rFonts w:eastAsiaTheme="minorEastAsia"/>
                <w:szCs w:val="21"/>
                <w:u w:val="single"/>
              </w:rPr>
            </w:pPr>
            <w:r>
              <w:rPr>
                <w:rFonts w:eastAsiaTheme="minorEastAsia"/>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24" w:type="dxa"/>
            <w:shd w:val="clear" w:color="auto" w:fill="FFFFFF"/>
            <w:vAlign w:val="center"/>
          </w:tcPr>
          <w:p>
            <w:pPr>
              <w:widowControl/>
              <w:snapToGrid w:val="0"/>
              <w:jc w:val="center"/>
              <w:textAlignment w:val="center"/>
              <w:rPr>
                <w:rFonts w:eastAsiaTheme="minorEastAsia"/>
                <w:szCs w:val="21"/>
                <w:u w:val="single"/>
              </w:rPr>
            </w:pPr>
            <w:r>
              <w:rPr>
                <w:rFonts w:hint="eastAsia" w:eastAsiaTheme="minorEastAsia"/>
                <w:szCs w:val="21"/>
                <w:u w:val="single"/>
              </w:rPr>
              <w:t>硒</w:t>
            </w:r>
          </w:p>
        </w:tc>
        <w:tc>
          <w:tcPr>
            <w:tcW w:w="708"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mg/L</w:t>
            </w:r>
          </w:p>
        </w:tc>
        <w:tc>
          <w:tcPr>
            <w:tcW w:w="993"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0.0004ND</w:t>
            </w:r>
          </w:p>
        </w:tc>
        <w:tc>
          <w:tcPr>
            <w:tcW w:w="992"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w:t>
            </w:r>
            <w:r>
              <w:rPr>
                <w:rFonts w:hint="eastAsia" w:eastAsiaTheme="minorEastAsia"/>
                <w:szCs w:val="21"/>
                <w:u w:val="single"/>
              </w:rPr>
              <w:t>0.</w:t>
            </w:r>
            <w:r>
              <w:rPr>
                <w:rFonts w:eastAsiaTheme="minorEastAsia"/>
                <w:szCs w:val="21"/>
                <w:u w:val="single"/>
              </w:rPr>
              <w:t>01</w:t>
            </w:r>
          </w:p>
        </w:tc>
        <w:tc>
          <w:tcPr>
            <w:tcW w:w="709" w:type="dxa"/>
            <w:shd w:val="clear" w:color="auto" w:fill="FFFFFF"/>
            <w:vAlign w:val="center"/>
          </w:tcPr>
          <w:p>
            <w:pPr>
              <w:widowControl/>
              <w:snapToGrid w:val="0"/>
              <w:jc w:val="center"/>
              <w:textAlignment w:val="center"/>
              <w:rPr>
                <w:rFonts w:eastAsiaTheme="minorEastAsia"/>
                <w:szCs w:val="21"/>
                <w:u w:val="single"/>
              </w:rPr>
            </w:pPr>
            <w:r>
              <w:rPr>
                <w:rFonts w:eastAsiaTheme="minorEastAsia"/>
                <w:szCs w:val="21"/>
                <w:u w:val="single"/>
              </w:rPr>
              <w:t>0.00</w:t>
            </w:r>
          </w:p>
        </w:tc>
        <w:tc>
          <w:tcPr>
            <w:tcW w:w="1134" w:type="dxa"/>
            <w:shd w:val="clear" w:color="auto" w:fill="FFFFFF"/>
            <w:vAlign w:val="center"/>
          </w:tcPr>
          <w:p>
            <w:pPr>
              <w:widowControl/>
              <w:snapToGrid w:val="0"/>
              <w:jc w:val="center"/>
              <w:textAlignment w:val="center"/>
              <w:rPr>
                <w:rFonts w:eastAsiaTheme="minorEastAsia"/>
                <w:szCs w:val="21"/>
                <w:u w:val="single"/>
              </w:rPr>
            </w:pPr>
          </w:p>
        </w:tc>
        <w:tc>
          <w:tcPr>
            <w:tcW w:w="708" w:type="dxa"/>
            <w:shd w:val="clear" w:color="auto" w:fill="FFFFFF"/>
            <w:vAlign w:val="center"/>
          </w:tcPr>
          <w:p>
            <w:pPr>
              <w:widowControl/>
              <w:snapToGrid w:val="0"/>
              <w:jc w:val="center"/>
              <w:textAlignment w:val="center"/>
              <w:rPr>
                <w:rFonts w:eastAsiaTheme="minorEastAsia"/>
                <w:szCs w:val="21"/>
                <w:u w:val="single"/>
              </w:rPr>
            </w:pPr>
          </w:p>
        </w:tc>
        <w:tc>
          <w:tcPr>
            <w:tcW w:w="1134" w:type="dxa"/>
            <w:shd w:val="clear" w:color="auto" w:fill="FFFFFF"/>
            <w:vAlign w:val="center"/>
          </w:tcPr>
          <w:p>
            <w:pPr>
              <w:widowControl/>
              <w:snapToGrid w:val="0"/>
              <w:jc w:val="center"/>
              <w:textAlignment w:val="center"/>
              <w:rPr>
                <w:rFonts w:eastAsiaTheme="minorEastAsia"/>
                <w:szCs w:val="21"/>
                <w:u w:val="single"/>
              </w:rPr>
            </w:pPr>
          </w:p>
        </w:tc>
        <w:tc>
          <w:tcPr>
            <w:tcW w:w="993" w:type="dxa"/>
            <w:shd w:val="clear" w:color="auto" w:fill="FFFFFF"/>
            <w:vAlign w:val="center"/>
          </w:tcPr>
          <w:p>
            <w:pPr>
              <w:widowControl/>
              <w:snapToGrid w:val="0"/>
              <w:jc w:val="center"/>
              <w:textAlignment w:val="center"/>
              <w:rPr>
                <w:rFonts w:eastAsiaTheme="minorEastAsia"/>
                <w:szCs w:val="21"/>
                <w:u w:val="single"/>
              </w:rPr>
            </w:pPr>
          </w:p>
        </w:tc>
        <w:tc>
          <w:tcPr>
            <w:tcW w:w="594" w:type="dxa"/>
            <w:shd w:val="clear" w:color="auto" w:fill="FFFFFF"/>
            <w:vAlign w:val="center"/>
          </w:tcPr>
          <w:p>
            <w:pPr>
              <w:widowControl/>
              <w:snapToGrid w:val="0"/>
              <w:jc w:val="center"/>
              <w:textAlignment w:val="center"/>
              <w:rPr>
                <w:rFonts w:eastAsiaTheme="minorEastAsia"/>
                <w:szCs w:val="21"/>
                <w:u w:val="single"/>
              </w:rPr>
            </w:pPr>
          </w:p>
        </w:tc>
      </w:tr>
    </w:tbl>
    <w:p>
      <w:pPr>
        <w:autoSpaceDE w:val="0"/>
        <w:autoSpaceDN w:val="0"/>
        <w:adjustRightInd w:val="0"/>
        <w:snapToGrid w:val="0"/>
        <w:spacing w:line="360" w:lineRule="auto"/>
        <w:ind w:firstLine="480"/>
        <w:jc w:val="left"/>
        <w:rPr>
          <w:rFonts w:eastAsiaTheme="minorEastAsia"/>
          <w:sz w:val="24"/>
          <w:u w:val="single"/>
        </w:rPr>
      </w:pPr>
      <w:r>
        <w:rPr>
          <w:rFonts w:hint="eastAsia" w:eastAsiaTheme="minorEastAsia"/>
          <w:sz w:val="24"/>
          <w:u w:val="single"/>
        </w:rPr>
        <w:t>监测结果表明，湘阴县东湖水质监测因子监测值除总氮超标外（超标100.04%达到《地表水环境质量标准》（GB3838-2002）中的III类标准要求。</w:t>
      </w:r>
    </w:p>
    <w:p>
      <w:pPr>
        <w:autoSpaceDE w:val="0"/>
        <w:autoSpaceDN w:val="0"/>
        <w:adjustRightInd w:val="0"/>
        <w:snapToGrid w:val="0"/>
        <w:spacing w:line="360" w:lineRule="auto"/>
        <w:ind w:firstLine="480"/>
        <w:jc w:val="left"/>
        <w:rPr>
          <w:rFonts w:eastAsiaTheme="minorEastAsia"/>
          <w:sz w:val="24"/>
        </w:rPr>
      </w:pPr>
      <w:r>
        <w:rPr>
          <w:rFonts w:eastAsiaTheme="minorEastAsia"/>
          <w:sz w:val="24"/>
          <w:u w:val="single"/>
        </w:rPr>
        <w:t>湘阴县东湖水环境总氮超标，但本项目运营废水均通过自建污水处理设备处理后排入湘阴县第一污水处理厂进行深度处理最终达到</w:t>
      </w:r>
      <w:r>
        <w:rPr>
          <w:rFonts w:hint="eastAsia" w:eastAsiaTheme="minorEastAsia"/>
          <w:sz w:val="24"/>
          <w:u w:val="single"/>
        </w:rPr>
        <w:t>《城镇污水处理厂污染物排放标准》(GB18918-2002)一级A标准后最终排入湘江。仅部分雨水经城市雨水管网排入东湖；由于本项目严格实行雨污分流，因此雨水实际污染物含量较低，对东湖水环境质量影响较小。</w:t>
      </w:r>
    </w:p>
    <w:bookmarkEnd w:id="124"/>
    <w:p>
      <w:pPr>
        <w:pStyle w:val="3"/>
        <w:snapToGrid w:val="0"/>
        <w:spacing w:before="120" w:beforeLines="50" w:after="120" w:afterLines="50" w:line="480" w:lineRule="exact"/>
        <w:rPr>
          <w:rFonts w:ascii="Times New Roman" w:hAnsi="Times New Roman" w:eastAsiaTheme="minorEastAsia"/>
          <w:sz w:val="30"/>
          <w:szCs w:val="30"/>
        </w:rPr>
      </w:pPr>
      <w:bookmarkStart w:id="126" w:name="_Toc61026607"/>
      <w:r>
        <w:rPr>
          <w:rFonts w:ascii="Times New Roman" w:hAnsi="Times New Roman" w:eastAsiaTheme="minorEastAsia"/>
          <w:sz w:val="30"/>
          <w:szCs w:val="30"/>
        </w:rPr>
        <w:t>5.3 环境空气现状调查与评价</w:t>
      </w:r>
      <w:bookmarkEnd w:id="126"/>
    </w:p>
    <w:p>
      <w:pPr>
        <w:snapToGrid w:val="0"/>
        <w:spacing w:line="360" w:lineRule="auto"/>
        <w:ind w:firstLine="450"/>
        <w:rPr>
          <w:rFonts w:eastAsiaTheme="minorEastAsia"/>
          <w:b/>
          <w:sz w:val="24"/>
        </w:rPr>
      </w:pPr>
      <w:r>
        <w:rPr>
          <w:rFonts w:eastAsiaTheme="minorEastAsia"/>
          <w:b/>
          <w:sz w:val="24"/>
        </w:rPr>
        <w:t>一、空气质量达标区判定</w:t>
      </w:r>
    </w:p>
    <w:p>
      <w:pPr>
        <w:snapToGrid w:val="0"/>
        <w:spacing w:line="360" w:lineRule="auto"/>
        <w:ind w:firstLine="450"/>
        <w:rPr>
          <w:rFonts w:eastAsiaTheme="minorEastAsia"/>
          <w:sz w:val="24"/>
        </w:rPr>
      </w:pPr>
      <w:r>
        <w:rPr>
          <w:rFonts w:eastAsiaTheme="minorEastAsia"/>
          <w:sz w:val="24"/>
        </w:rPr>
        <w:t>根据《环境影响评价技术到则--大气环境》（HJ2.2-2018）中“6.2.1.1项目所在区域达标判定，优先采用国家或生态环境主管部门发布的平均基准年环境质量公告或环境质量报告中的数据或结论”，基准因子采用岳阳市生态环境局湘阴分局发布的湘阴县环境空气质量情况进行评价，具体数据统计见表5.3-1和表5.3-2。</w:t>
      </w:r>
    </w:p>
    <w:p>
      <w:pPr>
        <w:snapToGrid w:val="0"/>
        <w:spacing w:line="360" w:lineRule="auto"/>
        <w:ind w:firstLine="450"/>
        <w:rPr>
          <w:rFonts w:eastAsiaTheme="minorEastAsia"/>
          <w:sz w:val="24"/>
        </w:rPr>
      </w:pPr>
    </w:p>
    <w:p>
      <w:pPr>
        <w:snapToGrid w:val="0"/>
        <w:spacing w:line="360" w:lineRule="auto"/>
        <w:ind w:firstLine="450"/>
        <w:rPr>
          <w:rFonts w:eastAsiaTheme="minorEastAsia"/>
          <w:sz w:val="24"/>
        </w:rPr>
      </w:pP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表5.3-1  湘阴县2018年环境空气质量评价表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0"/>
        <w:gridCol w:w="730"/>
        <w:gridCol w:w="3219"/>
        <w:gridCol w:w="1158"/>
        <w:gridCol w:w="1205"/>
        <w:gridCol w:w="889"/>
        <w:gridCol w:w="9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dxa"/>
            <w:vAlign w:val="center"/>
          </w:tcPr>
          <w:p>
            <w:pPr>
              <w:pStyle w:val="857"/>
              <w:adjustRightInd w:val="0"/>
              <w:snapToGrid w:val="0"/>
              <w:spacing w:line="240" w:lineRule="auto"/>
              <w:ind w:firstLine="0" w:firstLineChars="0"/>
              <w:jc w:val="center"/>
              <w:rPr>
                <w:b/>
                <w:bCs/>
                <w:szCs w:val="21"/>
              </w:rPr>
            </w:pPr>
            <w:r>
              <w:rPr>
                <w:b/>
                <w:bCs/>
                <w:szCs w:val="21"/>
              </w:rPr>
              <w:t>所在区域</w:t>
            </w:r>
          </w:p>
        </w:tc>
        <w:tc>
          <w:tcPr>
            <w:tcW w:w="733" w:type="dxa"/>
            <w:vAlign w:val="center"/>
          </w:tcPr>
          <w:p>
            <w:pPr>
              <w:pStyle w:val="857"/>
              <w:adjustRightInd w:val="0"/>
              <w:snapToGrid w:val="0"/>
              <w:spacing w:line="240" w:lineRule="auto"/>
              <w:ind w:firstLine="0" w:firstLineChars="0"/>
              <w:jc w:val="center"/>
              <w:rPr>
                <w:b/>
                <w:bCs/>
                <w:szCs w:val="21"/>
              </w:rPr>
            </w:pPr>
            <w:r>
              <w:rPr>
                <w:b/>
                <w:bCs/>
                <w:szCs w:val="21"/>
              </w:rPr>
              <w:t>污染物</w:t>
            </w:r>
          </w:p>
        </w:tc>
        <w:tc>
          <w:tcPr>
            <w:tcW w:w="3388" w:type="dxa"/>
            <w:vAlign w:val="center"/>
          </w:tcPr>
          <w:p>
            <w:pPr>
              <w:pStyle w:val="857"/>
              <w:adjustRightInd w:val="0"/>
              <w:snapToGrid w:val="0"/>
              <w:spacing w:line="240" w:lineRule="auto"/>
              <w:ind w:firstLine="0" w:firstLineChars="0"/>
              <w:jc w:val="center"/>
              <w:rPr>
                <w:b/>
                <w:bCs/>
                <w:szCs w:val="21"/>
              </w:rPr>
            </w:pPr>
            <w:r>
              <w:rPr>
                <w:b/>
                <w:bCs/>
                <w:szCs w:val="21"/>
              </w:rPr>
              <w:t>评价指标</w:t>
            </w:r>
          </w:p>
        </w:tc>
        <w:tc>
          <w:tcPr>
            <w:tcW w:w="1119" w:type="dxa"/>
            <w:vAlign w:val="center"/>
          </w:tcPr>
          <w:p>
            <w:pPr>
              <w:pStyle w:val="857"/>
              <w:adjustRightInd w:val="0"/>
              <w:snapToGrid w:val="0"/>
              <w:spacing w:line="240" w:lineRule="auto"/>
              <w:ind w:firstLine="0" w:firstLineChars="0"/>
              <w:jc w:val="center"/>
              <w:rPr>
                <w:b/>
                <w:bCs/>
                <w:szCs w:val="21"/>
              </w:rPr>
            </w:pPr>
            <w:r>
              <w:rPr>
                <w:b/>
                <w:bCs/>
                <w:szCs w:val="21"/>
              </w:rPr>
              <w:t>现状浓度（μg/m³）</w:t>
            </w:r>
          </w:p>
        </w:tc>
        <w:tc>
          <w:tcPr>
            <w:tcW w:w="1208" w:type="dxa"/>
            <w:vAlign w:val="center"/>
          </w:tcPr>
          <w:p>
            <w:pPr>
              <w:pStyle w:val="857"/>
              <w:adjustRightInd w:val="0"/>
              <w:snapToGrid w:val="0"/>
              <w:spacing w:line="240" w:lineRule="auto"/>
              <w:ind w:firstLine="0" w:firstLineChars="0"/>
              <w:jc w:val="center"/>
              <w:rPr>
                <w:b/>
                <w:bCs/>
                <w:szCs w:val="21"/>
              </w:rPr>
            </w:pPr>
            <w:r>
              <w:rPr>
                <w:b/>
                <w:bCs/>
                <w:szCs w:val="21"/>
              </w:rPr>
              <w:t>标准值（μg/m³）</w:t>
            </w:r>
          </w:p>
        </w:tc>
        <w:tc>
          <w:tcPr>
            <w:tcW w:w="909" w:type="dxa"/>
            <w:vAlign w:val="center"/>
          </w:tcPr>
          <w:p>
            <w:pPr>
              <w:pStyle w:val="857"/>
              <w:adjustRightInd w:val="0"/>
              <w:snapToGrid w:val="0"/>
              <w:spacing w:line="240" w:lineRule="auto"/>
              <w:ind w:firstLine="0" w:firstLineChars="0"/>
              <w:jc w:val="center"/>
              <w:rPr>
                <w:b/>
                <w:bCs/>
                <w:szCs w:val="21"/>
              </w:rPr>
            </w:pPr>
            <w:r>
              <w:rPr>
                <w:b/>
                <w:bCs/>
                <w:szCs w:val="21"/>
              </w:rPr>
              <w:t>超标倍数</w:t>
            </w:r>
          </w:p>
        </w:tc>
        <w:tc>
          <w:tcPr>
            <w:tcW w:w="938" w:type="dxa"/>
            <w:vAlign w:val="center"/>
          </w:tcPr>
          <w:p>
            <w:pPr>
              <w:pStyle w:val="857"/>
              <w:adjustRightInd w:val="0"/>
              <w:snapToGrid w:val="0"/>
              <w:spacing w:line="240" w:lineRule="auto"/>
              <w:ind w:firstLine="0" w:firstLineChars="0"/>
              <w:jc w:val="center"/>
              <w:rPr>
                <w:b/>
                <w:bCs/>
                <w:szCs w:val="21"/>
              </w:rPr>
            </w:pPr>
            <w:r>
              <w:rPr>
                <w:b/>
                <w:bCs/>
                <w:szCs w:val="21"/>
              </w:rPr>
              <w:t>达标</w:t>
            </w:r>
          </w:p>
          <w:p>
            <w:pPr>
              <w:pStyle w:val="857"/>
              <w:adjustRightInd w:val="0"/>
              <w:snapToGrid w:val="0"/>
              <w:spacing w:line="240" w:lineRule="auto"/>
              <w:ind w:firstLine="0" w:firstLineChars="0"/>
              <w:jc w:val="center"/>
              <w:rPr>
                <w:b/>
                <w:bCs/>
                <w:szCs w:val="21"/>
              </w:rPr>
            </w:pPr>
            <w:r>
              <w:rPr>
                <w:b/>
                <w:bCs/>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dxa"/>
            <w:vMerge w:val="restart"/>
            <w:vAlign w:val="center"/>
          </w:tcPr>
          <w:p>
            <w:pPr>
              <w:pStyle w:val="857"/>
              <w:adjustRightInd w:val="0"/>
              <w:snapToGrid w:val="0"/>
              <w:spacing w:line="240" w:lineRule="auto"/>
              <w:ind w:firstLine="0" w:firstLineChars="0"/>
              <w:jc w:val="center"/>
              <w:rPr>
                <w:szCs w:val="21"/>
              </w:rPr>
            </w:pPr>
            <w:r>
              <w:rPr>
                <w:szCs w:val="21"/>
              </w:rPr>
              <w:t>湘阴县</w:t>
            </w:r>
          </w:p>
        </w:tc>
        <w:tc>
          <w:tcPr>
            <w:tcW w:w="733" w:type="dxa"/>
            <w:vAlign w:val="center"/>
          </w:tcPr>
          <w:p>
            <w:pPr>
              <w:pStyle w:val="857"/>
              <w:adjustRightInd w:val="0"/>
              <w:snapToGrid w:val="0"/>
              <w:spacing w:line="240" w:lineRule="auto"/>
              <w:ind w:firstLine="0" w:firstLineChars="0"/>
              <w:jc w:val="center"/>
              <w:rPr>
                <w:szCs w:val="21"/>
              </w:rPr>
            </w:pPr>
            <w:r>
              <w:rPr>
                <w:szCs w:val="21"/>
              </w:rPr>
              <w:t>PM</w:t>
            </w:r>
            <w:r>
              <w:rPr>
                <w:szCs w:val="21"/>
                <w:vertAlign w:val="subscript"/>
              </w:rPr>
              <w:t>10</w:t>
            </w:r>
          </w:p>
        </w:tc>
        <w:tc>
          <w:tcPr>
            <w:tcW w:w="3388" w:type="dxa"/>
            <w:vAlign w:val="center"/>
          </w:tcPr>
          <w:p>
            <w:pPr>
              <w:pStyle w:val="857"/>
              <w:adjustRightInd w:val="0"/>
              <w:snapToGrid w:val="0"/>
              <w:spacing w:line="240" w:lineRule="auto"/>
              <w:ind w:firstLine="0" w:firstLineChars="0"/>
              <w:jc w:val="center"/>
              <w:rPr>
                <w:szCs w:val="21"/>
              </w:rPr>
            </w:pPr>
            <w:r>
              <w:rPr>
                <w:szCs w:val="21"/>
              </w:rPr>
              <w:t>年平均</w:t>
            </w:r>
          </w:p>
        </w:tc>
        <w:tc>
          <w:tcPr>
            <w:tcW w:w="1119" w:type="dxa"/>
            <w:vAlign w:val="center"/>
          </w:tcPr>
          <w:p>
            <w:pPr>
              <w:pStyle w:val="857"/>
              <w:adjustRightInd w:val="0"/>
              <w:snapToGrid w:val="0"/>
              <w:spacing w:line="240" w:lineRule="auto"/>
              <w:ind w:firstLine="0" w:firstLineChars="0"/>
              <w:jc w:val="center"/>
              <w:rPr>
                <w:szCs w:val="21"/>
              </w:rPr>
            </w:pPr>
            <w:r>
              <w:rPr>
                <w:szCs w:val="21"/>
              </w:rPr>
              <w:t>55.54</w:t>
            </w:r>
          </w:p>
        </w:tc>
        <w:tc>
          <w:tcPr>
            <w:tcW w:w="1208" w:type="dxa"/>
            <w:vAlign w:val="center"/>
          </w:tcPr>
          <w:p>
            <w:pPr>
              <w:pStyle w:val="857"/>
              <w:adjustRightInd w:val="0"/>
              <w:snapToGrid w:val="0"/>
              <w:spacing w:line="240" w:lineRule="auto"/>
              <w:ind w:firstLine="0" w:firstLineChars="0"/>
              <w:jc w:val="center"/>
              <w:rPr>
                <w:szCs w:val="21"/>
              </w:rPr>
            </w:pPr>
            <w:r>
              <w:rPr>
                <w:szCs w:val="21"/>
              </w:rPr>
              <w:t>70</w:t>
            </w:r>
          </w:p>
        </w:tc>
        <w:tc>
          <w:tcPr>
            <w:tcW w:w="909" w:type="dxa"/>
            <w:vAlign w:val="center"/>
          </w:tcPr>
          <w:p>
            <w:pPr>
              <w:snapToGrid w:val="0"/>
              <w:jc w:val="center"/>
              <w:textAlignment w:val="center"/>
              <w:rPr>
                <w:szCs w:val="21"/>
              </w:rPr>
            </w:pPr>
            <w:r>
              <w:rPr>
                <w:szCs w:val="21"/>
              </w:rPr>
              <w:t>0</w:t>
            </w:r>
          </w:p>
        </w:tc>
        <w:tc>
          <w:tcPr>
            <w:tcW w:w="938" w:type="dxa"/>
            <w:vAlign w:val="center"/>
          </w:tcPr>
          <w:p>
            <w:pPr>
              <w:pStyle w:val="857"/>
              <w:adjustRightInd w:val="0"/>
              <w:snapToGrid w:val="0"/>
              <w:spacing w:line="240" w:lineRule="auto"/>
              <w:ind w:firstLine="0" w:firstLineChars="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dxa"/>
            <w:vMerge w:val="continue"/>
            <w:vAlign w:val="center"/>
          </w:tcPr>
          <w:p>
            <w:pPr>
              <w:pStyle w:val="857"/>
              <w:adjustRightInd w:val="0"/>
              <w:snapToGrid w:val="0"/>
              <w:spacing w:line="240" w:lineRule="auto"/>
              <w:ind w:firstLine="0" w:firstLineChars="0"/>
              <w:jc w:val="center"/>
              <w:rPr>
                <w:szCs w:val="21"/>
              </w:rPr>
            </w:pPr>
          </w:p>
        </w:tc>
        <w:tc>
          <w:tcPr>
            <w:tcW w:w="733" w:type="dxa"/>
            <w:vAlign w:val="center"/>
          </w:tcPr>
          <w:p>
            <w:pPr>
              <w:pStyle w:val="857"/>
              <w:adjustRightInd w:val="0"/>
              <w:snapToGrid w:val="0"/>
              <w:spacing w:line="240" w:lineRule="auto"/>
              <w:ind w:firstLine="0" w:firstLineChars="0"/>
              <w:jc w:val="center"/>
              <w:rPr>
                <w:szCs w:val="21"/>
              </w:rPr>
            </w:pPr>
            <w:r>
              <w:rPr>
                <w:szCs w:val="21"/>
              </w:rPr>
              <w:t>PM</w:t>
            </w:r>
            <w:r>
              <w:rPr>
                <w:szCs w:val="21"/>
                <w:vertAlign w:val="subscript"/>
              </w:rPr>
              <w:t>2.5</w:t>
            </w:r>
          </w:p>
        </w:tc>
        <w:tc>
          <w:tcPr>
            <w:tcW w:w="3388" w:type="dxa"/>
            <w:vAlign w:val="center"/>
          </w:tcPr>
          <w:p>
            <w:pPr>
              <w:pStyle w:val="857"/>
              <w:adjustRightInd w:val="0"/>
              <w:snapToGrid w:val="0"/>
              <w:spacing w:line="240" w:lineRule="auto"/>
              <w:ind w:firstLine="0" w:firstLineChars="0"/>
              <w:jc w:val="center"/>
              <w:rPr>
                <w:szCs w:val="21"/>
              </w:rPr>
            </w:pPr>
            <w:r>
              <w:rPr>
                <w:szCs w:val="21"/>
              </w:rPr>
              <w:t>年平均</w:t>
            </w:r>
          </w:p>
        </w:tc>
        <w:tc>
          <w:tcPr>
            <w:tcW w:w="1119" w:type="dxa"/>
            <w:vAlign w:val="center"/>
          </w:tcPr>
          <w:p>
            <w:pPr>
              <w:pStyle w:val="857"/>
              <w:adjustRightInd w:val="0"/>
              <w:snapToGrid w:val="0"/>
              <w:spacing w:line="240" w:lineRule="auto"/>
              <w:ind w:firstLine="0" w:firstLineChars="0"/>
              <w:jc w:val="center"/>
              <w:rPr>
                <w:szCs w:val="21"/>
              </w:rPr>
            </w:pPr>
            <w:r>
              <w:rPr>
                <w:szCs w:val="21"/>
              </w:rPr>
              <w:t>40.27</w:t>
            </w:r>
          </w:p>
        </w:tc>
        <w:tc>
          <w:tcPr>
            <w:tcW w:w="1208" w:type="dxa"/>
            <w:vAlign w:val="center"/>
          </w:tcPr>
          <w:p>
            <w:pPr>
              <w:pStyle w:val="857"/>
              <w:adjustRightInd w:val="0"/>
              <w:snapToGrid w:val="0"/>
              <w:spacing w:line="240" w:lineRule="auto"/>
              <w:ind w:firstLine="0" w:firstLineChars="0"/>
              <w:jc w:val="center"/>
              <w:rPr>
                <w:szCs w:val="21"/>
              </w:rPr>
            </w:pPr>
            <w:r>
              <w:rPr>
                <w:szCs w:val="21"/>
              </w:rPr>
              <w:t>35</w:t>
            </w:r>
          </w:p>
        </w:tc>
        <w:tc>
          <w:tcPr>
            <w:tcW w:w="909" w:type="dxa"/>
            <w:vAlign w:val="center"/>
          </w:tcPr>
          <w:p>
            <w:pPr>
              <w:snapToGrid w:val="0"/>
              <w:jc w:val="center"/>
              <w:textAlignment w:val="center"/>
              <w:rPr>
                <w:szCs w:val="21"/>
              </w:rPr>
            </w:pPr>
            <w:r>
              <w:rPr>
                <w:szCs w:val="21"/>
              </w:rPr>
              <w:t>0.14</w:t>
            </w:r>
          </w:p>
        </w:tc>
        <w:tc>
          <w:tcPr>
            <w:tcW w:w="938" w:type="dxa"/>
            <w:vAlign w:val="center"/>
          </w:tcPr>
          <w:p>
            <w:pPr>
              <w:adjustRightInd w:val="0"/>
              <w:snapToGrid w:val="0"/>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dxa"/>
            <w:vMerge w:val="continue"/>
            <w:vAlign w:val="center"/>
          </w:tcPr>
          <w:p>
            <w:pPr>
              <w:pStyle w:val="857"/>
              <w:adjustRightInd w:val="0"/>
              <w:snapToGrid w:val="0"/>
              <w:spacing w:line="240" w:lineRule="auto"/>
              <w:ind w:firstLine="0" w:firstLineChars="0"/>
              <w:jc w:val="center"/>
              <w:rPr>
                <w:szCs w:val="21"/>
              </w:rPr>
            </w:pPr>
          </w:p>
        </w:tc>
        <w:tc>
          <w:tcPr>
            <w:tcW w:w="733" w:type="dxa"/>
            <w:vAlign w:val="center"/>
          </w:tcPr>
          <w:p>
            <w:pPr>
              <w:pStyle w:val="857"/>
              <w:adjustRightInd w:val="0"/>
              <w:snapToGrid w:val="0"/>
              <w:spacing w:line="240" w:lineRule="auto"/>
              <w:ind w:firstLine="0" w:firstLineChars="0"/>
              <w:jc w:val="center"/>
              <w:rPr>
                <w:szCs w:val="21"/>
              </w:rPr>
            </w:pPr>
            <w:r>
              <w:rPr>
                <w:szCs w:val="21"/>
              </w:rPr>
              <w:t>SO</w:t>
            </w:r>
            <w:r>
              <w:rPr>
                <w:szCs w:val="21"/>
                <w:vertAlign w:val="subscript"/>
              </w:rPr>
              <w:t>2</w:t>
            </w:r>
          </w:p>
        </w:tc>
        <w:tc>
          <w:tcPr>
            <w:tcW w:w="3388" w:type="dxa"/>
            <w:vAlign w:val="center"/>
          </w:tcPr>
          <w:p>
            <w:pPr>
              <w:pStyle w:val="857"/>
              <w:adjustRightInd w:val="0"/>
              <w:snapToGrid w:val="0"/>
              <w:spacing w:line="240" w:lineRule="auto"/>
              <w:ind w:firstLine="0" w:firstLineChars="0"/>
              <w:jc w:val="center"/>
              <w:rPr>
                <w:szCs w:val="21"/>
              </w:rPr>
            </w:pPr>
            <w:r>
              <w:rPr>
                <w:szCs w:val="21"/>
              </w:rPr>
              <w:t>年平均</w:t>
            </w:r>
          </w:p>
        </w:tc>
        <w:tc>
          <w:tcPr>
            <w:tcW w:w="1119" w:type="dxa"/>
            <w:vAlign w:val="center"/>
          </w:tcPr>
          <w:p>
            <w:pPr>
              <w:pStyle w:val="857"/>
              <w:adjustRightInd w:val="0"/>
              <w:snapToGrid w:val="0"/>
              <w:spacing w:line="240" w:lineRule="auto"/>
              <w:ind w:firstLine="0" w:firstLineChars="0"/>
              <w:jc w:val="center"/>
              <w:rPr>
                <w:szCs w:val="21"/>
              </w:rPr>
            </w:pPr>
            <w:r>
              <w:rPr>
                <w:szCs w:val="21"/>
              </w:rPr>
              <w:t>8.09</w:t>
            </w:r>
          </w:p>
        </w:tc>
        <w:tc>
          <w:tcPr>
            <w:tcW w:w="1208" w:type="dxa"/>
            <w:vAlign w:val="center"/>
          </w:tcPr>
          <w:p>
            <w:pPr>
              <w:pStyle w:val="857"/>
              <w:adjustRightInd w:val="0"/>
              <w:snapToGrid w:val="0"/>
              <w:spacing w:line="240" w:lineRule="auto"/>
              <w:ind w:firstLine="0" w:firstLineChars="0"/>
              <w:jc w:val="center"/>
              <w:rPr>
                <w:szCs w:val="21"/>
              </w:rPr>
            </w:pPr>
            <w:r>
              <w:rPr>
                <w:szCs w:val="21"/>
              </w:rPr>
              <w:t>60</w:t>
            </w:r>
          </w:p>
        </w:tc>
        <w:tc>
          <w:tcPr>
            <w:tcW w:w="909" w:type="dxa"/>
            <w:vAlign w:val="center"/>
          </w:tcPr>
          <w:p>
            <w:pPr>
              <w:snapToGrid w:val="0"/>
              <w:jc w:val="center"/>
              <w:textAlignment w:val="center"/>
              <w:rPr>
                <w:szCs w:val="21"/>
              </w:rPr>
            </w:pPr>
            <w:r>
              <w:rPr>
                <w:szCs w:val="21"/>
              </w:rPr>
              <w:t>0</w:t>
            </w:r>
          </w:p>
        </w:tc>
        <w:tc>
          <w:tcPr>
            <w:tcW w:w="938" w:type="dxa"/>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dxa"/>
            <w:vMerge w:val="continue"/>
            <w:vAlign w:val="center"/>
          </w:tcPr>
          <w:p>
            <w:pPr>
              <w:pStyle w:val="857"/>
              <w:adjustRightInd w:val="0"/>
              <w:snapToGrid w:val="0"/>
              <w:spacing w:line="240" w:lineRule="auto"/>
              <w:ind w:firstLine="0" w:firstLineChars="0"/>
              <w:jc w:val="center"/>
              <w:rPr>
                <w:szCs w:val="21"/>
              </w:rPr>
            </w:pPr>
          </w:p>
        </w:tc>
        <w:tc>
          <w:tcPr>
            <w:tcW w:w="733" w:type="dxa"/>
            <w:vAlign w:val="center"/>
          </w:tcPr>
          <w:p>
            <w:pPr>
              <w:pStyle w:val="857"/>
              <w:adjustRightInd w:val="0"/>
              <w:snapToGrid w:val="0"/>
              <w:spacing w:line="240" w:lineRule="auto"/>
              <w:ind w:firstLine="0" w:firstLineChars="0"/>
              <w:jc w:val="center"/>
              <w:rPr>
                <w:szCs w:val="21"/>
              </w:rPr>
            </w:pPr>
            <w:r>
              <w:rPr>
                <w:szCs w:val="21"/>
              </w:rPr>
              <w:t>NO</w:t>
            </w:r>
            <w:r>
              <w:rPr>
                <w:szCs w:val="21"/>
                <w:vertAlign w:val="subscript"/>
              </w:rPr>
              <w:t>2</w:t>
            </w:r>
          </w:p>
        </w:tc>
        <w:tc>
          <w:tcPr>
            <w:tcW w:w="3388" w:type="dxa"/>
            <w:vAlign w:val="center"/>
          </w:tcPr>
          <w:p>
            <w:pPr>
              <w:pStyle w:val="857"/>
              <w:adjustRightInd w:val="0"/>
              <w:snapToGrid w:val="0"/>
              <w:spacing w:line="240" w:lineRule="auto"/>
              <w:ind w:firstLine="0" w:firstLineChars="0"/>
              <w:jc w:val="center"/>
              <w:rPr>
                <w:szCs w:val="21"/>
              </w:rPr>
            </w:pPr>
            <w:r>
              <w:rPr>
                <w:szCs w:val="21"/>
              </w:rPr>
              <w:t>年平均</w:t>
            </w:r>
          </w:p>
        </w:tc>
        <w:tc>
          <w:tcPr>
            <w:tcW w:w="1119" w:type="dxa"/>
            <w:vAlign w:val="center"/>
          </w:tcPr>
          <w:p>
            <w:pPr>
              <w:pStyle w:val="857"/>
              <w:adjustRightInd w:val="0"/>
              <w:snapToGrid w:val="0"/>
              <w:spacing w:line="240" w:lineRule="auto"/>
              <w:ind w:firstLine="0" w:firstLineChars="0"/>
              <w:jc w:val="center"/>
              <w:rPr>
                <w:szCs w:val="21"/>
              </w:rPr>
            </w:pPr>
            <w:r>
              <w:rPr>
                <w:szCs w:val="21"/>
              </w:rPr>
              <w:t>19.09</w:t>
            </w:r>
          </w:p>
        </w:tc>
        <w:tc>
          <w:tcPr>
            <w:tcW w:w="1208" w:type="dxa"/>
            <w:vAlign w:val="center"/>
          </w:tcPr>
          <w:p>
            <w:pPr>
              <w:pStyle w:val="857"/>
              <w:adjustRightInd w:val="0"/>
              <w:snapToGrid w:val="0"/>
              <w:spacing w:line="240" w:lineRule="auto"/>
              <w:ind w:firstLine="0" w:firstLineChars="0"/>
              <w:jc w:val="center"/>
              <w:rPr>
                <w:szCs w:val="21"/>
              </w:rPr>
            </w:pPr>
            <w:r>
              <w:rPr>
                <w:szCs w:val="21"/>
              </w:rPr>
              <w:t>40</w:t>
            </w:r>
          </w:p>
        </w:tc>
        <w:tc>
          <w:tcPr>
            <w:tcW w:w="909" w:type="dxa"/>
            <w:vAlign w:val="center"/>
          </w:tcPr>
          <w:p>
            <w:pPr>
              <w:snapToGrid w:val="0"/>
              <w:jc w:val="center"/>
              <w:textAlignment w:val="center"/>
              <w:rPr>
                <w:szCs w:val="21"/>
              </w:rPr>
            </w:pPr>
            <w:r>
              <w:rPr>
                <w:szCs w:val="21"/>
              </w:rPr>
              <w:t>0</w:t>
            </w:r>
          </w:p>
        </w:tc>
        <w:tc>
          <w:tcPr>
            <w:tcW w:w="938" w:type="dxa"/>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dxa"/>
            <w:vMerge w:val="continue"/>
            <w:vAlign w:val="center"/>
          </w:tcPr>
          <w:p>
            <w:pPr>
              <w:pStyle w:val="857"/>
              <w:adjustRightInd w:val="0"/>
              <w:snapToGrid w:val="0"/>
              <w:spacing w:line="240" w:lineRule="auto"/>
              <w:ind w:firstLine="0" w:firstLineChars="0"/>
              <w:jc w:val="center"/>
              <w:rPr>
                <w:szCs w:val="21"/>
              </w:rPr>
            </w:pPr>
          </w:p>
        </w:tc>
        <w:tc>
          <w:tcPr>
            <w:tcW w:w="733" w:type="dxa"/>
            <w:vAlign w:val="center"/>
          </w:tcPr>
          <w:p>
            <w:pPr>
              <w:pStyle w:val="857"/>
              <w:adjustRightInd w:val="0"/>
              <w:snapToGrid w:val="0"/>
              <w:spacing w:line="240" w:lineRule="auto"/>
              <w:ind w:firstLine="0" w:firstLineChars="0"/>
              <w:jc w:val="center"/>
              <w:rPr>
                <w:szCs w:val="21"/>
              </w:rPr>
            </w:pPr>
            <w:r>
              <w:rPr>
                <w:szCs w:val="21"/>
              </w:rPr>
              <w:t>CO</w:t>
            </w:r>
          </w:p>
        </w:tc>
        <w:tc>
          <w:tcPr>
            <w:tcW w:w="3388" w:type="dxa"/>
            <w:vAlign w:val="center"/>
          </w:tcPr>
          <w:p>
            <w:pPr>
              <w:pStyle w:val="857"/>
              <w:adjustRightInd w:val="0"/>
              <w:snapToGrid w:val="0"/>
              <w:spacing w:line="240" w:lineRule="auto"/>
              <w:ind w:firstLine="0" w:firstLineChars="0"/>
              <w:jc w:val="center"/>
              <w:rPr>
                <w:szCs w:val="21"/>
              </w:rPr>
            </w:pPr>
            <w:r>
              <w:rPr>
                <w:szCs w:val="21"/>
              </w:rPr>
              <w:t>24小时平均（第95位百分位数）</w:t>
            </w:r>
          </w:p>
        </w:tc>
        <w:tc>
          <w:tcPr>
            <w:tcW w:w="1119" w:type="dxa"/>
            <w:vAlign w:val="center"/>
          </w:tcPr>
          <w:p>
            <w:pPr>
              <w:pStyle w:val="857"/>
              <w:adjustRightInd w:val="0"/>
              <w:snapToGrid w:val="0"/>
              <w:spacing w:line="240" w:lineRule="auto"/>
              <w:ind w:firstLine="0" w:firstLineChars="0"/>
              <w:jc w:val="center"/>
              <w:rPr>
                <w:szCs w:val="21"/>
              </w:rPr>
            </w:pPr>
            <w:r>
              <w:rPr>
                <w:szCs w:val="21"/>
              </w:rPr>
              <w:t>0.93</w:t>
            </w:r>
          </w:p>
        </w:tc>
        <w:tc>
          <w:tcPr>
            <w:tcW w:w="1208" w:type="dxa"/>
            <w:vAlign w:val="center"/>
          </w:tcPr>
          <w:p>
            <w:pPr>
              <w:pStyle w:val="857"/>
              <w:adjustRightInd w:val="0"/>
              <w:snapToGrid w:val="0"/>
              <w:spacing w:line="240" w:lineRule="auto"/>
              <w:ind w:firstLine="0" w:firstLineChars="0"/>
              <w:jc w:val="center"/>
              <w:rPr>
                <w:szCs w:val="21"/>
              </w:rPr>
            </w:pPr>
            <w:r>
              <w:rPr>
                <w:szCs w:val="21"/>
              </w:rPr>
              <w:t>4000</w:t>
            </w:r>
          </w:p>
        </w:tc>
        <w:tc>
          <w:tcPr>
            <w:tcW w:w="909" w:type="dxa"/>
            <w:vAlign w:val="center"/>
          </w:tcPr>
          <w:p>
            <w:pPr>
              <w:snapToGrid w:val="0"/>
              <w:jc w:val="center"/>
              <w:textAlignment w:val="center"/>
              <w:rPr>
                <w:szCs w:val="21"/>
              </w:rPr>
            </w:pPr>
            <w:r>
              <w:rPr>
                <w:szCs w:val="21"/>
              </w:rPr>
              <w:t>0</w:t>
            </w:r>
          </w:p>
        </w:tc>
        <w:tc>
          <w:tcPr>
            <w:tcW w:w="938" w:type="dxa"/>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7" w:type="dxa"/>
            <w:vMerge w:val="continue"/>
            <w:vAlign w:val="center"/>
          </w:tcPr>
          <w:p>
            <w:pPr>
              <w:pStyle w:val="857"/>
              <w:adjustRightInd w:val="0"/>
              <w:snapToGrid w:val="0"/>
              <w:spacing w:line="240" w:lineRule="auto"/>
              <w:ind w:firstLine="0" w:firstLineChars="0"/>
              <w:jc w:val="center"/>
              <w:rPr>
                <w:szCs w:val="21"/>
              </w:rPr>
            </w:pPr>
          </w:p>
        </w:tc>
        <w:tc>
          <w:tcPr>
            <w:tcW w:w="733" w:type="dxa"/>
            <w:vAlign w:val="center"/>
          </w:tcPr>
          <w:p>
            <w:pPr>
              <w:pStyle w:val="857"/>
              <w:adjustRightInd w:val="0"/>
              <w:snapToGrid w:val="0"/>
              <w:spacing w:line="240" w:lineRule="auto"/>
              <w:ind w:firstLine="0" w:firstLineChars="0"/>
              <w:jc w:val="center"/>
              <w:rPr>
                <w:szCs w:val="21"/>
              </w:rPr>
            </w:pPr>
            <w:r>
              <w:rPr>
                <w:szCs w:val="21"/>
              </w:rPr>
              <w:t>O</w:t>
            </w:r>
            <w:r>
              <w:rPr>
                <w:szCs w:val="21"/>
                <w:vertAlign w:val="subscript"/>
              </w:rPr>
              <w:t>3</w:t>
            </w:r>
          </w:p>
        </w:tc>
        <w:tc>
          <w:tcPr>
            <w:tcW w:w="3388" w:type="dxa"/>
            <w:vAlign w:val="center"/>
          </w:tcPr>
          <w:p>
            <w:pPr>
              <w:pStyle w:val="857"/>
              <w:adjustRightInd w:val="0"/>
              <w:snapToGrid w:val="0"/>
              <w:spacing w:line="240" w:lineRule="auto"/>
              <w:ind w:firstLine="0" w:firstLineChars="0"/>
              <w:jc w:val="center"/>
              <w:rPr>
                <w:szCs w:val="21"/>
              </w:rPr>
            </w:pPr>
            <w:r>
              <w:rPr>
                <w:szCs w:val="21"/>
              </w:rPr>
              <w:t>日最大8h平均（第90位百分位数）</w:t>
            </w:r>
          </w:p>
        </w:tc>
        <w:tc>
          <w:tcPr>
            <w:tcW w:w="1119" w:type="dxa"/>
            <w:vAlign w:val="center"/>
          </w:tcPr>
          <w:p>
            <w:pPr>
              <w:adjustRightInd w:val="0"/>
              <w:snapToGrid w:val="0"/>
              <w:jc w:val="center"/>
              <w:rPr>
                <w:szCs w:val="21"/>
              </w:rPr>
            </w:pPr>
            <w:r>
              <w:rPr>
                <w:szCs w:val="21"/>
              </w:rPr>
              <w:t>89.18</w:t>
            </w:r>
          </w:p>
        </w:tc>
        <w:tc>
          <w:tcPr>
            <w:tcW w:w="1208" w:type="dxa"/>
            <w:vAlign w:val="center"/>
          </w:tcPr>
          <w:p>
            <w:pPr>
              <w:adjustRightInd w:val="0"/>
              <w:snapToGrid w:val="0"/>
              <w:jc w:val="center"/>
              <w:rPr>
                <w:szCs w:val="21"/>
              </w:rPr>
            </w:pPr>
            <w:r>
              <w:rPr>
                <w:szCs w:val="21"/>
              </w:rPr>
              <w:t>160</w:t>
            </w:r>
          </w:p>
        </w:tc>
        <w:tc>
          <w:tcPr>
            <w:tcW w:w="909" w:type="dxa"/>
            <w:vAlign w:val="center"/>
          </w:tcPr>
          <w:p>
            <w:pPr>
              <w:snapToGrid w:val="0"/>
              <w:jc w:val="center"/>
              <w:rPr>
                <w:szCs w:val="21"/>
              </w:rPr>
            </w:pPr>
            <w:r>
              <w:rPr>
                <w:szCs w:val="21"/>
              </w:rPr>
              <w:t>0</w:t>
            </w:r>
          </w:p>
        </w:tc>
        <w:tc>
          <w:tcPr>
            <w:tcW w:w="938" w:type="dxa"/>
            <w:vAlign w:val="center"/>
          </w:tcPr>
          <w:p>
            <w:pPr>
              <w:adjustRightInd w:val="0"/>
              <w:snapToGrid w:val="0"/>
              <w:jc w:val="center"/>
              <w:rPr>
                <w:szCs w:val="21"/>
              </w:rPr>
            </w:pPr>
            <w:r>
              <w:rPr>
                <w:szCs w:val="21"/>
              </w:rPr>
              <w:t>达标</w:t>
            </w:r>
          </w:p>
        </w:tc>
      </w:tr>
    </w:tbl>
    <w:p>
      <w:pPr>
        <w:autoSpaceDE w:val="0"/>
        <w:autoSpaceDN w:val="0"/>
        <w:adjustRightInd w:val="0"/>
        <w:snapToGrid w:val="0"/>
        <w:spacing w:line="360" w:lineRule="auto"/>
        <w:jc w:val="center"/>
        <w:rPr>
          <w:rFonts w:eastAsiaTheme="minorEastAsia"/>
          <w:b/>
          <w:bCs/>
          <w:sz w:val="24"/>
        </w:rPr>
      </w:pPr>
      <w:r>
        <w:rPr>
          <w:rFonts w:eastAsiaTheme="minorEastAsia"/>
          <w:b/>
          <w:bCs/>
          <w:sz w:val="24"/>
        </w:rPr>
        <w:t>表5.3-2  湘阴县2019年环境空气质量评价表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6"/>
        <w:gridCol w:w="794"/>
        <w:gridCol w:w="3090"/>
        <w:gridCol w:w="1158"/>
        <w:gridCol w:w="1169"/>
        <w:gridCol w:w="876"/>
        <w:gridCol w:w="9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9" w:type="pct"/>
            <w:vAlign w:val="center"/>
          </w:tcPr>
          <w:p>
            <w:pPr>
              <w:pStyle w:val="857"/>
              <w:adjustRightInd w:val="0"/>
              <w:snapToGrid w:val="0"/>
              <w:spacing w:line="240" w:lineRule="auto"/>
              <w:ind w:firstLine="0" w:firstLineChars="0"/>
              <w:jc w:val="center"/>
              <w:rPr>
                <w:b/>
                <w:bCs/>
                <w:szCs w:val="21"/>
              </w:rPr>
            </w:pPr>
            <w:r>
              <w:rPr>
                <w:b/>
                <w:bCs/>
                <w:szCs w:val="21"/>
              </w:rPr>
              <w:t>所在区域</w:t>
            </w:r>
          </w:p>
        </w:tc>
        <w:tc>
          <w:tcPr>
            <w:tcW w:w="458" w:type="pct"/>
            <w:vAlign w:val="center"/>
          </w:tcPr>
          <w:p>
            <w:pPr>
              <w:pStyle w:val="857"/>
              <w:adjustRightInd w:val="0"/>
              <w:snapToGrid w:val="0"/>
              <w:spacing w:line="240" w:lineRule="auto"/>
              <w:ind w:firstLine="0" w:firstLineChars="0"/>
              <w:jc w:val="center"/>
              <w:rPr>
                <w:b/>
                <w:bCs/>
                <w:szCs w:val="21"/>
              </w:rPr>
            </w:pPr>
            <w:r>
              <w:rPr>
                <w:b/>
                <w:bCs/>
                <w:szCs w:val="21"/>
              </w:rPr>
              <w:t>污染物</w:t>
            </w:r>
          </w:p>
        </w:tc>
        <w:tc>
          <w:tcPr>
            <w:tcW w:w="1764" w:type="pct"/>
            <w:vAlign w:val="center"/>
          </w:tcPr>
          <w:p>
            <w:pPr>
              <w:pStyle w:val="857"/>
              <w:adjustRightInd w:val="0"/>
              <w:snapToGrid w:val="0"/>
              <w:spacing w:line="240" w:lineRule="auto"/>
              <w:ind w:firstLine="0" w:firstLineChars="0"/>
              <w:jc w:val="center"/>
              <w:rPr>
                <w:b/>
                <w:bCs/>
                <w:szCs w:val="21"/>
              </w:rPr>
            </w:pPr>
            <w:r>
              <w:rPr>
                <w:b/>
                <w:bCs/>
                <w:szCs w:val="21"/>
              </w:rPr>
              <w:t>评价指标</w:t>
            </w:r>
          </w:p>
        </w:tc>
        <w:tc>
          <w:tcPr>
            <w:tcW w:w="622" w:type="pct"/>
            <w:vAlign w:val="center"/>
          </w:tcPr>
          <w:p>
            <w:pPr>
              <w:pStyle w:val="857"/>
              <w:adjustRightInd w:val="0"/>
              <w:snapToGrid w:val="0"/>
              <w:spacing w:line="240" w:lineRule="auto"/>
              <w:ind w:firstLine="0" w:firstLineChars="0"/>
              <w:jc w:val="center"/>
              <w:rPr>
                <w:b/>
                <w:bCs/>
                <w:szCs w:val="21"/>
              </w:rPr>
            </w:pPr>
            <w:r>
              <w:rPr>
                <w:b/>
                <w:bCs/>
                <w:szCs w:val="21"/>
              </w:rPr>
              <w:t>现状浓度（μg/m³）</w:t>
            </w:r>
          </w:p>
        </w:tc>
        <w:tc>
          <w:tcPr>
            <w:tcW w:w="671" w:type="pct"/>
            <w:vAlign w:val="center"/>
          </w:tcPr>
          <w:p>
            <w:pPr>
              <w:pStyle w:val="857"/>
              <w:adjustRightInd w:val="0"/>
              <w:snapToGrid w:val="0"/>
              <w:spacing w:line="240" w:lineRule="auto"/>
              <w:ind w:firstLine="0" w:firstLineChars="0"/>
              <w:jc w:val="center"/>
              <w:rPr>
                <w:b/>
                <w:bCs/>
                <w:szCs w:val="21"/>
              </w:rPr>
            </w:pPr>
            <w:r>
              <w:rPr>
                <w:b/>
                <w:bCs/>
                <w:szCs w:val="21"/>
              </w:rPr>
              <w:t>标准值（μg/m³）</w:t>
            </w:r>
          </w:p>
        </w:tc>
        <w:tc>
          <w:tcPr>
            <w:tcW w:w="504" w:type="pct"/>
            <w:vAlign w:val="center"/>
          </w:tcPr>
          <w:p>
            <w:pPr>
              <w:pStyle w:val="857"/>
              <w:adjustRightInd w:val="0"/>
              <w:snapToGrid w:val="0"/>
              <w:spacing w:line="240" w:lineRule="auto"/>
              <w:ind w:firstLine="0" w:firstLineChars="0"/>
              <w:jc w:val="center"/>
              <w:rPr>
                <w:b/>
                <w:bCs/>
                <w:szCs w:val="21"/>
              </w:rPr>
            </w:pPr>
            <w:r>
              <w:rPr>
                <w:b/>
                <w:bCs/>
                <w:szCs w:val="21"/>
              </w:rPr>
              <w:t>超标倍数</w:t>
            </w:r>
          </w:p>
        </w:tc>
        <w:tc>
          <w:tcPr>
            <w:tcW w:w="521" w:type="pct"/>
            <w:vAlign w:val="center"/>
          </w:tcPr>
          <w:p>
            <w:pPr>
              <w:pStyle w:val="857"/>
              <w:adjustRightInd w:val="0"/>
              <w:snapToGrid w:val="0"/>
              <w:spacing w:line="240" w:lineRule="auto"/>
              <w:ind w:firstLine="0" w:firstLineChars="0"/>
              <w:jc w:val="center"/>
              <w:rPr>
                <w:b/>
                <w:bCs/>
                <w:szCs w:val="21"/>
              </w:rPr>
            </w:pPr>
            <w:r>
              <w:rPr>
                <w:b/>
                <w:bCs/>
                <w:szCs w:val="21"/>
              </w:rPr>
              <w:t>达标</w:t>
            </w:r>
          </w:p>
          <w:p>
            <w:pPr>
              <w:pStyle w:val="857"/>
              <w:adjustRightInd w:val="0"/>
              <w:snapToGrid w:val="0"/>
              <w:spacing w:line="240" w:lineRule="auto"/>
              <w:ind w:firstLine="0" w:firstLineChars="0"/>
              <w:jc w:val="center"/>
              <w:rPr>
                <w:b/>
                <w:bCs/>
                <w:szCs w:val="21"/>
              </w:rPr>
            </w:pPr>
            <w:r>
              <w:rPr>
                <w:b/>
                <w:bCs/>
                <w:szCs w:val="21"/>
              </w:rPr>
              <w:t>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9" w:type="pct"/>
            <w:vMerge w:val="restart"/>
            <w:vAlign w:val="center"/>
          </w:tcPr>
          <w:p>
            <w:pPr>
              <w:pStyle w:val="857"/>
              <w:adjustRightInd w:val="0"/>
              <w:snapToGrid w:val="0"/>
              <w:spacing w:line="240" w:lineRule="auto"/>
              <w:ind w:firstLine="0" w:firstLineChars="0"/>
              <w:jc w:val="center"/>
              <w:rPr>
                <w:szCs w:val="21"/>
              </w:rPr>
            </w:pPr>
            <w:r>
              <w:rPr>
                <w:szCs w:val="21"/>
              </w:rPr>
              <w:t>湘阴县</w:t>
            </w:r>
          </w:p>
        </w:tc>
        <w:tc>
          <w:tcPr>
            <w:tcW w:w="458" w:type="pct"/>
            <w:vAlign w:val="center"/>
          </w:tcPr>
          <w:p>
            <w:pPr>
              <w:pStyle w:val="857"/>
              <w:adjustRightInd w:val="0"/>
              <w:snapToGrid w:val="0"/>
              <w:spacing w:line="240" w:lineRule="auto"/>
              <w:ind w:firstLine="0" w:firstLineChars="0"/>
              <w:jc w:val="center"/>
              <w:rPr>
                <w:szCs w:val="21"/>
              </w:rPr>
            </w:pPr>
            <w:r>
              <w:rPr>
                <w:szCs w:val="21"/>
              </w:rPr>
              <w:t>PM</w:t>
            </w:r>
            <w:r>
              <w:rPr>
                <w:szCs w:val="21"/>
                <w:vertAlign w:val="subscript"/>
              </w:rPr>
              <w:t>10</w:t>
            </w:r>
          </w:p>
        </w:tc>
        <w:tc>
          <w:tcPr>
            <w:tcW w:w="1764" w:type="pct"/>
            <w:vAlign w:val="center"/>
          </w:tcPr>
          <w:p>
            <w:pPr>
              <w:pStyle w:val="857"/>
              <w:adjustRightInd w:val="0"/>
              <w:snapToGrid w:val="0"/>
              <w:spacing w:line="240" w:lineRule="auto"/>
              <w:ind w:firstLine="0" w:firstLineChars="0"/>
              <w:jc w:val="center"/>
              <w:rPr>
                <w:szCs w:val="21"/>
              </w:rPr>
            </w:pPr>
            <w:r>
              <w:rPr>
                <w:szCs w:val="21"/>
              </w:rPr>
              <w:t>年平均</w:t>
            </w:r>
          </w:p>
        </w:tc>
        <w:tc>
          <w:tcPr>
            <w:tcW w:w="622" w:type="pct"/>
            <w:vAlign w:val="center"/>
          </w:tcPr>
          <w:p>
            <w:pPr>
              <w:pStyle w:val="857"/>
              <w:adjustRightInd w:val="0"/>
              <w:snapToGrid w:val="0"/>
              <w:spacing w:line="240" w:lineRule="auto"/>
              <w:ind w:firstLine="0" w:firstLineChars="0"/>
              <w:jc w:val="center"/>
              <w:rPr>
                <w:szCs w:val="21"/>
              </w:rPr>
            </w:pPr>
            <w:r>
              <w:rPr>
                <w:szCs w:val="21"/>
              </w:rPr>
              <w:t>51.42</w:t>
            </w:r>
          </w:p>
        </w:tc>
        <w:tc>
          <w:tcPr>
            <w:tcW w:w="671" w:type="pct"/>
            <w:vAlign w:val="center"/>
          </w:tcPr>
          <w:p>
            <w:pPr>
              <w:pStyle w:val="857"/>
              <w:adjustRightInd w:val="0"/>
              <w:snapToGrid w:val="0"/>
              <w:spacing w:line="240" w:lineRule="auto"/>
              <w:ind w:firstLine="0" w:firstLineChars="0"/>
              <w:jc w:val="center"/>
              <w:rPr>
                <w:szCs w:val="21"/>
              </w:rPr>
            </w:pPr>
            <w:r>
              <w:rPr>
                <w:szCs w:val="21"/>
              </w:rPr>
              <w:t>70</w:t>
            </w:r>
          </w:p>
        </w:tc>
        <w:tc>
          <w:tcPr>
            <w:tcW w:w="504" w:type="pct"/>
            <w:vAlign w:val="center"/>
          </w:tcPr>
          <w:p>
            <w:pPr>
              <w:snapToGrid w:val="0"/>
              <w:jc w:val="center"/>
              <w:textAlignment w:val="center"/>
              <w:rPr>
                <w:szCs w:val="21"/>
              </w:rPr>
            </w:pPr>
            <w:r>
              <w:rPr>
                <w:szCs w:val="21"/>
              </w:rPr>
              <w:t>0</w:t>
            </w:r>
          </w:p>
        </w:tc>
        <w:tc>
          <w:tcPr>
            <w:tcW w:w="521" w:type="pct"/>
            <w:vAlign w:val="center"/>
          </w:tcPr>
          <w:p>
            <w:pPr>
              <w:pStyle w:val="857"/>
              <w:adjustRightInd w:val="0"/>
              <w:snapToGrid w:val="0"/>
              <w:spacing w:line="240" w:lineRule="auto"/>
              <w:ind w:firstLine="0" w:firstLineChars="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9" w:type="pct"/>
            <w:vMerge w:val="continue"/>
            <w:vAlign w:val="center"/>
          </w:tcPr>
          <w:p>
            <w:pPr>
              <w:pStyle w:val="857"/>
              <w:adjustRightInd w:val="0"/>
              <w:snapToGrid w:val="0"/>
              <w:spacing w:line="240" w:lineRule="auto"/>
              <w:ind w:firstLine="0" w:firstLineChars="0"/>
              <w:jc w:val="center"/>
              <w:rPr>
                <w:szCs w:val="21"/>
              </w:rPr>
            </w:pPr>
          </w:p>
        </w:tc>
        <w:tc>
          <w:tcPr>
            <w:tcW w:w="458" w:type="pct"/>
            <w:vAlign w:val="center"/>
          </w:tcPr>
          <w:p>
            <w:pPr>
              <w:pStyle w:val="857"/>
              <w:adjustRightInd w:val="0"/>
              <w:snapToGrid w:val="0"/>
              <w:spacing w:line="240" w:lineRule="auto"/>
              <w:ind w:firstLine="0" w:firstLineChars="0"/>
              <w:jc w:val="center"/>
              <w:rPr>
                <w:szCs w:val="21"/>
              </w:rPr>
            </w:pPr>
            <w:r>
              <w:rPr>
                <w:szCs w:val="21"/>
              </w:rPr>
              <w:t>PM</w:t>
            </w:r>
            <w:r>
              <w:rPr>
                <w:szCs w:val="21"/>
                <w:vertAlign w:val="subscript"/>
              </w:rPr>
              <w:t>2.5</w:t>
            </w:r>
          </w:p>
        </w:tc>
        <w:tc>
          <w:tcPr>
            <w:tcW w:w="1764" w:type="pct"/>
            <w:vAlign w:val="center"/>
          </w:tcPr>
          <w:p>
            <w:pPr>
              <w:pStyle w:val="857"/>
              <w:adjustRightInd w:val="0"/>
              <w:snapToGrid w:val="0"/>
              <w:spacing w:line="240" w:lineRule="auto"/>
              <w:ind w:firstLine="0" w:firstLineChars="0"/>
              <w:jc w:val="center"/>
              <w:rPr>
                <w:szCs w:val="21"/>
              </w:rPr>
            </w:pPr>
            <w:r>
              <w:rPr>
                <w:szCs w:val="21"/>
              </w:rPr>
              <w:t>年平均</w:t>
            </w:r>
          </w:p>
        </w:tc>
        <w:tc>
          <w:tcPr>
            <w:tcW w:w="622" w:type="pct"/>
            <w:vAlign w:val="center"/>
          </w:tcPr>
          <w:p>
            <w:pPr>
              <w:pStyle w:val="857"/>
              <w:adjustRightInd w:val="0"/>
              <w:snapToGrid w:val="0"/>
              <w:spacing w:line="240" w:lineRule="auto"/>
              <w:ind w:firstLine="0" w:firstLineChars="0"/>
              <w:jc w:val="center"/>
              <w:rPr>
                <w:szCs w:val="21"/>
              </w:rPr>
            </w:pPr>
            <w:r>
              <w:rPr>
                <w:szCs w:val="21"/>
              </w:rPr>
              <w:t>39.33</w:t>
            </w:r>
          </w:p>
        </w:tc>
        <w:tc>
          <w:tcPr>
            <w:tcW w:w="671" w:type="pct"/>
            <w:vAlign w:val="center"/>
          </w:tcPr>
          <w:p>
            <w:pPr>
              <w:pStyle w:val="857"/>
              <w:adjustRightInd w:val="0"/>
              <w:snapToGrid w:val="0"/>
              <w:spacing w:line="240" w:lineRule="auto"/>
              <w:ind w:firstLine="0" w:firstLineChars="0"/>
              <w:jc w:val="center"/>
              <w:rPr>
                <w:szCs w:val="21"/>
              </w:rPr>
            </w:pPr>
            <w:r>
              <w:rPr>
                <w:szCs w:val="21"/>
              </w:rPr>
              <w:t>35</w:t>
            </w:r>
          </w:p>
        </w:tc>
        <w:tc>
          <w:tcPr>
            <w:tcW w:w="504" w:type="pct"/>
            <w:vAlign w:val="center"/>
          </w:tcPr>
          <w:p>
            <w:pPr>
              <w:snapToGrid w:val="0"/>
              <w:jc w:val="center"/>
              <w:textAlignment w:val="center"/>
              <w:rPr>
                <w:szCs w:val="21"/>
              </w:rPr>
            </w:pPr>
            <w:r>
              <w:rPr>
                <w:szCs w:val="21"/>
              </w:rPr>
              <w:t>0.12</w:t>
            </w:r>
          </w:p>
        </w:tc>
        <w:tc>
          <w:tcPr>
            <w:tcW w:w="521" w:type="pct"/>
            <w:vAlign w:val="center"/>
          </w:tcPr>
          <w:p>
            <w:pPr>
              <w:adjustRightInd w:val="0"/>
              <w:snapToGrid w:val="0"/>
              <w:jc w:val="center"/>
              <w:rPr>
                <w:szCs w:val="21"/>
              </w:rPr>
            </w:pPr>
            <w:r>
              <w:rPr>
                <w:szCs w:val="21"/>
              </w:rPr>
              <w:t>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9" w:type="pct"/>
            <w:vMerge w:val="continue"/>
            <w:vAlign w:val="center"/>
          </w:tcPr>
          <w:p>
            <w:pPr>
              <w:pStyle w:val="857"/>
              <w:adjustRightInd w:val="0"/>
              <w:snapToGrid w:val="0"/>
              <w:spacing w:line="240" w:lineRule="auto"/>
              <w:ind w:firstLine="0" w:firstLineChars="0"/>
              <w:jc w:val="center"/>
              <w:rPr>
                <w:szCs w:val="21"/>
              </w:rPr>
            </w:pPr>
          </w:p>
        </w:tc>
        <w:tc>
          <w:tcPr>
            <w:tcW w:w="458" w:type="pct"/>
            <w:vAlign w:val="center"/>
          </w:tcPr>
          <w:p>
            <w:pPr>
              <w:pStyle w:val="857"/>
              <w:adjustRightInd w:val="0"/>
              <w:snapToGrid w:val="0"/>
              <w:spacing w:line="240" w:lineRule="auto"/>
              <w:ind w:firstLine="0" w:firstLineChars="0"/>
              <w:jc w:val="center"/>
              <w:rPr>
                <w:szCs w:val="21"/>
              </w:rPr>
            </w:pPr>
            <w:r>
              <w:rPr>
                <w:szCs w:val="21"/>
              </w:rPr>
              <w:t>SO</w:t>
            </w:r>
            <w:r>
              <w:rPr>
                <w:szCs w:val="21"/>
                <w:vertAlign w:val="subscript"/>
              </w:rPr>
              <w:t>2</w:t>
            </w:r>
          </w:p>
        </w:tc>
        <w:tc>
          <w:tcPr>
            <w:tcW w:w="1764" w:type="pct"/>
            <w:vAlign w:val="center"/>
          </w:tcPr>
          <w:p>
            <w:pPr>
              <w:pStyle w:val="857"/>
              <w:adjustRightInd w:val="0"/>
              <w:snapToGrid w:val="0"/>
              <w:spacing w:line="240" w:lineRule="auto"/>
              <w:ind w:firstLine="0" w:firstLineChars="0"/>
              <w:jc w:val="center"/>
              <w:rPr>
                <w:szCs w:val="21"/>
              </w:rPr>
            </w:pPr>
            <w:r>
              <w:rPr>
                <w:szCs w:val="21"/>
              </w:rPr>
              <w:t>年平均</w:t>
            </w:r>
          </w:p>
        </w:tc>
        <w:tc>
          <w:tcPr>
            <w:tcW w:w="622" w:type="pct"/>
            <w:vAlign w:val="center"/>
          </w:tcPr>
          <w:p>
            <w:pPr>
              <w:pStyle w:val="857"/>
              <w:adjustRightInd w:val="0"/>
              <w:snapToGrid w:val="0"/>
              <w:spacing w:line="240" w:lineRule="auto"/>
              <w:ind w:firstLine="0" w:firstLineChars="0"/>
              <w:jc w:val="center"/>
              <w:rPr>
                <w:szCs w:val="21"/>
              </w:rPr>
            </w:pPr>
            <w:r>
              <w:rPr>
                <w:szCs w:val="21"/>
              </w:rPr>
              <w:t>5.67</w:t>
            </w:r>
          </w:p>
        </w:tc>
        <w:tc>
          <w:tcPr>
            <w:tcW w:w="671" w:type="pct"/>
            <w:vAlign w:val="center"/>
          </w:tcPr>
          <w:p>
            <w:pPr>
              <w:pStyle w:val="857"/>
              <w:adjustRightInd w:val="0"/>
              <w:snapToGrid w:val="0"/>
              <w:spacing w:line="240" w:lineRule="auto"/>
              <w:ind w:firstLine="0" w:firstLineChars="0"/>
              <w:jc w:val="center"/>
              <w:rPr>
                <w:szCs w:val="21"/>
              </w:rPr>
            </w:pPr>
            <w:r>
              <w:rPr>
                <w:szCs w:val="21"/>
              </w:rPr>
              <w:t>60</w:t>
            </w:r>
          </w:p>
        </w:tc>
        <w:tc>
          <w:tcPr>
            <w:tcW w:w="504" w:type="pct"/>
            <w:vAlign w:val="center"/>
          </w:tcPr>
          <w:p>
            <w:pPr>
              <w:snapToGrid w:val="0"/>
              <w:jc w:val="center"/>
              <w:textAlignment w:val="center"/>
              <w:rPr>
                <w:szCs w:val="21"/>
              </w:rPr>
            </w:pPr>
            <w:r>
              <w:rPr>
                <w:szCs w:val="21"/>
              </w:rPr>
              <w:t>0</w:t>
            </w:r>
          </w:p>
        </w:tc>
        <w:tc>
          <w:tcPr>
            <w:tcW w:w="521" w:type="pct"/>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9" w:type="pct"/>
            <w:vMerge w:val="continue"/>
            <w:vAlign w:val="center"/>
          </w:tcPr>
          <w:p>
            <w:pPr>
              <w:pStyle w:val="857"/>
              <w:adjustRightInd w:val="0"/>
              <w:snapToGrid w:val="0"/>
              <w:spacing w:line="240" w:lineRule="auto"/>
              <w:ind w:firstLine="0" w:firstLineChars="0"/>
              <w:jc w:val="center"/>
              <w:rPr>
                <w:szCs w:val="21"/>
              </w:rPr>
            </w:pPr>
          </w:p>
        </w:tc>
        <w:tc>
          <w:tcPr>
            <w:tcW w:w="458" w:type="pct"/>
            <w:vAlign w:val="center"/>
          </w:tcPr>
          <w:p>
            <w:pPr>
              <w:pStyle w:val="857"/>
              <w:adjustRightInd w:val="0"/>
              <w:snapToGrid w:val="0"/>
              <w:spacing w:line="240" w:lineRule="auto"/>
              <w:ind w:firstLine="0" w:firstLineChars="0"/>
              <w:jc w:val="center"/>
              <w:rPr>
                <w:szCs w:val="21"/>
              </w:rPr>
            </w:pPr>
            <w:r>
              <w:rPr>
                <w:szCs w:val="21"/>
              </w:rPr>
              <w:t>NO</w:t>
            </w:r>
            <w:r>
              <w:rPr>
                <w:szCs w:val="21"/>
                <w:vertAlign w:val="subscript"/>
              </w:rPr>
              <w:t>2</w:t>
            </w:r>
          </w:p>
        </w:tc>
        <w:tc>
          <w:tcPr>
            <w:tcW w:w="1764" w:type="pct"/>
            <w:vAlign w:val="center"/>
          </w:tcPr>
          <w:p>
            <w:pPr>
              <w:pStyle w:val="857"/>
              <w:adjustRightInd w:val="0"/>
              <w:snapToGrid w:val="0"/>
              <w:spacing w:line="240" w:lineRule="auto"/>
              <w:ind w:firstLine="0" w:firstLineChars="0"/>
              <w:jc w:val="center"/>
              <w:rPr>
                <w:szCs w:val="21"/>
              </w:rPr>
            </w:pPr>
            <w:r>
              <w:rPr>
                <w:szCs w:val="21"/>
              </w:rPr>
              <w:t>年平均</w:t>
            </w:r>
          </w:p>
        </w:tc>
        <w:tc>
          <w:tcPr>
            <w:tcW w:w="622" w:type="pct"/>
            <w:vAlign w:val="center"/>
          </w:tcPr>
          <w:p>
            <w:pPr>
              <w:pStyle w:val="857"/>
              <w:adjustRightInd w:val="0"/>
              <w:snapToGrid w:val="0"/>
              <w:spacing w:line="240" w:lineRule="auto"/>
              <w:ind w:firstLine="0" w:firstLineChars="0"/>
              <w:jc w:val="center"/>
              <w:rPr>
                <w:szCs w:val="21"/>
              </w:rPr>
            </w:pPr>
            <w:r>
              <w:rPr>
                <w:szCs w:val="21"/>
              </w:rPr>
              <w:t>23</w:t>
            </w:r>
          </w:p>
        </w:tc>
        <w:tc>
          <w:tcPr>
            <w:tcW w:w="671" w:type="pct"/>
            <w:vAlign w:val="center"/>
          </w:tcPr>
          <w:p>
            <w:pPr>
              <w:pStyle w:val="857"/>
              <w:adjustRightInd w:val="0"/>
              <w:snapToGrid w:val="0"/>
              <w:spacing w:line="240" w:lineRule="auto"/>
              <w:ind w:firstLine="0" w:firstLineChars="0"/>
              <w:jc w:val="center"/>
              <w:rPr>
                <w:szCs w:val="21"/>
              </w:rPr>
            </w:pPr>
            <w:r>
              <w:rPr>
                <w:szCs w:val="21"/>
              </w:rPr>
              <w:t>40</w:t>
            </w:r>
          </w:p>
        </w:tc>
        <w:tc>
          <w:tcPr>
            <w:tcW w:w="504" w:type="pct"/>
            <w:vAlign w:val="center"/>
          </w:tcPr>
          <w:p>
            <w:pPr>
              <w:snapToGrid w:val="0"/>
              <w:jc w:val="center"/>
              <w:textAlignment w:val="center"/>
              <w:rPr>
                <w:szCs w:val="21"/>
              </w:rPr>
            </w:pPr>
            <w:r>
              <w:rPr>
                <w:szCs w:val="21"/>
              </w:rPr>
              <w:t>0</w:t>
            </w:r>
          </w:p>
        </w:tc>
        <w:tc>
          <w:tcPr>
            <w:tcW w:w="521" w:type="pct"/>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9" w:type="pct"/>
            <w:vMerge w:val="continue"/>
            <w:vAlign w:val="center"/>
          </w:tcPr>
          <w:p>
            <w:pPr>
              <w:pStyle w:val="857"/>
              <w:adjustRightInd w:val="0"/>
              <w:snapToGrid w:val="0"/>
              <w:spacing w:line="240" w:lineRule="auto"/>
              <w:ind w:firstLine="0" w:firstLineChars="0"/>
              <w:jc w:val="center"/>
              <w:rPr>
                <w:szCs w:val="21"/>
              </w:rPr>
            </w:pPr>
          </w:p>
        </w:tc>
        <w:tc>
          <w:tcPr>
            <w:tcW w:w="458" w:type="pct"/>
            <w:vAlign w:val="center"/>
          </w:tcPr>
          <w:p>
            <w:pPr>
              <w:pStyle w:val="857"/>
              <w:adjustRightInd w:val="0"/>
              <w:snapToGrid w:val="0"/>
              <w:spacing w:line="240" w:lineRule="auto"/>
              <w:ind w:firstLine="0" w:firstLineChars="0"/>
              <w:jc w:val="center"/>
              <w:rPr>
                <w:szCs w:val="21"/>
              </w:rPr>
            </w:pPr>
            <w:r>
              <w:rPr>
                <w:szCs w:val="21"/>
              </w:rPr>
              <w:t>CO</w:t>
            </w:r>
          </w:p>
        </w:tc>
        <w:tc>
          <w:tcPr>
            <w:tcW w:w="1764" w:type="pct"/>
            <w:vAlign w:val="center"/>
          </w:tcPr>
          <w:p>
            <w:pPr>
              <w:pStyle w:val="857"/>
              <w:adjustRightInd w:val="0"/>
              <w:snapToGrid w:val="0"/>
              <w:spacing w:line="240" w:lineRule="auto"/>
              <w:ind w:firstLine="0" w:firstLineChars="0"/>
              <w:jc w:val="center"/>
              <w:rPr>
                <w:szCs w:val="21"/>
              </w:rPr>
            </w:pPr>
            <w:r>
              <w:rPr>
                <w:szCs w:val="21"/>
              </w:rPr>
              <w:t>24小时平均（第95位百分位数）</w:t>
            </w:r>
          </w:p>
        </w:tc>
        <w:tc>
          <w:tcPr>
            <w:tcW w:w="622" w:type="pct"/>
            <w:vAlign w:val="center"/>
          </w:tcPr>
          <w:p>
            <w:pPr>
              <w:pStyle w:val="857"/>
              <w:adjustRightInd w:val="0"/>
              <w:snapToGrid w:val="0"/>
              <w:spacing w:line="240" w:lineRule="auto"/>
              <w:ind w:firstLine="0" w:firstLineChars="0"/>
              <w:jc w:val="center"/>
              <w:rPr>
                <w:szCs w:val="21"/>
              </w:rPr>
            </w:pPr>
            <w:r>
              <w:rPr>
                <w:szCs w:val="21"/>
              </w:rPr>
              <w:t>1.04</w:t>
            </w:r>
          </w:p>
        </w:tc>
        <w:tc>
          <w:tcPr>
            <w:tcW w:w="671" w:type="pct"/>
            <w:vAlign w:val="center"/>
          </w:tcPr>
          <w:p>
            <w:pPr>
              <w:pStyle w:val="857"/>
              <w:adjustRightInd w:val="0"/>
              <w:snapToGrid w:val="0"/>
              <w:spacing w:line="240" w:lineRule="auto"/>
              <w:ind w:firstLine="0" w:firstLineChars="0"/>
              <w:jc w:val="center"/>
              <w:rPr>
                <w:szCs w:val="21"/>
              </w:rPr>
            </w:pPr>
            <w:r>
              <w:rPr>
                <w:szCs w:val="21"/>
              </w:rPr>
              <w:t>4000</w:t>
            </w:r>
          </w:p>
        </w:tc>
        <w:tc>
          <w:tcPr>
            <w:tcW w:w="504" w:type="pct"/>
            <w:vAlign w:val="center"/>
          </w:tcPr>
          <w:p>
            <w:pPr>
              <w:snapToGrid w:val="0"/>
              <w:jc w:val="center"/>
              <w:textAlignment w:val="center"/>
              <w:rPr>
                <w:szCs w:val="21"/>
              </w:rPr>
            </w:pPr>
            <w:r>
              <w:rPr>
                <w:szCs w:val="21"/>
              </w:rPr>
              <w:t>0</w:t>
            </w:r>
          </w:p>
        </w:tc>
        <w:tc>
          <w:tcPr>
            <w:tcW w:w="521" w:type="pct"/>
            <w:vAlign w:val="center"/>
          </w:tcPr>
          <w:p>
            <w:pPr>
              <w:adjustRightInd w:val="0"/>
              <w:snapToGrid w:val="0"/>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9" w:type="pct"/>
            <w:vMerge w:val="continue"/>
            <w:vAlign w:val="center"/>
          </w:tcPr>
          <w:p>
            <w:pPr>
              <w:pStyle w:val="857"/>
              <w:adjustRightInd w:val="0"/>
              <w:snapToGrid w:val="0"/>
              <w:spacing w:line="240" w:lineRule="auto"/>
              <w:ind w:firstLine="0" w:firstLineChars="0"/>
              <w:jc w:val="center"/>
              <w:rPr>
                <w:szCs w:val="21"/>
              </w:rPr>
            </w:pPr>
          </w:p>
        </w:tc>
        <w:tc>
          <w:tcPr>
            <w:tcW w:w="458" w:type="pct"/>
            <w:vAlign w:val="center"/>
          </w:tcPr>
          <w:p>
            <w:pPr>
              <w:pStyle w:val="857"/>
              <w:adjustRightInd w:val="0"/>
              <w:snapToGrid w:val="0"/>
              <w:spacing w:line="240" w:lineRule="auto"/>
              <w:ind w:firstLine="0" w:firstLineChars="0"/>
              <w:jc w:val="center"/>
              <w:rPr>
                <w:szCs w:val="21"/>
              </w:rPr>
            </w:pPr>
            <w:r>
              <w:rPr>
                <w:szCs w:val="21"/>
              </w:rPr>
              <w:t>O</w:t>
            </w:r>
            <w:r>
              <w:rPr>
                <w:szCs w:val="21"/>
                <w:vertAlign w:val="subscript"/>
              </w:rPr>
              <w:t>3</w:t>
            </w:r>
          </w:p>
        </w:tc>
        <w:tc>
          <w:tcPr>
            <w:tcW w:w="1764" w:type="pct"/>
            <w:vAlign w:val="center"/>
          </w:tcPr>
          <w:p>
            <w:pPr>
              <w:pStyle w:val="857"/>
              <w:adjustRightInd w:val="0"/>
              <w:snapToGrid w:val="0"/>
              <w:spacing w:line="240" w:lineRule="auto"/>
              <w:ind w:firstLine="0" w:firstLineChars="0"/>
              <w:jc w:val="center"/>
              <w:rPr>
                <w:szCs w:val="21"/>
              </w:rPr>
            </w:pPr>
            <w:r>
              <w:rPr>
                <w:szCs w:val="21"/>
              </w:rPr>
              <w:t>日最大8h平均（第90位百分位数）</w:t>
            </w:r>
          </w:p>
        </w:tc>
        <w:tc>
          <w:tcPr>
            <w:tcW w:w="622" w:type="pct"/>
            <w:vAlign w:val="center"/>
          </w:tcPr>
          <w:p>
            <w:pPr>
              <w:adjustRightInd w:val="0"/>
              <w:snapToGrid w:val="0"/>
              <w:jc w:val="center"/>
              <w:rPr>
                <w:szCs w:val="21"/>
              </w:rPr>
            </w:pPr>
            <w:r>
              <w:rPr>
                <w:szCs w:val="21"/>
              </w:rPr>
              <w:t>101.67</w:t>
            </w:r>
          </w:p>
        </w:tc>
        <w:tc>
          <w:tcPr>
            <w:tcW w:w="671" w:type="pct"/>
            <w:vAlign w:val="center"/>
          </w:tcPr>
          <w:p>
            <w:pPr>
              <w:adjustRightInd w:val="0"/>
              <w:snapToGrid w:val="0"/>
              <w:jc w:val="center"/>
              <w:rPr>
                <w:szCs w:val="21"/>
              </w:rPr>
            </w:pPr>
            <w:r>
              <w:rPr>
                <w:szCs w:val="21"/>
              </w:rPr>
              <w:t>160</w:t>
            </w:r>
          </w:p>
        </w:tc>
        <w:tc>
          <w:tcPr>
            <w:tcW w:w="504" w:type="pct"/>
            <w:vAlign w:val="center"/>
          </w:tcPr>
          <w:p>
            <w:pPr>
              <w:snapToGrid w:val="0"/>
              <w:jc w:val="center"/>
              <w:rPr>
                <w:szCs w:val="21"/>
              </w:rPr>
            </w:pPr>
            <w:r>
              <w:rPr>
                <w:szCs w:val="21"/>
              </w:rPr>
              <w:t>0</w:t>
            </w:r>
          </w:p>
        </w:tc>
        <w:tc>
          <w:tcPr>
            <w:tcW w:w="521" w:type="pct"/>
            <w:vAlign w:val="center"/>
          </w:tcPr>
          <w:p>
            <w:pPr>
              <w:adjustRightInd w:val="0"/>
              <w:snapToGrid w:val="0"/>
              <w:jc w:val="center"/>
              <w:rPr>
                <w:szCs w:val="21"/>
              </w:rPr>
            </w:pPr>
            <w:r>
              <w:rPr>
                <w:szCs w:val="21"/>
              </w:rPr>
              <w:t>达标</w:t>
            </w:r>
          </w:p>
        </w:tc>
      </w:tr>
    </w:tbl>
    <w:p>
      <w:pPr>
        <w:snapToGrid w:val="0"/>
        <w:spacing w:line="360" w:lineRule="auto"/>
        <w:ind w:firstLine="450"/>
        <w:rPr>
          <w:rFonts w:eastAsiaTheme="minorEastAsia"/>
          <w:sz w:val="24"/>
        </w:rPr>
      </w:pPr>
      <w:r>
        <w:rPr>
          <w:rFonts w:eastAsiaTheme="minorEastAsia"/>
          <w:sz w:val="24"/>
        </w:rPr>
        <w:t>根据2018年和2019年湘阴县环境空气质量公告中湘阴县环境空气质量数据可知，湘阴县PM</w:t>
      </w:r>
      <w:r>
        <w:rPr>
          <w:rFonts w:eastAsiaTheme="minorEastAsia"/>
          <w:sz w:val="24"/>
          <w:vertAlign w:val="subscript"/>
        </w:rPr>
        <w:t>10</w:t>
      </w:r>
      <w:r>
        <w:rPr>
          <w:rFonts w:eastAsiaTheme="minorEastAsia"/>
          <w:sz w:val="24"/>
        </w:rPr>
        <w:t>、SO</w:t>
      </w:r>
      <w:r>
        <w:rPr>
          <w:rFonts w:eastAsiaTheme="minorEastAsia"/>
          <w:sz w:val="24"/>
          <w:vertAlign w:val="subscript"/>
        </w:rPr>
        <w:t>2</w:t>
      </w:r>
      <w:r>
        <w:rPr>
          <w:rFonts w:eastAsiaTheme="minorEastAsia"/>
          <w:sz w:val="24"/>
        </w:rPr>
        <w:t>、NO</w:t>
      </w:r>
      <w:r>
        <w:rPr>
          <w:rFonts w:eastAsiaTheme="minorEastAsia"/>
          <w:sz w:val="24"/>
          <w:vertAlign w:val="subscript"/>
        </w:rPr>
        <w:t>2</w:t>
      </w:r>
      <w:r>
        <w:rPr>
          <w:rFonts w:eastAsiaTheme="minorEastAsia"/>
          <w:sz w:val="24"/>
        </w:rPr>
        <w:t>平均质量浓度和CO 95百分数日平均质量浓度、O</w:t>
      </w:r>
      <w:r>
        <w:rPr>
          <w:rFonts w:eastAsiaTheme="minorEastAsia"/>
          <w:sz w:val="24"/>
          <w:vertAlign w:val="subscript"/>
        </w:rPr>
        <w:t>3</w:t>
      </w:r>
      <w:r>
        <w:rPr>
          <w:rFonts w:eastAsiaTheme="minorEastAsia"/>
          <w:sz w:val="24"/>
        </w:rPr>
        <w:t xml:space="preserve"> 90百分位数最大8小时平均质量浓度可达到《环境空气质量标准》（GB3095-2012）中二级标准。PM</w:t>
      </w:r>
      <w:r>
        <w:rPr>
          <w:rFonts w:eastAsiaTheme="minorEastAsia"/>
          <w:sz w:val="24"/>
          <w:vertAlign w:val="subscript"/>
        </w:rPr>
        <w:t>2.5</w:t>
      </w:r>
      <w:r>
        <w:rPr>
          <w:rFonts w:eastAsiaTheme="minorEastAsia"/>
          <w:sz w:val="24"/>
        </w:rPr>
        <w:t>年平均质量浓度尚未达到《环境空气质量标准》（GB3095-2012）中的二级标准，由此可知，项目所在区域为环境空气质量不达标区。</w:t>
      </w:r>
    </w:p>
    <w:p>
      <w:pPr>
        <w:snapToGrid w:val="0"/>
        <w:spacing w:line="360" w:lineRule="auto"/>
        <w:ind w:firstLine="450"/>
        <w:rPr>
          <w:rFonts w:eastAsiaTheme="minorEastAsia"/>
          <w:sz w:val="24"/>
        </w:rPr>
      </w:pPr>
      <w:r>
        <w:rPr>
          <w:rFonts w:eastAsiaTheme="minorEastAsia"/>
          <w:sz w:val="24"/>
        </w:rPr>
        <w:t>根据《湖南省“蓝天保卫战”实施方案（2018-2020年）》：岳阳市PM</w:t>
      </w:r>
      <w:r>
        <w:rPr>
          <w:rFonts w:eastAsiaTheme="minorEastAsia"/>
          <w:sz w:val="24"/>
          <w:vertAlign w:val="subscript"/>
        </w:rPr>
        <w:t>2.5</w:t>
      </w:r>
      <w:r>
        <w:rPr>
          <w:rFonts w:eastAsiaTheme="minorEastAsia"/>
          <w:sz w:val="24"/>
        </w:rPr>
        <w:t>平均浓度改善目标为“2018年的年均目标值为46ug/m</w:t>
      </w:r>
      <w:r>
        <w:rPr>
          <w:rFonts w:eastAsiaTheme="minorEastAsia"/>
          <w:sz w:val="24"/>
          <w:vertAlign w:val="superscript"/>
        </w:rPr>
        <w:t>3</w:t>
      </w:r>
      <w:r>
        <w:rPr>
          <w:rFonts w:eastAsiaTheme="minorEastAsia"/>
          <w:sz w:val="24"/>
        </w:rPr>
        <w:t>；2019年的年均目标值为44ug/m</w:t>
      </w:r>
      <w:r>
        <w:rPr>
          <w:rFonts w:eastAsiaTheme="minorEastAsia"/>
          <w:sz w:val="24"/>
          <w:vertAlign w:val="superscript"/>
        </w:rPr>
        <w:t>3</w:t>
      </w:r>
      <w:r>
        <w:rPr>
          <w:rFonts w:eastAsiaTheme="minorEastAsia"/>
          <w:sz w:val="24"/>
        </w:rPr>
        <w:t>；2020年的年均目标值为42ug/m</w:t>
      </w:r>
      <w:r>
        <w:rPr>
          <w:rFonts w:eastAsiaTheme="minorEastAsia"/>
          <w:sz w:val="24"/>
          <w:vertAlign w:val="superscript"/>
        </w:rPr>
        <w:t>3</w:t>
      </w:r>
      <w:r>
        <w:rPr>
          <w:rFonts w:eastAsiaTheme="minorEastAsia"/>
          <w:sz w:val="24"/>
        </w:rPr>
        <w:t>。”由表3-1可知，湘阴县2018年和2019年环境空气质量数据中PM</w:t>
      </w:r>
      <w:r>
        <w:rPr>
          <w:rFonts w:eastAsiaTheme="minorEastAsia"/>
          <w:sz w:val="24"/>
          <w:vertAlign w:val="subscript"/>
        </w:rPr>
        <w:t>2.5</w:t>
      </w:r>
      <w:r>
        <w:rPr>
          <w:rFonts w:eastAsiaTheme="minorEastAsia"/>
          <w:sz w:val="24"/>
        </w:rPr>
        <w:t>的年均值已达到岳阳市环境空气质量改善目标值，但未达到《环境空气质量标准》（GB3095-2012）二级标准。</w:t>
      </w:r>
    </w:p>
    <w:p>
      <w:pPr>
        <w:snapToGrid w:val="0"/>
        <w:spacing w:line="360" w:lineRule="auto"/>
        <w:ind w:firstLine="450"/>
        <w:rPr>
          <w:rFonts w:eastAsiaTheme="minorEastAsia"/>
          <w:sz w:val="24"/>
        </w:rPr>
      </w:pPr>
      <w:r>
        <w:rPr>
          <w:rFonts w:eastAsiaTheme="minorEastAsia"/>
          <w:sz w:val="24"/>
        </w:rPr>
        <w:t>表3-1和表3-2结果表明，2018年PM</w:t>
      </w:r>
      <w:r>
        <w:rPr>
          <w:rFonts w:eastAsiaTheme="minorEastAsia"/>
          <w:sz w:val="24"/>
          <w:vertAlign w:val="subscript"/>
        </w:rPr>
        <w:t>2.5</w:t>
      </w:r>
      <w:r>
        <w:rPr>
          <w:rFonts w:eastAsiaTheme="minorEastAsia"/>
          <w:sz w:val="24"/>
        </w:rPr>
        <w:t>年平均浓度超标倍数为0.14，2019年PM</w:t>
      </w:r>
      <w:r>
        <w:rPr>
          <w:rFonts w:eastAsiaTheme="minorEastAsia"/>
          <w:sz w:val="24"/>
          <w:vertAlign w:val="subscript"/>
        </w:rPr>
        <w:t>2.5</w:t>
      </w:r>
      <w:r>
        <w:rPr>
          <w:rFonts w:eastAsiaTheme="minorEastAsia"/>
          <w:sz w:val="24"/>
        </w:rPr>
        <w:t>年平均浓度超标倍数0.12，由此可知湘阴县环境空气质量正在逐步改善。湘阴县可进一步采取产业和能源结构调整措施、大气污染治理的措施等一系列措施，逐步改善湘阴县环境空气质量。</w:t>
      </w:r>
    </w:p>
    <w:p>
      <w:pPr>
        <w:adjustRightInd w:val="0"/>
        <w:snapToGrid w:val="0"/>
        <w:spacing w:line="360" w:lineRule="auto"/>
        <w:ind w:firstLine="482" w:firstLineChars="200"/>
        <w:rPr>
          <w:rFonts w:eastAsiaTheme="minorEastAsia"/>
          <w:b/>
          <w:sz w:val="24"/>
        </w:rPr>
      </w:pPr>
      <w:r>
        <w:rPr>
          <w:rFonts w:eastAsiaTheme="minorEastAsia"/>
          <w:b/>
          <w:sz w:val="24"/>
        </w:rPr>
        <w:t>二、项目评价范围内</w:t>
      </w:r>
      <w:r>
        <w:rPr>
          <w:rFonts w:hint="eastAsia" w:eastAsiaTheme="minorEastAsia"/>
          <w:b/>
          <w:sz w:val="24"/>
        </w:rPr>
        <w:t>特征</w:t>
      </w:r>
      <w:r>
        <w:rPr>
          <w:rFonts w:eastAsiaTheme="minorEastAsia"/>
          <w:b/>
          <w:sz w:val="24"/>
        </w:rPr>
        <w:t>因子补充监测</w:t>
      </w:r>
    </w:p>
    <w:p>
      <w:pPr>
        <w:snapToGrid w:val="0"/>
        <w:spacing w:line="360" w:lineRule="auto"/>
        <w:ind w:firstLine="480" w:firstLineChars="200"/>
        <w:rPr>
          <w:rFonts w:eastAsiaTheme="minorEastAsia"/>
          <w:sz w:val="24"/>
        </w:rPr>
      </w:pPr>
      <w:r>
        <w:rPr>
          <w:rFonts w:eastAsiaTheme="minorEastAsia"/>
          <w:sz w:val="24"/>
        </w:rPr>
        <w:t>因湘阴县中医院现有项目与本次搬迁后项目地距离较近（直线距离仅为600m左右），因此本项目在迁建前后两地进行布点监测，以评价区域内空气环境质量（氨、硫化氢）。</w:t>
      </w:r>
    </w:p>
    <w:p>
      <w:pPr>
        <w:snapToGrid w:val="0"/>
        <w:spacing w:line="360" w:lineRule="auto"/>
        <w:ind w:firstLine="480" w:firstLineChars="200"/>
        <w:rPr>
          <w:rFonts w:eastAsiaTheme="minorEastAsia"/>
          <w:sz w:val="24"/>
        </w:rPr>
      </w:pPr>
      <w:r>
        <w:rPr>
          <w:rFonts w:eastAsiaTheme="minorEastAsia"/>
          <w:sz w:val="24"/>
        </w:rPr>
        <w:t>环评单位委托</w:t>
      </w:r>
      <w:bookmarkStart w:id="127" w:name="_Hlk57920504"/>
      <w:r>
        <w:rPr>
          <w:rFonts w:eastAsiaTheme="minorEastAsia"/>
          <w:sz w:val="24"/>
        </w:rPr>
        <w:t>湖南谱实检测技术有限公司</w:t>
      </w:r>
      <w:bookmarkEnd w:id="127"/>
      <w:r>
        <w:rPr>
          <w:rFonts w:eastAsiaTheme="minorEastAsia"/>
          <w:sz w:val="24"/>
        </w:rPr>
        <w:t>对项目所在区域进行环境空气监测，监测布点及监测结果如下。</w:t>
      </w:r>
    </w:p>
    <w:p>
      <w:pPr>
        <w:snapToGrid w:val="0"/>
        <w:spacing w:line="360" w:lineRule="auto"/>
        <w:ind w:firstLine="480" w:firstLineChars="200"/>
        <w:rPr>
          <w:rFonts w:eastAsiaTheme="minorEastAsia"/>
          <w:sz w:val="24"/>
        </w:rPr>
      </w:pPr>
      <w:r>
        <w:rPr>
          <w:rFonts w:eastAsiaTheme="minorEastAsia"/>
          <w:sz w:val="24"/>
        </w:rPr>
        <w:t>（1）监测布点</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表5.3-3  本项目补充监测布点一栏表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5"/>
        <w:gridCol w:w="2560"/>
        <w:gridCol w:w="2762"/>
        <w:gridCol w:w="27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1" w:type="pct"/>
            <w:vAlign w:val="center"/>
          </w:tcPr>
          <w:p>
            <w:pPr>
              <w:snapToGrid w:val="0"/>
              <w:jc w:val="center"/>
              <w:rPr>
                <w:rFonts w:eastAsiaTheme="minorEastAsia"/>
                <w:b/>
                <w:szCs w:val="21"/>
              </w:rPr>
            </w:pPr>
            <w:r>
              <w:rPr>
                <w:rFonts w:eastAsiaTheme="minorEastAsia"/>
                <w:b/>
                <w:szCs w:val="21"/>
              </w:rPr>
              <w:t>编号</w:t>
            </w:r>
          </w:p>
        </w:tc>
        <w:tc>
          <w:tcPr>
            <w:tcW w:w="1456" w:type="pct"/>
            <w:vAlign w:val="center"/>
          </w:tcPr>
          <w:p>
            <w:pPr>
              <w:snapToGrid w:val="0"/>
              <w:jc w:val="center"/>
              <w:rPr>
                <w:rFonts w:eastAsiaTheme="minorEastAsia"/>
                <w:b/>
                <w:szCs w:val="21"/>
              </w:rPr>
            </w:pPr>
            <w:r>
              <w:rPr>
                <w:rFonts w:eastAsiaTheme="minorEastAsia"/>
                <w:b/>
                <w:szCs w:val="21"/>
              </w:rPr>
              <w:t>监测点位</w:t>
            </w:r>
          </w:p>
        </w:tc>
        <w:tc>
          <w:tcPr>
            <w:tcW w:w="1571" w:type="pct"/>
            <w:vAlign w:val="center"/>
          </w:tcPr>
          <w:p>
            <w:pPr>
              <w:snapToGrid w:val="0"/>
              <w:jc w:val="center"/>
              <w:rPr>
                <w:rFonts w:eastAsiaTheme="minorEastAsia"/>
                <w:b/>
                <w:szCs w:val="21"/>
              </w:rPr>
            </w:pPr>
            <w:r>
              <w:rPr>
                <w:rFonts w:eastAsiaTheme="minorEastAsia"/>
                <w:b/>
                <w:szCs w:val="21"/>
              </w:rPr>
              <w:t>检测项目</w:t>
            </w:r>
          </w:p>
        </w:tc>
        <w:tc>
          <w:tcPr>
            <w:tcW w:w="1571" w:type="pct"/>
            <w:vAlign w:val="center"/>
          </w:tcPr>
          <w:p>
            <w:pPr>
              <w:snapToGrid w:val="0"/>
              <w:jc w:val="center"/>
              <w:rPr>
                <w:rFonts w:eastAsiaTheme="minorEastAsia"/>
                <w:b/>
                <w:szCs w:val="21"/>
              </w:rPr>
            </w:pPr>
            <w:r>
              <w:rPr>
                <w:rFonts w:eastAsiaTheme="minorEastAsia"/>
                <w:b/>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01" w:type="pct"/>
            <w:vAlign w:val="center"/>
          </w:tcPr>
          <w:p>
            <w:pPr>
              <w:snapToGrid w:val="0"/>
              <w:jc w:val="center"/>
              <w:rPr>
                <w:rFonts w:eastAsiaTheme="minorEastAsia"/>
                <w:szCs w:val="21"/>
              </w:rPr>
            </w:pPr>
            <w:r>
              <w:rPr>
                <w:rFonts w:eastAsiaTheme="minorEastAsia"/>
                <w:szCs w:val="21"/>
              </w:rPr>
              <w:t>G1</w:t>
            </w:r>
          </w:p>
        </w:tc>
        <w:tc>
          <w:tcPr>
            <w:tcW w:w="1456" w:type="pct"/>
            <w:vAlign w:val="center"/>
          </w:tcPr>
          <w:p>
            <w:pPr>
              <w:snapToGrid w:val="0"/>
              <w:jc w:val="center"/>
              <w:rPr>
                <w:rFonts w:eastAsiaTheme="minorEastAsia"/>
                <w:szCs w:val="21"/>
              </w:rPr>
            </w:pPr>
            <w:r>
              <w:rPr>
                <w:rFonts w:eastAsiaTheme="minorEastAsia"/>
                <w:szCs w:val="21"/>
              </w:rPr>
              <w:t>拟建项目地（院内）</w:t>
            </w:r>
          </w:p>
        </w:tc>
        <w:tc>
          <w:tcPr>
            <w:tcW w:w="1571" w:type="pct"/>
            <w:vAlign w:val="center"/>
          </w:tcPr>
          <w:p>
            <w:pPr>
              <w:snapToGrid w:val="0"/>
              <w:jc w:val="center"/>
              <w:rPr>
                <w:rFonts w:eastAsiaTheme="minorEastAsia"/>
                <w:szCs w:val="21"/>
              </w:rPr>
            </w:pPr>
            <w:r>
              <w:rPr>
                <w:rFonts w:eastAsiaTheme="minorEastAsia"/>
                <w:szCs w:val="21"/>
              </w:rPr>
              <w:t>氨、硫化氢</w:t>
            </w:r>
          </w:p>
        </w:tc>
        <w:tc>
          <w:tcPr>
            <w:tcW w:w="1571" w:type="pct"/>
            <w:vAlign w:val="center"/>
          </w:tcPr>
          <w:p>
            <w:pPr>
              <w:snapToGrid w:val="0"/>
              <w:jc w:val="center"/>
              <w:rPr>
                <w:rFonts w:eastAsiaTheme="minorEastAsia"/>
                <w:szCs w:val="21"/>
              </w:rPr>
            </w:pPr>
            <w:r>
              <w:rPr>
                <w:rFonts w:eastAsiaTheme="minorEastAsia"/>
                <w:szCs w:val="21"/>
              </w:rPr>
              <w:t>搬迁项目地（附件10）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1" w:type="pct"/>
            <w:vAlign w:val="center"/>
          </w:tcPr>
          <w:p>
            <w:pPr>
              <w:snapToGrid w:val="0"/>
              <w:jc w:val="center"/>
              <w:rPr>
                <w:rFonts w:eastAsiaTheme="minorEastAsia"/>
                <w:szCs w:val="21"/>
              </w:rPr>
            </w:pPr>
            <w:r>
              <w:rPr>
                <w:rFonts w:eastAsiaTheme="minorEastAsia"/>
                <w:szCs w:val="21"/>
              </w:rPr>
              <w:t>G2</w:t>
            </w:r>
          </w:p>
        </w:tc>
        <w:tc>
          <w:tcPr>
            <w:tcW w:w="1456" w:type="pct"/>
            <w:vAlign w:val="center"/>
          </w:tcPr>
          <w:p>
            <w:pPr>
              <w:snapToGrid w:val="0"/>
              <w:jc w:val="center"/>
              <w:rPr>
                <w:rFonts w:eastAsiaTheme="minorEastAsia"/>
                <w:szCs w:val="21"/>
              </w:rPr>
            </w:pPr>
            <w:r>
              <w:rPr>
                <w:rFonts w:eastAsiaTheme="minorEastAsia"/>
                <w:szCs w:val="21"/>
              </w:rPr>
              <w:t>现有污水处理站下风向</w:t>
            </w:r>
          </w:p>
        </w:tc>
        <w:tc>
          <w:tcPr>
            <w:tcW w:w="1571" w:type="pct"/>
            <w:vAlign w:val="center"/>
          </w:tcPr>
          <w:p>
            <w:pPr>
              <w:snapToGrid w:val="0"/>
              <w:jc w:val="center"/>
              <w:rPr>
                <w:rFonts w:eastAsiaTheme="minorEastAsia"/>
                <w:szCs w:val="21"/>
              </w:rPr>
            </w:pPr>
            <w:r>
              <w:rPr>
                <w:rFonts w:eastAsiaTheme="minorEastAsia"/>
                <w:szCs w:val="21"/>
              </w:rPr>
              <w:t>氨、硫化氢</w:t>
            </w:r>
          </w:p>
        </w:tc>
        <w:tc>
          <w:tcPr>
            <w:tcW w:w="1571" w:type="pct"/>
            <w:vAlign w:val="center"/>
          </w:tcPr>
          <w:p>
            <w:pPr>
              <w:snapToGrid w:val="0"/>
              <w:jc w:val="center"/>
              <w:rPr>
                <w:rFonts w:eastAsiaTheme="minorEastAsia"/>
                <w:szCs w:val="21"/>
              </w:rPr>
            </w:pPr>
            <w:r>
              <w:rPr>
                <w:rFonts w:eastAsiaTheme="minorEastAsia"/>
                <w:szCs w:val="21"/>
              </w:rPr>
              <w:t>现有项目地（附件10）</w:t>
            </w:r>
          </w:p>
        </w:tc>
      </w:tr>
    </w:tbl>
    <w:p>
      <w:pPr>
        <w:snapToGrid w:val="0"/>
        <w:spacing w:line="360" w:lineRule="auto"/>
        <w:ind w:firstLine="480" w:firstLineChars="200"/>
        <w:rPr>
          <w:rFonts w:eastAsiaTheme="minorEastAsia"/>
          <w:sz w:val="24"/>
        </w:rPr>
      </w:pPr>
      <w:r>
        <w:rPr>
          <w:rFonts w:eastAsiaTheme="minorEastAsia"/>
          <w:sz w:val="24"/>
        </w:rPr>
        <w:t>（2）监测频次</w:t>
      </w:r>
    </w:p>
    <w:p>
      <w:pPr>
        <w:snapToGrid w:val="0"/>
        <w:spacing w:line="360" w:lineRule="auto"/>
        <w:ind w:firstLine="480" w:firstLineChars="200"/>
        <w:rPr>
          <w:rFonts w:eastAsiaTheme="minorEastAsia"/>
          <w:sz w:val="24"/>
        </w:rPr>
      </w:pPr>
      <w:r>
        <w:rPr>
          <w:rFonts w:eastAsiaTheme="minorEastAsia"/>
          <w:sz w:val="24"/>
        </w:rPr>
        <w:t>2020年11月18日~20</w:t>
      </w:r>
      <w:r>
        <w:rPr>
          <w:rFonts w:hint="eastAsia" w:eastAsiaTheme="minorEastAsia"/>
          <w:sz w:val="24"/>
        </w:rPr>
        <w:t>20</w:t>
      </w:r>
      <w:r>
        <w:rPr>
          <w:rFonts w:eastAsiaTheme="minorEastAsia"/>
          <w:sz w:val="24"/>
        </w:rPr>
        <w:t>年</w:t>
      </w:r>
      <w:r>
        <w:rPr>
          <w:rFonts w:hint="eastAsia" w:eastAsiaTheme="minorEastAsia"/>
          <w:sz w:val="24"/>
        </w:rPr>
        <w:t>11</w:t>
      </w:r>
      <w:r>
        <w:rPr>
          <w:rFonts w:eastAsiaTheme="minorEastAsia"/>
          <w:sz w:val="24"/>
        </w:rPr>
        <w:t>月24日连续监测7天，每天监测四次。</w:t>
      </w:r>
    </w:p>
    <w:p>
      <w:pPr>
        <w:snapToGrid w:val="0"/>
        <w:spacing w:line="360" w:lineRule="auto"/>
        <w:ind w:firstLine="480" w:firstLineChars="200"/>
        <w:rPr>
          <w:rFonts w:eastAsiaTheme="minorEastAsia"/>
          <w:sz w:val="24"/>
        </w:rPr>
      </w:pPr>
      <w:r>
        <w:rPr>
          <w:rFonts w:eastAsiaTheme="minorEastAsia"/>
          <w:sz w:val="24"/>
        </w:rPr>
        <w:t>（3）监测数据与评价</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表5.3-4  本项目补充监测结果一览表</w:t>
      </w:r>
    </w:p>
    <w:tbl>
      <w:tblPr>
        <w:tblStyle w:val="79"/>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69"/>
        <w:gridCol w:w="956"/>
        <w:gridCol w:w="1022"/>
        <w:gridCol w:w="1022"/>
        <w:gridCol w:w="1018"/>
        <w:gridCol w:w="1033"/>
        <w:gridCol w:w="1022"/>
        <w:gridCol w:w="1027"/>
        <w:gridCol w:w="10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9" w:type="dxa"/>
            <w:vMerge w:val="restart"/>
            <w:shd w:val="clear" w:color="auto" w:fill="FFFFFF"/>
            <w:vAlign w:val="center"/>
          </w:tcPr>
          <w:p>
            <w:pPr>
              <w:snapToGrid w:val="0"/>
              <w:jc w:val="center"/>
              <w:rPr>
                <w:rFonts w:eastAsiaTheme="minorEastAsia"/>
                <w:b/>
                <w:bCs/>
                <w:szCs w:val="21"/>
              </w:rPr>
            </w:pPr>
            <w:r>
              <w:rPr>
                <w:rFonts w:eastAsiaTheme="minorEastAsia"/>
                <w:b/>
                <w:bCs/>
                <w:szCs w:val="21"/>
              </w:rPr>
              <w:t>采样</w:t>
            </w:r>
          </w:p>
          <w:p>
            <w:pPr>
              <w:snapToGrid w:val="0"/>
              <w:jc w:val="center"/>
              <w:rPr>
                <w:rFonts w:eastAsiaTheme="minorEastAsia"/>
                <w:b/>
                <w:bCs/>
                <w:szCs w:val="21"/>
              </w:rPr>
            </w:pPr>
            <w:r>
              <w:rPr>
                <w:rFonts w:eastAsiaTheme="minorEastAsia"/>
                <w:b/>
                <w:bCs/>
                <w:szCs w:val="21"/>
              </w:rPr>
              <w:t>点位</w:t>
            </w:r>
          </w:p>
        </w:tc>
        <w:tc>
          <w:tcPr>
            <w:tcW w:w="838" w:type="dxa"/>
            <w:vMerge w:val="restart"/>
            <w:shd w:val="clear" w:color="auto" w:fill="FFFFFF"/>
            <w:vAlign w:val="center"/>
          </w:tcPr>
          <w:p>
            <w:pPr>
              <w:snapToGrid w:val="0"/>
              <w:jc w:val="center"/>
              <w:rPr>
                <w:rFonts w:eastAsiaTheme="minorEastAsia"/>
                <w:b/>
                <w:bCs/>
                <w:szCs w:val="21"/>
              </w:rPr>
            </w:pPr>
            <w:r>
              <w:rPr>
                <w:rFonts w:eastAsiaTheme="minorEastAsia"/>
                <w:b/>
                <w:bCs/>
                <w:szCs w:val="21"/>
              </w:rPr>
              <w:t>检测</w:t>
            </w:r>
          </w:p>
          <w:p>
            <w:pPr>
              <w:snapToGrid w:val="0"/>
              <w:jc w:val="center"/>
              <w:rPr>
                <w:rFonts w:eastAsiaTheme="minorEastAsia"/>
                <w:b/>
                <w:bCs/>
                <w:szCs w:val="21"/>
              </w:rPr>
            </w:pPr>
            <w:r>
              <w:rPr>
                <w:rFonts w:eastAsiaTheme="minorEastAsia"/>
                <w:b/>
                <w:bCs/>
                <w:szCs w:val="21"/>
              </w:rPr>
              <w:t>项目</w:t>
            </w:r>
          </w:p>
        </w:tc>
        <w:tc>
          <w:tcPr>
            <w:tcW w:w="6264" w:type="dxa"/>
            <w:gridSpan w:val="7"/>
            <w:shd w:val="clear" w:color="auto" w:fill="FFFFFF"/>
            <w:vAlign w:val="center"/>
          </w:tcPr>
          <w:p>
            <w:pPr>
              <w:snapToGrid w:val="0"/>
              <w:jc w:val="center"/>
              <w:rPr>
                <w:rFonts w:eastAsiaTheme="minorEastAsia"/>
                <w:b/>
                <w:bCs/>
                <w:szCs w:val="21"/>
              </w:rPr>
            </w:pPr>
            <w:r>
              <w:rPr>
                <w:rFonts w:eastAsiaTheme="minorEastAsia"/>
                <w:b/>
                <w:bCs/>
                <w:szCs w:val="21"/>
              </w:rPr>
              <w:t>检测结果范围/（μg/m</w:t>
            </w:r>
            <w:r>
              <w:rPr>
                <w:rFonts w:eastAsiaTheme="minorEastAsia"/>
                <w:b/>
                <w:bCs/>
                <w:szCs w:val="21"/>
                <w:vertAlign w:val="superscript"/>
              </w:rPr>
              <w:t>3</w:t>
            </w:r>
            <w:r>
              <w:rPr>
                <w:rFonts w:eastAsiaTheme="minor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9" w:type="dxa"/>
            <w:vMerge w:val="continue"/>
            <w:shd w:val="clear" w:color="auto" w:fill="FFFFFF"/>
            <w:vAlign w:val="center"/>
          </w:tcPr>
          <w:p>
            <w:pPr>
              <w:snapToGrid w:val="0"/>
              <w:jc w:val="center"/>
              <w:rPr>
                <w:rFonts w:eastAsiaTheme="minorEastAsia"/>
                <w:b/>
                <w:bCs/>
                <w:szCs w:val="21"/>
              </w:rPr>
            </w:pPr>
          </w:p>
        </w:tc>
        <w:tc>
          <w:tcPr>
            <w:tcW w:w="838" w:type="dxa"/>
            <w:vMerge w:val="continue"/>
            <w:shd w:val="clear" w:color="auto" w:fill="FFFFFF"/>
            <w:vAlign w:val="center"/>
          </w:tcPr>
          <w:p>
            <w:pPr>
              <w:snapToGrid w:val="0"/>
              <w:jc w:val="center"/>
              <w:rPr>
                <w:rFonts w:eastAsiaTheme="minorEastAsia"/>
                <w:b/>
                <w:bCs/>
                <w:szCs w:val="21"/>
              </w:rPr>
            </w:pPr>
          </w:p>
        </w:tc>
        <w:tc>
          <w:tcPr>
            <w:tcW w:w="896" w:type="dxa"/>
            <w:shd w:val="clear" w:color="auto" w:fill="FFFFFF"/>
            <w:vAlign w:val="center"/>
          </w:tcPr>
          <w:p>
            <w:pPr>
              <w:snapToGrid w:val="0"/>
              <w:jc w:val="center"/>
              <w:rPr>
                <w:rFonts w:eastAsiaTheme="minorEastAsia"/>
                <w:b/>
                <w:bCs/>
                <w:szCs w:val="21"/>
              </w:rPr>
            </w:pPr>
            <w:r>
              <w:rPr>
                <w:rFonts w:eastAsiaTheme="minorEastAsia"/>
                <w:b/>
                <w:bCs/>
                <w:szCs w:val="21"/>
              </w:rPr>
              <w:t>11月</w:t>
            </w:r>
          </w:p>
          <w:p>
            <w:pPr>
              <w:snapToGrid w:val="0"/>
              <w:jc w:val="center"/>
              <w:rPr>
                <w:rFonts w:eastAsiaTheme="minorEastAsia"/>
                <w:b/>
                <w:bCs/>
                <w:szCs w:val="21"/>
              </w:rPr>
            </w:pPr>
            <w:r>
              <w:rPr>
                <w:rFonts w:eastAsiaTheme="minorEastAsia"/>
                <w:b/>
                <w:bCs/>
                <w:szCs w:val="21"/>
              </w:rPr>
              <w:t>18日</w:t>
            </w:r>
          </w:p>
        </w:tc>
        <w:tc>
          <w:tcPr>
            <w:tcW w:w="896" w:type="dxa"/>
            <w:shd w:val="clear" w:color="auto" w:fill="FFFFFF"/>
            <w:vAlign w:val="center"/>
          </w:tcPr>
          <w:p>
            <w:pPr>
              <w:snapToGrid w:val="0"/>
              <w:jc w:val="center"/>
              <w:rPr>
                <w:rFonts w:eastAsiaTheme="minorEastAsia"/>
                <w:b/>
                <w:bCs/>
                <w:szCs w:val="21"/>
              </w:rPr>
            </w:pPr>
            <w:r>
              <w:rPr>
                <w:rFonts w:eastAsiaTheme="minorEastAsia"/>
                <w:b/>
                <w:bCs/>
                <w:szCs w:val="21"/>
              </w:rPr>
              <w:t>11月</w:t>
            </w:r>
          </w:p>
          <w:p>
            <w:pPr>
              <w:snapToGrid w:val="0"/>
              <w:jc w:val="center"/>
              <w:rPr>
                <w:rFonts w:eastAsiaTheme="minorEastAsia"/>
                <w:b/>
                <w:bCs/>
                <w:szCs w:val="21"/>
              </w:rPr>
            </w:pPr>
            <w:r>
              <w:rPr>
                <w:rFonts w:eastAsiaTheme="minorEastAsia"/>
                <w:b/>
                <w:bCs/>
                <w:szCs w:val="21"/>
              </w:rPr>
              <w:t>19日</w:t>
            </w:r>
          </w:p>
        </w:tc>
        <w:tc>
          <w:tcPr>
            <w:tcW w:w="892" w:type="dxa"/>
            <w:shd w:val="clear" w:color="auto" w:fill="FFFFFF"/>
            <w:vAlign w:val="center"/>
          </w:tcPr>
          <w:p>
            <w:pPr>
              <w:snapToGrid w:val="0"/>
              <w:jc w:val="center"/>
              <w:rPr>
                <w:rFonts w:eastAsiaTheme="minorEastAsia"/>
                <w:b/>
                <w:bCs/>
                <w:szCs w:val="21"/>
              </w:rPr>
            </w:pPr>
            <w:r>
              <w:rPr>
                <w:rFonts w:eastAsiaTheme="minorEastAsia"/>
                <w:b/>
                <w:bCs/>
                <w:szCs w:val="21"/>
              </w:rPr>
              <w:t>11月</w:t>
            </w:r>
          </w:p>
          <w:p>
            <w:pPr>
              <w:snapToGrid w:val="0"/>
              <w:jc w:val="center"/>
              <w:rPr>
                <w:rFonts w:eastAsiaTheme="minorEastAsia"/>
                <w:b/>
                <w:bCs/>
                <w:szCs w:val="21"/>
              </w:rPr>
            </w:pPr>
            <w:r>
              <w:rPr>
                <w:rFonts w:eastAsiaTheme="minorEastAsia"/>
                <w:b/>
                <w:bCs/>
                <w:szCs w:val="21"/>
              </w:rPr>
              <w:t>20日</w:t>
            </w:r>
          </w:p>
        </w:tc>
        <w:tc>
          <w:tcPr>
            <w:tcW w:w="905" w:type="dxa"/>
            <w:shd w:val="clear" w:color="auto" w:fill="FFFFFF"/>
            <w:vAlign w:val="center"/>
          </w:tcPr>
          <w:p>
            <w:pPr>
              <w:snapToGrid w:val="0"/>
              <w:jc w:val="center"/>
              <w:rPr>
                <w:rFonts w:eastAsiaTheme="minorEastAsia"/>
                <w:b/>
                <w:bCs/>
                <w:szCs w:val="21"/>
              </w:rPr>
            </w:pPr>
            <w:r>
              <w:rPr>
                <w:rFonts w:eastAsiaTheme="minorEastAsia"/>
                <w:b/>
                <w:bCs/>
                <w:szCs w:val="21"/>
              </w:rPr>
              <w:t>11月</w:t>
            </w:r>
          </w:p>
          <w:p>
            <w:pPr>
              <w:snapToGrid w:val="0"/>
              <w:jc w:val="center"/>
              <w:rPr>
                <w:rFonts w:eastAsiaTheme="minorEastAsia"/>
                <w:b/>
                <w:bCs/>
                <w:szCs w:val="21"/>
              </w:rPr>
            </w:pPr>
            <w:r>
              <w:rPr>
                <w:rFonts w:eastAsiaTheme="minorEastAsia"/>
                <w:b/>
                <w:bCs/>
                <w:szCs w:val="21"/>
              </w:rPr>
              <w:t>21日</w:t>
            </w:r>
          </w:p>
        </w:tc>
        <w:tc>
          <w:tcPr>
            <w:tcW w:w="896" w:type="dxa"/>
            <w:shd w:val="clear" w:color="auto" w:fill="FFFFFF"/>
            <w:vAlign w:val="center"/>
          </w:tcPr>
          <w:p>
            <w:pPr>
              <w:snapToGrid w:val="0"/>
              <w:jc w:val="center"/>
              <w:rPr>
                <w:rFonts w:eastAsiaTheme="minorEastAsia"/>
                <w:b/>
                <w:bCs/>
                <w:szCs w:val="21"/>
              </w:rPr>
            </w:pPr>
            <w:r>
              <w:rPr>
                <w:rFonts w:eastAsiaTheme="minorEastAsia"/>
                <w:b/>
                <w:bCs/>
                <w:szCs w:val="21"/>
              </w:rPr>
              <w:t>11月</w:t>
            </w:r>
          </w:p>
          <w:p>
            <w:pPr>
              <w:snapToGrid w:val="0"/>
              <w:jc w:val="center"/>
              <w:rPr>
                <w:rFonts w:eastAsiaTheme="minorEastAsia"/>
                <w:b/>
                <w:bCs/>
                <w:szCs w:val="21"/>
              </w:rPr>
            </w:pPr>
            <w:r>
              <w:rPr>
                <w:rFonts w:eastAsiaTheme="minorEastAsia"/>
                <w:b/>
                <w:bCs/>
                <w:szCs w:val="21"/>
              </w:rPr>
              <w:t>22日</w:t>
            </w:r>
          </w:p>
        </w:tc>
        <w:tc>
          <w:tcPr>
            <w:tcW w:w="900" w:type="dxa"/>
            <w:shd w:val="clear" w:color="auto" w:fill="FFFFFF"/>
            <w:vAlign w:val="center"/>
          </w:tcPr>
          <w:p>
            <w:pPr>
              <w:snapToGrid w:val="0"/>
              <w:jc w:val="center"/>
              <w:rPr>
                <w:rFonts w:eastAsiaTheme="minorEastAsia"/>
                <w:b/>
                <w:bCs/>
                <w:szCs w:val="21"/>
              </w:rPr>
            </w:pPr>
            <w:r>
              <w:rPr>
                <w:rFonts w:eastAsiaTheme="minorEastAsia"/>
                <w:b/>
                <w:bCs/>
                <w:szCs w:val="21"/>
              </w:rPr>
              <w:t>11月</w:t>
            </w:r>
          </w:p>
          <w:p>
            <w:pPr>
              <w:snapToGrid w:val="0"/>
              <w:jc w:val="center"/>
              <w:rPr>
                <w:rFonts w:eastAsiaTheme="minorEastAsia"/>
                <w:b/>
                <w:bCs/>
                <w:szCs w:val="21"/>
              </w:rPr>
            </w:pPr>
            <w:r>
              <w:rPr>
                <w:rFonts w:eastAsiaTheme="minorEastAsia"/>
                <w:b/>
                <w:bCs/>
                <w:szCs w:val="21"/>
              </w:rPr>
              <w:t>23日</w:t>
            </w:r>
          </w:p>
        </w:tc>
        <w:tc>
          <w:tcPr>
            <w:tcW w:w="879" w:type="dxa"/>
            <w:shd w:val="clear" w:color="auto" w:fill="FFFFFF"/>
            <w:vAlign w:val="center"/>
          </w:tcPr>
          <w:p>
            <w:pPr>
              <w:snapToGrid w:val="0"/>
              <w:jc w:val="center"/>
              <w:rPr>
                <w:rFonts w:eastAsiaTheme="minorEastAsia"/>
                <w:b/>
                <w:bCs/>
                <w:szCs w:val="21"/>
              </w:rPr>
            </w:pPr>
            <w:r>
              <w:rPr>
                <w:rFonts w:eastAsiaTheme="minorEastAsia"/>
                <w:b/>
                <w:bCs/>
                <w:szCs w:val="21"/>
              </w:rPr>
              <w:t>11月</w:t>
            </w:r>
          </w:p>
          <w:p>
            <w:pPr>
              <w:snapToGrid w:val="0"/>
              <w:jc w:val="center"/>
              <w:rPr>
                <w:rFonts w:eastAsiaTheme="minorEastAsia"/>
                <w:b/>
                <w:bCs/>
                <w:szCs w:val="21"/>
              </w:rPr>
            </w:pPr>
            <w:r>
              <w:rPr>
                <w:rFonts w:eastAsiaTheme="minorEastAsia"/>
                <w:b/>
                <w:bCs/>
                <w:szCs w:val="21"/>
              </w:rPr>
              <w:t>24日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9" w:type="dxa"/>
            <w:vMerge w:val="restart"/>
            <w:shd w:val="clear" w:color="auto" w:fill="FFFFFF"/>
            <w:vAlign w:val="center"/>
          </w:tcPr>
          <w:p>
            <w:pPr>
              <w:snapToGrid w:val="0"/>
              <w:jc w:val="center"/>
              <w:rPr>
                <w:rFonts w:eastAsiaTheme="minorEastAsia"/>
                <w:szCs w:val="21"/>
              </w:rPr>
            </w:pPr>
            <w:r>
              <w:rPr>
                <w:rFonts w:eastAsiaTheme="minorEastAsia"/>
                <w:szCs w:val="21"/>
              </w:rPr>
              <w:t>G1现有污水处理站下风向</w:t>
            </w:r>
          </w:p>
        </w:tc>
        <w:tc>
          <w:tcPr>
            <w:tcW w:w="838" w:type="dxa"/>
            <w:shd w:val="clear" w:color="auto" w:fill="FFFFFF"/>
            <w:vAlign w:val="center"/>
          </w:tcPr>
          <w:p>
            <w:pPr>
              <w:snapToGrid w:val="0"/>
              <w:jc w:val="center"/>
              <w:rPr>
                <w:rFonts w:eastAsiaTheme="minorEastAsia"/>
                <w:szCs w:val="21"/>
              </w:rPr>
            </w:pPr>
            <w:r>
              <w:rPr>
                <w:rFonts w:eastAsiaTheme="minorEastAsia"/>
                <w:szCs w:val="21"/>
              </w:rPr>
              <w:t>氨</w:t>
            </w:r>
          </w:p>
        </w:tc>
        <w:tc>
          <w:tcPr>
            <w:tcW w:w="896" w:type="dxa"/>
            <w:shd w:val="clear" w:color="auto" w:fill="FFFFFF"/>
            <w:vAlign w:val="center"/>
          </w:tcPr>
          <w:p>
            <w:pPr>
              <w:snapToGrid w:val="0"/>
              <w:jc w:val="center"/>
              <w:rPr>
                <w:rFonts w:eastAsiaTheme="minorEastAsia"/>
                <w:szCs w:val="21"/>
              </w:rPr>
            </w:pPr>
            <w:r>
              <w:rPr>
                <w:rFonts w:eastAsiaTheme="minorEastAsia"/>
                <w:szCs w:val="21"/>
              </w:rPr>
              <w:t>15~18</w:t>
            </w:r>
          </w:p>
        </w:tc>
        <w:tc>
          <w:tcPr>
            <w:tcW w:w="896" w:type="dxa"/>
            <w:shd w:val="clear" w:color="auto" w:fill="FFFFFF"/>
            <w:vAlign w:val="center"/>
          </w:tcPr>
          <w:p>
            <w:pPr>
              <w:snapToGrid w:val="0"/>
              <w:jc w:val="center"/>
              <w:rPr>
                <w:rFonts w:eastAsiaTheme="minorEastAsia"/>
                <w:szCs w:val="21"/>
              </w:rPr>
            </w:pPr>
            <w:r>
              <w:rPr>
                <w:rFonts w:eastAsiaTheme="minorEastAsia"/>
                <w:szCs w:val="21"/>
              </w:rPr>
              <w:t>15~16</w:t>
            </w:r>
          </w:p>
        </w:tc>
        <w:tc>
          <w:tcPr>
            <w:tcW w:w="892" w:type="dxa"/>
            <w:shd w:val="clear" w:color="auto" w:fill="FFFFFF"/>
            <w:vAlign w:val="center"/>
          </w:tcPr>
          <w:p>
            <w:pPr>
              <w:snapToGrid w:val="0"/>
              <w:jc w:val="center"/>
              <w:rPr>
                <w:rFonts w:eastAsiaTheme="minorEastAsia"/>
                <w:szCs w:val="21"/>
              </w:rPr>
            </w:pPr>
            <w:r>
              <w:rPr>
                <w:rFonts w:eastAsiaTheme="minorEastAsia"/>
                <w:szCs w:val="21"/>
              </w:rPr>
              <w:t>15~18</w:t>
            </w:r>
          </w:p>
        </w:tc>
        <w:tc>
          <w:tcPr>
            <w:tcW w:w="905" w:type="dxa"/>
            <w:shd w:val="clear" w:color="auto" w:fill="FFFFFF"/>
            <w:vAlign w:val="center"/>
          </w:tcPr>
          <w:p>
            <w:pPr>
              <w:snapToGrid w:val="0"/>
              <w:jc w:val="center"/>
              <w:rPr>
                <w:rFonts w:eastAsiaTheme="minorEastAsia"/>
                <w:szCs w:val="21"/>
              </w:rPr>
            </w:pPr>
            <w:r>
              <w:rPr>
                <w:rFonts w:eastAsiaTheme="minorEastAsia"/>
                <w:szCs w:val="21"/>
              </w:rPr>
              <w:t>16~19</w:t>
            </w:r>
          </w:p>
        </w:tc>
        <w:tc>
          <w:tcPr>
            <w:tcW w:w="896" w:type="dxa"/>
            <w:shd w:val="clear" w:color="auto" w:fill="FFFFFF"/>
            <w:vAlign w:val="center"/>
          </w:tcPr>
          <w:p>
            <w:pPr>
              <w:snapToGrid w:val="0"/>
              <w:jc w:val="center"/>
              <w:rPr>
                <w:rFonts w:eastAsiaTheme="minorEastAsia"/>
                <w:szCs w:val="21"/>
              </w:rPr>
            </w:pPr>
            <w:r>
              <w:rPr>
                <w:rFonts w:eastAsiaTheme="minorEastAsia"/>
                <w:szCs w:val="21"/>
              </w:rPr>
              <w:t>14~18</w:t>
            </w:r>
          </w:p>
        </w:tc>
        <w:tc>
          <w:tcPr>
            <w:tcW w:w="900" w:type="dxa"/>
            <w:shd w:val="clear" w:color="auto" w:fill="FFFFFF"/>
            <w:vAlign w:val="center"/>
          </w:tcPr>
          <w:p>
            <w:pPr>
              <w:snapToGrid w:val="0"/>
              <w:jc w:val="center"/>
              <w:rPr>
                <w:rFonts w:eastAsiaTheme="minorEastAsia"/>
                <w:szCs w:val="21"/>
              </w:rPr>
            </w:pPr>
            <w:r>
              <w:rPr>
                <w:rFonts w:eastAsiaTheme="minorEastAsia"/>
                <w:szCs w:val="21"/>
              </w:rPr>
              <w:t>15~18</w:t>
            </w:r>
          </w:p>
        </w:tc>
        <w:tc>
          <w:tcPr>
            <w:tcW w:w="879" w:type="dxa"/>
            <w:shd w:val="clear" w:color="auto" w:fill="FFFFFF"/>
            <w:vAlign w:val="center"/>
          </w:tcPr>
          <w:p>
            <w:pPr>
              <w:snapToGrid w:val="0"/>
              <w:jc w:val="center"/>
              <w:rPr>
                <w:rFonts w:eastAsiaTheme="minorEastAsia"/>
                <w:szCs w:val="21"/>
              </w:rPr>
            </w:pPr>
            <w:r>
              <w:rPr>
                <w:rFonts w:eastAsiaTheme="minorEastAsia"/>
                <w:szCs w:val="21"/>
              </w:rPr>
              <w:t>13~18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9" w:type="dxa"/>
            <w:vMerge w:val="continue"/>
            <w:shd w:val="clear" w:color="auto" w:fill="FFFFFF"/>
            <w:vAlign w:val="center"/>
          </w:tcPr>
          <w:p>
            <w:pPr>
              <w:snapToGrid w:val="0"/>
              <w:jc w:val="center"/>
              <w:rPr>
                <w:rFonts w:eastAsiaTheme="minorEastAsia"/>
                <w:szCs w:val="21"/>
              </w:rPr>
            </w:pPr>
          </w:p>
        </w:tc>
        <w:tc>
          <w:tcPr>
            <w:tcW w:w="838" w:type="dxa"/>
            <w:shd w:val="clear" w:color="auto" w:fill="FFFFFF"/>
            <w:vAlign w:val="center"/>
          </w:tcPr>
          <w:p>
            <w:pPr>
              <w:snapToGrid w:val="0"/>
              <w:jc w:val="center"/>
              <w:rPr>
                <w:rFonts w:eastAsiaTheme="minorEastAsia"/>
                <w:szCs w:val="21"/>
              </w:rPr>
            </w:pPr>
            <w:r>
              <w:rPr>
                <w:rFonts w:eastAsiaTheme="minorEastAsia"/>
                <w:szCs w:val="21"/>
              </w:rPr>
              <w:t>硫化氢</w:t>
            </w:r>
          </w:p>
        </w:tc>
        <w:tc>
          <w:tcPr>
            <w:tcW w:w="896" w:type="dxa"/>
            <w:shd w:val="clear" w:color="auto" w:fill="FFFFFF"/>
            <w:vAlign w:val="center"/>
          </w:tcPr>
          <w:p>
            <w:pPr>
              <w:snapToGrid w:val="0"/>
              <w:jc w:val="center"/>
              <w:rPr>
                <w:rFonts w:eastAsiaTheme="minorEastAsia"/>
                <w:szCs w:val="21"/>
              </w:rPr>
            </w:pPr>
            <w:r>
              <w:rPr>
                <w:rFonts w:eastAsiaTheme="minorEastAsia"/>
                <w:szCs w:val="21"/>
              </w:rPr>
              <w:t>ND</w:t>
            </w:r>
          </w:p>
        </w:tc>
        <w:tc>
          <w:tcPr>
            <w:tcW w:w="896" w:type="dxa"/>
            <w:shd w:val="clear" w:color="auto" w:fill="FFFFFF"/>
            <w:vAlign w:val="center"/>
          </w:tcPr>
          <w:p>
            <w:pPr>
              <w:snapToGrid w:val="0"/>
              <w:jc w:val="center"/>
              <w:rPr>
                <w:rFonts w:eastAsiaTheme="minorEastAsia"/>
                <w:szCs w:val="21"/>
              </w:rPr>
            </w:pPr>
            <w:r>
              <w:rPr>
                <w:rFonts w:eastAsiaTheme="minorEastAsia"/>
                <w:szCs w:val="21"/>
              </w:rPr>
              <w:t>ND</w:t>
            </w:r>
          </w:p>
        </w:tc>
        <w:tc>
          <w:tcPr>
            <w:tcW w:w="892" w:type="dxa"/>
            <w:shd w:val="clear" w:color="auto" w:fill="FFFFFF"/>
            <w:vAlign w:val="center"/>
          </w:tcPr>
          <w:p>
            <w:pPr>
              <w:snapToGrid w:val="0"/>
              <w:jc w:val="center"/>
              <w:rPr>
                <w:rFonts w:eastAsiaTheme="minorEastAsia"/>
                <w:szCs w:val="21"/>
              </w:rPr>
            </w:pPr>
            <w:r>
              <w:rPr>
                <w:rFonts w:eastAsiaTheme="minorEastAsia"/>
                <w:szCs w:val="21"/>
              </w:rPr>
              <w:t>ND</w:t>
            </w:r>
          </w:p>
        </w:tc>
        <w:tc>
          <w:tcPr>
            <w:tcW w:w="905" w:type="dxa"/>
            <w:shd w:val="clear" w:color="auto" w:fill="FFFFFF"/>
            <w:vAlign w:val="center"/>
          </w:tcPr>
          <w:p>
            <w:pPr>
              <w:snapToGrid w:val="0"/>
              <w:jc w:val="center"/>
              <w:rPr>
                <w:rFonts w:eastAsiaTheme="minorEastAsia"/>
                <w:szCs w:val="21"/>
              </w:rPr>
            </w:pPr>
            <w:r>
              <w:rPr>
                <w:rFonts w:eastAsiaTheme="minorEastAsia"/>
                <w:szCs w:val="21"/>
              </w:rPr>
              <w:t>ND</w:t>
            </w:r>
          </w:p>
        </w:tc>
        <w:tc>
          <w:tcPr>
            <w:tcW w:w="896" w:type="dxa"/>
            <w:shd w:val="clear" w:color="auto" w:fill="FFFFFF"/>
            <w:vAlign w:val="center"/>
          </w:tcPr>
          <w:p>
            <w:pPr>
              <w:snapToGrid w:val="0"/>
              <w:jc w:val="center"/>
              <w:rPr>
                <w:rFonts w:eastAsiaTheme="minorEastAsia"/>
                <w:szCs w:val="21"/>
              </w:rPr>
            </w:pPr>
            <w:r>
              <w:rPr>
                <w:rFonts w:eastAsiaTheme="minorEastAsia"/>
                <w:szCs w:val="21"/>
              </w:rPr>
              <w:t>ND</w:t>
            </w:r>
          </w:p>
        </w:tc>
        <w:tc>
          <w:tcPr>
            <w:tcW w:w="900" w:type="dxa"/>
            <w:shd w:val="clear" w:color="auto" w:fill="FFFFFF"/>
            <w:vAlign w:val="center"/>
          </w:tcPr>
          <w:p>
            <w:pPr>
              <w:snapToGrid w:val="0"/>
              <w:jc w:val="center"/>
              <w:rPr>
                <w:rFonts w:eastAsiaTheme="minorEastAsia"/>
                <w:szCs w:val="21"/>
              </w:rPr>
            </w:pPr>
            <w:r>
              <w:rPr>
                <w:rFonts w:eastAsiaTheme="minorEastAsia"/>
                <w:szCs w:val="21"/>
              </w:rPr>
              <w:t>ND</w:t>
            </w:r>
          </w:p>
        </w:tc>
        <w:tc>
          <w:tcPr>
            <w:tcW w:w="879" w:type="dxa"/>
            <w:shd w:val="clear" w:color="auto" w:fill="FFFFFF"/>
            <w:vAlign w:val="center"/>
          </w:tcPr>
          <w:p>
            <w:pPr>
              <w:snapToGrid w:val="0"/>
              <w:jc w:val="center"/>
              <w:rPr>
                <w:rFonts w:eastAsiaTheme="minorEastAsia"/>
                <w:szCs w:val="21"/>
              </w:rPr>
            </w:pPr>
            <w:r>
              <w:rPr>
                <w:rFonts w:eastAsiaTheme="minorEastAsia"/>
                <w:szCs w:val="21"/>
              </w:rPr>
              <w:t>ND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9" w:type="dxa"/>
            <w:vMerge w:val="restart"/>
            <w:shd w:val="clear" w:color="auto" w:fill="FFFFFF"/>
            <w:vAlign w:val="center"/>
          </w:tcPr>
          <w:p>
            <w:pPr>
              <w:snapToGrid w:val="0"/>
              <w:jc w:val="center"/>
              <w:rPr>
                <w:rFonts w:eastAsiaTheme="minorEastAsia"/>
                <w:szCs w:val="21"/>
              </w:rPr>
            </w:pPr>
            <w:r>
              <w:rPr>
                <w:rFonts w:eastAsiaTheme="minorEastAsia"/>
                <w:szCs w:val="21"/>
              </w:rPr>
              <w:t>G2拟建项目地（院内）</w:t>
            </w:r>
          </w:p>
        </w:tc>
        <w:tc>
          <w:tcPr>
            <w:tcW w:w="838" w:type="dxa"/>
            <w:shd w:val="clear" w:color="auto" w:fill="FFFFFF"/>
            <w:vAlign w:val="center"/>
          </w:tcPr>
          <w:p>
            <w:pPr>
              <w:snapToGrid w:val="0"/>
              <w:jc w:val="center"/>
              <w:rPr>
                <w:rFonts w:eastAsiaTheme="minorEastAsia"/>
                <w:szCs w:val="21"/>
              </w:rPr>
            </w:pPr>
            <w:r>
              <w:rPr>
                <w:rFonts w:eastAsiaTheme="minorEastAsia"/>
                <w:szCs w:val="21"/>
              </w:rPr>
              <w:t>氨</w:t>
            </w:r>
          </w:p>
        </w:tc>
        <w:tc>
          <w:tcPr>
            <w:tcW w:w="896" w:type="dxa"/>
            <w:shd w:val="clear" w:color="auto" w:fill="FFFFFF"/>
            <w:vAlign w:val="center"/>
          </w:tcPr>
          <w:p>
            <w:pPr>
              <w:snapToGrid w:val="0"/>
              <w:jc w:val="center"/>
              <w:rPr>
                <w:rFonts w:eastAsiaTheme="minorEastAsia"/>
                <w:szCs w:val="21"/>
              </w:rPr>
            </w:pPr>
            <w:r>
              <w:rPr>
                <w:rFonts w:eastAsiaTheme="minorEastAsia"/>
                <w:szCs w:val="21"/>
              </w:rPr>
              <w:t>13~18</w:t>
            </w:r>
          </w:p>
        </w:tc>
        <w:tc>
          <w:tcPr>
            <w:tcW w:w="896" w:type="dxa"/>
            <w:shd w:val="clear" w:color="auto" w:fill="FFFFFF"/>
            <w:vAlign w:val="center"/>
          </w:tcPr>
          <w:p>
            <w:pPr>
              <w:snapToGrid w:val="0"/>
              <w:jc w:val="center"/>
              <w:rPr>
                <w:rFonts w:eastAsiaTheme="minorEastAsia"/>
                <w:szCs w:val="21"/>
              </w:rPr>
            </w:pPr>
            <w:r>
              <w:rPr>
                <w:rFonts w:eastAsiaTheme="minorEastAsia"/>
                <w:szCs w:val="21"/>
              </w:rPr>
              <w:t>15~16</w:t>
            </w:r>
          </w:p>
        </w:tc>
        <w:tc>
          <w:tcPr>
            <w:tcW w:w="892" w:type="dxa"/>
            <w:shd w:val="clear" w:color="auto" w:fill="FFFFFF"/>
            <w:vAlign w:val="center"/>
          </w:tcPr>
          <w:p>
            <w:pPr>
              <w:snapToGrid w:val="0"/>
              <w:jc w:val="center"/>
              <w:rPr>
                <w:rFonts w:eastAsiaTheme="minorEastAsia"/>
                <w:szCs w:val="21"/>
              </w:rPr>
            </w:pPr>
            <w:r>
              <w:rPr>
                <w:rFonts w:eastAsiaTheme="minorEastAsia"/>
                <w:szCs w:val="21"/>
              </w:rPr>
              <w:t>13~17</w:t>
            </w:r>
          </w:p>
        </w:tc>
        <w:tc>
          <w:tcPr>
            <w:tcW w:w="905" w:type="dxa"/>
            <w:shd w:val="clear" w:color="auto" w:fill="FFFFFF"/>
            <w:vAlign w:val="center"/>
          </w:tcPr>
          <w:p>
            <w:pPr>
              <w:snapToGrid w:val="0"/>
              <w:jc w:val="center"/>
              <w:rPr>
                <w:rFonts w:eastAsiaTheme="minorEastAsia"/>
                <w:szCs w:val="21"/>
              </w:rPr>
            </w:pPr>
            <w:r>
              <w:rPr>
                <w:rFonts w:eastAsiaTheme="minorEastAsia"/>
                <w:szCs w:val="21"/>
              </w:rPr>
              <w:t>14~17</w:t>
            </w:r>
          </w:p>
        </w:tc>
        <w:tc>
          <w:tcPr>
            <w:tcW w:w="896" w:type="dxa"/>
            <w:shd w:val="clear" w:color="auto" w:fill="FFFFFF"/>
            <w:vAlign w:val="center"/>
          </w:tcPr>
          <w:p>
            <w:pPr>
              <w:snapToGrid w:val="0"/>
              <w:jc w:val="center"/>
              <w:rPr>
                <w:rFonts w:eastAsiaTheme="minorEastAsia"/>
                <w:szCs w:val="21"/>
              </w:rPr>
            </w:pPr>
            <w:r>
              <w:rPr>
                <w:rFonts w:eastAsiaTheme="minorEastAsia"/>
                <w:szCs w:val="21"/>
              </w:rPr>
              <w:t>12~16</w:t>
            </w:r>
          </w:p>
        </w:tc>
        <w:tc>
          <w:tcPr>
            <w:tcW w:w="900" w:type="dxa"/>
            <w:shd w:val="clear" w:color="auto" w:fill="FFFFFF"/>
            <w:vAlign w:val="center"/>
          </w:tcPr>
          <w:p>
            <w:pPr>
              <w:snapToGrid w:val="0"/>
              <w:jc w:val="center"/>
              <w:rPr>
                <w:rFonts w:eastAsiaTheme="minorEastAsia"/>
                <w:szCs w:val="21"/>
              </w:rPr>
            </w:pPr>
            <w:r>
              <w:rPr>
                <w:rFonts w:eastAsiaTheme="minorEastAsia"/>
                <w:szCs w:val="21"/>
              </w:rPr>
              <w:t>13~18</w:t>
            </w:r>
          </w:p>
        </w:tc>
        <w:tc>
          <w:tcPr>
            <w:tcW w:w="879" w:type="dxa"/>
            <w:shd w:val="clear" w:color="auto" w:fill="FFFFFF"/>
            <w:vAlign w:val="center"/>
          </w:tcPr>
          <w:p>
            <w:pPr>
              <w:snapToGrid w:val="0"/>
              <w:jc w:val="center"/>
              <w:rPr>
                <w:rFonts w:eastAsiaTheme="minorEastAsia"/>
                <w:szCs w:val="21"/>
              </w:rPr>
            </w:pPr>
            <w:r>
              <w:rPr>
                <w:rFonts w:eastAsiaTheme="minorEastAsia"/>
                <w:szCs w:val="21"/>
              </w:rPr>
              <w:t>12~17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849" w:type="dxa"/>
            <w:vMerge w:val="continue"/>
            <w:shd w:val="clear" w:color="auto" w:fill="FFFFFF"/>
            <w:vAlign w:val="center"/>
          </w:tcPr>
          <w:p>
            <w:pPr>
              <w:snapToGrid w:val="0"/>
              <w:jc w:val="center"/>
              <w:rPr>
                <w:rFonts w:eastAsiaTheme="minorEastAsia"/>
                <w:szCs w:val="21"/>
              </w:rPr>
            </w:pPr>
          </w:p>
        </w:tc>
        <w:tc>
          <w:tcPr>
            <w:tcW w:w="838" w:type="dxa"/>
            <w:shd w:val="clear" w:color="auto" w:fill="FFFFFF"/>
            <w:vAlign w:val="center"/>
          </w:tcPr>
          <w:p>
            <w:pPr>
              <w:snapToGrid w:val="0"/>
              <w:jc w:val="center"/>
              <w:rPr>
                <w:rFonts w:eastAsiaTheme="minorEastAsia"/>
                <w:szCs w:val="21"/>
              </w:rPr>
            </w:pPr>
            <w:r>
              <w:rPr>
                <w:rFonts w:eastAsiaTheme="minorEastAsia"/>
                <w:szCs w:val="21"/>
              </w:rPr>
              <w:t>硫化氢</w:t>
            </w:r>
          </w:p>
        </w:tc>
        <w:tc>
          <w:tcPr>
            <w:tcW w:w="896" w:type="dxa"/>
            <w:shd w:val="clear" w:color="auto" w:fill="FFFFFF"/>
            <w:vAlign w:val="center"/>
          </w:tcPr>
          <w:p>
            <w:pPr>
              <w:snapToGrid w:val="0"/>
              <w:jc w:val="center"/>
              <w:rPr>
                <w:rFonts w:eastAsiaTheme="minorEastAsia"/>
                <w:szCs w:val="21"/>
              </w:rPr>
            </w:pPr>
            <w:r>
              <w:rPr>
                <w:rFonts w:eastAsiaTheme="minorEastAsia"/>
                <w:szCs w:val="21"/>
              </w:rPr>
              <w:t>ND</w:t>
            </w:r>
          </w:p>
        </w:tc>
        <w:tc>
          <w:tcPr>
            <w:tcW w:w="896" w:type="dxa"/>
            <w:shd w:val="clear" w:color="auto" w:fill="FFFFFF"/>
            <w:vAlign w:val="center"/>
          </w:tcPr>
          <w:p>
            <w:pPr>
              <w:snapToGrid w:val="0"/>
              <w:jc w:val="center"/>
              <w:rPr>
                <w:rFonts w:eastAsiaTheme="minorEastAsia"/>
                <w:szCs w:val="21"/>
              </w:rPr>
            </w:pPr>
            <w:r>
              <w:rPr>
                <w:rFonts w:eastAsiaTheme="minorEastAsia"/>
                <w:szCs w:val="21"/>
              </w:rPr>
              <w:t>ND</w:t>
            </w:r>
          </w:p>
        </w:tc>
        <w:tc>
          <w:tcPr>
            <w:tcW w:w="892" w:type="dxa"/>
            <w:shd w:val="clear" w:color="auto" w:fill="FFFFFF"/>
            <w:vAlign w:val="center"/>
          </w:tcPr>
          <w:p>
            <w:pPr>
              <w:snapToGrid w:val="0"/>
              <w:jc w:val="center"/>
              <w:rPr>
                <w:rFonts w:eastAsiaTheme="minorEastAsia"/>
                <w:szCs w:val="21"/>
              </w:rPr>
            </w:pPr>
            <w:r>
              <w:rPr>
                <w:rFonts w:eastAsiaTheme="minorEastAsia"/>
                <w:szCs w:val="21"/>
              </w:rPr>
              <w:t>ND</w:t>
            </w:r>
          </w:p>
        </w:tc>
        <w:tc>
          <w:tcPr>
            <w:tcW w:w="905" w:type="dxa"/>
            <w:shd w:val="clear" w:color="auto" w:fill="FFFFFF"/>
            <w:vAlign w:val="center"/>
          </w:tcPr>
          <w:p>
            <w:pPr>
              <w:snapToGrid w:val="0"/>
              <w:jc w:val="center"/>
              <w:rPr>
                <w:rFonts w:eastAsiaTheme="minorEastAsia"/>
                <w:szCs w:val="21"/>
              </w:rPr>
            </w:pPr>
            <w:r>
              <w:rPr>
                <w:rFonts w:eastAsiaTheme="minorEastAsia"/>
                <w:szCs w:val="21"/>
              </w:rPr>
              <w:t>ND</w:t>
            </w:r>
          </w:p>
        </w:tc>
        <w:tc>
          <w:tcPr>
            <w:tcW w:w="896" w:type="dxa"/>
            <w:shd w:val="clear" w:color="auto" w:fill="FFFFFF"/>
            <w:vAlign w:val="center"/>
          </w:tcPr>
          <w:p>
            <w:pPr>
              <w:snapToGrid w:val="0"/>
              <w:jc w:val="center"/>
              <w:rPr>
                <w:rFonts w:eastAsiaTheme="minorEastAsia"/>
                <w:szCs w:val="21"/>
              </w:rPr>
            </w:pPr>
            <w:r>
              <w:rPr>
                <w:rFonts w:eastAsiaTheme="minorEastAsia"/>
                <w:szCs w:val="21"/>
              </w:rPr>
              <w:t>ND</w:t>
            </w:r>
          </w:p>
        </w:tc>
        <w:tc>
          <w:tcPr>
            <w:tcW w:w="900" w:type="dxa"/>
            <w:shd w:val="clear" w:color="auto" w:fill="FFFFFF"/>
            <w:vAlign w:val="center"/>
          </w:tcPr>
          <w:p>
            <w:pPr>
              <w:snapToGrid w:val="0"/>
              <w:jc w:val="center"/>
              <w:rPr>
                <w:rFonts w:eastAsiaTheme="minorEastAsia"/>
                <w:szCs w:val="21"/>
              </w:rPr>
            </w:pPr>
            <w:r>
              <w:rPr>
                <w:rFonts w:eastAsiaTheme="minorEastAsia"/>
                <w:szCs w:val="21"/>
              </w:rPr>
              <w:t>ND</w:t>
            </w:r>
          </w:p>
        </w:tc>
        <w:tc>
          <w:tcPr>
            <w:tcW w:w="879" w:type="dxa"/>
            <w:shd w:val="clear" w:color="auto" w:fill="FFFFFF"/>
            <w:vAlign w:val="center"/>
          </w:tcPr>
          <w:p>
            <w:pPr>
              <w:snapToGrid w:val="0"/>
              <w:jc w:val="center"/>
              <w:rPr>
                <w:rFonts w:eastAsiaTheme="minorEastAsia"/>
                <w:szCs w:val="21"/>
              </w:rPr>
            </w:pPr>
            <w:r>
              <w:rPr>
                <w:rFonts w:eastAsiaTheme="minorEastAsia"/>
                <w:szCs w:val="21"/>
              </w:rPr>
              <w:t>ND</w:t>
            </w:r>
          </w:p>
        </w:tc>
      </w:tr>
    </w:tbl>
    <w:p>
      <w:pPr>
        <w:snapToGrid w:val="0"/>
        <w:spacing w:line="360" w:lineRule="auto"/>
        <w:ind w:firstLine="482" w:firstLineChars="200"/>
        <w:rPr>
          <w:rFonts w:eastAsiaTheme="minorEastAsia"/>
          <w:b/>
          <w:sz w:val="24"/>
        </w:rPr>
      </w:pPr>
      <w:r>
        <w:rPr>
          <w:rFonts w:eastAsiaTheme="minorEastAsia"/>
          <w:b/>
          <w:sz w:val="24"/>
        </w:rPr>
        <w:t>二、现状评价</w:t>
      </w:r>
    </w:p>
    <w:p>
      <w:pPr>
        <w:snapToGrid w:val="0"/>
        <w:spacing w:line="360" w:lineRule="auto"/>
        <w:ind w:firstLine="496" w:firstLineChars="200"/>
        <w:rPr>
          <w:rFonts w:eastAsiaTheme="minorEastAsia"/>
          <w:sz w:val="24"/>
        </w:rPr>
      </w:pPr>
      <w:r>
        <w:rPr>
          <w:rFonts w:eastAsiaTheme="minorEastAsia"/>
          <w:spacing w:val="4"/>
          <w:sz w:val="24"/>
        </w:rPr>
        <w:t>本评价</w:t>
      </w:r>
      <w:r>
        <w:rPr>
          <w:rFonts w:eastAsiaTheme="minorEastAsia"/>
          <w:sz w:val="24"/>
        </w:rPr>
        <w:t>对环境空气现状监测数据进行了达标统计分析，结果见表5.3-5。</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表5.3-5  其它污染物环境质量现状（监测结果）表单位：μg/m</w:t>
      </w:r>
      <w:r>
        <w:rPr>
          <w:rFonts w:eastAsiaTheme="minorEastAsia"/>
          <w:b/>
          <w:bCs/>
          <w:sz w:val="24"/>
          <w:vertAlign w:val="superscript"/>
        </w:rPr>
        <w:t>3</w:t>
      </w:r>
    </w:p>
    <w:tbl>
      <w:tblPr>
        <w:tblStyle w:val="80"/>
        <w:tblW w:w="90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34"/>
        <w:gridCol w:w="1165"/>
        <w:gridCol w:w="1055"/>
        <w:gridCol w:w="851"/>
        <w:gridCol w:w="1164"/>
        <w:gridCol w:w="1166"/>
        <w:gridCol w:w="1166"/>
        <w:gridCol w:w="849"/>
        <w:gridCol w:w="504"/>
        <w:gridCol w:w="63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94" w:type="pct"/>
            <w:vMerge w:val="restart"/>
            <w:vAlign w:val="center"/>
          </w:tcPr>
          <w:p>
            <w:pPr>
              <w:snapToGrid w:val="0"/>
              <w:jc w:val="center"/>
              <w:rPr>
                <w:rFonts w:eastAsiaTheme="minorEastAsia"/>
                <w:b/>
                <w:sz w:val="20"/>
                <w:szCs w:val="20"/>
              </w:rPr>
            </w:pPr>
            <w:r>
              <w:rPr>
                <w:rFonts w:eastAsiaTheme="minorEastAsia"/>
                <w:b/>
                <w:sz w:val="20"/>
                <w:szCs w:val="20"/>
              </w:rPr>
              <w:t>监测点位</w:t>
            </w:r>
          </w:p>
        </w:tc>
        <w:tc>
          <w:tcPr>
            <w:tcW w:w="1221" w:type="pct"/>
            <w:gridSpan w:val="2"/>
            <w:tcBorders>
              <w:bottom w:val="single" w:color="auto" w:sz="4" w:space="0"/>
            </w:tcBorders>
            <w:vAlign w:val="center"/>
          </w:tcPr>
          <w:p>
            <w:pPr>
              <w:snapToGrid w:val="0"/>
              <w:jc w:val="center"/>
              <w:rPr>
                <w:rFonts w:eastAsiaTheme="minorEastAsia"/>
                <w:b/>
                <w:sz w:val="20"/>
                <w:szCs w:val="20"/>
              </w:rPr>
            </w:pPr>
            <w:r>
              <w:rPr>
                <w:rFonts w:eastAsiaTheme="minorEastAsia"/>
                <w:b/>
                <w:sz w:val="20"/>
                <w:szCs w:val="20"/>
              </w:rPr>
              <w:t>监测点坐标/m</w:t>
            </w:r>
          </w:p>
        </w:tc>
        <w:tc>
          <w:tcPr>
            <w:tcW w:w="468" w:type="pct"/>
            <w:vMerge w:val="restart"/>
            <w:vAlign w:val="center"/>
          </w:tcPr>
          <w:p>
            <w:pPr>
              <w:snapToGrid w:val="0"/>
              <w:jc w:val="center"/>
              <w:rPr>
                <w:rFonts w:eastAsiaTheme="minorEastAsia"/>
                <w:b/>
                <w:sz w:val="20"/>
                <w:szCs w:val="20"/>
              </w:rPr>
            </w:pPr>
            <w:r>
              <w:rPr>
                <w:rFonts w:eastAsiaTheme="minorEastAsia"/>
                <w:b/>
                <w:sz w:val="20"/>
                <w:szCs w:val="20"/>
              </w:rPr>
              <w:t>污染物</w:t>
            </w:r>
          </w:p>
        </w:tc>
        <w:tc>
          <w:tcPr>
            <w:tcW w:w="640" w:type="pct"/>
            <w:vMerge w:val="restart"/>
            <w:vAlign w:val="center"/>
          </w:tcPr>
          <w:p>
            <w:pPr>
              <w:snapToGrid w:val="0"/>
              <w:jc w:val="center"/>
              <w:rPr>
                <w:rFonts w:eastAsiaTheme="minorEastAsia"/>
                <w:b/>
                <w:sz w:val="20"/>
                <w:szCs w:val="20"/>
              </w:rPr>
            </w:pPr>
            <w:r>
              <w:rPr>
                <w:rFonts w:eastAsiaTheme="minorEastAsia"/>
                <w:b/>
                <w:sz w:val="20"/>
                <w:szCs w:val="20"/>
              </w:rPr>
              <w:t>平均时间</w:t>
            </w:r>
          </w:p>
        </w:tc>
        <w:tc>
          <w:tcPr>
            <w:tcW w:w="641" w:type="pct"/>
            <w:vMerge w:val="restart"/>
            <w:vAlign w:val="center"/>
          </w:tcPr>
          <w:p>
            <w:pPr>
              <w:snapToGrid w:val="0"/>
              <w:jc w:val="center"/>
              <w:rPr>
                <w:rFonts w:eastAsiaTheme="minorEastAsia"/>
                <w:b/>
                <w:sz w:val="20"/>
                <w:szCs w:val="20"/>
              </w:rPr>
            </w:pPr>
            <w:r>
              <w:rPr>
                <w:rFonts w:eastAsiaTheme="minorEastAsia"/>
                <w:b/>
                <w:sz w:val="20"/>
                <w:szCs w:val="20"/>
              </w:rPr>
              <w:t>评价标准/（μg/m</w:t>
            </w:r>
            <w:r>
              <w:rPr>
                <w:rFonts w:eastAsiaTheme="minorEastAsia"/>
                <w:b/>
                <w:sz w:val="20"/>
                <w:szCs w:val="20"/>
                <w:vertAlign w:val="superscript"/>
              </w:rPr>
              <w:t>3</w:t>
            </w:r>
            <w:r>
              <w:rPr>
                <w:rFonts w:eastAsiaTheme="minorEastAsia"/>
                <w:b/>
                <w:sz w:val="20"/>
                <w:szCs w:val="20"/>
              </w:rPr>
              <w:t>）</w:t>
            </w:r>
          </w:p>
        </w:tc>
        <w:tc>
          <w:tcPr>
            <w:tcW w:w="641" w:type="pct"/>
            <w:vMerge w:val="restart"/>
            <w:vAlign w:val="center"/>
          </w:tcPr>
          <w:p>
            <w:pPr>
              <w:snapToGrid w:val="0"/>
              <w:jc w:val="center"/>
              <w:rPr>
                <w:rFonts w:eastAsiaTheme="minorEastAsia"/>
                <w:b/>
                <w:sz w:val="20"/>
                <w:szCs w:val="20"/>
              </w:rPr>
            </w:pPr>
            <w:r>
              <w:rPr>
                <w:rFonts w:eastAsiaTheme="minorEastAsia"/>
                <w:b/>
                <w:sz w:val="20"/>
                <w:szCs w:val="20"/>
              </w:rPr>
              <w:t>监测浓度范围/（μg/m</w:t>
            </w:r>
            <w:r>
              <w:rPr>
                <w:rFonts w:eastAsiaTheme="minorEastAsia"/>
                <w:b/>
                <w:sz w:val="20"/>
                <w:szCs w:val="20"/>
                <w:vertAlign w:val="superscript"/>
              </w:rPr>
              <w:t>3</w:t>
            </w:r>
            <w:r>
              <w:rPr>
                <w:rFonts w:eastAsiaTheme="minorEastAsia"/>
                <w:b/>
                <w:sz w:val="20"/>
                <w:szCs w:val="20"/>
              </w:rPr>
              <w:t>）</w:t>
            </w:r>
          </w:p>
        </w:tc>
        <w:tc>
          <w:tcPr>
            <w:tcW w:w="467" w:type="pct"/>
            <w:vMerge w:val="restart"/>
            <w:vAlign w:val="center"/>
          </w:tcPr>
          <w:p>
            <w:pPr>
              <w:snapToGrid w:val="0"/>
              <w:jc w:val="center"/>
              <w:rPr>
                <w:rFonts w:eastAsiaTheme="minorEastAsia"/>
                <w:b/>
                <w:sz w:val="20"/>
                <w:szCs w:val="20"/>
              </w:rPr>
            </w:pPr>
            <w:r>
              <w:rPr>
                <w:rFonts w:eastAsiaTheme="minorEastAsia"/>
                <w:b/>
                <w:sz w:val="20"/>
                <w:szCs w:val="20"/>
              </w:rPr>
              <w:t>最大浓度占标率/%</w:t>
            </w:r>
          </w:p>
        </w:tc>
        <w:tc>
          <w:tcPr>
            <w:tcW w:w="277" w:type="pct"/>
            <w:vMerge w:val="restart"/>
            <w:vAlign w:val="center"/>
          </w:tcPr>
          <w:p>
            <w:pPr>
              <w:snapToGrid w:val="0"/>
              <w:jc w:val="center"/>
              <w:rPr>
                <w:rFonts w:eastAsiaTheme="minorEastAsia"/>
                <w:b/>
                <w:sz w:val="20"/>
                <w:szCs w:val="20"/>
              </w:rPr>
            </w:pPr>
            <w:r>
              <w:rPr>
                <w:rFonts w:eastAsiaTheme="minorEastAsia"/>
                <w:b/>
                <w:sz w:val="20"/>
                <w:szCs w:val="20"/>
              </w:rPr>
              <w:t>超标率/%</w:t>
            </w:r>
          </w:p>
        </w:tc>
        <w:tc>
          <w:tcPr>
            <w:tcW w:w="352" w:type="pct"/>
            <w:vMerge w:val="restart"/>
            <w:vAlign w:val="center"/>
          </w:tcPr>
          <w:p>
            <w:pPr>
              <w:snapToGrid w:val="0"/>
              <w:jc w:val="center"/>
              <w:rPr>
                <w:rFonts w:eastAsiaTheme="minorEastAsia"/>
                <w:b/>
                <w:sz w:val="20"/>
                <w:szCs w:val="20"/>
              </w:rPr>
            </w:pPr>
            <w:r>
              <w:rPr>
                <w:rFonts w:eastAsiaTheme="minorEastAsia"/>
                <w:b/>
                <w:sz w:val="20"/>
                <w:szCs w:val="20"/>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94" w:type="pct"/>
            <w:vMerge w:val="continue"/>
            <w:vAlign w:val="center"/>
          </w:tcPr>
          <w:p>
            <w:pPr>
              <w:snapToGrid w:val="0"/>
              <w:jc w:val="center"/>
              <w:rPr>
                <w:rFonts w:eastAsiaTheme="minorEastAsia"/>
                <w:b/>
                <w:sz w:val="20"/>
                <w:szCs w:val="20"/>
              </w:rPr>
            </w:pPr>
          </w:p>
        </w:tc>
        <w:tc>
          <w:tcPr>
            <w:tcW w:w="641" w:type="pct"/>
            <w:tcBorders>
              <w:top w:val="single" w:color="auto" w:sz="4" w:space="0"/>
              <w:right w:val="single" w:color="auto" w:sz="4" w:space="0"/>
            </w:tcBorders>
            <w:vAlign w:val="center"/>
          </w:tcPr>
          <w:p>
            <w:pPr>
              <w:snapToGrid w:val="0"/>
              <w:jc w:val="center"/>
              <w:rPr>
                <w:rFonts w:eastAsiaTheme="minorEastAsia"/>
                <w:b/>
                <w:sz w:val="20"/>
                <w:szCs w:val="20"/>
              </w:rPr>
            </w:pPr>
            <w:r>
              <w:rPr>
                <w:rFonts w:eastAsiaTheme="minorEastAsia"/>
                <w:b/>
                <w:sz w:val="20"/>
                <w:szCs w:val="20"/>
              </w:rPr>
              <w:t>东经</w:t>
            </w:r>
          </w:p>
        </w:tc>
        <w:tc>
          <w:tcPr>
            <w:tcW w:w="580" w:type="pct"/>
            <w:tcBorders>
              <w:top w:val="single" w:color="auto" w:sz="4" w:space="0"/>
              <w:left w:val="single" w:color="auto" w:sz="4" w:space="0"/>
            </w:tcBorders>
            <w:vAlign w:val="center"/>
          </w:tcPr>
          <w:p>
            <w:pPr>
              <w:snapToGrid w:val="0"/>
              <w:jc w:val="center"/>
              <w:rPr>
                <w:rFonts w:eastAsiaTheme="minorEastAsia"/>
                <w:b/>
                <w:sz w:val="20"/>
                <w:szCs w:val="20"/>
              </w:rPr>
            </w:pPr>
            <w:r>
              <w:rPr>
                <w:rFonts w:eastAsiaTheme="minorEastAsia"/>
                <w:b/>
                <w:sz w:val="20"/>
                <w:szCs w:val="20"/>
              </w:rPr>
              <w:t>北纬</w:t>
            </w:r>
          </w:p>
        </w:tc>
        <w:tc>
          <w:tcPr>
            <w:tcW w:w="468" w:type="pct"/>
            <w:vMerge w:val="continue"/>
            <w:vAlign w:val="center"/>
          </w:tcPr>
          <w:p>
            <w:pPr>
              <w:snapToGrid w:val="0"/>
              <w:jc w:val="center"/>
              <w:rPr>
                <w:rFonts w:eastAsiaTheme="minorEastAsia"/>
                <w:b/>
                <w:sz w:val="20"/>
                <w:szCs w:val="20"/>
              </w:rPr>
            </w:pPr>
          </w:p>
        </w:tc>
        <w:tc>
          <w:tcPr>
            <w:tcW w:w="640" w:type="pct"/>
            <w:vMerge w:val="continue"/>
            <w:vAlign w:val="center"/>
          </w:tcPr>
          <w:p>
            <w:pPr>
              <w:snapToGrid w:val="0"/>
              <w:jc w:val="center"/>
              <w:rPr>
                <w:rFonts w:eastAsiaTheme="minorEastAsia"/>
                <w:b/>
                <w:sz w:val="20"/>
                <w:szCs w:val="20"/>
              </w:rPr>
            </w:pPr>
          </w:p>
        </w:tc>
        <w:tc>
          <w:tcPr>
            <w:tcW w:w="641" w:type="pct"/>
            <w:vMerge w:val="continue"/>
            <w:vAlign w:val="center"/>
          </w:tcPr>
          <w:p>
            <w:pPr>
              <w:snapToGrid w:val="0"/>
              <w:jc w:val="center"/>
              <w:rPr>
                <w:rFonts w:eastAsiaTheme="minorEastAsia"/>
                <w:b/>
                <w:sz w:val="20"/>
                <w:szCs w:val="20"/>
              </w:rPr>
            </w:pPr>
          </w:p>
        </w:tc>
        <w:tc>
          <w:tcPr>
            <w:tcW w:w="641" w:type="pct"/>
            <w:vMerge w:val="continue"/>
            <w:vAlign w:val="center"/>
          </w:tcPr>
          <w:p>
            <w:pPr>
              <w:snapToGrid w:val="0"/>
              <w:jc w:val="center"/>
              <w:rPr>
                <w:rFonts w:eastAsiaTheme="minorEastAsia"/>
                <w:b/>
                <w:sz w:val="20"/>
                <w:szCs w:val="20"/>
              </w:rPr>
            </w:pPr>
          </w:p>
        </w:tc>
        <w:tc>
          <w:tcPr>
            <w:tcW w:w="467" w:type="pct"/>
            <w:vMerge w:val="continue"/>
            <w:vAlign w:val="center"/>
          </w:tcPr>
          <w:p>
            <w:pPr>
              <w:snapToGrid w:val="0"/>
              <w:jc w:val="center"/>
              <w:rPr>
                <w:rFonts w:eastAsiaTheme="minorEastAsia"/>
                <w:b/>
                <w:sz w:val="20"/>
                <w:szCs w:val="20"/>
              </w:rPr>
            </w:pPr>
          </w:p>
        </w:tc>
        <w:tc>
          <w:tcPr>
            <w:tcW w:w="277" w:type="pct"/>
            <w:vMerge w:val="continue"/>
            <w:vAlign w:val="center"/>
          </w:tcPr>
          <w:p>
            <w:pPr>
              <w:snapToGrid w:val="0"/>
              <w:jc w:val="center"/>
              <w:rPr>
                <w:rFonts w:eastAsiaTheme="minorEastAsia"/>
                <w:b/>
                <w:sz w:val="20"/>
                <w:szCs w:val="20"/>
              </w:rPr>
            </w:pPr>
          </w:p>
        </w:tc>
        <w:tc>
          <w:tcPr>
            <w:tcW w:w="352" w:type="pct"/>
            <w:vMerge w:val="continue"/>
            <w:vAlign w:val="center"/>
          </w:tcPr>
          <w:p>
            <w:pPr>
              <w:snapToGrid w:val="0"/>
              <w:jc w:val="center"/>
              <w:rPr>
                <w:rFonts w:eastAsiaTheme="minorEastAsia"/>
                <w:b/>
                <w:sz w:val="20"/>
                <w:szCs w:val="2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Merge w:val="restart"/>
            <w:vAlign w:val="center"/>
          </w:tcPr>
          <w:p>
            <w:pPr>
              <w:adjustRightInd w:val="0"/>
              <w:snapToGrid w:val="0"/>
              <w:jc w:val="center"/>
              <w:rPr>
                <w:rFonts w:eastAsiaTheme="minorEastAsia"/>
                <w:sz w:val="20"/>
                <w:szCs w:val="20"/>
              </w:rPr>
            </w:pPr>
            <w:r>
              <w:rPr>
                <w:rFonts w:eastAsiaTheme="minorEastAsia"/>
                <w:sz w:val="20"/>
                <w:szCs w:val="20"/>
              </w:rPr>
              <w:t xml:space="preserve">G1 </w:t>
            </w:r>
          </w:p>
        </w:tc>
        <w:tc>
          <w:tcPr>
            <w:tcW w:w="641" w:type="pct"/>
            <w:vMerge w:val="restart"/>
            <w:tcBorders>
              <w:right w:val="single" w:color="auto" w:sz="4" w:space="0"/>
            </w:tcBorders>
            <w:vAlign w:val="center"/>
          </w:tcPr>
          <w:p>
            <w:pPr>
              <w:snapToGrid w:val="0"/>
              <w:jc w:val="center"/>
              <w:rPr>
                <w:rFonts w:eastAsiaTheme="minorEastAsia"/>
                <w:sz w:val="20"/>
                <w:szCs w:val="20"/>
              </w:rPr>
            </w:pPr>
            <w:r>
              <w:rPr>
                <w:rFonts w:eastAsiaTheme="minorEastAsia"/>
                <w:sz w:val="20"/>
                <w:szCs w:val="20"/>
              </w:rPr>
              <w:t>113° 4'36"</w:t>
            </w:r>
          </w:p>
        </w:tc>
        <w:tc>
          <w:tcPr>
            <w:tcW w:w="580" w:type="pct"/>
            <w:vMerge w:val="restart"/>
            <w:tcBorders>
              <w:left w:val="single" w:color="auto" w:sz="4" w:space="0"/>
            </w:tcBorders>
            <w:vAlign w:val="center"/>
          </w:tcPr>
          <w:p>
            <w:pPr>
              <w:snapToGrid w:val="0"/>
              <w:jc w:val="center"/>
              <w:rPr>
                <w:rFonts w:eastAsiaTheme="minorEastAsia"/>
                <w:sz w:val="20"/>
                <w:szCs w:val="20"/>
              </w:rPr>
            </w:pPr>
            <w:r>
              <w:rPr>
                <w:rFonts w:eastAsiaTheme="minorEastAsia"/>
                <w:sz w:val="20"/>
                <w:szCs w:val="20"/>
              </w:rPr>
              <w:t>28°49'27"</w:t>
            </w:r>
          </w:p>
        </w:tc>
        <w:tc>
          <w:tcPr>
            <w:tcW w:w="468" w:type="pct"/>
            <w:vAlign w:val="center"/>
          </w:tcPr>
          <w:p>
            <w:pPr>
              <w:snapToGrid w:val="0"/>
              <w:jc w:val="center"/>
              <w:rPr>
                <w:rFonts w:eastAsiaTheme="minorEastAsia"/>
                <w:sz w:val="20"/>
                <w:szCs w:val="20"/>
              </w:rPr>
            </w:pPr>
            <w:r>
              <w:rPr>
                <w:rFonts w:eastAsiaTheme="minorEastAsia"/>
                <w:sz w:val="20"/>
                <w:szCs w:val="20"/>
              </w:rPr>
              <w:t>硫化氢</w:t>
            </w:r>
          </w:p>
        </w:tc>
        <w:tc>
          <w:tcPr>
            <w:tcW w:w="640" w:type="pct"/>
            <w:vAlign w:val="center"/>
          </w:tcPr>
          <w:p>
            <w:pPr>
              <w:snapToGrid w:val="0"/>
              <w:jc w:val="center"/>
              <w:rPr>
                <w:rFonts w:eastAsiaTheme="minorEastAsia"/>
                <w:sz w:val="20"/>
                <w:szCs w:val="20"/>
              </w:rPr>
            </w:pPr>
            <w:r>
              <w:rPr>
                <w:rFonts w:eastAsiaTheme="minorEastAsia"/>
                <w:sz w:val="20"/>
                <w:szCs w:val="20"/>
              </w:rPr>
              <w:t>1h平均值</w:t>
            </w:r>
          </w:p>
        </w:tc>
        <w:tc>
          <w:tcPr>
            <w:tcW w:w="641" w:type="pct"/>
            <w:vAlign w:val="center"/>
          </w:tcPr>
          <w:p>
            <w:pPr>
              <w:snapToGrid w:val="0"/>
              <w:jc w:val="center"/>
              <w:rPr>
                <w:rFonts w:eastAsiaTheme="minorEastAsia"/>
                <w:sz w:val="20"/>
                <w:szCs w:val="20"/>
              </w:rPr>
            </w:pPr>
            <w:r>
              <w:rPr>
                <w:rFonts w:eastAsiaTheme="minorEastAsia"/>
                <w:sz w:val="20"/>
                <w:szCs w:val="20"/>
              </w:rPr>
              <w:t>10</w:t>
            </w:r>
          </w:p>
        </w:tc>
        <w:tc>
          <w:tcPr>
            <w:tcW w:w="641" w:type="pct"/>
            <w:vAlign w:val="center"/>
          </w:tcPr>
          <w:p>
            <w:pPr>
              <w:snapToGrid w:val="0"/>
              <w:jc w:val="center"/>
              <w:rPr>
                <w:rFonts w:eastAsiaTheme="minorEastAsia"/>
                <w:sz w:val="20"/>
                <w:szCs w:val="20"/>
              </w:rPr>
            </w:pPr>
            <w:r>
              <w:rPr>
                <w:rFonts w:eastAsiaTheme="minorEastAsia"/>
                <w:sz w:val="20"/>
                <w:szCs w:val="20"/>
              </w:rPr>
              <w:t>ND</w:t>
            </w:r>
          </w:p>
        </w:tc>
        <w:tc>
          <w:tcPr>
            <w:tcW w:w="467" w:type="pct"/>
            <w:vAlign w:val="center"/>
          </w:tcPr>
          <w:p>
            <w:pPr>
              <w:snapToGrid w:val="0"/>
              <w:jc w:val="center"/>
              <w:rPr>
                <w:rFonts w:eastAsiaTheme="minorEastAsia"/>
                <w:sz w:val="20"/>
                <w:szCs w:val="20"/>
              </w:rPr>
            </w:pPr>
            <w:r>
              <w:rPr>
                <w:rFonts w:eastAsiaTheme="minorEastAsia"/>
                <w:sz w:val="20"/>
                <w:szCs w:val="20"/>
              </w:rPr>
              <w:t>0%</w:t>
            </w:r>
          </w:p>
        </w:tc>
        <w:tc>
          <w:tcPr>
            <w:tcW w:w="277" w:type="pct"/>
            <w:vAlign w:val="center"/>
          </w:tcPr>
          <w:p>
            <w:pPr>
              <w:snapToGrid w:val="0"/>
              <w:jc w:val="center"/>
              <w:rPr>
                <w:rFonts w:eastAsiaTheme="minorEastAsia"/>
                <w:sz w:val="20"/>
                <w:szCs w:val="20"/>
              </w:rPr>
            </w:pPr>
            <w:r>
              <w:rPr>
                <w:rFonts w:eastAsiaTheme="minorEastAsia"/>
                <w:sz w:val="20"/>
                <w:szCs w:val="20"/>
              </w:rPr>
              <w:t>0</w:t>
            </w:r>
          </w:p>
        </w:tc>
        <w:tc>
          <w:tcPr>
            <w:tcW w:w="352" w:type="pct"/>
            <w:vAlign w:val="center"/>
          </w:tcPr>
          <w:p>
            <w:pPr>
              <w:snapToGrid w:val="0"/>
              <w:jc w:val="center"/>
              <w:rPr>
                <w:rFonts w:eastAsiaTheme="minorEastAsia"/>
                <w:sz w:val="20"/>
                <w:szCs w:val="20"/>
              </w:rPr>
            </w:pPr>
            <w:r>
              <w:rPr>
                <w:rFonts w:eastAsiaTheme="minorEastAsia"/>
                <w:sz w:val="20"/>
                <w:szCs w:val="20"/>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snapToGrid w:val="0"/>
              <w:jc w:val="center"/>
              <w:rPr>
                <w:rFonts w:eastAsiaTheme="minorEastAsia"/>
                <w:sz w:val="20"/>
                <w:szCs w:val="20"/>
              </w:rPr>
            </w:pPr>
          </w:p>
        </w:tc>
        <w:tc>
          <w:tcPr>
            <w:tcW w:w="641" w:type="pct"/>
            <w:vMerge w:val="continue"/>
            <w:tcBorders>
              <w:right w:val="single" w:color="auto" w:sz="4" w:space="0"/>
            </w:tcBorders>
            <w:vAlign w:val="center"/>
          </w:tcPr>
          <w:p>
            <w:pPr>
              <w:snapToGrid w:val="0"/>
              <w:jc w:val="center"/>
              <w:rPr>
                <w:rFonts w:eastAsiaTheme="minorEastAsia"/>
                <w:sz w:val="20"/>
                <w:szCs w:val="20"/>
              </w:rPr>
            </w:pPr>
          </w:p>
        </w:tc>
        <w:tc>
          <w:tcPr>
            <w:tcW w:w="580" w:type="pct"/>
            <w:vMerge w:val="continue"/>
            <w:tcBorders>
              <w:left w:val="single" w:color="auto" w:sz="4" w:space="0"/>
            </w:tcBorders>
            <w:vAlign w:val="center"/>
          </w:tcPr>
          <w:p>
            <w:pPr>
              <w:snapToGrid w:val="0"/>
              <w:jc w:val="center"/>
              <w:rPr>
                <w:rFonts w:eastAsiaTheme="minorEastAsia"/>
                <w:sz w:val="20"/>
                <w:szCs w:val="20"/>
              </w:rPr>
            </w:pPr>
          </w:p>
        </w:tc>
        <w:tc>
          <w:tcPr>
            <w:tcW w:w="468" w:type="pct"/>
            <w:vAlign w:val="center"/>
          </w:tcPr>
          <w:p>
            <w:pPr>
              <w:adjustRightInd w:val="0"/>
              <w:snapToGrid w:val="0"/>
              <w:jc w:val="center"/>
              <w:rPr>
                <w:rFonts w:eastAsiaTheme="minorEastAsia"/>
                <w:sz w:val="20"/>
                <w:szCs w:val="20"/>
              </w:rPr>
            </w:pPr>
            <w:r>
              <w:rPr>
                <w:rFonts w:eastAsiaTheme="minorEastAsia"/>
                <w:sz w:val="20"/>
                <w:szCs w:val="20"/>
              </w:rPr>
              <w:t>氨</w:t>
            </w:r>
          </w:p>
        </w:tc>
        <w:tc>
          <w:tcPr>
            <w:tcW w:w="640" w:type="pct"/>
            <w:vAlign w:val="center"/>
          </w:tcPr>
          <w:p>
            <w:pPr>
              <w:snapToGrid w:val="0"/>
              <w:jc w:val="center"/>
              <w:rPr>
                <w:rFonts w:eastAsiaTheme="minorEastAsia"/>
                <w:sz w:val="20"/>
                <w:szCs w:val="20"/>
              </w:rPr>
            </w:pPr>
            <w:r>
              <w:rPr>
                <w:rFonts w:eastAsiaTheme="minorEastAsia"/>
                <w:sz w:val="20"/>
                <w:szCs w:val="20"/>
              </w:rPr>
              <w:t>1h平均值</w:t>
            </w:r>
          </w:p>
        </w:tc>
        <w:tc>
          <w:tcPr>
            <w:tcW w:w="641" w:type="pct"/>
            <w:vAlign w:val="center"/>
          </w:tcPr>
          <w:p>
            <w:pPr>
              <w:snapToGrid w:val="0"/>
              <w:jc w:val="center"/>
              <w:rPr>
                <w:rFonts w:eastAsiaTheme="minorEastAsia"/>
                <w:sz w:val="20"/>
                <w:szCs w:val="20"/>
              </w:rPr>
            </w:pPr>
            <w:r>
              <w:rPr>
                <w:rFonts w:eastAsiaTheme="minorEastAsia"/>
                <w:sz w:val="20"/>
                <w:szCs w:val="20"/>
              </w:rPr>
              <w:t>200</w:t>
            </w:r>
          </w:p>
        </w:tc>
        <w:tc>
          <w:tcPr>
            <w:tcW w:w="641" w:type="pct"/>
            <w:vAlign w:val="center"/>
          </w:tcPr>
          <w:p>
            <w:pPr>
              <w:snapToGrid w:val="0"/>
              <w:jc w:val="center"/>
              <w:rPr>
                <w:rFonts w:eastAsiaTheme="minorEastAsia"/>
                <w:sz w:val="20"/>
                <w:szCs w:val="20"/>
              </w:rPr>
            </w:pPr>
            <w:r>
              <w:rPr>
                <w:rFonts w:eastAsiaTheme="minorEastAsia"/>
                <w:sz w:val="20"/>
                <w:szCs w:val="20"/>
              </w:rPr>
              <w:t>13~19</w:t>
            </w:r>
          </w:p>
        </w:tc>
        <w:tc>
          <w:tcPr>
            <w:tcW w:w="467" w:type="pct"/>
            <w:vAlign w:val="center"/>
          </w:tcPr>
          <w:p>
            <w:pPr>
              <w:snapToGrid w:val="0"/>
              <w:jc w:val="center"/>
              <w:rPr>
                <w:rFonts w:eastAsiaTheme="minorEastAsia"/>
                <w:sz w:val="20"/>
                <w:szCs w:val="20"/>
              </w:rPr>
            </w:pPr>
            <w:r>
              <w:rPr>
                <w:rFonts w:eastAsiaTheme="minorEastAsia"/>
                <w:sz w:val="20"/>
                <w:szCs w:val="20"/>
              </w:rPr>
              <w:t>9.5%</w:t>
            </w:r>
          </w:p>
        </w:tc>
        <w:tc>
          <w:tcPr>
            <w:tcW w:w="277" w:type="pct"/>
            <w:vAlign w:val="center"/>
          </w:tcPr>
          <w:p>
            <w:pPr>
              <w:snapToGrid w:val="0"/>
              <w:jc w:val="center"/>
              <w:rPr>
                <w:rFonts w:eastAsiaTheme="minorEastAsia"/>
                <w:sz w:val="20"/>
                <w:szCs w:val="20"/>
              </w:rPr>
            </w:pPr>
            <w:r>
              <w:rPr>
                <w:rFonts w:eastAsiaTheme="minorEastAsia"/>
                <w:sz w:val="20"/>
                <w:szCs w:val="20"/>
              </w:rPr>
              <w:t>0</w:t>
            </w:r>
          </w:p>
        </w:tc>
        <w:tc>
          <w:tcPr>
            <w:tcW w:w="352" w:type="pct"/>
            <w:vAlign w:val="center"/>
          </w:tcPr>
          <w:p>
            <w:pPr>
              <w:snapToGrid w:val="0"/>
              <w:jc w:val="center"/>
              <w:rPr>
                <w:rFonts w:eastAsiaTheme="minorEastAsia"/>
                <w:sz w:val="20"/>
                <w:szCs w:val="20"/>
              </w:rPr>
            </w:pPr>
            <w:r>
              <w:rPr>
                <w:rFonts w:eastAsiaTheme="minorEastAsia"/>
                <w:sz w:val="20"/>
                <w:szCs w:val="20"/>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Merge w:val="restart"/>
            <w:vAlign w:val="center"/>
          </w:tcPr>
          <w:p>
            <w:pPr>
              <w:adjustRightInd w:val="0"/>
              <w:snapToGrid w:val="0"/>
              <w:jc w:val="center"/>
              <w:outlineLvl w:val="2"/>
              <w:rPr>
                <w:rFonts w:eastAsiaTheme="minorEastAsia"/>
                <w:sz w:val="20"/>
                <w:szCs w:val="20"/>
              </w:rPr>
            </w:pPr>
            <w:r>
              <w:rPr>
                <w:rFonts w:eastAsiaTheme="minorEastAsia"/>
                <w:sz w:val="20"/>
                <w:szCs w:val="20"/>
              </w:rPr>
              <w:t xml:space="preserve">G2 </w:t>
            </w:r>
          </w:p>
        </w:tc>
        <w:tc>
          <w:tcPr>
            <w:tcW w:w="641" w:type="pct"/>
            <w:vMerge w:val="restart"/>
            <w:tcBorders>
              <w:right w:val="single" w:color="auto" w:sz="4" w:space="0"/>
            </w:tcBorders>
            <w:vAlign w:val="center"/>
          </w:tcPr>
          <w:p>
            <w:pPr>
              <w:snapToGrid w:val="0"/>
              <w:jc w:val="center"/>
              <w:rPr>
                <w:rFonts w:eastAsiaTheme="minorEastAsia"/>
                <w:sz w:val="20"/>
                <w:szCs w:val="20"/>
              </w:rPr>
            </w:pPr>
            <w:r>
              <w:rPr>
                <w:rFonts w:eastAsiaTheme="minorEastAsia"/>
                <w:sz w:val="20"/>
                <w:szCs w:val="20"/>
              </w:rPr>
              <w:t>113° 4'34"</w:t>
            </w:r>
          </w:p>
        </w:tc>
        <w:tc>
          <w:tcPr>
            <w:tcW w:w="580" w:type="pct"/>
            <w:vMerge w:val="restart"/>
            <w:tcBorders>
              <w:left w:val="single" w:color="auto" w:sz="4" w:space="0"/>
            </w:tcBorders>
            <w:vAlign w:val="center"/>
          </w:tcPr>
          <w:p>
            <w:pPr>
              <w:snapToGrid w:val="0"/>
              <w:jc w:val="center"/>
              <w:rPr>
                <w:rFonts w:eastAsiaTheme="minorEastAsia"/>
                <w:sz w:val="20"/>
                <w:szCs w:val="20"/>
              </w:rPr>
            </w:pPr>
            <w:r>
              <w:rPr>
                <w:rFonts w:eastAsiaTheme="minorEastAsia"/>
                <w:sz w:val="20"/>
                <w:szCs w:val="20"/>
              </w:rPr>
              <w:t>28°49'19"</w:t>
            </w:r>
          </w:p>
        </w:tc>
        <w:tc>
          <w:tcPr>
            <w:tcW w:w="468" w:type="pct"/>
            <w:vAlign w:val="center"/>
          </w:tcPr>
          <w:p>
            <w:pPr>
              <w:snapToGrid w:val="0"/>
              <w:jc w:val="center"/>
              <w:rPr>
                <w:rFonts w:eastAsiaTheme="minorEastAsia"/>
                <w:sz w:val="20"/>
                <w:szCs w:val="20"/>
              </w:rPr>
            </w:pPr>
            <w:r>
              <w:rPr>
                <w:rFonts w:eastAsiaTheme="minorEastAsia"/>
                <w:sz w:val="20"/>
                <w:szCs w:val="20"/>
              </w:rPr>
              <w:t>硫化氢</w:t>
            </w:r>
          </w:p>
        </w:tc>
        <w:tc>
          <w:tcPr>
            <w:tcW w:w="640" w:type="pct"/>
            <w:vAlign w:val="center"/>
          </w:tcPr>
          <w:p>
            <w:pPr>
              <w:snapToGrid w:val="0"/>
              <w:jc w:val="center"/>
              <w:rPr>
                <w:rFonts w:eastAsiaTheme="minorEastAsia"/>
                <w:sz w:val="20"/>
                <w:szCs w:val="20"/>
              </w:rPr>
            </w:pPr>
            <w:r>
              <w:rPr>
                <w:rFonts w:eastAsiaTheme="minorEastAsia"/>
                <w:sz w:val="20"/>
                <w:szCs w:val="20"/>
              </w:rPr>
              <w:t>1h平均值</w:t>
            </w:r>
          </w:p>
        </w:tc>
        <w:tc>
          <w:tcPr>
            <w:tcW w:w="641" w:type="pct"/>
            <w:vAlign w:val="center"/>
          </w:tcPr>
          <w:p>
            <w:pPr>
              <w:snapToGrid w:val="0"/>
              <w:jc w:val="center"/>
              <w:rPr>
                <w:rFonts w:eastAsiaTheme="minorEastAsia"/>
                <w:sz w:val="20"/>
                <w:szCs w:val="20"/>
              </w:rPr>
            </w:pPr>
            <w:r>
              <w:rPr>
                <w:rFonts w:eastAsiaTheme="minorEastAsia"/>
                <w:sz w:val="20"/>
                <w:szCs w:val="20"/>
              </w:rPr>
              <w:t>10</w:t>
            </w:r>
          </w:p>
        </w:tc>
        <w:tc>
          <w:tcPr>
            <w:tcW w:w="641" w:type="pct"/>
            <w:vAlign w:val="center"/>
          </w:tcPr>
          <w:p>
            <w:pPr>
              <w:snapToGrid w:val="0"/>
              <w:jc w:val="center"/>
              <w:rPr>
                <w:rFonts w:eastAsiaTheme="minorEastAsia"/>
                <w:sz w:val="20"/>
                <w:szCs w:val="20"/>
              </w:rPr>
            </w:pPr>
            <w:r>
              <w:rPr>
                <w:rFonts w:eastAsiaTheme="minorEastAsia"/>
                <w:sz w:val="20"/>
                <w:szCs w:val="20"/>
              </w:rPr>
              <w:t>ND</w:t>
            </w:r>
          </w:p>
        </w:tc>
        <w:tc>
          <w:tcPr>
            <w:tcW w:w="467" w:type="pct"/>
            <w:vAlign w:val="center"/>
          </w:tcPr>
          <w:p>
            <w:pPr>
              <w:snapToGrid w:val="0"/>
              <w:jc w:val="center"/>
              <w:rPr>
                <w:rFonts w:eastAsiaTheme="minorEastAsia"/>
                <w:sz w:val="20"/>
                <w:szCs w:val="20"/>
              </w:rPr>
            </w:pPr>
            <w:r>
              <w:rPr>
                <w:rFonts w:eastAsiaTheme="minorEastAsia"/>
                <w:sz w:val="20"/>
                <w:szCs w:val="20"/>
              </w:rPr>
              <w:t>0%</w:t>
            </w:r>
          </w:p>
        </w:tc>
        <w:tc>
          <w:tcPr>
            <w:tcW w:w="277" w:type="pct"/>
            <w:vAlign w:val="center"/>
          </w:tcPr>
          <w:p>
            <w:pPr>
              <w:snapToGrid w:val="0"/>
              <w:jc w:val="center"/>
              <w:rPr>
                <w:rFonts w:eastAsiaTheme="minorEastAsia"/>
                <w:sz w:val="20"/>
                <w:szCs w:val="20"/>
              </w:rPr>
            </w:pPr>
            <w:r>
              <w:rPr>
                <w:rFonts w:eastAsiaTheme="minorEastAsia"/>
                <w:sz w:val="20"/>
                <w:szCs w:val="20"/>
              </w:rPr>
              <w:t>0</w:t>
            </w:r>
          </w:p>
        </w:tc>
        <w:tc>
          <w:tcPr>
            <w:tcW w:w="352" w:type="pct"/>
            <w:vAlign w:val="center"/>
          </w:tcPr>
          <w:p>
            <w:pPr>
              <w:snapToGrid w:val="0"/>
              <w:jc w:val="center"/>
              <w:rPr>
                <w:rFonts w:eastAsiaTheme="minorEastAsia"/>
                <w:sz w:val="20"/>
                <w:szCs w:val="20"/>
              </w:rPr>
            </w:pPr>
            <w:r>
              <w:rPr>
                <w:rFonts w:eastAsiaTheme="minorEastAsia"/>
                <w:sz w:val="20"/>
                <w:szCs w:val="20"/>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4" w:type="pct"/>
            <w:vMerge w:val="continue"/>
            <w:vAlign w:val="center"/>
          </w:tcPr>
          <w:p>
            <w:pPr>
              <w:snapToGrid w:val="0"/>
              <w:jc w:val="center"/>
              <w:rPr>
                <w:rFonts w:eastAsiaTheme="minorEastAsia"/>
                <w:sz w:val="20"/>
                <w:szCs w:val="20"/>
              </w:rPr>
            </w:pPr>
          </w:p>
        </w:tc>
        <w:tc>
          <w:tcPr>
            <w:tcW w:w="641" w:type="pct"/>
            <w:vMerge w:val="continue"/>
            <w:tcBorders>
              <w:right w:val="single" w:color="auto" w:sz="4" w:space="0"/>
            </w:tcBorders>
            <w:vAlign w:val="center"/>
          </w:tcPr>
          <w:p>
            <w:pPr>
              <w:snapToGrid w:val="0"/>
              <w:jc w:val="center"/>
              <w:rPr>
                <w:rFonts w:eastAsiaTheme="minorEastAsia"/>
                <w:sz w:val="20"/>
                <w:szCs w:val="20"/>
              </w:rPr>
            </w:pPr>
          </w:p>
        </w:tc>
        <w:tc>
          <w:tcPr>
            <w:tcW w:w="580" w:type="pct"/>
            <w:vMerge w:val="continue"/>
            <w:tcBorders>
              <w:left w:val="single" w:color="auto" w:sz="4" w:space="0"/>
            </w:tcBorders>
            <w:vAlign w:val="center"/>
          </w:tcPr>
          <w:p>
            <w:pPr>
              <w:snapToGrid w:val="0"/>
              <w:jc w:val="center"/>
              <w:rPr>
                <w:rFonts w:eastAsiaTheme="minorEastAsia"/>
                <w:sz w:val="20"/>
                <w:szCs w:val="20"/>
              </w:rPr>
            </w:pPr>
          </w:p>
        </w:tc>
        <w:tc>
          <w:tcPr>
            <w:tcW w:w="468" w:type="pct"/>
            <w:vAlign w:val="center"/>
          </w:tcPr>
          <w:p>
            <w:pPr>
              <w:adjustRightInd w:val="0"/>
              <w:snapToGrid w:val="0"/>
              <w:jc w:val="center"/>
              <w:rPr>
                <w:rFonts w:eastAsiaTheme="minorEastAsia"/>
                <w:sz w:val="20"/>
                <w:szCs w:val="20"/>
              </w:rPr>
            </w:pPr>
            <w:r>
              <w:rPr>
                <w:rFonts w:eastAsiaTheme="minorEastAsia"/>
                <w:sz w:val="20"/>
                <w:szCs w:val="20"/>
              </w:rPr>
              <w:t>氨</w:t>
            </w:r>
          </w:p>
        </w:tc>
        <w:tc>
          <w:tcPr>
            <w:tcW w:w="640" w:type="pct"/>
            <w:vAlign w:val="center"/>
          </w:tcPr>
          <w:p>
            <w:pPr>
              <w:snapToGrid w:val="0"/>
              <w:jc w:val="center"/>
              <w:rPr>
                <w:rFonts w:eastAsiaTheme="minorEastAsia"/>
                <w:sz w:val="20"/>
                <w:szCs w:val="20"/>
              </w:rPr>
            </w:pPr>
            <w:r>
              <w:rPr>
                <w:rFonts w:eastAsiaTheme="minorEastAsia"/>
                <w:sz w:val="20"/>
                <w:szCs w:val="20"/>
              </w:rPr>
              <w:t>1h平均值</w:t>
            </w:r>
          </w:p>
        </w:tc>
        <w:tc>
          <w:tcPr>
            <w:tcW w:w="641" w:type="pct"/>
            <w:vAlign w:val="center"/>
          </w:tcPr>
          <w:p>
            <w:pPr>
              <w:snapToGrid w:val="0"/>
              <w:jc w:val="center"/>
              <w:rPr>
                <w:rFonts w:eastAsiaTheme="minorEastAsia"/>
                <w:sz w:val="20"/>
                <w:szCs w:val="20"/>
              </w:rPr>
            </w:pPr>
            <w:r>
              <w:rPr>
                <w:rFonts w:eastAsiaTheme="minorEastAsia"/>
                <w:sz w:val="20"/>
                <w:szCs w:val="20"/>
              </w:rPr>
              <w:t>200</w:t>
            </w:r>
          </w:p>
        </w:tc>
        <w:tc>
          <w:tcPr>
            <w:tcW w:w="641" w:type="pct"/>
            <w:vAlign w:val="center"/>
          </w:tcPr>
          <w:p>
            <w:pPr>
              <w:snapToGrid w:val="0"/>
              <w:jc w:val="center"/>
              <w:rPr>
                <w:rFonts w:eastAsiaTheme="minorEastAsia"/>
                <w:sz w:val="20"/>
                <w:szCs w:val="20"/>
              </w:rPr>
            </w:pPr>
            <w:r>
              <w:rPr>
                <w:rFonts w:eastAsiaTheme="minorEastAsia"/>
                <w:sz w:val="20"/>
                <w:szCs w:val="20"/>
              </w:rPr>
              <w:t>12~18</w:t>
            </w:r>
          </w:p>
        </w:tc>
        <w:tc>
          <w:tcPr>
            <w:tcW w:w="467" w:type="pct"/>
            <w:vAlign w:val="center"/>
          </w:tcPr>
          <w:p>
            <w:pPr>
              <w:snapToGrid w:val="0"/>
              <w:jc w:val="center"/>
              <w:rPr>
                <w:rFonts w:eastAsiaTheme="minorEastAsia"/>
                <w:sz w:val="20"/>
                <w:szCs w:val="20"/>
              </w:rPr>
            </w:pPr>
            <w:r>
              <w:rPr>
                <w:rFonts w:eastAsiaTheme="minorEastAsia"/>
                <w:sz w:val="20"/>
                <w:szCs w:val="20"/>
              </w:rPr>
              <w:t>9%</w:t>
            </w:r>
          </w:p>
        </w:tc>
        <w:tc>
          <w:tcPr>
            <w:tcW w:w="277" w:type="pct"/>
            <w:vAlign w:val="center"/>
          </w:tcPr>
          <w:p>
            <w:pPr>
              <w:snapToGrid w:val="0"/>
              <w:jc w:val="center"/>
              <w:rPr>
                <w:rFonts w:eastAsiaTheme="minorEastAsia"/>
                <w:sz w:val="20"/>
                <w:szCs w:val="20"/>
              </w:rPr>
            </w:pPr>
            <w:r>
              <w:rPr>
                <w:rFonts w:eastAsiaTheme="minorEastAsia"/>
                <w:sz w:val="20"/>
                <w:szCs w:val="20"/>
              </w:rPr>
              <w:t>0</w:t>
            </w:r>
          </w:p>
        </w:tc>
        <w:tc>
          <w:tcPr>
            <w:tcW w:w="352" w:type="pct"/>
            <w:vAlign w:val="center"/>
          </w:tcPr>
          <w:p>
            <w:pPr>
              <w:snapToGrid w:val="0"/>
              <w:jc w:val="center"/>
              <w:rPr>
                <w:rFonts w:eastAsiaTheme="minorEastAsia"/>
                <w:sz w:val="20"/>
                <w:szCs w:val="20"/>
              </w:rPr>
            </w:pPr>
            <w:r>
              <w:rPr>
                <w:rFonts w:eastAsiaTheme="minorEastAsia"/>
                <w:sz w:val="20"/>
                <w:szCs w:val="20"/>
              </w:rPr>
              <w:t>达标</w:t>
            </w:r>
          </w:p>
        </w:tc>
      </w:tr>
    </w:tbl>
    <w:p>
      <w:pPr>
        <w:snapToGrid w:val="0"/>
        <w:spacing w:line="360" w:lineRule="auto"/>
        <w:ind w:firstLine="556" w:firstLineChars="232"/>
        <w:rPr>
          <w:rFonts w:eastAsiaTheme="minorEastAsia"/>
          <w:sz w:val="24"/>
        </w:rPr>
      </w:pPr>
      <w:r>
        <w:rPr>
          <w:rFonts w:eastAsiaTheme="minorEastAsia"/>
          <w:sz w:val="24"/>
        </w:rPr>
        <w:t>根据监测结果表明，</w:t>
      </w:r>
      <w:r>
        <w:rPr>
          <w:rFonts w:eastAsiaTheme="minorEastAsia"/>
          <w:bCs/>
          <w:sz w:val="24"/>
        </w:rPr>
        <w:t>本项目所在区域特征因子：硫化氢、氨满足《环境影响评价技术导则大气环境》(HJ2.2-2018)附录D限值要求。</w:t>
      </w:r>
    </w:p>
    <w:p>
      <w:pPr>
        <w:pStyle w:val="3"/>
        <w:snapToGrid w:val="0"/>
        <w:spacing w:before="0" w:after="0" w:line="360" w:lineRule="auto"/>
        <w:rPr>
          <w:rFonts w:ascii="Times New Roman" w:hAnsi="Times New Roman" w:eastAsiaTheme="minorEastAsia"/>
          <w:b w:val="0"/>
          <w:sz w:val="24"/>
          <w:szCs w:val="24"/>
        </w:rPr>
      </w:pPr>
      <w:bookmarkStart w:id="128" w:name="_Toc61026608"/>
      <w:r>
        <w:rPr>
          <w:rFonts w:ascii="Times New Roman" w:hAnsi="Times New Roman" w:eastAsiaTheme="minorEastAsia"/>
          <w:sz w:val="28"/>
          <w:lang w:val="zh-CN"/>
        </w:rPr>
        <w:t>5.4 声环境质量现状调查与评价</w:t>
      </w:r>
      <w:bookmarkEnd w:id="128"/>
    </w:p>
    <w:p>
      <w:pPr>
        <w:snapToGrid w:val="0"/>
        <w:spacing w:line="360" w:lineRule="auto"/>
        <w:ind w:firstLine="480" w:firstLineChars="200"/>
        <w:rPr>
          <w:rFonts w:eastAsiaTheme="minorEastAsia"/>
          <w:bCs/>
          <w:sz w:val="24"/>
        </w:rPr>
      </w:pPr>
      <w:r>
        <w:rPr>
          <w:rFonts w:eastAsiaTheme="minorEastAsia"/>
          <w:bCs/>
          <w:sz w:val="24"/>
        </w:rPr>
        <w:t>环评单位委托湖南谱实检测技术有限公司2020年11月18日~2020年11月19日对项目所在地周边区域进行的环境监测。</w:t>
      </w:r>
    </w:p>
    <w:p>
      <w:pPr>
        <w:snapToGrid w:val="0"/>
        <w:spacing w:line="360" w:lineRule="auto"/>
        <w:ind w:firstLine="480" w:firstLineChars="200"/>
        <w:rPr>
          <w:rFonts w:eastAsiaTheme="minorEastAsia"/>
          <w:sz w:val="24"/>
        </w:rPr>
      </w:pPr>
      <w:r>
        <w:rPr>
          <w:rFonts w:eastAsiaTheme="minorEastAsia"/>
          <w:sz w:val="24"/>
        </w:rPr>
        <w:t>（1）监测布点</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表5.4-1  本项目声环境监测布点一栏表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8"/>
        <w:gridCol w:w="3732"/>
        <w:gridCol w:w="40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5" w:type="pct"/>
            <w:vAlign w:val="center"/>
          </w:tcPr>
          <w:p>
            <w:pPr>
              <w:snapToGrid w:val="0"/>
              <w:jc w:val="center"/>
              <w:rPr>
                <w:rFonts w:eastAsiaTheme="minorEastAsia"/>
                <w:b/>
                <w:szCs w:val="21"/>
              </w:rPr>
            </w:pPr>
            <w:r>
              <w:rPr>
                <w:rFonts w:eastAsiaTheme="minorEastAsia"/>
                <w:b/>
                <w:szCs w:val="21"/>
              </w:rPr>
              <w:t>编号</w:t>
            </w:r>
          </w:p>
        </w:tc>
        <w:tc>
          <w:tcPr>
            <w:tcW w:w="2123" w:type="pct"/>
            <w:vAlign w:val="center"/>
          </w:tcPr>
          <w:p>
            <w:pPr>
              <w:snapToGrid w:val="0"/>
              <w:jc w:val="center"/>
              <w:rPr>
                <w:rFonts w:eastAsiaTheme="minorEastAsia"/>
                <w:b/>
                <w:szCs w:val="21"/>
              </w:rPr>
            </w:pPr>
            <w:r>
              <w:rPr>
                <w:rFonts w:eastAsiaTheme="minorEastAsia"/>
                <w:b/>
                <w:szCs w:val="21"/>
              </w:rPr>
              <w:t>监测点位</w:t>
            </w:r>
          </w:p>
        </w:tc>
        <w:tc>
          <w:tcPr>
            <w:tcW w:w="2292" w:type="pct"/>
            <w:vAlign w:val="center"/>
          </w:tcPr>
          <w:p>
            <w:pPr>
              <w:snapToGrid w:val="0"/>
              <w:jc w:val="center"/>
              <w:rPr>
                <w:rFonts w:eastAsiaTheme="minorEastAsia"/>
                <w:b/>
                <w:szCs w:val="21"/>
              </w:rPr>
            </w:pPr>
            <w:r>
              <w:rPr>
                <w:rFonts w:eastAsiaTheme="minorEastAsia"/>
                <w:b/>
                <w:szCs w:val="21"/>
              </w:rPr>
              <w:t>相对拟建项目距离（m）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5" w:type="pct"/>
            <w:vAlign w:val="center"/>
          </w:tcPr>
          <w:p>
            <w:pPr>
              <w:snapToGrid w:val="0"/>
              <w:jc w:val="center"/>
              <w:rPr>
                <w:rFonts w:eastAsiaTheme="minorEastAsia"/>
                <w:szCs w:val="21"/>
              </w:rPr>
            </w:pPr>
            <w:r>
              <w:rPr>
                <w:rFonts w:eastAsiaTheme="minorEastAsia"/>
                <w:szCs w:val="21"/>
              </w:rPr>
              <w:t>N1</w:t>
            </w:r>
          </w:p>
        </w:tc>
        <w:tc>
          <w:tcPr>
            <w:tcW w:w="2123" w:type="pct"/>
            <w:vAlign w:val="center"/>
          </w:tcPr>
          <w:p>
            <w:pPr>
              <w:snapToGrid w:val="0"/>
              <w:jc w:val="center"/>
              <w:rPr>
                <w:rFonts w:eastAsiaTheme="minorEastAsia"/>
                <w:szCs w:val="21"/>
              </w:rPr>
            </w:pPr>
            <w:r>
              <w:rPr>
                <w:rFonts w:eastAsiaTheme="minorEastAsia"/>
                <w:szCs w:val="21"/>
              </w:rPr>
              <w:t>东侧场界</w:t>
            </w:r>
          </w:p>
        </w:tc>
        <w:tc>
          <w:tcPr>
            <w:tcW w:w="2292" w:type="pct"/>
            <w:vAlign w:val="center"/>
          </w:tcPr>
          <w:p>
            <w:pPr>
              <w:snapToGrid w:val="0"/>
              <w:jc w:val="center"/>
              <w:rPr>
                <w:rFonts w:eastAsiaTheme="minorEastAsia"/>
                <w:szCs w:val="21"/>
              </w:rPr>
            </w:pPr>
            <w:r>
              <w:rPr>
                <w:rFonts w:eastAsiaTheme="minorEastAsia"/>
                <w:szCs w:val="21"/>
              </w:rPr>
              <w:t>厂界东侧1米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5" w:type="pct"/>
            <w:vAlign w:val="center"/>
          </w:tcPr>
          <w:p>
            <w:pPr>
              <w:snapToGrid w:val="0"/>
              <w:jc w:val="center"/>
              <w:rPr>
                <w:rFonts w:eastAsiaTheme="minorEastAsia"/>
                <w:szCs w:val="21"/>
              </w:rPr>
            </w:pPr>
            <w:r>
              <w:rPr>
                <w:rFonts w:eastAsiaTheme="minorEastAsia"/>
                <w:szCs w:val="21"/>
              </w:rPr>
              <w:t>N2</w:t>
            </w:r>
          </w:p>
        </w:tc>
        <w:tc>
          <w:tcPr>
            <w:tcW w:w="2123" w:type="pct"/>
            <w:vAlign w:val="center"/>
          </w:tcPr>
          <w:p>
            <w:pPr>
              <w:snapToGrid w:val="0"/>
              <w:jc w:val="center"/>
              <w:rPr>
                <w:rFonts w:eastAsiaTheme="minorEastAsia"/>
                <w:szCs w:val="21"/>
              </w:rPr>
            </w:pPr>
            <w:r>
              <w:rPr>
                <w:rFonts w:eastAsiaTheme="minorEastAsia"/>
                <w:szCs w:val="21"/>
              </w:rPr>
              <w:t>南侧场界</w:t>
            </w:r>
          </w:p>
        </w:tc>
        <w:tc>
          <w:tcPr>
            <w:tcW w:w="2292" w:type="pct"/>
            <w:vAlign w:val="center"/>
          </w:tcPr>
          <w:p>
            <w:pPr>
              <w:snapToGrid w:val="0"/>
              <w:jc w:val="center"/>
              <w:rPr>
                <w:rFonts w:eastAsiaTheme="minorEastAsia"/>
                <w:szCs w:val="21"/>
              </w:rPr>
            </w:pPr>
            <w:r>
              <w:rPr>
                <w:rFonts w:eastAsiaTheme="minorEastAsia"/>
                <w:szCs w:val="21"/>
              </w:rPr>
              <w:t>厂界南侧1米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5" w:type="pct"/>
            <w:vAlign w:val="center"/>
          </w:tcPr>
          <w:p>
            <w:pPr>
              <w:snapToGrid w:val="0"/>
              <w:jc w:val="center"/>
              <w:rPr>
                <w:rFonts w:eastAsiaTheme="minorEastAsia"/>
                <w:szCs w:val="21"/>
              </w:rPr>
            </w:pPr>
            <w:r>
              <w:rPr>
                <w:rFonts w:eastAsiaTheme="minorEastAsia"/>
                <w:szCs w:val="21"/>
              </w:rPr>
              <w:t>N3</w:t>
            </w:r>
          </w:p>
        </w:tc>
        <w:tc>
          <w:tcPr>
            <w:tcW w:w="2123" w:type="pct"/>
            <w:vAlign w:val="center"/>
          </w:tcPr>
          <w:p>
            <w:pPr>
              <w:snapToGrid w:val="0"/>
              <w:jc w:val="center"/>
              <w:rPr>
                <w:rFonts w:eastAsiaTheme="minorEastAsia"/>
                <w:szCs w:val="21"/>
              </w:rPr>
            </w:pPr>
            <w:r>
              <w:rPr>
                <w:rFonts w:eastAsiaTheme="minorEastAsia"/>
                <w:szCs w:val="21"/>
              </w:rPr>
              <w:t>西侧场界</w:t>
            </w:r>
          </w:p>
        </w:tc>
        <w:tc>
          <w:tcPr>
            <w:tcW w:w="2292" w:type="pct"/>
            <w:vAlign w:val="center"/>
          </w:tcPr>
          <w:p>
            <w:pPr>
              <w:snapToGrid w:val="0"/>
              <w:jc w:val="center"/>
              <w:rPr>
                <w:rFonts w:eastAsiaTheme="minorEastAsia"/>
                <w:szCs w:val="21"/>
              </w:rPr>
            </w:pPr>
            <w:r>
              <w:rPr>
                <w:rFonts w:eastAsiaTheme="minorEastAsia"/>
                <w:szCs w:val="21"/>
              </w:rPr>
              <w:t>厂界西侧1米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85" w:type="pct"/>
            <w:vAlign w:val="center"/>
          </w:tcPr>
          <w:p>
            <w:pPr>
              <w:snapToGrid w:val="0"/>
              <w:jc w:val="center"/>
              <w:rPr>
                <w:rFonts w:eastAsiaTheme="minorEastAsia"/>
                <w:szCs w:val="21"/>
              </w:rPr>
            </w:pPr>
            <w:r>
              <w:rPr>
                <w:rFonts w:eastAsiaTheme="minorEastAsia"/>
                <w:szCs w:val="21"/>
              </w:rPr>
              <w:t>N4</w:t>
            </w:r>
          </w:p>
        </w:tc>
        <w:tc>
          <w:tcPr>
            <w:tcW w:w="2123" w:type="pct"/>
            <w:vAlign w:val="center"/>
          </w:tcPr>
          <w:p>
            <w:pPr>
              <w:snapToGrid w:val="0"/>
              <w:jc w:val="center"/>
              <w:rPr>
                <w:rFonts w:eastAsiaTheme="minorEastAsia"/>
                <w:szCs w:val="21"/>
              </w:rPr>
            </w:pPr>
            <w:r>
              <w:rPr>
                <w:rFonts w:eastAsiaTheme="minorEastAsia"/>
                <w:szCs w:val="21"/>
              </w:rPr>
              <w:t>北侧场界</w:t>
            </w:r>
          </w:p>
        </w:tc>
        <w:tc>
          <w:tcPr>
            <w:tcW w:w="2292" w:type="pct"/>
            <w:vAlign w:val="center"/>
          </w:tcPr>
          <w:p>
            <w:pPr>
              <w:snapToGrid w:val="0"/>
              <w:jc w:val="center"/>
              <w:rPr>
                <w:rFonts w:eastAsiaTheme="minorEastAsia"/>
                <w:szCs w:val="21"/>
              </w:rPr>
            </w:pPr>
            <w:r>
              <w:rPr>
                <w:rFonts w:eastAsiaTheme="minorEastAsia"/>
                <w:szCs w:val="21"/>
              </w:rPr>
              <w:t>厂界北侧1米</w:t>
            </w:r>
          </w:p>
        </w:tc>
      </w:tr>
    </w:tbl>
    <w:p>
      <w:pPr>
        <w:snapToGrid w:val="0"/>
        <w:spacing w:line="360" w:lineRule="auto"/>
        <w:ind w:firstLine="480" w:firstLineChars="200"/>
        <w:rPr>
          <w:rFonts w:eastAsiaTheme="minorEastAsia"/>
          <w:sz w:val="24"/>
        </w:rPr>
      </w:pPr>
      <w:r>
        <w:rPr>
          <w:rFonts w:eastAsiaTheme="minorEastAsia"/>
          <w:sz w:val="24"/>
        </w:rPr>
        <w:t>（2）监测频次</w:t>
      </w:r>
    </w:p>
    <w:p>
      <w:pPr>
        <w:snapToGrid w:val="0"/>
        <w:spacing w:line="360" w:lineRule="auto"/>
        <w:ind w:firstLine="480" w:firstLineChars="200"/>
        <w:rPr>
          <w:rFonts w:eastAsiaTheme="minorEastAsia"/>
          <w:sz w:val="24"/>
        </w:rPr>
      </w:pPr>
      <w:r>
        <w:rPr>
          <w:rFonts w:eastAsiaTheme="minorEastAsia"/>
          <w:sz w:val="24"/>
        </w:rPr>
        <w:t>连续监测两天，每天昼间、夜间各监测一次。</w:t>
      </w:r>
    </w:p>
    <w:p>
      <w:pPr>
        <w:snapToGrid w:val="0"/>
        <w:spacing w:line="360" w:lineRule="auto"/>
        <w:ind w:firstLine="480" w:firstLineChars="200"/>
        <w:rPr>
          <w:rFonts w:eastAsiaTheme="minorEastAsia"/>
          <w:sz w:val="24"/>
        </w:rPr>
      </w:pPr>
      <w:r>
        <w:rPr>
          <w:rFonts w:eastAsiaTheme="minorEastAsia"/>
          <w:sz w:val="24"/>
        </w:rPr>
        <w:t>（3）监测数据与评价</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表5.4-2  声环境质量现状监测数据与评价一览表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525"/>
        <w:gridCol w:w="1417"/>
        <w:gridCol w:w="1418"/>
        <w:gridCol w:w="1559"/>
        <w:gridCol w:w="18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2" w:hRule="atLeast"/>
          <w:jc w:val="center"/>
        </w:trPr>
        <w:tc>
          <w:tcPr>
            <w:tcW w:w="2525" w:type="dxa"/>
            <w:vMerge w:val="restart"/>
            <w:shd w:val="clear" w:color="auto" w:fill="FFFFFF"/>
            <w:vAlign w:val="center"/>
          </w:tcPr>
          <w:p>
            <w:pPr>
              <w:snapToGrid w:val="0"/>
              <w:jc w:val="center"/>
              <w:rPr>
                <w:rFonts w:eastAsiaTheme="minorEastAsia"/>
                <w:b/>
                <w:bCs/>
                <w:szCs w:val="21"/>
              </w:rPr>
            </w:pPr>
            <w:r>
              <w:rPr>
                <w:rFonts w:eastAsiaTheme="minorEastAsia"/>
                <w:b/>
                <w:bCs/>
                <w:szCs w:val="21"/>
              </w:rPr>
              <w:t>检测点位</w:t>
            </w:r>
          </w:p>
        </w:tc>
        <w:tc>
          <w:tcPr>
            <w:tcW w:w="6264" w:type="dxa"/>
            <w:gridSpan w:val="4"/>
            <w:shd w:val="clear" w:color="auto" w:fill="FFFFFF"/>
            <w:vAlign w:val="center"/>
          </w:tcPr>
          <w:p>
            <w:pPr>
              <w:snapToGrid w:val="0"/>
              <w:jc w:val="center"/>
              <w:rPr>
                <w:rFonts w:eastAsiaTheme="minorEastAsia"/>
                <w:b/>
                <w:bCs/>
                <w:szCs w:val="21"/>
              </w:rPr>
            </w:pPr>
            <w:r>
              <w:rPr>
                <w:rFonts w:eastAsiaTheme="minorEastAsia"/>
                <w:b/>
                <w:bCs/>
                <w:szCs w:val="21"/>
              </w:rPr>
              <w:t>检测结果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1" w:hRule="atLeast"/>
          <w:jc w:val="center"/>
        </w:trPr>
        <w:tc>
          <w:tcPr>
            <w:tcW w:w="2525" w:type="dxa"/>
            <w:vMerge w:val="continue"/>
            <w:shd w:val="clear" w:color="auto" w:fill="FFFFFF"/>
            <w:vAlign w:val="center"/>
          </w:tcPr>
          <w:p>
            <w:pPr>
              <w:snapToGrid w:val="0"/>
              <w:jc w:val="center"/>
              <w:rPr>
                <w:rFonts w:eastAsiaTheme="minorEastAsia"/>
                <w:b/>
                <w:bCs/>
                <w:szCs w:val="21"/>
              </w:rPr>
            </w:pPr>
          </w:p>
        </w:tc>
        <w:tc>
          <w:tcPr>
            <w:tcW w:w="2835" w:type="dxa"/>
            <w:gridSpan w:val="2"/>
            <w:shd w:val="clear" w:color="auto" w:fill="FFFFFF"/>
            <w:vAlign w:val="center"/>
          </w:tcPr>
          <w:p>
            <w:pPr>
              <w:snapToGrid w:val="0"/>
              <w:jc w:val="center"/>
              <w:rPr>
                <w:rFonts w:eastAsiaTheme="minorEastAsia"/>
                <w:b/>
                <w:bCs/>
                <w:szCs w:val="21"/>
              </w:rPr>
            </w:pPr>
            <w:r>
              <w:rPr>
                <w:rFonts w:eastAsiaTheme="minorEastAsia"/>
                <w:b/>
                <w:bCs/>
                <w:szCs w:val="21"/>
              </w:rPr>
              <w:t>2020年11月18日</w:t>
            </w:r>
          </w:p>
        </w:tc>
        <w:tc>
          <w:tcPr>
            <w:tcW w:w="3429" w:type="dxa"/>
            <w:gridSpan w:val="2"/>
            <w:shd w:val="clear" w:color="auto" w:fill="FFFFFF"/>
            <w:vAlign w:val="center"/>
          </w:tcPr>
          <w:p>
            <w:pPr>
              <w:snapToGrid w:val="0"/>
              <w:jc w:val="center"/>
              <w:rPr>
                <w:rFonts w:eastAsiaTheme="minorEastAsia"/>
                <w:b/>
                <w:bCs/>
                <w:szCs w:val="21"/>
              </w:rPr>
            </w:pPr>
            <w:r>
              <w:rPr>
                <w:rFonts w:eastAsiaTheme="minorEastAsia"/>
                <w:b/>
                <w:bCs/>
                <w:szCs w:val="21"/>
              </w:rPr>
              <w:t>2020年11月19日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6" w:hRule="atLeast"/>
          <w:jc w:val="center"/>
        </w:trPr>
        <w:tc>
          <w:tcPr>
            <w:tcW w:w="2525" w:type="dxa"/>
            <w:vMerge w:val="continue"/>
            <w:shd w:val="clear" w:color="auto" w:fill="FFFFFF"/>
            <w:vAlign w:val="center"/>
          </w:tcPr>
          <w:p>
            <w:pPr>
              <w:snapToGrid w:val="0"/>
              <w:jc w:val="center"/>
              <w:rPr>
                <w:rFonts w:eastAsiaTheme="minorEastAsia"/>
                <w:b/>
                <w:bCs/>
                <w:szCs w:val="21"/>
              </w:rPr>
            </w:pPr>
          </w:p>
        </w:tc>
        <w:tc>
          <w:tcPr>
            <w:tcW w:w="1417" w:type="dxa"/>
            <w:shd w:val="clear" w:color="auto" w:fill="FFFFFF"/>
            <w:vAlign w:val="center"/>
          </w:tcPr>
          <w:p>
            <w:pPr>
              <w:snapToGrid w:val="0"/>
              <w:jc w:val="center"/>
              <w:rPr>
                <w:rFonts w:eastAsiaTheme="minorEastAsia"/>
                <w:b/>
                <w:bCs/>
                <w:szCs w:val="21"/>
              </w:rPr>
            </w:pPr>
            <w:r>
              <w:rPr>
                <w:rFonts w:eastAsiaTheme="minorEastAsia"/>
                <w:b/>
                <w:bCs/>
                <w:szCs w:val="21"/>
              </w:rPr>
              <w:t>昼间</w:t>
            </w:r>
          </w:p>
        </w:tc>
        <w:tc>
          <w:tcPr>
            <w:tcW w:w="1418" w:type="dxa"/>
            <w:shd w:val="clear" w:color="auto" w:fill="FFFFFF"/>
            <w:vAlign w:val="center"/>
          </w:tcPr>
          <w:p>
            <w:pPr>
              <w:snapToGrid w:val="0"/>
              <w:jc w:val="center"/>
              <w:rPr>
                <w:rFonts w:eastAsiaTheme="minorEastAsia"/>
                <w:b/>
                <w:bCs/>
                <w:szCs w:val="21"/>
              </w:rPr>
            </w:pPr>
            <w:r>
              <w:rPr>
                <w:rFonts w:eastAsiaTheme="minorEastAsia"/>
                <w:b/>
                <w:bCs/>
                <w:szCs w:val="21"/>
              </w:rPr>
              <w:t>夜间</w:t>
            </w:r>
          </w:p>
        </w:tc>
        <w:tc>
          <w:tcPr>
            <w:tcW w:w="1559" w:type="dxa"/>
            <w:shd w:val="clear" w:color="auto" w:fill="FFFFFF"/>
            <w:vAlign w:val="center"/>
          </w:tcPr>
          <w:p>
            <w:pPr>
              <w:snapToGrid w:val="0"/>
              <w:jc w:val="center"/>
              <w:rPr>
                <w:rFonts w:eastAsiaTheme="minorEastAsia"/>
                <w:b/>
                <w:bCs/>
                <w:szCs w:val="21"/>
              </w:rPr>
            </w:pPr>
            <w:r>
              <w:rPr>
                <w:rFonts w:eastAsiaTheme="minorEastAsia"/>
                <w:b/>
                <w:bCs/>
                <w:szCs w:val="21"/>
              </w:rPr>
              <w:t>昼间</w:t>
            </w:r>
          </w:p>
        </w:tc>
        <w:tc>
          <w:tcPr>
            <w:tcW w:w="1870" w:type="dxa"/>
            <w:shd w:val="clear" w:color="auto" w:fill="FFFFFF"/>
            <w:vAlign w:val="center"/>
          </w:tcPr>
          <w:p>
            <w:pPr>
              <w:snapToGrid w:val="0"/>
              <w:jc w:val="center"/>
              <w:rPr>
                <w:rFonts w:eastAsiaTheme="minorEastAsia"/>
                <w:b/>
                <w:bCs/>
                <w:szCs w:val="21"/>
              </w:rPr>
            </w:pPr>
            <w:r>
              <w:rPr>
                <w:rFonts w:eastAsiaTheme="minorEastAsia"/>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N1厂界东侧外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55.6</w:t>
            </w:r>
          </w:p>
        </w:tc>
        <w:tc>
          <w:tcPr>
            <w:tcW w:w="1418" w:type="dxa"/>
            <w:shd w:val="clear" w:color="auto" w:fill="FFFFFF"/>
            <w:vAlign w:val="center"/>
          </w:tcPr>
          <w:p>
            <w:pPr>
              <w:snapToGrid w:val="0"/>
              <w:jc w:val="center"/>
              <w:rPr>
                <w:rFonts w:eastAsiaTheme="minorEastAsia"/>
                <w:szCs w:val="21"/>
              </w:rPr>
            </w:pPr>
            <w:r>
              <w:rPr>
                <w:rFonts w:eastAsiaTheme="minorEastAsia"/>
                <w:szCs w:val="21"/>
              </w:rPr>
              <w:t>46.1</w:t>
            </w:r>
          </w:p>
        </w:tc>
        <w:tc>
          <w:tcPr>
            <w:tcW w:w="1559" w:type="dxa"/>
            <w:shd w:val="clear" w:color="auto" w:fill="FFFFFF"/>
            <w:vAlign w:val="center"/>
          </w:tcPr>
          <w:p>
            <w:pPr>
              <w:snapToGrid w:val="0"/>
              <w:jc w:val="center"/>
              <w:rPr>
                <w:rFonts w:eastAsiaTheme="minorEastAsia"/>
                <w:szCs w:val="21"/>
              </w:rPr>
            </w:pPr>
            <w:r>
              <w:rPr>
                <w:rFonts w:eastAsiaTheme="minorEastAsia"/>
                <w:szCs w:val="21"/>
              </w:rPr>
              <w:t>56.0</w:t>
            </w:r>
          </w:p>
        </w:tc>
        <w:tc>
          <w:tcPr>
            <w:tcW w:w="1870" w:type="dxa"/>
            <w:shd w:val="clear" w:color="auto" w:fill="FFFFFF"/>
            <w:vAlign w:val="center"/>
          </w:tcPr>
          <w:p>
            <w:pPr>
              <w:snapToGrid w:val="0"/>
              <w:jc w:val="center"/>
              <w:rPr>
                <w:rFonts w:eastAsiaTheme="minorEastAsia"/>
                <w:szCs w:val="21"/>
              </w:rPr>
            </w:pPr>
            <w:r>
              <w:rPr>
                <w:rFonts w:eastAsiaTheme="minorEastAsia"/>
                <w:szCs w:val="21"/>
              </w:rPr>
              <w:t>45.5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N2厂界南侧外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56.2</w:t>
            </w:r>
          </w:p>
        </w:tc>
        <w:tc>
          <w:tcPr>
            <w:tcW w:w="1418" w:type="dxa"/>
            <w:shd w:val="clear" w:color="auto" w:fill="FFFFFF"/>
            <w:vAlign w:val="center"/>
          </w:tcPr>
          <w:p>
            <w:pPr>
              <w:snapToGrid w:val="0"/>
              <w:jc w:val="center"/>
              <w:rPr>
                <w:rFonts w:eastAsiaTheme="minorEastAsia"/>
                <w:szCs w:val="21"/>
              </w:rPr>
            </w:pPr>
            <w:r>
              <w:rPr>
                <w:rFonts w:eastAsiaTheme="minorEastAsia"/>
                <w:szCs w:val="21"/>
              </w:rPr>
              <w:t>44.9</w:t>
            </w:r>
          </w:p>
        </w:tc>
        <w:tc>
          <w:tcPr>
            <w:tcW w:w="1559" w:type="dxa"/>
            <w:shd w:val="clear" w:color="auto" w:fill="FFFFFF"/>
            <w:vAlign w:val="center"/>
          </w:tcPr>
          <w:p>
            <w:pPr>
              <w:snapToGrid w:val="0"/>
              <w:jc w:val="center"/>
              <w:rPr>
                <w:rFonts w:eastAsiaTheme="minorEastAsia"/>
                <w:szCs w:val="21"/>
              </w:rPr>
            </w:pPr>
            <w:r>
              <w:rPr>
                <w:rFonts w:eastAsiaTheme="minorEastAsia"/>
                <w:szCs w:val="21"/>
              </w:rPr>
              <w:t>55.7</w:t>
            </w:r>
          </w:p>
        </w:tc>
        <w:tc>
          <w:tcPr>
            <w:tcW w:w="1870" w:type="dxa"/>
            <w:shd w:val="clear" w:color="auto" w:fill="FFFFFF"/>
            <w:vAlign w:val="center"/>
          </w:tcPr>
          <w:p>
            <w:pPr>
              <w:snapToGrid w:val="0"/>
              <w:jc w:val="center"/>
              <w:rPr>
                <w:rFonts w:eastAsiaTheme="minorEastAsia"/>
                <w:szCs w:val="21"/>
              </w:rPr>
            </w:pPr>
            <w:r>
              <w:rPr>
                <w:rFonts w:eastAsiaTheme="minorEastAsia"/>
                <w:szCs w:val="21"/>
              </w:rPr>
              <w:t>44.2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N3厂界西侧外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56.7</w:t>
            </w:r>
          </w:p>
        </w:tc>
        <w:tc>
          <w:tcPr>
            <w:tcW w:w="1418" w:type="dxa"/>
            <w:shd w:val="clear" w:color="auto" w:fill="FFFFFF"/>
            <w:vAlign w:val="center"/>
          </w:tcPr>
          <w:p>
            <w:pPr>
              <w:snapToGrid w:val="0"/>
              <w:jc w:val="center"/>
              <w:rPr>
                <w:rFonts w:eastAsiaTheme="minorEastAsia"/>
                <w:szCs w:val="21"/>
              </w:rPr>
            </w:pPr>
            <w:r>
              <w:rPr>
                <w:rFonts w:eastAsiaTheme="minorEastAsia"/>
                <w:szCs w:val="21"/>
              </w:rPr>
              <w:t>45.7</w:t>
            </w:r>
          </w:p>
        </w:tc>
        <w:tc>
          <w:tcPr>
            <w:tcW w:w="1559" w:type="dxa"/>
            <w:shd w:val="clear" w:color="auto" w:fill="FFFFFF"/>
            <w:vAlign w:val="center"/>
          </w:tcPr>
          <w:p>
            <w:pPr>
              <w:snapToGrid w:val="0"/>
              <w:jc w:val="center"/>
              <w:rPr>
                <w:rFonts w:eastAsiaTheme="minorEastAsia"/>
                <w:szCs w:val="21"/>
              </w:rPr>
            </w:pPr>
            <w:r>
              <w:rPr>
                <w:rFonts w:eastAsiaTheme="minorEastAsia"/>
                <w:szCs w:val="21"/>
              </w:rPr>
              <w:t>55.6</w:t>
            </w:r>
          </w:p>
        </w:tc>
        <w:tc>
          <w:tcPr>
            <w:tcW w:w="1870" w:type="dxa"/>
            <w:shd w:val="clear" w:color="auto" w:fill="FFFFFF"/>
            <w:vAlign w:val="center"/>
          </w:tcPr>
          <w:p>
            <w:pPr>
              <w:snapToGrid w:val="0"/>
              <w:jc w:val="center"/>
              <w:rPr>
                <w:rFonts w:eastAsiaTheme="minorEastAsia"/>
                <w:szCs w:val="21"/>
              </w:rPr>
            </w:pPr>
            <w:r>
              <w:rPr>
                <w:rFonts w:eastAsiaTheme="minorEastAsia"/>
                <w:szCs w:val="21"/>
              </w:rPr>
              <w:t>44.9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N4厂界北侧外 1m 处</w:t>
            </w:r>
          </w:p>
        </w:tc>
        <w:tc>
          <w:tcPr>
            <w:tcW w:w="1417" w:type="dxa"/>
            <w:shd w:val="clear" w:color="auto" w:fill="FFFFFF"/>
            <w:vAlign w:val="center"/>
          </w:tcPr>
          <w:p>
            <w:pPr>
              <w:snapToGrid w:val="0"/>
              <w:jc w:val="center"/>
              <w:rPr>
                <w:rFonts w:eastAsiaTheme="minorEastAsia"/>
                <w:szCs w:val="21"/>
              </w:rPr>
            </w:pPr>
            <w:r>
              <w:rPr>
                <w:rFonts w:eastAsiaTheme="minorEastAsia"/>
                <w:szCs w:val="21"/>
              </w:rPr>
              <w:t>56.5</w:t>
            </w:r>
          </w:p>
        </w:tc>
        <w:tc>
          <w:tcPr>
            <w:tcW w:w="1418" w:type="dxa"/>
            <w:shd w:val="clear" w:color="auto" w:fill="FFFFFF"/>
            <w:vAlign w:val="center"/>
          </w:tcPr>
          <w:p>
            <w:pPr>
              <w:snapToGrid w:val="0"/>
              <w:jc w:val="center"/>
              <w:rPr>
                <w:rFonts w:eastAsiaTheme="minorEastAsia"/>
                <w:szCs w:val="21"/>
              </w:rPr>
            </w:pPr>
            <w:r>
              <w:rPr>
                <w:rFonts w:eastAsiaTheme="minorEastAsia"/>
                <w:szCs w:val="21"/>
              </w:rPr>
              <w:t>45.8</w:t>
            </w:r>
          </w:p>
        </w:tc>
        <w:tc>
          <w:tcPr>
            <w:tcW w:w="1559" w:type="dxa"/>
            <w:shd w:val="clear" w:color="auto" w:fill="FFFFFF"/>
            <w:vAlign w:val="center"/>
          </w:tcPr>
          <w:p>
            <w:pPr>
              <w:snapToGrid w:val="0"/>
              <w:jc w:val="center"/>
              <w:rPr>
                <w:rFonts w:eastAsiaTheme="minorEastAsia"/>
                <w:szCs w:val="21"/>
              </w:rPr>
            </w:pPr>
            <w:r>
              <w:rPr>
                <w:rFonts w:eastAsiaTheme="minorEastAsia"/>
                <w:szCs w:val="21"/>
              </w:rPr>
              <w:t>56.1</w:t>
            </w:r>
          </w:p>
        </w:tc>
        <w:tc>
          <w:tcPr>
            <w:tcW w:w="1870" w:type="dxa"/>
            <w:shd w:val="clear" w:color="auto" w:fill="FFFFFF"/>
            <w:vAlign w:val="center"/>
          </w:tcPr>
          <w:p>
            <w:pPr>
              <w:snapToGrid w:val="0"/>
              <w:jc w:val="center"/>
              <w:rPr>
                <w:rFonts w:eastAsiaTheme="minorEastAsia"/>
                <w:szCs w:val="21"/>
              </w:rPr>
            </w:pPr>
            <w:r>
              <w:rPr>
                <w:rFonts w:eastAsiaTheme="minorEastAsia"/>
                <w:szCs w:val="21"/>
              </w:rPr>
              <w:t>46.0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525" w:type="dxa"/>
            <w:shd w:val="clear" w:color="auto" w:fill="FFFFFF"/>
            <w:vAlign w:val="center"/>
          </w:tcPr>
          <w:p>
            <w:pPr>
              <w:snapToGrid w:val="0"/>
              <w:jc w:val="center"/>
              <w:rPr>
                <w:rFonts w:eastAsiaTheme="minorEastAsia"/>
                <w:szCs w:val="21"/>
              </w:rPr>
            </w:pPr>
            <w:r>
              <w:rPr>
                <w:rFonts w:eastAsiaTheme="minorEastAsia"/>
                <w:szCs w:val="21"/>
              </w:rPr>
              <w:t>标准值</w:t>
            </w:r>
          </w:p>
        </w:tc>
        <w:tc>
          <w:tcPr>
            <w:tcW w:w="1417" w:type="dxa"/>
            <w:shd w:val="clear" w:color="auto" w:fill="FFFFFF"/>
            <w:vAlign w:val="center"/>
          </w:tcPr>
          <w:p>
            <w:pPr>
              <w:snapToGrid w:val="0"/>
              <w:jc w:val="center"/>
              <w:rPr>
                <w:rFonts w:eastAsiaTheme="minorEastAsia"/>
                <w:szCs w:val="21"/>
              </w:rPr>
            </w:pPr>
            <w:r>
              <w:rPr>
                <w:rFonts w:eastAsiaTheme="minorEastAsia"/>
                <w:szCs w:val="21"/>
              </w:rPr>
              <w:t>60</w:t>
            </w:r>
          </w:p>
        </w:tc>
        <w:tc>
          <w:tcPr>
            <w:tcW w:w="1418" w:type="dxa"/>
            <w:shd w:val="clear" w:color="auto" w:fill="FFFFFF"/>
            <w:vAlign w:val="center"/>
          </w:tcPr>
          <w:p>
            <w:pPr>
              <w:snapToGrid w:val="0"/>
              <w:jc w:val="center"/>
              <w:rPr>
                <w:rFonts w:eastAsiaTheme="minorEastAsia"/>
                <w:szCs w:val="21"/>
              </w:rPr>
            </w:pPr>
            <w:r>
              <w:rPr>
                <w:rFonts w:eastAsiaTheme="minorEastAsia"/>
                <w:szCs w:val="21"/>
              </w:rPr>
              <w:t>50</w:t>
            </w:r>
          </w:p>
        </w:tc>
        <w:tc>
          <w:tcPr>
            <w:tcW w:w="1559" w:type="dxa"/>
            <w:shd w:val="clear" w:color="auto" w:fill="FFFFFF"/>
            <w:vAlign w:val="center"/>
          </w:tcPr>
          <w:p>
            <w:pPr>
              <w:snapToGrid w:val="0"/>
              <w:jc w:val="center"/>
              <w:rPr>
                <w:rFonts w:eastAsiaTheme="minorEastAsia"/>
                <w:szCs w:val="21"/>
              </w:rPr>
            </w:pPr>
            <w:r>
              <w:rPr>
                <w:rFonts w:eastAsiaTheme="minorEastAsia"/>
                <w:szCs w:val="21"/>
              </w:rPr>
              <w:t>60</w:t>
            </w:r>
          </w:p>
        </w:tc>
        <w:tc>
          <w:tcPr>
            <w:tcW w:w="1870" w:type="dxa"/>
            <w:shd w:val="clear" w:color="auto" w:fill="FFFFFF"/>
            <w:vAlign w:val="center"/>
          </w:tcPr>
          <w:p>
            <w:pPr>
              <w:snapToGrid w:val="0"/>
              <w:jc w:val="center"/>
              <w:rPr>
                <w:rFonts w:eastAsiaTheme="minorEastAsia"/>
                <w:szCs w:val="21"/>
              </w:rPr>
            </w:pPr>
            <w:r>
              <w:rPr>
                <w:rFonts w:eastAsiaTheme="minorEastAsia"/>
                <w:szCs w:val="21"/>
              </w:rPr>
              <w:t>50</w:t>
            </w:r>
          </w:p>
        </w:tc>
      </w:tr>
    </w:tbl>
    <w:p>
      <w:pPr>
        <w:snapToGrid w:val="0"/>
        <w:spacing w:line="360" w:lineRule="auto"/>
        <w:ind w:firstLine="480" w:firstLineChars="200"/>
        <w:rPr>
          <w:rFonts w:eastAsiaTheme="minorEastAsia"/>
          <w:sz w:val="24"/>
        </w:rPr>
      </w:pPr>
      <w:r>
        <w:rPr>
          <w:rFonts w:eastAsiaTheme="minorEastAsia"/>
          <w:sz w:val="24"/>
        </w:rPr>
        <w:t>（4）评价结果</w:t>
      </w:r>
    </w:p>
    <w:p>
      <w:pPr>
        <w:snapToGrid w:val="0"/>
        <w:spacing w:line="360" w:lineRule="auto"/>
        <w:ind w:firstLine="480" w:firstLineChars="200"/>
        <w:rPr>
          <w:rFonts w:eastAsiaTheme="minorEastAsia"/>
          <w:color w:val="FF0000"/>
          <w:sz w:val="24"/>
        </w:rPr>
      </w:pPr>
      <w:r>
        <w:rPr>
          <w:rFonts w:eastAsiaTheme="minorEastAsia"/>
          <w:sz w:val="24"/>
        </w:rPr>
        <w:t>根据声环境监测数据，项目所在地厂界四周均能满足《声环境质量标准》（GB3096-2008）中2类标准要求。</w:t>
      </w:r>
    </w:p>
    <w:bookmarkEnd w:id="114"/>
    <w:p>
      <w:pPr>
        <w:pStyle w:val="2"/>
        <w:spacing w:after="0" w:line="480" w:lineRule="auto"/>
        <w:jc w:val="center"/>
        <w:rPr>
          <w:rFonts w:ascii="Times New Roman" w:eastAsiaTheme="minorEastAsia"/>
          <w:b/>
          <w:bCs/>
          <w:color w:val="FF0000"/>
          <w:sz w:val="36"/>
          <w:szCs w:val="36"/>
          <w:lang w:val="zh-CN"/>
        </w:rPr>
        <w:sectPr>
          <w:footerReference r:id="rId17" w:type="default"/>
          <w:pgSz w:w="11906" w:h="16838"/>
          <w:pgMar w:top="1418" w:right="1304" w:bottom="1418" w:left="1474" w:header="851" w:footer="680" w:gutter="0"/>
          <w:cols w:space="720" w:num="1"/>
          <w:docGrid w:linePitch="312" w:charSpace="0"/>
        </w:sectPr>
      </w:pPr>
    </w:p>
    <w:p>
      <w:pPr>
        <w:pStyle w:val="2"/>
        <w:spacing w:after="0" w:line="480" w:lineRule="auto"/>
        <w:jc w:val="center"/>
        <w:rPr>
          <w:rFonts w:ascii="Times New Roman" w:eastAsiaTheme="minorEastAsia"/>
          <w:b/>
          <w:bCs/>
          <w:sz w:val="36"/>
          <w:szCs w:val="36"/>
          <w:lang w:val="zh-CN"/>
        </w:rPr>
      </w:pPr>
      <w:bookmarkStart w:id="129" w:name="_Toc61026609"/>
      <w:r>
        <w:rPr>
          <w:rFonts w:ascii="Times New Roman" w:eastAsiaTheme="minorEastAsia"/>
          <w:b/>
          <w:bCs/>
          <w:sz w:val="36"/>
          <w:szCs w:val="36"/>
          <w:lang w:val="zh-CN"/>
        </w:rPr>
        <w:t>6 环境影响预测与评价</w:t>
      </w:r>
      <w:bookmarkEnd w:id="129"/>
    </w:p>
    <w:p>
      <w:pPr>
        <w:pStyle w:val="3"/>
        <w:snapToGrid w:val="0"/>
        <w:spacing w:before="0" w:after="0" w:line="360" w:lineRule="auto"/>
        <w:rPr>
          <w:rFonts w:ascii="Times New Roman" w:hAnsi="Times New Roman" w:eastAsiaTheme="minorEastAsia"/>
          <w:sz w:val="28"/>
          <w:lang w:val="zh-CN"/>
        </w:rPr>
      </w:pPr>
      <w:bookmarkStart w:id="130" w:name="_Toc61026610"/>
      <w:r>
        <w:rPr>
          <w:rFonts w:ascii="Times New Roman" w:hAnsi="Times New Roman" w:eastAsiaTheme="minorEastAsia"/>
          <w:sz w:val="28"/>
          <w:lang w:val="zh-CN"/>
        </w:rPr>
        <w:t>6.1 施工期环境影响分析与评价</w:t>
      </w:r>
      <w:bookmarkEnd w:id="130"/>
    </w:p>
    <w:p>
      <w:pPr>
        <w:pStyle w:val="4"/>
        <w:snapToGrid w:val="0"/>
        <w:spacing w:before="0" w:after="0" w:line="360" w:lineRule="auto"/>
        <w:rPr>
          <w:rFonts w:eastAsiaTheme="minorEastAsia"/>
          <w:kern w:val="0"/>
          <w:sz w:val="24"/>
        </w:rPr>
      </w:pPr>
      <w:r>
        <w:rPr>
          <w:rFonts w:eastAsiaTheme="minorEastAsia"/>
          <w:kern w:val="0"/>
          <w:sz w:val="24"/>
        </w:rPr>
        <w:t>6.1.1 施工期水环境影响分析</w:t>
      </w:r>
    </w:p>
    <w:p>
      <w:pPr>
        <w:snapToGrid w:val="0"/>
        <w:spacing w:line="360" w:lineRule="auto"/>
        <w:ind w:firstLine="480" w:firstLineChars="200"/>
        <w:rPr>
          <w:rFonts w:eastAsiaTheme="minorEastAsia"/>
          <w:sz w:val="24"/>
        </w:rPr>
      </w:pPr>
      <w:r>
        <w:rPr>
          <w:rFonts w:eastAsiaTheme="minorEastAsia"/>
          <w:sz w:val="24"/>
        </w:rPr>
        <w:t>（1）施工作业污水</w:t>
      </w:r>
    </w:p>
    <w:p>
      <w:pPr>
        <w:snapToGrid w:val="0"/>
        <w:spacing w:line="360" w:lineRule="auto"/>
        <w:ind w:firstLine="480" w:firstLineChars="200"/>
        <w:rPr>
          <w:rFonts w:eastAsiaTheme="minorEastAsia"/>
          <w:sz w:val="24"/>
        </w:rPr>
      </w:pPr>
      <w:r>
        <w:rPr>
          <w:rFonts w:eastAsiaTheme="minorEastAsia"/>
          <w:sz w:val="24"/>
        </w:rPr>
        <w:t>本项目施工废水主要来源于地面和运输车冲洗、泥浆水、基坑废水，其中主要污染物有COD、石油类、SS，其含量分别是25～200mg/L、10～30mg/L、500～4000mg/L，预计施工期施工污水排放量约为10～20m</w:t>
      </w:r>
      <w:r>
        <w:rPr>
          <w:rFonts w:eastAsiaTheme="minorEastAsia"/>
          <w:sz w:val="24"/>
          <w:vertAlign w:val="superscript"/>
        </w:rPr>
        <w:t>3</w:t>
      </w:r>
      <w:r>
        <w:rPr>
          <w:rFonts w:eastAsiaTheme="minorEastAsia"/>
          <w:sz w:val="24"/>
        </w:rPr>
        <w:t>/d，最大排放量为10m</w:t>
      </w:r>
      <w:r>
        <w:rPr>
          <w:rFonts w:eastAsiaTheme="minorEastAsia"/>
          <w:sz w:val="24"/>
          <w:vertAlign w:val="superscript"/>
        </w:rPr>
        <w:t>3</w:t>
      </w:r>
      <w:r>
        <w:rPr>
          <w:rFonts w:eastAsiaTheme="minorEastAsia"/>
          <w:sz w:val="24"/>
        </w:rPr>
        <w:t>/h（冲洗车辆时）。</w:t>
      </w:r>
    </w:p>
    <w:p>
      <w:pPr>
        <w:snapToGrid w:val="0"/>
        <w:spacing w:line="360" w:lineRule="auto"/>
        <w:ind w:firstLine="480" w:firstLineChars="200"/>
        <w:rPr>
          <w:rFonts w:eastAsiaTheme="minorEastAsia"/>
          <w:sz w:val="24"/>
        </w:rPr>
      </w:pPr>
      <w:r>
        <w:rPr>
          <w:rFonts w:eastAsiaTheme="minorEastAsia"/>
          <w:sz w:val="24"/>
        </w:rPr>
        <w:t>项目产生的施工作业废水，经隔油沉淀池处理后尽量回用于车辆冲洗、场地洒水抑尘。项目洗车平台拟布置在靠近建新路出入口附近，方便进、出车辆的清洁。</w:t>
      </w:r>
    </w:p>
    <w:p>
      <w:pPr>
        <w:snapToGrid w:val="0"/>
        <w:spacing w:line="360" w:lineRule="auto"/>
        <w:ind w:firstLine="480" w:firstLineChars="200"/>
        <w:rPr>
          <w:rFonts w:eastAsiaTheme="minorEastAsia"/>
          <w:sz w:val="24"/>
        </w:rPr>
      </w:pPr>
      <w:r>
        <w:rPr>
          <w:rFonts w:eastAsiaTheme="minorEastAsia"/>
          <w:sz w:val="24"/>
        </w:rPr>
        <w:t>（2）施工生活污水</w:t>
      </w:r>
    </w:p>
    <w:p>
      <w:pPr>
        <w:snapToGrid w:val="0"/>
        <w:spacing w:line="360" w:lineRule="auto"/>
        <w:ind w:firstLine="480" w:firstLineChars="200"/>
        <w:rPr>
          <w:rFonts w:eastAsiaTheme="minorEastAsia"/>
          <w:sz w:val="24"/>
        </w:rPr>
      </w:pPr>
      <w:r>
        <w:rPr>
          <w:rFonts w:eastAsiaTheme="minorEastAsia"/>
          <w:sz w:val="24"/>
        </w:rPr>
        <w:t>本项目在施工场地内将成立工程指挥部，设简易住宿、食堂、厕所，项目指挥部拟布置在先锋路一侧，便于生活污水排入先锋路污水管网。由于项目施工量大，施工周期长，现场施工人数难以较准确地估算，高峰期施工人数可达200人，用水量约20m</w:t>
      </w:r>
      <w:r>
        <w:rPr>
          <w:rFonts w:eastAsiaTheme="minorEastAsia"/>
          <w:sz w:val="24"/>
          <w:vertAlign w:val="superscript"/>
        </w:rPr>
        <w:t>3</w:t>
      </w:r>
      <w:r>
        <w:rPr>
          <w:rFonts w:eastAsiaTheme="minorEastAsia"/>
          <w:sz w:val="24"/>
        </w:rPr>
        <w:t>/d，排水量以用水量的0.8计，则施工人员生活污水排放量为16m</w:t>
      </w:r>
      <w:r>
        <w:rPr>
          <w:rFonts w:eastAsiaTheme="minorEastAsia"/>
          <w:sz w:val="24"/>
          <w:vertAlign w:val="superscript"/>
        </w:rPr>
        <w:t>3</w:t>
      </w:r>
      <w:r>
        <w:rPr>
          <w:rFonts w:eastAsiaTheme="minorEastAsia"/>
          <w:sz w:val="24"/>
        </w:rPr>
        <w:t>/a，主要污染物浓度一般为COD</w:t>
      </w:r>
      <w:r>
        <w:rPr>
          <w:rFonts w:eastAsiaTheme="minorEastAsia"/>
          <w:sz w:val="24"/>
          <w:vertAlign w:val="subscript"/>
        </w:rPr>
        <w:t>cr</w:t>
      </w:r>
      <w:r>
        <w:rPr>
          <w:rFonts w:eastAsiaTheme="minorEastAsia"/>
          <w:sz w:val="24"/>
        </w:rPr>
        <w:t>：50～250mg/L，BOD</w:t>
      </w:r>
      <w:r>
        <w:rPr>
          <w:rFonts w:eastAsiaTheme="minorEastAsia"/>
          <w:sz w:val="24"/>
          <w:vertAlign w:val="subscript"/>
        </w:rPr>
        <w:t>5</w:t>
      </w:r>
      <w:r>
        <w:rPr>
          <w:rFonts w:eastAsiaTheme="minorEastAsia"/>
          <w:sz w:val="24"/>
        </w:rPr>
        <w:t>：25~150mg/L，NH</w:t>
      </w:r>
      <w:r>
        <w:rPr>
          <w:rFonts w:eastAsiaTheme="minorEastAsia"/>
          <w:sz w:val="24"/>
          <w:vertAlign w:val="subscript"/>
        </w:rPr>
        <w:t>3</w:t>
      </w:r>
      <w:r>
        <w:rPr>
          <w:rFonts w:eastAsiaTheme="minorEastAsia"/>
          <w:sz w:val="24"/>
        </w:rPr>
        <w:t>-N15-30mg/L。据调查，施工工地上的废水经隔油沉淀+三级化粪池处理后，各污染物含量均低于一般的城市污水，施工生活污水经处理后，可就近排入项目南侧建新路已建成的污水管道，纳入湘阴县第一污水处理厂集中处理。</w:t>
      </w:r>
    </w:p>
    <w:p>
      <w:pPr>
        <w:snapToGrid w:val="0"/>
        <w:spacing w:line="360" w:lineRule="auto"/>
        <w:ind w:firstLine="480" w:firstLineChars="200"/>
        <w:rPr>
          <w:rFonts w:eastAsiaTheme="minorEastAsia"/>
          <w:sz w:val="24"/>
        </w:rPr>
      </w:pPr>
      <w:r>
        <w:rPr>
          <w:rFonts w:eastAsiaTheme="minorEastAsia"/>
          <w:sz w:val="24"/>
        </w:rPr>
        <w:t>本项目施工废水经预处理后可排入建新路污水管网，该管网为区域污水主管网，已接通至湘阴县第一污水处理厂，本项目施工期废水经污水处理厂处理达标后排入地表水体，对纳污水体的水环境质量影响较小。因此，本项目施工期的水环境影响是可以接受的。</w:t>
      </w:r>
    </w:p>
    <w:p>
      <w:pPr>
        <w:pStyle w:val="4"/>
        <w:snapToGrid w:val="0"/>
        <w:spacing w:before="0" w:after="0" w:line="360" w:lineRule="auto"/>
        <w:rPr>
          <w:rFonts w:eastAsiaTheme="minorEastAsia"/>
          <w:kern w:val="0"/>
          <w:sz w:val="24"/>
        </w:rPr>
      </w:pPr>
      <w:r>
        <w:rPr>
          <w:rFonts w:eastAsiaTheme="minorEastAsia"/>
          <w:kern w:val="0"/>
          <w:sz w:val="24"/>
        </w:rPr>
        <w:t>6.1.2 施工期环境空气影响分析</w:t>
      </w:r>
    </w:p>
    <w:p>
      <w:pPr>
        <w:snapToGrid w:val="0"/>
        <w:spacing w:line="360" w:lineRule="auto"/>
        <w:ind w:firstLine="480" w:firstLineChars="200"/>
        <w:rPr>
          <w:rFonts w:eastAsiaTheme="minorEastAsia"/>
          <w:sz w:val="24"/>
        </w:rPr>
      </w:pPr>
      <w:r>
        <w:rPr>
          <w:rFonts w:eastAsiaTheme="minorEastAsia"/>
          <w:sz w:val="24"/>
        </w:rPr>
        <w:t>项目施工期大气污染物主要包括基建扬尘及施工垃圾运输产生的扬尘、施工机械产生燃油废气、装修产生的有机废气。</w:t>
      </w:r>
    </w:p>
    <w:p>
      <w:pPr>
        <w:snapToGrid w:val="0"/>
        <w:spacing w:line="360" w:lineRule="auto"/>
        <w:ind w:firstLine="480" w:firstLineChars="200"/>
        <w:rPr>
          <w:rFonts w:eastAsiaTheme="minorEastAsia"/>
          <w:sz w:val="24"/>
        </w:rPr>
      </w:pPr>
      <w:r>
        <w:rPr>
          <w:rFonts w:eastAsiaTheme="minorEastAsia"/>
          <w:sz w:val="24"/>
        </w:rPr>
        <w:t>（1）扬尘</w:t>
      </w:r>
    </w:p>
    <w:p>
      <w:pPr>
        <w:snapToGrid w:val="0"/>
        <w:spacing w:line="360" w:lineRule="auto"/>
        <w:ind w:firstLine="480" w:firstLineChars="200"/>
        <w:rPr>
          <w:rFonts w:eastAsiaTheme="minorEastAsia"/>
          <w:sz w:val="24"/>
        </w:rPr>
      </w:pPr>
      <w:r>
        <w:rPr>
          <w:rFonts w:eastAsiaTheme="minorEastAsia"/>
          <w:sz w:val="24"/>
        </w:rPr>
        <w:t>本项目为原湘阴县人民医院旧址，场内经现场勘察，项目拟建地目前基本设施较为完善，地面均已硬化处理。从施工工序分析，施工期场地地基开挖、结构施工、装修、道路、绿化施工过程，由于土地裸露、建筑材料运输、水泥砂石搅拌等而产生大量扬尘。</w:t>
      </w:r>
    </w:p>
    <w:p>
      <w:pPr>
        <w:snapToGrid w:val="0"/>
        <w:spacing w:line="360" w:lineRule="auto"/>
        <w:ind w:firstLine="480" w:firstLineChars="200"/>
        <w:rPr>
          <w:rFonts w:eastAsiaTheme="minorEastAsia"/>
          <w:sz w:val="24"/>
        </w:rPr>
      </w:pPr>
      <w:r>
        <w:rPr>
          <w:rFonts w:eastAsiaTheme="minorEastAsia"/>
          <w:sz w:val="24"/>
        </w:rPr>
        <w:t>据有关调查显示，施工工地的扬尘主要是运输车辆行驶产生，与路面及车辆行驶速度有关，约占扬尘总量的60%，按经验公式计算得出：一辆载重5t的卡车，通过一段长度为500m的路面时，不同表面清洁程度，不同形式速度情况下产生的扬尘量见下表：</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表6.1-1  不同车速和地面清洁程度时的汽车扬尘  单位：kg/km·辆</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5"/>
        <w:gridCol w:w="1255"/>
        <w:gridCol w:w="1255"/>
        <w:gridCol w:w="1255"/>
        <w:gridCol w:w="1256"/>
        <w:gridCol w:w="1256"/>
        <w:gridCol w:w="12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17" w:type="dxa"/>
            <w:vMerge w:val="restart"/>
            <w:vAlign w:val="center"/>
          </w:tcPr>
          <w:p>
            <w:pPr>
              <w:adjustRightInd w:val="0"/>
              <w:snapToGrid w:val="0"/>
              <w:jc w:val="center"/>
              <w:rPr>
                <w:rFonts w:eastAsiaTheme="minorEastAsia"/>
                <w:b/>
                <w:szCs w:val="21"/>
              </w:rPr>
            </w:pPr>
            <w:r>
              <w:rPr>
                <w:rFonts w:eastAsiaTheme="minorEastAsia"/>
                <w:b/>
                <w:szCs w:val="21"/>
              </w:rPr>
              <w:t>车速（km/h）</w:t>
            </w:r>
          </w:p>
        </w:tc>
        <w:tc>
          <w:tcPr>
            <w:tcW w:w="7305" w:type="dxa"/>
            <w:gridSpan w:val="6"/>
            <w:vAlign w:val="center"/>
          </w:tcPr>
          <w:p>
            <w:pPr>
              <w:adjustRightInd w:val="0"/>
              <w:snapToGrid w:val="0"/>
              <w:jc w:val="center"/>
              <w:rPr>
                <w:rFonts w:eastAsiaTheme="minorEastAsia"/>
                <w:b/>
                <w:szCs w:val="21"/>
              </w:rPr>
            </w:pPr>
            <w:r>
              <w:rPr>
                <w:rFonts w:eastAsiaTheme="minorEastAsia"/>
                <w:b/>
                <w:szCs w:val="21"/>
              </w:rPr>
              <w:t>P（kg/m</w:t>
            </w:r>
            <w:r>
              <w:rPr>
                <w:rFonts w:eastAsiaTheme="minorEastAsia"/>
                <w:b/>
                <w:szCs w:val="21"/>
                <w:vertAlign w:val="superscript"/>
              </w:rPr>
              <w:t>2</w:t>
            </w:r>
            <w:r>
              <w:rPr>
                <w:rFonts w:eastAsiaTheme="minorEastAsia"/>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17" w:type="dxa"/>
            <w:vMerge w:val="continue"/>
            <w:vAlign w:val="center"/>
          </w:tcPr>
          <w:p>
            <w:pPr>
              <w:adjustRightInd w:val="0"/>
              <w:snapToGrid w:val="0"/>
              <w:jc w:val="center"/>
              <w:rPr>
                <w:rFonts w:eastAsiaTheme="minorEastAsia"/>
                <w:b/>
                <w:szCs w:val="21"/>
              </w:rPr>
            </w:pPr>
          </w:p>
        </w:tc>
        <w:tc>
          <w:tcPr>
            <w:tcW w:w="1217" w:type="dxa"/>
            <w:vAlign w:val="center"/>
          </w:tcPr>
          <w:p>
            <w:pPr>
              <w:adjustRightInd w:val="0"/>
              <w:snapToGrid w:val="0"/>
              <w:jc w:val="center"/>
              <w:rPr>
                <w:rFonts w:eastAsiaTheme="minorEastAsia"/>
                <w:b/>
                <w:szCs w:val="21"/>
              </w:rPr>
            </w:pPr>
            <w:r>
              <w:rPr>
                <w:rFonts w:eastAsiaTheme="minorEastAsia"/>
                <w:b/>
                <w:szCs w:val="21"/>
              </w:rPr>
              <w:t>0.1</w:t>
            </w:r>
          </w:p>
        </w:tc>
        <w:tc>
          <w:tcPr>
            <w:tcW w:w="1217" w:type="dxa"/>
            <w:vAlign w:val="center"/>
          </w:tcPr>
          <w:p>
            <w:pPr>
              <w:adjustRightInd w:val="0"/>
              <w:snapToGrid w:val="0"/>
              <w:jc w:val="center"/>
              <w:rPr>
                <w:rFonts w:eastAsiaTheme="minorEastAsia"/>
                <w:b/>
                <w:szCs w:val="21"/>
              </w:rPr>
            </w:pPr>
            <w:r>
              <w:rPr>
                <w:rFonts w:eastAsiaTheme="minorEastAsia"/>
                <w:b/>
                <w:szCs w:val="21"/>
              </w:rPr>
              <w:t>0.2</w:t>
            </w:r>
          </w:p>
        </w:tc>
        <w:tc>
          <w:tcPr>
            <w:tcW w:w="1217" w:type="dxa"/>
            <w:vAlign w:val="center"/>
          </w:tcPr>
          <w:p>
            <w:pPr>
              <w:adjustRightInd w:val="0"/>
              <w:snapToGrid w:val="0"/>
              <w:jc w:val="center"/>
              <w:rPr>
                <w:rFonts w:eastAsiaTheme="minorEastAsia"/>
                <w:b/>
                <w:szCs w:val="21"/>
              </w:rPr>
            </w:pPr>
            <w:r>
              <w:rPr>
                <w:rFonts w:eastAsiaTheme="minorEastAsia"/>
                <w:b/>
                <w:szCs w:val="21"/>
              </w:rPr>
              <w:t>0.3</w:t>
            </w:r>
          </w:p>
        </w:tc>
        <w:tc>
          <w:tcPr>
            <w:tcW w:w="1218" w:type="dxa"/>
            <w:vAlign w:val="center"/>
          </w:tcPr>
          <w:p>
            <w:pPr>
              <w:adjustRightInd w:val="0"/>
              <w:snapToGrid w:val="0"/>
              <w:jc w:val="center"/>
              <w:rPr>
                <w:rFonts w:eastAsiaTheme="minorEastAsia"/>
                <w:b/>
                <w:szCs w:val="21"/>
              </w:rPr>
            </w:pPr>
            <w:r>
              <w:rPr>
                <w:rFonts w:eastAsiaTheme="minorEastAsia"/>
                <w:b/>
                <w:szCs w:val="21"/>
              </w:rPr>
              <w:t>0.4</w:t>
            </w:r>
          </w:p>
        </w:tc>
        <w:tc>
          <w:tcPr>
            <w:tcW w:w="1218" w:type="dxa"/>
            <w:vAlign w:val="center"/>
          </w:tcPr>
          <w:p>
            <w:pPr>
              <w:adjustRightInd w:val="0"/>
              <w:snapToGrid w:val="0"/>
              <w:jc w:val="center"/>
              <w:rPr>
                <w:rFonts w:eastAsiaTheme="minorEastAsia"/>
                <w:b/>
                <w:szCs w:val="21"/>
              </w:rPr>
            </w:pPr>
            <w:r>
              <w:rPr>
                <w:rFonts w:eastAsiaTheme="minorEastAsia"/>
                <w:b/>
                <w:szCs w:val="21"/>
              </w:rPr>
              <w:t>0.5</w:t>
            </w:r>
          </w:p>
        </w:tc>
        <w:tc>
          <w:tcPr>
            <w:tcW w:w="1218" w:type="dxa"/>
            <w:vAlign w:val="center"/>
          </w:tcPr>
          <w:p>
            <w:pPr>
              <w:adjustRightInd w:val="0"/>
              <w:snapToGrid w:val="0"/>
              <w:jc w:val="center"/>
              <w:rPr>
                <w:rFonts w:eastAsiaTheme="minorEastAsia"/>
                <w:b/>
                <w:szCs w:val="21"/>
              </w:rPr>
            </w:pPr>
            <w:r>
              <w:rPr>
                <w:rFonts w:eastAsiaTheme="minorEastAsia"/>
                <w:b/>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17" w:type="dxa"/>
            <w:vAlign w:val="center"/>
          </w:tcPr>
          <w:p>
            <w:pPr>
              <w:adjustRightInd w:val="0"/>
              <w:snapToGrid w:val="0"/>
              <w:jc w:val="center"/>
              <w:rPr>
                <w:rFonts w:eastAsiaTheme="minorEastAsia"/>
                <w:szCs w:val="21"/>
              </w:rPr>
            </w:pPr>
            <w:r>
              <w:rPr>
                <w:rFonts w:eastAsiaTheme="minorEastAsia"/>
                <w:szCs w:val="21"/>
              </w:rPr>
              <w:t>5</w:t>
            </w:r>
          </w:p>
        </w:tc>
        <w:tc>
          <w:tcPr>
            <w:tcW w:w="1217" w:type="dxa"/>
            <w:vAlign w:val="center"/>
          </w:tcPr>
          <w:p>
            <w:pPr>
              <w:adjustRightInd w:val="0"/>
              <w:snapToGrid w:val="0"/>
              <w:jc w:val="center"/>
              <w:rPr>
                <w:rFonts w:eastAsiaTheme="minorEastAsia"/>
                <w:szCs w:val="21"/>
              </w:rPr>
            </w:pPr>
            <w:r>
              <w:rPr>
                <w:rFonts w:eastAsiaTheme="minorEastAsia"/>
                <w:szCs w:val="21"/>
              </w:rPr>
              <w:t>0.0283</w:t>
            </w:r>
          </w:p>
        </w:tc>
        <w:tc>
          <w:tcPr>
            <w:tcW w:w="1217" w:type="dxa"/>
            <w:vAlign w:val="center"/>
          </w:tcPr>
          <w:p>
            <w:pPr>
              <w:adjustRightInd w:val="0"/>
              <w:snapToGrid w:val="0"/>
              <w:jc w:val="center"/>
              <w:rPr>
                <w:rFonts w:eastAsiaTheme="minorEastAsia"/>
                <w:szCs w:val="21"/>
              </w:rPr>
            </w:pPr>
            <w:r>
              <w:rPr>
                <w:rFonts w:eastAsiaTheme="minorEastAsia"/>
                <w:szCs w:val="21"/>
              </w:rPr>
              <w:t>0.0476</w:t>
            </w:r>
          </w:p>
        </w:tc>
        <w:tc>
          <w:tcPr>
            <w:tcW w:w="1217" w:type="dxa"/>
            <w:vAlign w:val="center"/>
          </w:tcPr>
          <w:p>
            <w:pPr>
              <w:adjustRightInd w:val="0"/>
              <w:snapToGrid w:val="0"/>
              <w:jc w:val="center"/>
              <w:rPr>
                <w:rFonts w:eastAsiaTheme="minorEastAsia"/>
                <w:szCs w:val="21"/>
              </w:rPr>
            </w:pPr>
            <w:r>
              <w:rPr>
                <w:rFonts w:eastAsiaTheme="minorEastAsia"/>
                <w:szCs w:val="21"/>
              </w:rPr>
              <w:t>0.0646</w:t>
            </w:r>
          </w:p>
        </w:tc>
        <w:tc>
          <w:tcPr>
            <w:tcW w:w="1218" w:type="dxa"/>
            <w:vAlign w:val="center"/>
          </w:tcPr>
          <w:p>
            <w:pPr>
              <w:adjustRightInd w:val="0"/>
              <w:snapToGrid w:val="0"/>
              <w:jc w:val="center"/>
              <w:rPr>
                <w:rFonts w:eastAsiaTheme="minorEastAsia"/>
                <w:szCs w:val="21"/>
              </w:rPr>
            </w:pPr>
            <w:r>
              <w:rPr>
                <w:rFonts w:eastAsiaTheme="minorEastAsia"/>
                <w:szCs w:val="21"/>
              </w:rPr>
              <w:t>0.0801</w:t>
            </w:r>
          </w:p>
        </w:tc>
        <w:tc>
          <w:tcPr>
            <w:tcW w:w="1218" w:type="dxa"/>
            <w:vAlign w:val="center"/>
          </w:tcPr>
          <w:p>
            <w:pPr>
              <w:adjustRightInd w:val="0"/>
              <w:snapToGrid w:val="0"/>
              <w:jc w:val="center"/>
              <w:rPr>
                <w:rFonts w:eastAsiaTheme="minorEastAsia"/>
                <w:szCs w:val="21"/>
              </w:rPr>
            </w:pPr>
            <w:r>
              <w:rPr>
                <w:rFonts w:eastAsiaTheme="minorEastAsia"/>
                <w:szCs w:val="21"/>
              </w:rPr>
              <w:t>0.0947</w:t>
            </w:r>
          </w:p>
        </w:tc>
        <w:tc>
          <w:tcPr>
            <w:tcW w:w="1218" w:type="dxa"/>
            <w:vAlign w:val="center"/>
          </w:tcPr>
          <w:p>
            <w:pPr>
              <w:adjustRightInd w:val="0"/>
              <w:snapToGrid w:val="0"/>
              <w:jc w:val="center"/>
              <w:rPr>
                <w:rFonts w:eastAsiaTheme="minorEastAsia"/>
                <w:szCs w:val="21"/>
              </w:rPr>
            </w:pPr>
            <w:r>
              <w:rPr>
                <w:rFonts w:eastAsiaTheme="minorEastAsia"/>
                <w:szCs w:val="21"/>
              </w:rPr>
              <w:t>0.1593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17" w:type="dxa"/>
            <w:vAlign w:val="center"/>
          </w:tcPr>
          <w:p>
            <w:pPr>
              <w:adjustRightInd w:val="0"/>
              <w:snapToGrid w:val="0"/>
              <w:jc w:val="center"/>
              <w:rPr>
                <w:rFonts w:eastAsiaTheme="minorEastAsia"/>
                <w:szCs w:val="21"/>
              </w:rPr>
            </w:pPr>
            <w:r>
              <w:rPr>
                <w:rFonts w:eastAsiaTheme="minorEastAsia"/>
                <w:szCs w:val="21"/>
              </w:rPr>
              <w:t>10</w:t>
            </w:r>
          </w:p>
        </w:tc>
        <w:tc>
          <w:tcPr>
            <w:tcW w:w="1217" w:type="dxa"/>
            <w:vAlign w:val="center"/>
          </w:tcPr>
          <w:p>
            <w:pPr>
              <w:adjustRightInd w:val="0"/>
              <w:snapToGrid w:val="0"/>
              <w:jc w:val="center"/>
              <w:rPr>
                <w:rFonts w:eastAsiaTheme="minorEastAsia"/>
                <w:szCs w:val="21"/>
              </w:rPr>
            </w:pPr>
            <w:r>
              <w:rPr>
                <w:rFonts w:eastAsiaTheme="minorEastAsia"/>
                <w:szCs w:val="21"/>
              </w:rPr>
              <w:t>0.0566</w:t>
            </w:r>
          </w:p>
        </w:tc>
        <w:tc>
          <w:tcPr>
            <w:tcW w:w="1217" w:type="dxa"/>
            <w:vAlign w:val="center"/>
          </w:tcPr>
          <w:p>
            <w:pPr>
              <w:adjustRightInd w:val="0"/>
              <w:snapToGrid w:val="0"/>
              <w:jc w:val="center"/>
              <w:rPr>
                <w:rFonts w:eastAsiaTheme="minorEastAsia"/>
                <w:szCs w:val="21"/>
              </w:rPr>
            </w:pPr>
            <w:r>
              <w:rPr>
                <w:rFonts w:eastAsiaTheme="minorEastAsia"/>
                <w:szCs w:val="21"/>
              </w:rPr>
              <w:t>0.0953</w:t>
            </w:r>
          </w:p>
        </w:tc>
        <w:tc>
          <w:tcPr>
            <w:tcW w:w="1217" w:type="dxa"/>
            <w:vAlign w:val="center"/>
          </w:tcPr>
          <w:p>
            <w:pPr>
              <w:adjustRightInd w:val="0"/>
              <w:snapToGrid w:val="0"/>
              <w:jc w:val="center"/>
              <w:rPr>
                <w:rFonts w:eastAsiaTheme="minorEastAsia"/>
                <w:szCs w:val="21"/>
              </w:rPr>
            </w:pPr>
            <w:r>
              <w:rPr>
                <w:rFonts w:eastAsiaTheme="minorEastAsia"/>
                <w:szCs w:val="21"/>
              </w:rPr>
              <w:t>0.1291</w:t>
            </w:r>
          </w:p>
        </w:tc>
        <w:tc>
          <w:tcPr>
            <w:tcW w:w="1218" w:type="dxa"/>
            <w:vAlign w:val="center"/>
          </w:tcPr>
          <w:p>
            <w:pPr>
              <w:adjustRightInd w:val="0"/>
              <w:snapToGrid w:val="0"/>
              <w:jc w:val="center"/>
              <w:rPr>
                <w:rFonts w:eastAsiaTheme="minorEastAsia"/>
                <w:szCs w:val="21"/>
              </w:rPr>
            </w:pPr>
            <w:r>
              <w:rPr>
                <w:rFonts w:eastAsiaTheme="minorEastAsia"/>
                <w:szCs w:val="21"/>
              </w:rPr>
              <w:t>0.1602</w:t>
            </w:r>
          </w:p>
        </w:tc>
        <w:tc>
          <w:tcPr>
            <w:tcW w:w="1218" w:type="dxa"/>
            <w:vAlign w:val="center"/>
          </w:tcPr>
          <w:p>
            <w:pPr>
              <w:adjustRightInd w:val="0"/>
              <w:snapToGrid w:val="0"/>
              <w:jc w:val="center"/>
              <w:rPr>
                <w:rFonts w:eastAsiaTheme="minorEastAsia"/>
                <w:szCs w:val="21"/>
              </w:rPr>
            </w:pPr>
            <w:r>
              <w:rPr>
                <w:rFonts w:eastAsiaTheme="minorEastAsia"/>
                <w:szCs w:val="21"/>
              </w:rPr>
              <w:t>0.1894</w:t>
            </w:r>
          </w:p>
        </w:tc>
        <w:tc>
          <w:tcPr>
            <w:tcW w:w="1218" w:type="dxa"/>
            <w:vAlign w:val="center"/>
          </w:tcPr>
          <w:p>
            <w:pPr>
              <w:adjustRightInd w:val="0"/>
              <w:snapToGrid w:val="0"/>
              <w:jc w:val="center"/>
              <w:rPr>
                <w:rFonts w:eastAsiaTheme="minorEastAsia"/>
                <w:szCs w:val="21"/>
              </w:rPr>
            </w:pPr>
            <w:r>
              <w:rPr>
                <w:rFonts w:eastAsiaTheme="minorEastAsia"/>
                <w:szCs w:val="21"/>
              </w:rPr>
              <w:t>0.3186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17" w:type="dxa"/>
            <w:vAlign w:val="center"/>
          </w:tcPr>
          <w:p>
            <w:pPr>
              <w:adjustRightInd w:val="0"/>
              <w:snapToGrid w:val="0"/>
              <w:jc w:val="center"/>
              <w:rPr>
                <w:rFonts w:eastAsiaTheme="minorEastAsia"/>
                <w:szCs w:val="21"/>
              </w:rPr>
            </w:pPr>
            <w:r>
              <w:rPr>
                <w:rFonts w:eastAsiaTheme="minorEastAsia"/>
                <w:szCs w:val="21"/>
              </w:rPr>
              <w:t>15</w:t>
            </w:r>
          </w:p>
        </w:tc>
        <w:tc>
          <w:tcPr>
            <w:tcW w:w="1217" w:type="dxa"/>
            <w:vAlign w:val="center"/>
          </w:tcPr>
          <w:p>
            <w:pPr>
              <w:adjustRightInd w:val="0"/>
              <w:snapToGrid w:val="0"/>
              <w:jc w:val="center"/>
              <w:rPr>
                <w:rFonts w:eastAsiaTheme="minorEastAsia"/>
                <w:szCs w:val="21"/>
              </w:rPr>
            </w:pPr>
            <w:r>
              <w:rPr>
                <w:rFonts w:eastAsiaTheme="minorEastAsia"/>
                <w:szCs w:val="21"/>
              </w:rPr>
              <w:t>0.0850</w:t>
            </w:r>
          </w:p>
        </w:tc>
        <w:tc>
          <w:tcPr>
            <w:tcW w:w="1217" w:type="dxa"/>
            <w:vAlign w:val="center"/>
          </w:tcPr>
          <w:p>
            <w:pPr>
              <w:adjustRightInd w:val="0"/>
              <w:snapToGrid w:val="0"/>
              <w:jc w:val="center"/>
              <w:rPr>
                <w:rFonts w:eastAsiaTheme="minorEastAsia"/>
                <w:szCs w:val="21"/>
              </w:rPr>
            </w:pPr>
            <w:r>
              <w:rPr>
                <w:rFonts w:eastAsiaTheme="minorEastAsia"/>
                <w:szCs w:val="21"/>
              </w:rPr>
              <w:t>0.1429</w:t>
            </w:r>
          </w:p>
        </w:tc>
        <w:tc>
          <w:tcPr>
            <w:tcW w:w="1217" w:type="dxa"/>
            <w:vAlign w:val="center"/>
          </w:tcPr>
          <w:p>
            <w:pPr>
              <w:adjustRightInd w:val="0"/>
              <w:snapToGrid w:val="0"/>
              <w:jc w:val="center"/>
              <w:rPr>
                <w:rFonts w:eastAsiaTheme="minorEastAsia"/>
                <w:szCs w:val="21"/>
              </w:rPr>
            </w:pPr>
            <w:r>
              <w:rPr>
                <w:rFonts w:eastAsiaTheme="minorEastAsia"/>
                <w:szCs w:val="21"/>
              </w:rPr>
              <w:t>0.1937</w:t>
            </w:r>
          </w:p>
        </w:tc>
        <w:tc>
          <w:tcPr>
            <w:tcW w:w="1218" w:type="dxa"/>
            <w:vAlign w:val="center"/>
          </w:tcPr>
          <w:p>
            <w:pPr>
              <w:adjustRightInd w:val="0"/>
              <w:snapToGrid w:val="0"/>
              <w:jc w:val="center"/>
              <w:rPr>
                <w:rFonts w:eastAsiaTheme="minorEastAsia"/>
                <w:szCs w:val="21"/>
              </w:rPr>
            </w:pPr>
            <w:r>
              <w:rPr>
                <w:rFonts w:eastAsiaTheme="minorEastAsia"/>
                <w:szCs w:val="21"/>
              </w:rPr>
              <w:t>0.2403</w:t>
            </w:r>
          </w:p>
        </w:tc>
        <w:tc>
          <w:tcPr>
            <w:tcW w:w="1218" w:type="dxa"/>
            <w:vAlign w:val="center"/>
          </w:tcPr>
          <w:p>
            <w:pPr>
              <w:adjustRightInd w:val="0"/>
              <w:snapToGrid w:val="0"/>
              <w:jc w:val="center"/>
              <w:rPr>
                <w:rFonts w:eastAsiaTheme="minorEastAsia"/>
                <w:szCs w:val="21"/>
              </w:rPr>
            </w:pPr>
            <w:r>
              <w:rPr>
                <w:rFonts w:eastAsiaTheme="minorEastAsia"/>
                <w:szCs w:val="21"/>
              </w:rPr>
              <w:t>0.2841</w:t>
            </w:r>
          </w:p>
        </w:tc>
        <w:tc>
          <w:tcPr>
            <w:tcW w:w="1218" w:type="dxa"/>
            <w:vAlign w:val="center"/>
          </w:tcPr>
          <w:p>
            <w:pPr>
              <w:adjustRightInd w:val="0"/>
              <w:snapToGrid w:val="0"/>
              <w:jc w:val="center"/>
              <w:rPr>
                <w:rFonts w:eastAsiaTheme="minorEastAsia"/>
                <w:szCs w:val="21"/>
              </w:rPr>
            </w:pPr>
            <w:r>
              <w:rPr>
                <w:rFonts w:eastAsiaTheme="minorEastAsia"/>
                <w:szCs w:val="21"/>
              </w:rPr>
              <w:t>0.4778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217" w:type="dxa"/>
            <w:vAlign w:val="center"/>
          </w:tcPr>
          <w:p>
            <w:pPr>
              <w:adjustRightInd w:val="0"/>
              <w:snapToGrid w:val="0"/>
              <w:jc w:val="center"/>
              <w:rPr>
                <w:rFonts w:eastAsiaTheme="minorEastAsia"/>
                <w:szCs w:val="21"/>
              </w:rPr>
            </w:pPr>
            <w:r>
              <w:rPr>
                <w:rFonts w:eastAsiaTheme="minorEastAsia"/>
                <w:szCs w:val="21"/>
              </w:rPr>
              <w:t>20</w:t>
            </w:r>
          </w:p>
        </w:tc>
        <w:tc>
          <w:tcPr>
            <w:tcW w:w="1217" w:type="dxa"/>
            <w:vAlign w:val="center"/>
          </w:tcPr>
          <w:p>
            <w:pPr>
              <w:adjustRightInd w:val="0"/>
              <w:snapToGrid w:val="0"/>
              <w:jc w:val="center"/>
              <w:rPr>
                <w:rFonts w:eastAsiaTheme="minorEastAsia"/>
                <w:szCs w:val="21"/>
              </w:rPr>
            </w:pPr>
            <w:r>
              <w:rPr>
                <w:rFonts w:eastAsiaTheme="minorEastAsia"/>
                <w:szCs w:val="21"/>
              </w:rPr>
              <w:t>0.1133</w:t>
            </w:r>
          </w:p>
        </w:tc>
        <w:tc>
          <w:tcPr>
            <w:tcW w:w="1217" w:type="dxa"/>
            <w:vAlign w:val="center"/>
          </w:tcPr>
          <w:p>
            <w:pPr>
              <w:adjustRightInd w:val="0"/>
              <w:snapToGrid w:val="0"/>
              <w:jc w:val="center"/>
              <w:rPr>
                <w:rFonts w:eastAsiaTheme="minorEastAsia"/>
                <w:szCs w:val="21"/>
              </w:rPr>
            </w:pPr>
            <w:r>
              <w:rPr>
                <w:rFonts w:eastAsiaTheme="minorEastAsia"/>
                <w:szCs w:val="21"/>
              </w:rPr>
              <w:t>0.1905</w:t>
            </w:r>
          </w:p>
        </w:tc>
        <w:tc>
          <w:tcPr>
            <w:tcW w:w="1217" w:type="dxa"/>
            <w:vAlign w:val="center"/>
          </w:tcPr>
          <w:p>
            <w:pPr>
              <w:adjustRightInd w:val="0"/>
              <w:snapToGrid w:val="0"/>
              <w:jc w:val="center"/>
              <w:rPr>
                <w:rFonts w:eastAsiaTheme="minorEastAsia"/>
                <w:szCs w:val="21"/>
              </w:rPr>
            </w:pPr>
            <w:r>
              <w:rPr>
                <w:rFonts w:eastAsiaTheme="minorEastAsia"/>
                <w:szCs w:val="21"/>
              </w:rPr>
              <w:t>0.2583</w:t>
            </w:r>
          </w:p>
        </w:tc>
        <w:tc>
          <w:tcPr>
            <w:tcW w:w="1218" w:type="dxa"/>
            <w:vAlign w:val="center"/>
          </w:tcPr>
          <w:p>
            <w:pPr>
              <w:adjustRightInd w:val="0"/>
              <w:snapToGrid w:val="0"/>
              <w:jc w:val="center"/>
              <w:rPr>
                <w:rFonts w:eastAsiaTheme="minorEastAsia"/>
                <w:szCs w:val="21"/>
              </w:rPr>
            </w:pPr>
            <w:r>
              <w:rPr>
                <w:rFonts w:eastAsiaTheme="minorEastAsia"/>
                <w:szCs w:val="21"/>
              </w:rPr>
              <w:t>0.3204</w:t>
            </w:r>
          </w:p>
        </w:tc>
        <w:tc>
          <w:tcPr>
            <w:tcW w:w="1218" w:type="dxa"/>
            <w:vAlign w:val="center"/>
          </w:tcPr>
          <w:p>
            <w:pPr>
              <w:adjustRightInd w:val="0"/>
              <w:snapToGrid w:val="0"/>
              <w:jc w:val="center"/>
              <w:rPr>
                <w:rFonts w:eastAsiaTheme="minorEastAsia"/>
                <w:szCs w:val="21"/>
              </w:rPr>
            </w:pPr>
            <w:r>
              <w:rPr>
                <w:rFonts w:eastAsiaTheme="minorEastAsia"/>
                <w:szCs w:val="21"/>
              </w:rPr>
              <w:t>0.3788</w:t>
            </w:r>
          </w:p>
        </w:tc>
        <w:tc>
          <w:tcPr>
            <w:tcW w:w="1218" w:type="dxa"/>
            <w:vAlign w:val="center"/>
          </w:tcPr>
          <w:p>
            <w:pPr>
              <w:adjustRightInd w:val="0"/>
              <w:snapToGrid w:val="0"/>
              <w:jc w:val="center"/>
              <w:rPr>
                <w:rFonts w:eastAsiaTheme="minorEastAsia"/>
                <w:szCs w:val="21"/>
              </w:rPr>
            </w:pPr>
            <w:r>
              <w:rPr>
                <w:rFonts w:eastAsiaTheme="minorEastAsia"/>
                <w:szCs w:val="21"/>
              </w:rPr>
              <w:t>0.6371</w:t>
            </w:r>
          </w:p>
        </w:tc>
      </w:tr>
    </w:tbl>
    <w:p>
      <w:pPr>
        <w:snapToGrid w:val="0"/>
        <w:spacing w:line="360" w:lineRule="auto"/>
        <w:ind w:firstLine="480" w:firstLineChars="200"/>
        <w:rPr>
          <w:rFonts w:eastAsiaTheme="minorEastAsia"/>
          <w:sz w:val="24"/>
        </w:rPr>
      </w:pPr>
      <w:r>
        <w:rPr>
          <w:rFonts w:eastAsiaTheme="minorEastAsia"/>
          <w:sz w:val="24"/>
        </w:rPr>
        <w:t>在路面清洁情况下，车速越大，扬尘量越大；而在同样车速情况下，路面清洁度越差，则扬尘量越大，根据类比调查，一般情况下，施工场地、施工道路在自然风作用下产生的扬尘所影响的范围在100m以内。</w:t>
      </w:r>
    </w:p>
    <w:p>
      <w:pPr>
        <w:snapToGrid w:val="0"/>
        <w:spacing w:line="360" w:lineRule="auto"/>
        <w:ind w:firstLine="480" w:firstLineChars="200"/>
        <w:rPr>
          <w:rFonts w:eastAsiaTheme="minorEastAsia"/>
          <w:sz w:val="24"/>
        </w:rPr>
      </w:pPr>
      <w:r>
        <w:rPr>
          <w:rFonts w:eastAsiaTheme="minorEastAsia"/>
          <w:sz w:val="24"/>
        </w:rPr>
        <w:t>根据气象资料，湘阴县常年主导风向为西北风；冬季主导风向为西北风、北风；夏季主导风向为东南风。因此项目在大多数天气条件下，施工粉尘的影响范围不大，主要限于项目施工场地半径约200m的范围内。根据现场勘查，本项目拟建地200m范围内主要有：项目西侧滨江茗园、东侧湘阴县育才幼儿园以及南侧湘阴县左宗棠中学，施工扬尘不可避免会对其产生影响，因此必须严格控制本项目施工期扬尘对周边环境的影响。根据《湖南省大气污染防治特护期实施方案（2018-2020年）》、《关于进一步加强建设工地扬尘污染防治工作的通知（岳建质安监发〔2018〕18号）》等相关要求，建设单位需严格落实施工扬尘污染防治“6个100%”等防治措施后，项目施工扬尘对周边敏感目标影响是可以接受的。</w:t>
      </w:r>
    </w:p>
    <w:p>
      <w:pPr>
        <w:snapToGrid w:val="0"/>
        <w:spacing w:line="360" w:lineRule="auto"/>
        <w:ind w:firstLine="480" w:firstLineChars="200"/>
        <w:rPr>
          <w:rFonts w:eastAsiaTheme="minorEastAsia"/>
          <w:sz w:val="24"/>
        </w:rPr>
      </w:pPr>
      <w:r>
        <w:rPr>
          <w:rFonts w:eastAsiaTheme="minorEastAsia"/>
          <w:sz w:val="24"/>
        </w:rPr>
        <w:t>（2）施工机械、汽车燃油废气</w:t>
      </w:r>
    </w:p>
    <w:p>
      <w:pPr>
        <w:snapToGrid w:val="0"/>
        <w:spacing w:line="360" w:lineRule="auto"/>
        <w:ind w:firstLine="480" w:firstLineChars="200"/>
        <w:rPr>
          <w:rFonts w:eastAsiaTheme="minorEastAsia"/>
          <w:sz w:val="24"/>
        </w:rPr>
      </w:pPr>
      <w:r>
        <w:rPr>
          <w:rFonts w:eastAsiaTheme="minorEastAsia"/>
          <w:sz w:val="24"/>
        </w:rPr>
        <w:t>施工期各类燃油动力机械进行场地清理平整、运输、建筑结构等施工作业时，排出的各类废气中主要污染物为SO</w:t>
      </w:r>
      <w:r>
        <w:rPr>
          <w:rFonts w:eastAsiaTheme="minorEastAsia"/>
          <w:sz w:val="24"/>
          <w:vertAlign w:val="subscript"/>
        </w:rPr>
        <w:t>2</w:t>
      </w:r>
      <w:r>
        <w:rPr>
          <w:rFonts w:eastAsiaTheme="minorEastAsia"/>
          <w:sz w:val="24"/>
        </w:rPr>
        <w:t>、NO</w:t>
      </w:r>
      <w:r>
        <w:rPr>
          <w:rFonts w:eastAsiaTheme="minorEastAsia"/>
          <w:sz w:val="24"/>
          <w:vertAlign w:val="subscript"/>
        </w:rPr>
        <w:t>x</w:t>
      </w:r>
      <w:r>
        <w:rPr>
          <w:rFonts w:eastAsiaTheme="minorEastAsia"/>
          <w:sz w:val="24"/>
        </w:rPr>
        <w:t>、CO。由于施工机械为间断作业，因此所排废气污染物仅对施工点的空气质量产生间断的较小的不利影响，但仍应对施工机械加强管理，严禁施工机械的超负荷运行。燃油烟气及汽车尾气排放后，经空气迅速稀释扩散，基本不会对敏感点处的环境空气质量造成太大影响。在施工期间通过加强施工机械和车辆的管理，执行定期检查维护制度，提前规划好运输线路，尽量避开周边居民住宅等环境敏感目标的等措施；施工机械使用无铅汽油等优质燃料、严禁使用劣质油品，杜绝冒黑烟现象；使施工期间车辆尾气对环境的污染减少到最低程度。另外，机械燃油废气将随着施工结束后影响消除。</w:t>
      </w:r>
    </w:p>
    <w:p>
      <w:pPr>
        <w:snapToGrid w:val="0"/>
        <w:spacing w:line="360" w:lineRule="auto"/>
        <w:ind w:firstLine="480" w:firstLineChars="200"/>
        <w:rPr>
          <w:rFonts w:eastAsiaTheme="minorEastAsia"/>
          <w:sz w:val="24"/>
        </w:rPr>
      </w:pPr>
      <w:r>
        <w:rPr>
          <w:rFonts w:eastAsiaTheme="minorEastAsia"/>
          <w:sz w:val="24"/>
        </w:rPr>
        <w:t>（3）装修过程废气</w:t>
      </w:r>
    </w:p>
    <w:p>
      <w:pPr>
        <w:snapToGrid w:val="0"/>
        <w:spacing w:line="360" w:lineRule="auto"/>
        <w:ind w:firstLine="480" w:firstLineChars="200"/>
        <w:rPr>
          <w:rFonts w:eastAsiaTheme="minorEastAsia"/>
          <w:sz w:val="24"/>
        </w:rPr>
      </w:pPr>
      <w:r>
        <w:rPr>
          <w:rFonts w:eastAsiaTheme="minorEastAsia"/>
          <w:sz w:val="24"/>
        </w:rPr>
        <w:t>项目装修阶段向周围环境空气排放的废气主要为油漆废气，包括甲苯、二甲苯、甲醛等有毒有害物质，如不采取必要的室内空气污染物控制措施，使其达到室内空气环境的相关标准，必将对人体健康造成极大的危害。长期生活在这样的室内环境中，会因污染物的不断累积而诱发各种疾病，危害人体健康。</w:t>
      </w:r>
      <w:r>
        <w:rPr>
          <w:rFonts w:eastAsiaTheme="minorEastAsia"/>
          <w:sz w:val="24"/>
          <w:u w:val="single"/>
        </w:rPr>
        <w:t>因此，在选择装修材料和涂料的时候应选用对环境污染小、有益于人体健康的建筑材料产品，室内装修材料应采用符合国家现行有关标准规定的环保型装修材料，其中各项指标均应符合《室内装饰装修材料内墙涂料中有害物质限量》（GB18582-2001）、《民用建筑工程室内环境污染控制规范》（GB50325-2010）要求。应防止装修材料中有毒、有害气体的挥发导致室内空气污染，危害人体健康。</w:t>
      </w:r>
      <w:r>
        <w:rPr>
          <w:rFonts w:eastAsiaTheme="minorEastAsia"/>
          <w:sz w:val="24"/>
        </w:rPr>
        <w:t>采用符合标准的建筑材料，保证建材、有机溶剂和辅助添加剂无毒无害，做到健康设计原则，装修完成后应保持室内通风一段时间，确保室内空气质量满足《室内空气质量标准》（GB/T18883-2002）后方可投入使用；采取上述措施后，基本不会对环境产生较大的影响。</w:t>
      </w:r>
    </w:p>
    <w:p>
      <w:pPr>
        <w:pStyle w:val="4"/>
        <w:snapToGrid w:val="0"/>
        <w:spacing w:before="0" w:after="0" w:line="360" w:lineRule="auto"/>
        <w:rPr>
          <w:rFonts w:eastAsiaTheme="minorEastAsia"/>
          <w:kern w:val="0"/>
          <w:sz w:val="24"/>
        </w:rPr>
      </w:pPr>
      <w:r>
        <w:rPr>
          <w:rFonts w:eastAsiaTheme="minorEastAsia"/>
          <w:kern w:val="0"/>
          <w:sz w:val="24"/>
        </w:rPr>
        <w:t>6.1.3 施工期声环境影响分析</w:t>
      </w:r>
    </w:p>
    <w:p>
      <w:pPr>
        <w:snapToGrid w:val="0"/>
        <w:spacing w:line="360" w:lineRule="auto"/>
        <w:ind w:firstLine="480" w:firstLineChars="200"/>
        <w:rPr>
          <w:rFonts w:eastAsiaTheme="minorEastAsia"/>
          <w:sz w:val="24"/>
        </w:rPr>
      </w:pPr>
      <w:r>
        <w:rPr>
          <w:rFonts w:eastAsiaTheme="minorEastAsia"/>
          <w:sz w:val="24"/>
        </w:rPr>
        <w:t>施工期间的噪声主要来自施工机械和运输车辆的噪声，施工期噪声具有阶段性、临时性和不固定性的特征。施工期噪声的影响随着工程不同施工阶段，以及使用不同的施工机械而有所不同。施工期间最大噪声主要来源于土石方阶段、基础施工阶段的打桩机、空压机、挖掘机、转载机等。在多台机械设施同时施工时，叠加后增加值一般不超过5dB（A）。</w:t>
      </w:r>
    </w:p>
    <w:p>
      <w:pPr>
        <w:snapToGrid w:val="0"/>
        <w:spacing w:line="360" w:lineRule="auto"/>
        <w:ind w:firstLine="480" w:firstLineChars="200"/>
        <w:rPr>
          <w:rFonts w:eastAsiaTheme="minorEastAsia"/>
          <w:sz w:val="24"/>
        </w:rPr>
      </w:pPr>
      <w:r>
        <w:rPr>
          <w:rFonts w:eastAsiaTheme="minorEastAsia"/>
          <w:sz w:val="24"/>
        </w:rPr>
        <w:t>根据施工机械的声源强度以及点源模式，可以计算出噪声声级随距离变化的衰减值，计算公式如下：</w:t>
      </w:r>
    </w:p>
    <w:p>
      <w:pPr>
        <w:snapToGrid w:val="0"/>
        <w:spacing w:line="360" w:lineRule="auto"/>
        <w:jc w:val="center"/>
        <w:rPr>
          <w:rFonts w:eastAsiaTheme="minorEastAsia"/>
          <w:color w:val="FF0000"/>
          <w:sz w:val="24"/>
        </w:rPr>
      </w:pPr>
      <w:r>
        <w:rPr>
          <w:rFonts w:eastAsiaTheme="minorEastAsia"/>
          <w:color w:val="FF0000"/>
        </w:rPr>
        <w:drawing>
          <wp:inline distT="0" distB="0" distL="0" distR="0">
            <wp:extent cx="2065020"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cstate="print"/>
                    <a:stretch>
                      <a:fillRect/>
                    </a:stretch>
                  </pic:blipFill>
                  <pic:spPr>
                    <a:xfrm>
                      <a:off x="0" y="0"/>
                      <a:ext cx="2065416" cy="252000"/>
                    </a:xfrm>
                    <a:prstGeom prst="rect">
                      <a:avLst/>
                    </a:prstGeom>
                  </pic:spPr>
                </pic:pic>
              </a:graphicData>
            </a:graphic>
          </wp:inline>
        </w:drawing>
      </w:r>
    </w:p>
    <w:p>
      <w:pPr>
        <w:snapToGrid w:val="0"/>
        <w:spacing w:line="360" w:lineRule="auto"/>
        <w:ind w:firstLine="480" w:firstLineChars="200"/>
        <w:rPr>
          <w:rFonts w:eastAsiaTheme="minorEastAsia"/>
          <w:sz w:val="24"/>
        </w:rPr>
      </w:pPr>
      <w:r>
        <w:rPr>
          <w:rFonts w:eastAsiaTheme="minorEastAsia"/>
          <w:sz w:val="24"/>
        </w:rPr>
        <w:t>式中：Lp(r</w:t>
      </w:r>
      <w:r>
        <w:rPr>
          <w:rFonts w:eastAsiaTheme="minorEastAsia"/>
          <w:sz w:val="24"/>
          <w:vertAlign w:val="subscript"/>
        </w:rPr>
        <w:t>0</w:t>
      </w:r>
      <w:r>
        <w:rPr>
          <w:rFonts w:eastAsiaTheme="minorEastAsia"/>
          <w:sz w:val="24"/>
        </w:rPr>
        <w:t>)——受声点声压级，dB（A）；</w:t>
      </w:r>
    </w:p>
    <w:p>
      <w:pPr>
        <w:snapToGrid w:val="0"/>
        <w:spacing w:line="360" w:lineRule="auto"/>
        <w:ind w:firstLine="1200" w:firstLineChars="500"/>
        <w:rPr>
          <w:rFonts w:eastAsiaTheme="minorEastAsia"/>
          <w:sz w:val="24"/>
        </w:rPr>
      </w:pPr>
      <w:r>
        <w:rPr>
          <w:rFonts w:eastAsiaTheme="minorEastAsia"/>
          <w:sz w:val="24"/>
        </w:rPr>
        <w:t>L(r0)——参考点r0处声压级，dB（A）；</w:t>
      </w:r>
    </w:p>
    <w:p>
      <w:pPr>
        <w:snapToGrid w:val="0"/>
        <w:spacing w:line="360" w:lineRule="auto"/>
        <w:ind w:firstLine="1200" w:firstLineChars="500"/>
        <w:rPr>
          <w:rFonts w:eastAsiaTheme="minorEastAsia"/>
          <w:sz w:val="24"/>
        </w:rPr>
      </w:pPr>
      <w:r>
        <w:rPr>
          <w:rFonts w:eastAsiaTheme="minorEastAsia"/>
          <w:sz w:val="24"/>
        </w:rPr>
        <w:t>r0——受声点至声源距离，m；</w:t>
      </w:r>
    </w:p>
    <w:p>
      <w:pPr>
        <w:snapToGrid w:val="0"/>
        <w:spacing w:line="360" w:lineRule="auto"/>
        <w:ind w:firstLine="1200" w:firstLineChars="500"/>
        <w:rPr>
          <w:rFonts w:eastAsiaTheme="minorEastAsia"/>
          <w:sz w:val="24"/>
        </w:rPr>
      </w:pPr>
      <w:r>
        <w:rPr>
          <w:rFonts w:eastAsiaTheme="minorEastAsia"/>
          <w:sz w:val="24"/>
        </w:rPr>
        <w:t>r——参考点至声源距离，m</w:t>
      </w:r>
    </w:p>
    <w:p>
      <w:pPr>
        <w:snapToGrid w:val="0"/>
        <w:spacing w:line="360" w:lineRule="auto"/>
        <w:ind w:firstLine="480" w:firstLineChars="200"/>
        <w:rPr>
          <w:rFonts w:eastAsiaTheme="minorEastAsia"/>
          <w:sz w:val="24"/>
        </w:rPr>
      </w:pPr>
      <w:r>
        <w:rPr>
          <w:rFonts w:eastAsiaTheme="minorEastAsia"/>
          <w:sz w:val="24"/>
        </w:rPr>
        <w:t>采用上述模式，通过计算可得不同施工阶段不同类型施工机械在不同距离处的噪声预测值，预测结果详见表6.1-2。</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表6.1-2  几种主要施工机械的噪声源强及在不同距离处的噪声值  单位：dB(A)</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5"/>
        <w:gridCol w:w="812"/>
        <w:gridCol w:w="983"/>
        <w:gridCol w:w="983"/>
        <w:gridCol w:w="983"/>
        <w:gridCol w:w="983"/>
        <w:gridCol w:w="1155"/>
        <w:gridCol w:w="11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7" w:type="pct"/>
            <w:tcBorders>
              <w:tl2br w:val="single" w:color="auto" w:sz="4" w:space="0"/>
            </w:tcBorders>
            <w:vAlign w:val="center"/>
          </w:tcPr>
          <w:p>
            <w:pPr>
              <w:snapToGrid w:val="0"/>
              <w:ind w:firstLine="700" w:firstLineChars="332"/>
              <w:jc w:val="center"/>
              <w:rPr>
                <w:rFonts w:eastAsiaTheme="minorEastAsia"/>
                <w:b/>
                <w:szCs w:val="21"/>
              </w:rPr>
            </w:pPr>
            <w:r>
              <w:rPr>
                <w:rFonts w:eastAsiaTheme="minorEastAsia"/>
                <w:b/>
                <w:szCs w:val="21"/>
              </w:rPr>
              <w:t>距离</w:t>
            </w:r>
          </w:p>
          <w:p>
            <w:pPr>
              <w:snapToGrid w:val="0"/>
              <w:ind w:leftChars="-273" w:hanging="573" w:hangingChars="272"/>
              <w:jc w:val="center"/>
              <w:rPr>
                <w:rFonts w:eastAsiaTheme="minorEastAsia"/>
                <w:b/>
                <w:szCs w:val="21"/>
              </w:rPr>
            </w:pPr>
            <w:r>
              <w:rPr>
                <w:rFonts w:eastAsiaTheme="minorEastAsia"/>
                <w:b/>
                <w:szCs w:val="21"/>
              </w:rPr>
              <w:t>机械类型</w:t>
            </w:r>
          </w:p>
        </w:tc>
        <w:tc>
          <w:tcPr>
            <w:tcW w:w="462" w:type="pct"/>
            <w:vAlign w:val="center"/>
          </w:tcPr>
          <w:p>
            <w:pPr>
              <w:snapToGrid w:val="0"/>
              <w:jc w:val="center"/>
              <w:rPr>
                <w:rFonts w:eastAsiaTheme="minorEastAsia"/>
                <w:b/>
                <w:szCs w:val="21"/>
              </w:rPr>
            </w:pPr>
            <w:r>
              <w:rPr>
                <w:rFonts w:eastAsiaTheme="minorEastAsia"/>
                <w:b/>
                <w:szCs w:val="21"/>
              </w:rPr>
              <w:t>5m</w:t>
            </w:r>
          </w:p>
        </w:tc>
        <w:tc>
          <w:tcPr>
            <w:tcW w:w="559" w:type="pct"/>
            <w:vAlign w:val="center"/>
          </w:tcPr>
          <w:p>
            <w:pPr>
              <w:snapToGrid w:val="0"/>
              <w:jc w:val="center"/>
              <w:rPr>
                <w:rFonts w:eastAsiaTheme="minorEastAsia"/>
                <w:b/>
                <w:szCs w:val="21"/>
              </w:rPr>
            </w:pPr>
            <w:r>
              <w:rPr>
                <w:rFonts w:eastAsiaTheme="minorEastAsia"/>
                <w:b/>
                <w:szCs w:val="21"/>
              </w:rPr>
              <w:t>10m</w:t>
            </w:r>
          </w:p>
        </w:tc>
        <w:tc>
          <w:tcPr>
            <w:tcW w:w="559" w:type="pct"/>
            <w:vAlign w:val="center"/>
          </w:tcPr>
          <w:p>
            <w:pPr>
              <w:snapToGrid w:val="0"/>
              <w:jc w:val="center"/>
              <w:rPr>
                <w:rFonts w:eastAsiaTheme="minorEastAsia"/>
                <w:b/>
                <w:szCs w:val="21"/>
              </w:rPr>
            </w:pPr>
            <w:r>
              <w:rPr>
                <w:rFonts w:eastAsiaTheme="minorEastAsia"/>
                <w:b/>
                <w:szCs w:val="21"/>
              </w:rPr>
              <w:t>20m</w:t>
            </w:r>
          </w:p>
        </w:tc>
        <w:tc>
          <w:tcPr>
            <w:tcW w:w="559" w:type="pct"/>
            <w:vAlign w:val="center"/>
          </w:tcPr>
          <w:p>
            <w:pPr>
              <w:snapToGrid w:val="0"/>
              <w:jc w:val="center"/>
              <w:rPr>
                <w:rFonts w:eastAsiaTheme="minorEastAsia"/>
                <w:b/>
                <w:szCs w:val="21"/>
              </w:rPr>
            </w:pPr>
            <w:r>
              <w:rPr>
                <w:rFonts w:eastAsiaTheme="minorEastAsia"/>
                <w:b/>
                <w:szCs w:val="21"/>
              </w:rPr>
              <w:t>40m</w:t>
            </w:r>
          </w:p>
        </w:tc>
        <w:tc>
          <w:tcPr>
            <w:tcW w:w="559" w:type="pct"/>
            <w:vAlign w:val="center"/>
          </w:tcPr>
          <w:p>
            <w:pPr>
              <w:snapToGrid w:val="0"/>
              <w:jc w:val="center"/>
              <w:rPr>
                <w:rFonts w:eastAsiaTheme="minorEastAsia"/>
                <w:b/>
                <w:szCs w:val="21"/>
              </w:rPr>
            </w:pPr>
            <w:r>
              <w:rPr>
                <w:rFonts w:eastAsiaTheme="minorEastAsia"/>
                <w:b/>
                <w:szCs w:val="21"/>
              </w:rPr>
              <w:t>50m</w:t>
            </w:r>
          </w:p>
        </w:tc>
        <w:tc>
          <w:tcPr>
            <w:tcW w:w="657" w:type="pct"/>
            <w:vAlign w:val="center"/>
          </w:tcPr>
          <w:p>
            <w:pPr>
              <w:snapToGrid w:val="0"/>
              <w:jc w:val="center"/>
              <w:rPr>
                <w:rFonts w:eastAsiaTheme="minorEastAsia"/>
                <w:b/>
                <w:szCs w:val="21"/>
              </w:rPr>
            </w:pPr>
            <w:r>
              <w:rPr>
                <w:rFonts w:eastAsiaTheme="minorEastAsia"/>
                <w:b/>
                <w:szCs w:val="21"/>
              </w:rPr>
              <w:t>100m</w:t>
            </w:r>
          </w:p>
        </w:tc>
        <w:tc>
          <w:tcPr>
            <w:tcW w:w="657" w:type="pct"/>
            <w:vAlign w:val="center"/>
          </w:tcPr>
          <w:p>
            <w:pPr>
              <w:snapToGrid w:val="0"/>
              <w:jc w:val="center"/>
              <w:rPr>
                <w:rFonts w:eastAsiaTheme="minorEastAsia"/>
                <w:b/>
                <w:szCs w:val="21"/>
              </w:rPr>
            </w:pPr>
            <w:r>
              <w:rPr>
                <w:rFonts w:eastAsiaTheme="minorEastAsia"/>
                <w:b/>
                <w:szCs w:val="21"/>
              </w:rPr>
              <w:t>150m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7" w:type="pct"/>
            <w:vAlign w:val="center"/>
          </w:tcPr>
          <w:p>
            <w:pPr>
              <w:snapToGrid w:val="0"/>
              <w:jc w:val="center"/>
              <w:rPr>
                <w:rFonts w:eastAsiaTheme="minorEastAsia"/>
                <w:szCs w:val="21"/>
              </w:rPr>
            </w:pPr>
            <w:r>
              <w:rPr>
                <w:rFonts w:eastAsiaTheme="minorEastAsia"/>
                <w:szCs w:val="21"/>
              </w:rPr>
              <w:t>振捣机</w:t>
            </w:r>
          </w:p>
        </w:tc>
        <w:tc>
          <w:tcPr>
            <w:tcW w:w="462" w:type="pct"/>
            <w:vAlign w:val="center"/>
          </w:tcPr>
          <w:p>
            <w:pPr>
              <w:snapToGrid w:val="0"/>
              <w:jc w:val="center"/>
              <w:rPr>
                <w:rFonts w:eastAsiaTheme="minorEastAsia"/>
                <w:szCs w:val="21"/>
              </w:rPr>
            </w:pPr>
            <w:r>
              <w:rPr>
                <w:rFonts w:eastAsiaTheme="minorEastAsia"/>
                <w:szCs w:val="21"/>
              </w:rPr>
              <w:t>84</w:t>
            </w:r>
          </w:p>
        </w:tc>
        <w:tc>
          <w:tcPr>
            <w:tcW w:w="559" w:type="pct"/>
            <w:vAlign w:val="center"/>
          </w:tcPr>
          <w:p>
            <w:pPr>
              <w:snapToGrid w:val="0"/>
              <w:jc w:val="center"/>
              <w:rPr>
                <w:rFonts w:eastAsiaTheme="minorEastAsia"/>
                <w:szCs w:val="21"/>
              </w:rPr>
            </w:pPr>
            <w:r>
              <w:rPr>
                <w:rFonts w:eastAsiaTheme="minorEastAsia"/>
                <w:szCs w:val="21"/>
              </w:rPr>
              <w:t>78</w:t>
            </w:r>
          </w:p>
        </w:tc>
        <w:tc>
          <w:tcPr>
            <w:tcW w:w="559" w:type="pct"/>
            <w:vAlign w:val="center"/>
          </w:tcPr>
          <w:p>
            <w:pPr>
              <w:snapToGrid w:val="0"/>
              <w:jc w:val="center"/>
              <w:rPr>
                <w:rFonts w:eastAsiaTheme="minorEastAsia"/>
                <w:szCs w:val="21"/>
              </w:rPr>
            </w:pPr>
            <w:r>
              <w:rPr>
                <w:rFonts w:eastAsiaTheme="minorEastAsia"/>
                <w:szCs w:val="21"/>
              </w:rPr>
              <w:t>72</w:t>
            </w:r>
          </w:p>
        </w:tc>
        <w:tc>
          <w:tcPr>
            <w:tcW w:w="559" w:type="pct"/>
            <w:vAlign w:val="center"/>
          </w:tcPr>
          <w:p>
            <w:pPr>
              <w:snapToGrid w:val="0"/>
              <w:jc w:val="center"/>
              <w:rPr>
                <w:rFonts w:eastAsiaTheme="minorEastAsia"/>
                <w:szCs w:val="21"/>
              </w:rPr>
            </w:pPr>
            <w:r>
              <w:rPr>
                <w:rFonts w:eastAsiaTheme="minorEastAsia"/>
                <w:szCs w:val="21"/>
              </w:rPr>
              <w:t>66</w:t>
            </w:r>
          </w:p>
        </w:tc>
        <w:tc>
          <w:tcPr>
            <w:tcW w:w="559" w:type="pct"/>
            <w:vAlign w:val="center"/>
          </w:tcPr>
          <w:p>
            <w:pPr>
              <w:snapToGrid w:val="0"/>
              <w:jc w:val="center"/>
              <w:rPr>
                <w:rFonts w:eastAsiaTheme="minorEastAsia"/>
                <w:szCs w:val="21"/>
              </w:rPr>
            </w:pPr>
            <w:r>
              <w:rPr>
                <w:rFonts w:eastAsiaTheme="minorEastAsia"/>
                <w:szCs w:val="21"/>
              </w:rPr>
              <w:t>64</w:t>
            </w:r>
          </w:p>
        </w:tc>
        <w:tc>
          <w:tcPr>
            <w:tcW w:w="657" w:type="pct"/>
            <w:vAlign w:val="center"/>
          </w:tcPr>
          <w:p>
            <w:pPr>
              <w:snapToGrid w:val="0"/>
              <w:jc w:val="center"/>
              <w:rPr>
                <w:rFonts w:eastAsiaTheme="minorEastAsia"/>
                <w:szCs w:val="21"/>
              </w:rPr>
            </w:pPr>
            <w:r>
              <w:rPr>
                <w:rFonts w:eastAsiaTheme="minorEastAsia"/>
                <w:szCs w:val="21"/>
              </w:rPr>
              <w:t>58</w:t>
            </w:r>
          </w:p>
        </w:tc>
        <w:tc>
          <w:tcPr>
            <w:tcW w:w="657" w:type="pct"/>
            <w:vAlign w:val="center"/>
          </w:tcPr>
          <w:p>
            <w:pPr>
              <w:snapToGrid w:val="0"/>
              <w:jc w:val="center"/>
              <w:rPr>
                <w:rFonts w:eastAsiaTheme="minorEastAsia"/>
                <w:szCs w:val="21"/>
              </w:rPr>
            </w:pPr>
            <w:r>
              <w:rPr>
                <w:rFonts w:eastAsiaTheme="minorEastAsia"/>
                <w:szCs w:val="21"/>
              </w:rPr>
              <w:t>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7" w:type="pct"/>
            <w:vAlign w:val="center"/>
          </w:tcPr>
          <w:p>
            <w:pPr>
              <w:snapToGrid w:val="0"/>
              <w:jc w:val="center"/>
              <w:rPr>
                <w:rFonts w:eastAsiaTheme="minorEastAsia"/>
                <w:szCs w:val="21"/>
              </w:rPr>
            </w:pPr>
            <w:r>
              <w:rPr>
                <w:rFonts w:eastAsiaTheme="minorEastAsia"/>
                <w:szCs w:val="21"/>
              </w:rPr>
              <w:t>轮式装载机</w:t>
            </w:r>
          </w:p>
        </w:tc>
        <w:tc>
          <w:tcPr>
            <w:tcW w:w="462" w:type="pct"/>
            <w:vAlign w:val="center"/>
          </w:tcPr>
          <w:p>
            <w:pPr>
              <w:snapToGrid w:val="0"/>
              <w:jc w:val="center"/>
              <w:rPr>
                <w:rFonts w:eastAsiaTheme="minorEastAsia"/>
                <w:szCs w:val="21"/>
              </w:rPr>
            </w:pPr>
            <w:r>
              <w:rPr>
                <w:rFonts w:eastAsiaTheme="minorEastAsia"/>
                <w:szCs w:val="21"/>
              </w:rPr>
              <w:t>94</w:t>
            </w:r>
          </w:p>
        </w:tc>
        <w:tc>
          <w:tcPr>
            <w:tcW w:w="559" w:type="pct"/>
            <w:vAlign w:val="center"/>
          </w:tcPr>
          <w:p>
            <w:pPr>
              <w:snapToGrid w:val="0"/>
              <w:jc w:val="center"/>
              <w:rPr>
                <w:rFonts w:eastAsiaTheme="minorEastAsia"/>
                <w:szCs w:val="21"/>
              </w:rPr>
            </w:pPr>
            <w:r>
              <w:rPr>
                <w:rFonts w:eastAsiaTheme="minorEastAsia"/>
                <w:szCs w:val="21"/>
              </w:rPr>
              <w:t>88</w:t>
            </w:r>
          </w:p>
        </w:tc>
        <w:tc>
          <w:tcPr>
            <w:tcW w:w="559" w:type="pct"/>
            <w:vAlign w:val="center"/>
          </w:tcPr>
          <w:p>
            <w:pPr>
              <w:snapToGrid w:val="0"/>
              <w:jc w:val="center"/>
              <w:rPr>
                <w:rFonts w:eastAsiaTheme="minorEastAsia"/>
                <w:szCs w:val="21"/>
              </w:rPr>
            </w:pPr>
            <w:r>
              <w:rPr>
                <w:rFonts w:eastAsiaTheme="minorEastAsia"/>
                <w:szCs w:val="21"/>
              </w:rPr>
              <w:t>82</w:t>
            </w:r>
          </w:p>
        </w:tc>
        <w:tc>
          <w:tcPr>
            <w:tcW w:w="559" w:type="pct"/>
            <w:vAlign w:val="center"/>
          </w:tcPr>
          <w:p>
            <w:pPr>
              <w:snapToGrid w:val="0"/>
              <w:jc w:val="center"/>
              <w:rPr>
                <w:rFonts w:eastAsiaTheme="minorEastAsia"/>
                <w:szCs w:val="21"/>
              </w:rPr>
            </w:pPr>
            <w:r>
              <w:rPr>
                <w:rFonts w:eastAsiaTheme="minorEastAsia"/>
                <w:szCs w:val="21"/>
              </w:rPr>
              <w:t>76</w:t>
            </w:r>
          </w:p>
        </w:tc>
        <w:tc>
          <w:tcPr>
            <w:tcW w:w="559" w:type="pct"/>
            <w:vAlign w:val="center"/>
          </w:tcPr>
          <w:p>
            <w:pPr>
              <w:snapToGrid w:val="0"/>
              <w:jc w:val="center"/>
              <w:rPr>
                <w:rFonts w:eastAsiaTheme="minorEastAsia"/>
                <w:szCs w:val="21"/>
              </w:rPr>
            </w:pPr>
            <w:r>
              <w:rPr>
                <w:rFonts w:eastAsiaTheme="minorEastAsia"/>
                <w:szCs w:val="21"/>
              </w:rPr>
              <w:t>74</w:t>
            </w:r>
          </w:p>
        </w:tc>
        <w:tc>
          <w:tcPr>
            <w:tcW w:w="657" w:type="pct"/>
            <w:vAlign w:val="center"/>
          </w:tcPr>
          <w:p>
            <w:pPr>
              <w:snapToGrid w:val="0"/>
              <w:jc w:val="center"/>
              <w:rPr>
                <w:rFonts w:eastAsiaTheme="minorEastAsia"/>
                <w:szCs w:val="21"/>
              </w:rPr>
            </w:pPr>
            <w:r>
              <w:rPr>
                <w:rFonts w:eastAsiaTheme="minorEastAsia"/>
                <w:szCs w:val="21"/>
              </w:rPr>
              <w:t>68</w:t>
            </w:r>
          </w:p>
        </w:tc>
        <w:tc>
          <w:tcPr>
            <w:tcW w:w="657" w:type="pct"/>
            <w:vAlign w:val="center"/>
          </w:tcPr>
          <w:p>
            <w:pPr>
              <w:snapToGrid w:val="0"/>
              <w:jc w:val="center"/>
              <w:rPr>
                <w:rFonts w:eastAsiaTheme="minorEastAsia"/>
                <w:szCs w:val="21"/>
              </w:rPr>
            </w:pPr>
            <w:r>
              <w:rPr>
                <w:rFonts w:eastAsiaTheme="minorEastAsia"/>
                <w:szCs w:val="21"/>
              </w:rPr>
              <w:t>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7" w:type="pct"/>
            <w:vAlign w:val="center"/>
          </w:tcPr>
          <w:p>
            <w:pPr>
              <w:snapToGrid w:val="0"/>
              <w:jc w:val="center"/>
              <w:rPr>
                <w:rFonts w:eastAsiaTheme="minorEastAsia"/>
                <w:szCs w:val="21"/>
              </w:rPr>
            </w:pPr>
            <w:r>
              <w:rPr>
                <w:rFonts w:eastAsiaTheme="minorEastAsia"/>
                <w:szCs w:val="21"/>
              </w:rPr>
              <w:t>卡车</w:t>
            </w:r>
          </w:p>
        </w:tc>
        <w:tc>
          <w:tcPr>
            <w:tcW w:w="462" w:type="pct"/>
            <w:vAlign w:val="center"/>
          </w:tcPr>
          <w:p>
            <w:pPr>
              <w:snapToGrid w:val="0"/>
              <w:jc w:val="center"/>
              <w:rPr>
                <w:rFonts w:eastAsiaTheme="minorEastAsia"/>
                <w:szCs w:val="21"/>
              </w:rPr>
            </w:pPr>
            <w:r>
              <w:rPr>
                <w:rFonts w:eastAsiaTheme="minorEastAsia"/>
                <w:szCs w:val="21"/>
              </w:rPr>
              <w:t>92</w:t>
            </w:r>
          </w:p>
        </w:tc>
        <w:tc>
          <w:tcPr>
            <w:tcW w:w="559" w:type="pct"/>
            <w:vAlign w:val="center"/>
          </w:tcPr>
          <w:p>
            <w:pPr>
              <w:snapToGrid w:val="0"/>
              <w:jc w:val="center"/>
              <w:rPr>
                <w:rFonts w:eastAsiaTheme="minorEastAsia"/>
                <w:szCs w:val="21"/>
              </w:rPr>
            </w:pPr>
            <w:r>
              <w:rPr>
                <w:rFonts w:eastAsiaTheme="minorEastAsia"/>
                <w:szCs w:val="21"/>
              </w:rPr>
              <w:t>86</w:t>
            </w:r>
          </w:p>
        </w:tc>
        <w:tc>
          <w:tcPr>
            <w:tcW w:w="559" w:type="pct"/>
            <w:vAlign w:val="center"/>
          </w:tcPr>
          <w:p>
            <w:pPr>
              <w:snapToGrid w:val="0"/>
              <w:jc w:val="center"/>
              <w:rPr>
                <w:rFonts w:eastAsiaTheme="minorEastAsia"/>
                <w:szCs w:val="21"/>
              </w:rPr>
            </w:pPr>
            <w:r>
              <w:rPr>
                <w:rFonts w:eastAsiaTheme="minorEastAsia"/>
                <w:szCs w:val="21"/>
              </w:rPr>
              <w:t>80</w:t>
            </w:r>
          </w:p>
        </w:tc>
        <w:tc>
          <w:tcPr>
            <w:tcW w:w="559" w:type="pct"/>
            <w:vAlign w:val="center"/>
          </w:tcPr>
          <w:p>
            <w:pPr>
              <w:snapToGrid w:val="0"/>
              <w:jc w:val="center"/>
              <w:rPr>
                <w:rFonts w:eastAsiaTheme="minorEastAsia"/>
                <w:szCs w:val="21"/>
              </w:rPr>
            </w:pPr>
            <w:r>
              <w:rPr>
                <w:rFonts w:eastAsiaTheme="minorEastAsia"/>
                <w:szCs w:val="21"/>
              </w:rPr>
              <w:t>74</w:t>
            </w:r>
          </w:p>
        </w:tc>
        <w:tc>
          <w:tcPr>
            <w:tcW w:w="559" w:type="pct"/>
            <w:vAlign w:val="center"/>
          </w:tcPr>
          <w:p>
            <w:pPr>
              <w:snapToGrid w:val="0"/>
              <w:jc w:val="center"/>
              <w:rPr>
                <w:rFonts w:eastAsiaTheme="minorEastAsia"/>
                <w:szCs w:val="21"/>
              </w:rPr>
            </w:pPr>
            <w:r>
              <w:rPr>
                <w:rFonts w:eastAsiaTheme="minorEastAsia"/>
                <w:szCs w:val="21"/>
              </w:rPr>
              <w:t>72</w:t>
            </w:r>
          </w:p>
        </w:tc>
        <w:tc>
          <w:tcPr>
            <w:tcW w:w="657" w:type="pct"/>
            <w:vAlign w:val="center"/>
          </w:tcPr>
          <w:p>
            <w:pPr>
              <w:snapToGrid w:val="0"/>
              <w:jc w:val="center"/>
              <w:rPr>
                <w:rFonts w:eastAsiaTheme="minorEastAsia"/>
                <w:szCs w:val="21"/>
              </w:rPr>
            </w:pPr>
            <w:r>
              <w:rPr>
                <w:rFonts w:eastAsiaTheme="minorEastAsia"/>
                <w:szCs w:val="21"/>
              </w:rPr>
              <w:t>66</w:t>
            </w:r>
          </w:p>
        </w:tc>
        <w:tc>
          <w:tcPr>
            <w:tcW w:w="657" w:type="pct"/>
            <w:vAlign w:val="center"/>
          </w:tcPr>
          <w:p>
            <w:pPr>
              <w:snapToGrid w:val="0"/>
              <w:jc w:val="center"/>
              <w:rPr>
                <w:rFonts w:eastAsiaTheme="minorEastAsia"/>
                <w:szCs w:val="21"/>
              </w:rPr>
            </w:pPr>
            <w:r>
              <w:rPr>
                <w:rFonts w:eastAsiaTheme="minorEastAsia"/>
                <w:szCs w:val="21"/>
              </w:rPr>
              <w:t>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7" w:type="pct"/>
            <w:vAlign w:val="center"/>
          </w:tcPr>
          <w:p>
            <w:pPr>
              <w:snapToGrid w:val="0"/>
              <w:jc w:val="center"/>
              <w:rPr>
                <w:rFonts w:eastAsiaTheme="minorEastAsia"/>
                <w:szCs w:val="21"/>
              </w:rPr>
            </w:pPr>
            <w:r>
              <w:rPr>
                <w:rFonts w:eastAsiaTheme="minorEastAsia"/>
                <w:szCs w:val="21"/>
              </w:rPr>
              <w:t>移动式吊车</w:t>
            </w:r>
          </w:p>
        </w:tc>
        <w:tc>
          <w:tcPr>
            <w:tcW w:w="462" w:type="pct"/>
            <w:vAlign w:val="center"/>
          </w:tcPr>
          <w:p>
            <w:pPr>
              <w:snapToGrid w:val="0"/>
              <w:jc w:val="center"/>
              <w:rPr>
                <w:rFonts w:eastAsiaTheme="minorEastAsia"/>
                <w:szCs w:val="21"/>
              </w:rPr>
            </w:pPr>
            <w:r>
              <w:rPr>
                <w:rFonts w:eastAsiaTheme="minorEastAsia"/>
                <w:szCs w:val="21"/>
              </w:rPr>
              <w:t>96</w:t>
            </w:r>
          </w:p>
        </w:tc>
        <w:tc>
          <w:tcPr>
            <w:tcW w:w="559" w:type="pct"/>
            <w:vAlign w:val="center"/>
          </w:tcPr>
          <w:p>
            <w:pPr>
              <w:snapToGrid w:val="0"/>
              <w:jc w:val="center"/>
              <w:rPr>
                <w:rFonts w:eastAsiaTheme="minorEastAsia"/>
                <w:szCs w:val="21"/>
              </w:rPr>
            </w:pPr>
            <w:r>
              <w:rPr>
                <w:rFonts w:eastAsiaTheme="minorEastAsia"/>
                <w:szCs w:val="21"/>
              </w:rPr>
              <w:t>90</w:t>
            </w:r>
          </w:p>
        </w:tc>
        <w:tc>
          <w:tcPr>
            <w:tcW w:w="559" w:type="pct"/>
            <w:vAlign w:val="center"/>
          </w:tcPr>
          <w:p>
            <w:pPr>
              <w:snapToGrid w:val="0"/>
              <w:jc w:val="center"/>
              <w:rPr>
                <w:rFonts w:eastAsiaTheme="minorEastAsia"/>
                <w:szCs w:val="21"/>
              </w:rPr>
            </w:pPr>
            <w:r>
              <w:rPr>
                <w:rFonts w:eastAsiaTheme="minorEastAsia"/>
                <w:szCs w:val="21"/>
              </w:rPr>
              <w:t>84</w:t>
            </w:r>
          </w:p>
        </w:tc>
        <w:tc>
          <w:tcPr>
            <w:tcW w:w="559" w:type="pct"/>
            <w:vAlign w:val="center"/>
          </w:tcPr>
          <w:p>
            <w:pPr>
              <w:snapToGrid w:val="0"/>
              <w:jc w:val="center"/>
              <w:rPr>
                <w:rFonts w:eastAsiaTheme="minorEastAsia"/>
                <w:szCs w:val="21"/>
              </w:rPr>
            </w:pPr>
            <w:r>
              <w:rPr>
                <w:rFonts w:eastAsiaTheme="minorEastAsia"/>
                <w:szCs w:val="21"/>
              </w:rPr>
              <w:t>78</w:t>
            </w:r>
          </w:p>
        </w:tc>
        <w:tc>
          <w:tcPr>
            <w:tcW w:w="559" w:type="pct"/>
            <w:vAlign w:val="center"/>
          </w:tcPr>
          <w:p>
            <w:pPr>
              <w:snapToGrid w:val="0"/>
              <w:jc w:val="center"/>
              <w:rPr>
                <w:rFonts w:eastAsiaTheme="minorEastAsia"/>
                <w:szCs w:val="21"/>
              </w:rPr>
            </w:pPr>
            <w:r>
              <w:rPr>
                <w:rFonts w:eastAsiaTheme="minorEastAsia"/>
                <w:szCs w:val="21"/>
              </w:rPr>
              <w:t>76</w:t>
            </w:r>
          </w:p>
        </w:tc>
        <w:tc>
          <w:tcPr>
            <w:tcW w:w="657" w:type="pct"/>
            <w:vAlign w:val="center"/>
          </w:tcPr>
          <w:p>
            <w:pPr>
              <w:snapToGrid w:val="0"/>
              <w:jc w:val="center"/>
              <w:rPr>
                <w:rFonts w:eastAsiaTheme="minorEastAsia"/>
                <w:szCs w:val="21"/>
              </w:rPr>
            </w:pPr>
            <w:r>
              <w:rPr>
                <w:rFonts w:eastAsiaTheme="minorEastAsia"/>
                <w:szCs w:val="21"/>
              </w:rPr>
              <w:t>70</w:t>
            </w:r>
          </w:p>
        </w:tc>
        <w:tc>
          <w:tcPr>
            <w:tcW w:w="657" w:type="pct"/>
            <w:vAlign w:val="center"/>
          </w:tcPr>
          <w:p>
            <w:pPr>
              <w:snapToGrid w:val="0"/>
              <w:jc w:val="center"/>
              <w:rPr>
                <w:rFonts w:eastAsiaTheme="minorEastAsia"/>
                <w:szCs w:val="21"/>
              </w:rPr>
            </w:pPr>
            <w:r>
              <w:rPr>
                <w:rFonts w:eastAsiaTheme="minorEastAsia"/>
                <w:szCs w:val="21"/>
              </w:rPr>
              <w:t>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87" w:type="pct"/>
            <w:vAlign w:val="center"/>
          </w:tcPr>
          <w:p>
            <w:pPr>
              <w:snapToGrid w:val="0"/>
              <w:jc w:val="center"/>
              <w:rPr>
                <w:rFonts w:eastAsiaTheme="minorEastAsia"/>
                <w:szCs w:val="21"/>
              </w:rPr>
            </w:pPr>
            <w:r>
              <w:rPr>
                <w:rFonts w:eastAsiaTheme="minorEastAsia"/>
                <w:szCs w:val="21"/>
              </w:rPr>
              <w:t>气动扳手</w:t>
            </w:r>
          </w:p>
        </w:tc>
        <w:tc>
          <w:tcPr>
            <w:tcW w:w="462" w:type="pct"/>
            <w:vAlign w:val="center"/>
          </w:tcPr>
          <w:p>
            <w:pPr>
              <w:snapToGrid w:val="0"/>
              <w:jc w:val="center"/>
              <w:rPr>
                <w:rFonts w:eastAsiaTheme="minorEastAsia"/>
                <w:szCs w:val="21"/>
              </w:rPr>
            </w:pPr>
            <w:r>
              <w:rPr>
                <w:rFonts w:eastAsiaTheme="minorEastAsia"/>
                <w:szCs w:val="21"/>
              </w:rPr>
              <w:t>85</w:t>
            </w:r>
          </w:p>
        </w:tc>
        <w:tc>
          <w:tcPr>
            <w:tcW w:w="559" w:type="pct"/>
            <w:vAlign w:val="center"/>
          </w:tcPr>
          <w:p>
            <w:pPr>
              <w:snapToGrid w:val="0"/>
              <w:jc w:val="center"/>
              <w:rPr>
                <w:rFonts w:eastAsiaTheme="minorEastAsia"/>
                <w:szCs w:val="21"/>
              </w:rPr>
            </w:pPr>
            <w:r>
              <w:rPr>
                <w:rFonts w:eastAsiaTheme="minorEastAsia"/>
                <w:szCs w:val="21"/>
              </w:rPr>
              <w:t>79</w:t>
            </w:r>
          </w:p>
        </w:tc>
        <w:tc>
          <w:tcPr>
            <w:tcW w:w="559" w:type="pct"/>
            <w:vAlign w:val="center"/>
          </w:tcPr>
          <w:p>
            <w:pPr>
              <w:snapToGrid w:val="0"/>
              <w:jc w:val="center"/>
              <w:rPr>
                <w:rFonts w:eastAsiaTheme="minorEastAsia"/>
                <w:szCs w:val="21"/>
              </w:rPr>
            </w:pPr>
            <w:r>
              <w:rPr>
                <w:rFonts w:eastAsiaTheme="minorEastAsia"/>
                <w:szCs w:val="21"/>
              </w:rPr>
              <w:t>73</w:t>
            </w:r>
          </w:p>
        </w:tc>
        <w:tc>
          <w:tcPr>
            <w:tcW w:w="559" w:type="pct"/>
            <w:vAlign w:val="center"/>
          </w:tcPr>
          <w:p>
            <w:pPr>
              <w:snapToGrid w:val="0"/>
              <w:jc w:val="center"/>
              <w:rPr>
                <w:rFonts w:eastAsiaTheme="minorEastAsia"/>
                <w:szCs w:val="21"/>
              </w:rPr>
            </w:pPr>
            <w:r>
              <w:rPr>
                <w:rFonts w:eastAsiaTheme="minorEastAsia"/>
                <w:szCs w:val="21"/>
              </w:rPr>
              <w:t>67</w:t>
            </w:r>
          </w:p>
        </w:tc>
        <w:tc>
          <w:tcPr>
            <w:tcW w:w="559" w:type="pct"/>
            <w:vAlign w:val="center"/>
          </w:tcPr>
          <w:p>
            <w:pPr>
              <w:snapToGrid w:val="0"/>
              <w:jc w:val="center"/>
              <w:rPr>
                <w:rFonts w:eastAsiaTheme="minorEastAsia"/>
                <w:szCs w:val="21"/>
              </w:rPr>
            </w:pPr>
            <w:r>
              <w:rPr>
                <w:rFonts w:eastAsiaTheme="minorEastAsia"/>
                <w:szCs w:val="21"/>
              </w:rPr>
              <w:t>65</w:t>
            </w:r>
          </w:p>
        </w:tc>
        <w:tc>
          <w:tcPr>
            <w:tcW w:w="657" w:type="pct"/>
            <w:vAlign w:val="center"/>
          </w:tcPr>
          <w:p>
            <w:pPr>
              <w:snapToGrid w:val="0"/>
              <w:jc w:val="center"/>
              <w:rPr>
                <w:rFonts w:eastAsiaTheme="minorEastAsia"/>
                <w:szCs w:val="21"/>
              </w:rPr>
            </w:pPr>
            <w:r>
              <w:rPr>
                <w:rFonts w:eastAsiaTheme="minorEastAsia"/>
                <w:szCs w:val="21"/>
              </w:rPr>
              <w:t>59</w:t>
            </w:r>
          </w:p>
        </w:tc>
        <w:tc>
          <w:tcPr>
            <w:tcW w:w="657" w:type="pct"/>
            <w:vAlign w:val="center"/>
          </w:tcPr>
          <w:p>
            <w:pPr>
              <w:snapToGrid w:val="0"/>
              <w:jc w:val="center"/>
              <w:rPr>
                <w:rFonts w:eastAsiaTheme="minorEastAsia"/>
                <w:szCs w:val="21"/>
              </w:rPr>
            </w:pPr>
            <w:r>
              <w:rPr>
                <w:rFonts w:eastAsiaTheme="minorEastAsia"/>
                <w:szCs w:val="21"/>
              </w:rPr>
              <w:t>55</w:t>
            </w:r>
          </w:p>
        </w:tc>
      </w:tr>
    </w:tbl>
    <w:p>
      <w:pPr>
        <w:snapToGrid w:val="0"/>
        <w:spacing w:line="360" w:lineRule="auto"/>
        <w:ind w:firstLine="480" w:firstLineChars="200"/>
        <w:rPr>
          <w:rFonts w:eastAsiaTheme="minorEastAsia"/>
          <w:sz w:val="24"/>
        </w:rPr>
      </w:pPr>
      <w:r>
        <w:rPr>
          <w:rFonts w:eastAsiaTheme="minorEastAsia"/>
          <w:sz w:val="24"/>
        </w:rPr>
        <w:t>项目建设期不同阶段机械设备噪声对环境的影响参照《建筑施工场界环境噪声排放标准》（GB12523-2011）执行，其标限值见表6.1-3。</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表6.1-3  建筑施工场界环境噪声排放限值  单位：dB（A）</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394"/>
        <w:gridCol w:w="43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61" w:type="dxa"/>
            <w:vAlign w:val="center"/>
          </w:tcPr>
          <w:p>
            <w:pPr>
              <w:snapToGrid w:val="0"/>
              <w:jc w:val="center"/>
              <w:rPr>
                <w:rFonts w:eastAsiaTheme="minorEastAsia"/>
                <w:b/>
                <w:szCs w:val="21"/>
              </w:rPr>
            </w:pPr>
            <w:r>
              <w:rPr>
                <w:rFonts w:eastAsiaTheme="minorEastAsia"/>
                <w:b/>
                <w:szCs w:val="21"/>
              </w:rPr>
              <w:t>昼间</w:t>
            </w:r>
          </w:p>
        </w:tc>
        <w:tc>
          <w:tcPr>
            <w:tcW w:w="4261" w:type="dxa"/>
            <w:vAlign w:val="center"/>
          </w:tcPr>
          <w:p>
            <w:pPr>
              <w:snapToGrid w:val="0"/>
              <w:jc w:val="center"/>
              <w:rPr>
                <w:rFonts w:eastAsiaTheme="minorEastAsia"/>
                <w:b/>
                <w:szCs w:val="21"/>
              </w:rPr>
            </w:pPr>
            <w:r>
              <w:rPr>
                <w:rFonts w:eastAsiaTheme="minorEastAsia"/>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261" w:type="dxa"/>
            <w:vAlign w:val="center"/>
          </w:tcPr>
          <w:p>
            <w:pPr>
              <w:snapToGrid w:val="0"/>
              <w:jc w:val="center"/>
              <w:rPr>
                <w:rFonts w:eastAsiaTheme="minorEastAsia"/>
                <w:szCs w:val="21"/>
              </w:rPr>
            </w:pPr>
            <w:r>
              <w:rPr>
                <w:rFonts w:eastAsiaTheme="minorEastAsia"/>
                <w:szCs w:val="21"/>
              </w:rPr>
              <w:t>70</w:t>
            </w:r>
          </w:p>
        </w:tc>
        <w:tc>
          <w:tcPr>
            <w:tcW w:w="4261" w:type="dxa"/>
            <w:vAlign w:val="center"/>
          </w:tcPr>
          <w:p>
            <w:pPr>
              <w:snapToGrid w:val="0"/>
              <w:jc w:val="center"/>
              <w:rPr>
                <w:rFonts w:eastAsiaTheme="minorEastAsia"/>
                <w:szCs w:val="21"/>
              </w:rPr>
            </w:pPr>
            <w:r>
              <w:rPr>
                <w:rFonts w:eastAsiaTheme="minorEastAsia"/>
                <w:szCs w:val="21"/>
              </w:rPr>
              <w:t>55</w:t>
            </w:r>
          </w:p>
        </w:tc>
      </w:tr>
    </w:tbl>
    <w:p>
      <w:pPr>
        <w:snapToGrid w:val="0"/>
        <w:spacing w:line="360" w:lineRule="auto"/>
        <w:ind w:firstLine="480" w:firstLineChars="200"/>
        <w:rPr>
          <w:rFonts w:eastAsiaTheme="minorEastAsia"/>
          <w:sz w:val="24"/>
        </w:rPr>
      </w:pPr>
      <w:r>
        <w:rPr>
          <w:rFonts w:eastAsiaTheme="minorEastAsia"/>
          <w:sz w:val="24"/>
        </w:rPr>
        <w:t>由表6.1-3可看出，昼间施工机械产生的噪声主要对100m以内的敏感目标造成干扰，施工工地100m范围内声环境敏感目标包括西侧滨江茗园小区、东侧先锋社区。</w:t>
      </w:r>
    </w:p>
    <w:p>
      <w:pPr>
        <w:snapToGrid w:val="0"/>
        <w:spacing w:line="360" w:lineRule="auto"/>
        <w:ind w:firstLine="480" w:firstLineChars="200"/>
        <w:rPr>
          <w:rFonts w:eastAsiaTheme="minorEastAsia"/>
          <w:sz w:val="24"/>
        </w:rPr>
      </w:pPr>
      <w:r>
        <w:rPr>
          <w:rFonts w:eastAsiaTheme="minorEastAsia"/>
          <w:sz w:val="24"/>
        </w:rPr>
        <w:t>因此，施工单位应合理安排施工工序，严格控制高噪声设备运行时段，尽量避免高噪声设备同时运行，并按照《中华人民共和国环境噪声污染防治法》要求，严禁夜间施工（夜间22：00～06：00），避免夜间施工产生扰民现象，通过采取一定的环保措施，同时通过场地四周围挡的阻隔以及距离衰减，施工期噪声对周边环境敏感点影响较小。</w:t>
      </w:r>
    </w:p>
    <w:p>
      <w:pPr>
        <w:snapToGrid w:val="0"/>
        <w:spacing w:line="360" w:lineRule="auto"/>
        <w:ind w:firstLine="480" w:firstLineChars="200"/>
        <w:rPr>
          <w:rFonts w:eastAsiaTheme="minorEastAsia"/>
          <w:sz w:val="24"/>
        </w:rPr>
      </w:pPr>
      <w:r>
        <w:rPr>
          <w:rFonts w:eastAsiaTheme="minorEastAsia"/>
          <w:sz w:val="24"/>
        </w:rPr>
        <w:t>施工期噪声污染是短暂的，随着施工的结束，施工噪声也随之结束，项目施工期对周边声环境的影响是可以接受的。</w:t>
      </w:r>
    </w:p>
    <w:p>
      <w:pPr>
        <w:pStyle w:val="4"/>
        <w:snapToGrid w:val="0"/>
        <w:spacing w:before="0" w:after="0" w:line="360" w:lineRule="auto"/>
        <w:rPr>
          <w:rFonts w:eastAsiaTheme="minorEastAsia"/>
          <w:kern w:val="0"/>
          <w:sz w:val="24"/>
        </w:rPr>
      </w:pPr>
      <w:r>
        <w:rPr>
          <w:rFonts w:eastAsiaTheme="minorEastAsia"/>
          <w:kern w:val="0"/>
          <w:sz w:val="24"/>
        </w:rPr>
        <w:t>6.1.4 施工期固体废物影响分析</w:t>
      </w:r>
    </w:p>
    <w:p>
      <w:pPr>
        <w:snapToGrid w:val="0"/>
        <w:spacing w:line="360" w:lineRule="auto"/>
        <w:ind w:firstLine="480" w:firstLineChars="200"/>
        <w:rPr>
          <w:rFonts w:eastAsiaTheme="minorEastAsia"/>
          <w:sz w:val="24"/>
        </w:rPr>
      </w:pPr>
      <w:r>
        <w:rPr>
          <w:rFonts w:eastAsiaTheme="minorEastAsia"/>
          <w:sz w:val="24"/>
        </w:rPr>
        <w:t>施工过程会产生弃土、建筑垃圾、生活垃圾。</w:t>
      </w:r>
    </w:p>
    <w:p>
      <w:pPr>
        <w:snapToGrid w:val="0"/>
        <w:spacing w:line="360" w:lineRule="auto"/>
        <w:ind w:firstLine="480" w:firstLineChars="200"/>
        <w:rPr>
          <w:rFonts w:eastAsiaTheme="minorEastAsia"/>
          <w:sz w:val="24"/>
        </w:rPr>
      </w:pPr>
      <w:r>
        <w:rPr>
          <w:rFonts w:eastAsiaTheme="minorEastAsia"/>
          <w:sz w:val="24"/>
        </w:rPr>
        <w:t>（1）弃土、建筑垃圾</w:t>
      </w:r>
    </w:p>
    <w:p>
      <w:pPr>
        <w:snapToGrid w:val="0"/>
        <w:spacing w:line="360" w:lineRule="auto"/>
        <w:ind w:firstLine="480" w:firstLineChars="200"/>
        <w:rPr>
          <w:rFonts w:eastAsiaTheme="minorEastAsia"/>
          <w:sz w:val="24"/>
        </w:rPr>
      </w:pPr>
      <w:r>
        <w:rPr>
          <w:rFonts w:eastAsiaTheme="minorEastAsia"/>
          <w:sz w:val="24"/>
        </w:rPr>
        <w:t>施工过程中产生的建筑垃圾，主要包括一些门诊楼拆除垃圾、包装袋、碎木块、废水泥浇注体、地基开挖渣土等，这些废渣处理不当，不仅占用土地，造成水土流失，对环境造成影响。</w:t>
      </w:r>
    </w:p>
    <w:p>
      <w:pPr>
        <w:snapToGrid w:val="0"/>
        <w:spacing w:line="360" w:lineRule="auto"/>
        <w:ind w:firstLine="480" w:firstLineChars="200"/>
        <w:rPr>
          <w:rFonts w:eastAsiaTheme="minorEastAsia"/>
          <w:sz w:val="24"/>
        </w:rPr>
      </w:pPr>
      <w:r>
        <w:rPr>
          <w:rFonts w:eastAsiaTheme="minorEastAsia"/>
          <w:sz w:val="24"/>
        </w:rPr>
        <w:t>建筑工地施工过程中会产生大量渣土、地基开挖的余泥、施工剩余包装袋、碎木块、废水泥浇注体等，其中废弃建材的多少，与施工水平的优劣有关，除金属建材和部分木材经再加工后可再利用外，其它固体废物一般都不能重新利用，需要进行处理或堆置存放。在长期堆存过程中，某些废物会因表面干燥风化而引起扬尘，造成危害，污染周围环境空气。</w:t>
      </w:r>
    </w:p>
    <w:p>
      <w:pPr>
        <w:snapToGrid w:val="0"/>
        <w:spacing w:line="360" w:lineRule="auto"/>
        <w:ind w:firstLine="480" w:firstLineChars="200"/>
        <w:rPr>
          <w:rFonts w:eastAsiaTheme="minorEastAsia"/>
          <w:sz w:val="24"/>
        </w:rPr>
      </w:pPr>
      <w:r>
        <w:rPr>
          <w:rFonts w:eastAsiaTheme="minorEastAsia"/>
          <w:sz w:val="24"/>
        </w:rPr>
        <w:t>根据工程分析，项目建设过程中预计建筑垃圾产生量为4000t，包括门诊大楼拆除垃圾、砂石、石块、碎砖瓦、废木料、废金属、废钢筋等杂物，弃土均在场内回填利用。施工期固体废弃物拟集中堆放，及时运至指定的处理场填埋处理，严禁乱丢乱弃；施工期生活垃圾拟交由环卫部门集中处置。</w:t>
      </w:r>
    </w:p>
    <w:p>
      <w:pPr>
        <w:snapToGrid w:val="0"/>
        <w:spacing w:line="360" w:lineRule="auto"/>
        <w:ind w:firstLine="480" w:firstLineChars="200"/>
        <w:rPr>
          <w:rFonts w:eastAsiaTheme="minorEastAsia"/>
          <w:sz w:val="24"/>
        </w:rPr>
      </w:pPr>
      <w:r>
        <w:rPr>
          <w:rFonts w:eastAsiaTheme="minorEastAsia"/>
          <w:sz w:val="24"/>
        </w:rPr>
        <w:t>渣土应按相关规定，建设单位应在建设项目开工前向县住建局提出申请，并签订建筑垃圾运输卫生保证协议，经批准并按规定缴纳建筑垃圾处理费后委托取得建筑垃圾准运证的车辆进行运输。并按照规定的数量、运输线路、时间、倾倒地点进行处置。不得超载运输，不得车轮带泥，不得遗撒、泄露。运载建筑垃圾的车辆应严格执行湘阴县有关施工渣土管理的规定，建设单位应当督促运输单位在清运时间内组织人力、物力或委托专业市容环境卫生服务单位做好沿途的污染清理工作；清运过程中造成交通安全设施损坏的，应予以赔偿。</w:t>
      </w:r>
    </w:p>
    <w:p>
      <w:pPr>
        <w:snapToGrid w:val="0"/>
        <w:spacing w:line="360" w:lineRule="auto"/>
        <w:ind w:firstLine="480" w:firstLineChars="200"/>
        <w:rPr>
          <w:rFonts w:eastAsiaTheme="minorEastAsia"/>
          <w:sz w:val="24"/>
        </w:rPr>
      </w:pPr>
      <w:r>
        <w:rPr>
          <w:rFonts w:eastAsiaTheme="minorEastAsia"/>
          <w:sz w:val="24"/>
        </w:rPr>
        <w:t>因此，通过严格管理，所有的建筑垃圾可全部综合利用，使固体废物全部无害化处置，可最大限度减少废弃土方随意倾倒所产生的不良影响。</w:t>
      </w:r>
    </w:p>
    <w:p>
      <w:pPr>
        <w:snapToGrid w:val="0"/>
        <w:spacing w:line="360" w:lineRule="auto"/>
        <w:ind w:firstLine="480" w:firstLineChars="200"/>
        <w:rPr>
          <w:rFonts w:eastAsiaTheme="minorEastAsia"/>
          <w:sz w:val="24"/>
        </w:rPr>
      </w:pPr>
      <w:r>
        <w:rPr>
          <w:rFonts w:eastAsiaTheme="minorEastAsia"/>
          <w:sz w:val="24"/>
        </w:rPr>
        <w:t>（2）生活垃圾</w:t>
      </w:r>
    </w:p>
    <w:p>
      <w:pPr>
        <w:snapToGrid w:val="0"/>
        <w:spacing w:line="360" w:lineRule="auto"/>
        <w:ind w:firstLine="480" w:firstLineChars="200"/>
        <w:rPr>
          <w:rFonts w:eastAsiaTheme="minorEastAsia"/>
          <w:sz w:val="24"/>
        </w:rPr>
      </w:pPr>
      <w:r>
        <w:rPr>
          <w:rFonts w:eastAsiaTheme="minorEastAsia"/>
          <w:sz w:val="24"/>
        </w:rPr>
        <w:t>根据工程分析，本项目施工人员生活垃圾产生量为100kg/d，集中收集后由环卫部门统一清运处理，对环境影响较小。</w:t>
      </w:r>
    </w:p>
    <w:p>
      <w:pPr>
        <w:snapToGrid w:val="0"/>
        <w:spacing w:line="360" w:lineRule="auto"/>
        <w:ind w:firstLine="480" w:firstLineChars="200"/>
        <w:rPr>
          <w:rFonts w:eastAsiaTheme="minorEastAsia"/>
          <w:sz w:val="24"/>
        </w:rPr>
      </w:pPr>
      <w:r>
        <w:rPr>
          <w:rFonts w:eastAsiaTheme="minorEastAsia"/>
          <w:sz w:val="24"/>
        </w:rPr>
        <w:t>上述废物在采取相应的措施后，将不会对周围环境及敏感点造成明显影响。</w:t>
      </w:r>
    </w:p>
    <w:p>
      <w:pPr>
        <w:pStyle w:val="4"/>
        <w:snapToGrid w:val="0"/>
        <w:spacing w:before="0" w:after="0" w:line="360" w:lineRule="auto"/>
        <w:rPr>
          <w:rFonts w:eastAsiaTheme="minorEastAsia"/>
          <w:kern w:val="0"/>
          <w:sz w:val="24"/>
        </w:rPr>
      </w:pPr>
      <w:bookmarkStart w:id="131" w:name="_Toc27283"/>
      <w:r>
        <w:rPr>
          <w:rFonts w:eastAsiaTheme="minorEastAsia"/>
          <w:kern w:val="0"/>
          <w:sz w:val="24"/>
        </w:rPr>
        <w:t>6.1.5 施工期生态环境影响分析</w:t>
      </w:r>
      <w:bookmarkEnd w:id="131"/>
    </w:p>
    <w:p>
      <w:pPr>
        <w:snapToGrid w:val="0"/>
        <w:spacing w:line="360" w:lineRule="auto"/>
        <w:ind w:firstLine="480" w:firstLineChars="200"/>
        <w:rPr>
          <w:rFonts w:eastAsiaTheme="minorEastAsia"/>
          <w:sz w:val="24"/>
        </w:rPr>
      </w:pPr>
      <w:r>
        <w:rPr>
          <w:rFonts w:eastAsiaTheme="minorEastAsia"/>
          <w:sz w:val="24"/>
        </w:rPr>
        <w:t>（1）施工期对植被的影响分析</w:t>
      </w:r>
    </w:p>
    <w:p>
      <w:pPr>
        <w:snapToGrid w:val="0"/>
        <w:spacing w:line="360" w:lineRule="auto"/>
        <w:ind w:firstLine="480" w:firstLineChars="200"/>
        <w:rPr>
          <w:rFonts w:eastAsiaTheme="minorEastAsia"/>
          <w:sz w:val="24"/>
        </w:rPr>
      </w:pPr>
      <w:r>
        <w:rPr>
          <w:rFonts w:eastAsiaTheme="minorEastAsia"/>
          <w:sz w:val="24"/>
        </w:rPr>
        <w:t>根据现场勘查，本项目拟建地目前绝大部分区域为硬化地面及原有绿化植物，场地原有生态主要为景观植物等，项目区域野生动物主要为一些常见鸟类。根据项目规划设计，用地施工完成后以人工绿化方式恢复植被，取而代之的是人工绿化、人造景观，通过采取相应的生态保护和恢复措施，尤其是通过施工管理和强化施工期的保护和恢复，项目建成后，其绿地率将达到33.38%，将大量种植乔、灌木、花草、人工草坪和绿化植物等，届时评价区内的树木蓄积量和生物量都有提高，因此，项目的建设对评价区自然植被的破坏程度较小。</w:t>
      </w:r>
    </w:p>
    <w:p>
      <w:pPr>
        <w:snapToGrid w:val="0"/>
        <w:spacing w:line="360" w:lineRule="auto"/>
        <w:ind w:firstLine="480" w:firstLineChars="200"/>
        <w:rPr>
          <w:rFonts w:eastAsiaTheme="minorEastAsia"/>
          <w:sz w:val="24"/>
        </w:rPr>
      </w:pPr>
      <w:r>
        <w:rPr>
          <w:rFonts w:eastAsiaTheme="minorEastAsia"/>
          <w:sz w:val="24"/>
        </w:rPr>
        <w:t>（2）水土流失影响分析</w:t>
      </w:r>
    </w:p>
    <w:p>
      <w:pPr>
        <w:snapToGrid w:val="0"/>
        <w:spacing w:line="360" w:lineRule="auto"/>
        <w:ind w:firstLine="480" w:firstLineChars="200"/>
        <w:rPr>
          <w:rFonts w:eastAsiaTheme="minorEastAsia"/>
          <w:sz w:val="24"/>
        </w:rPr>
      </w:pPr>
      <w:r>
        <w:rPr>
          <w:rFonts w:eastAsiaTheme="minorEastAsia"/>
          <w:sz w:val="24"/>
        </w:rPr>
        <w:t>在项目建设中，土地平整、植被清除，扰动和破坏了原生地貌，将可能加剧施工区的水土流失，如果不采取有力的水土保持措施，将对施工区土壤与生态环境带来不利影响，其危害主要表现在：</w:t>
      </w:r>
    </w:p>
    <w:p>
      <w:pPr>
        <w:snapToGrid w:val="0"/>
        <w:spacing w:line="360" w:lineRule="auto"/>
        <w:ind w:firstLine="480" w:firstLineChars="200"/>
        <w:rPr>
          <w:rFonts w:eastAsiaTheme="minorEastAsia"/>
          <w:sz w:val="24"/>
        </w:rPr>
      </w:pPr>
      <w:r>
        <w:rPr>
          <w:rFonts w:eastAsiaTheme="minorEastAsia"/>
          <w:sz w:val="24"/>
        </w:rPr>
        <w:t>1.损坏水土保持设施，降低水土保持功能</w:t>
      </w:r>
    </w:p>
    <w:p>
      <w:pPr>
        <w:snapToGrid w:val="0"/>
        <w:spacing w:line="360" w:lineRule="auto"/>
        <w:ind w:firstLine="480" w:firstLineChars="200"/>
        <w:rPr>
          <w:rFonts w:eastAsiaTheme="minorEastAsia"/>
          <w:sz w:val="24"/>
        </w:rPr>
      </w:pPr>
      <w:r>
        <w:rPr>
          <w:rFonts w:eastAsiaTheme="minorEastAsia"/>
          <w:sz w:val="24"/>
        </w:rPr>
        <w:t>工程施工损坏原地表土壤覆盖物，降低原地貌水土保持功能，加剧施工区内水土流失，土壤营养成分流失、肥力下降和生产力降低。</w:t>
      </w:r>
    </w:p>
    <w:p>
      <w:pPr>
        <w:snapToGrid w:val="0"/>
        <w:spacing w:line="360" w:lineRule="auto"/>
        <w:ind w:firstLine="480" w:firstLineChars="200"/>
        <w:rPr>
          <w:rFonts w:eastAsiaTheme="minorEastAsia"/>
          <w:sz w:val="24"/>
        </w:rPr>
      </w:pPr>
      <w:r>
        <w:rPr>
          <w:rFonts w:eastAsiaTheme="minorEastAsia"/>
          <w:sz w:val="24"/>
        </w:rPr>
        <w:t>2.加剧水土流失</w:t>
      </w:r>
    </w:p>
    <w:p>
      <w:pPr>
        <w:snapToGrid w:val="0"/>
        <w:spacing w:line="360" w:lineRule="auto"/>
        <w:ind w:firstLine="480" w:firstLineChars="200"/>
        <w:rPr>
          <w:rFonts w:eastAsiaTheme="minorEastAsia"/>
          <w:sz w:val="24"/>
        </w:rPr>
      </w:pPr>
      <w:r>
        <w:rPr>
          <w:rFonts w:eastAsiaTheme="minorEastAsia"/>
          <w:sz w:val="24"/>
        </w:rPr>
        <w:t>由于本工程建设过程中破坏了原地貌状态和自然侵蚀状态下的水文网络系统，植被受到破坏，极易诱发水土流失，同时施工裸露地面面积增加，扰动了原土层，为面蚀、细沟等土壤侵蚀的产生创造了一定的条件。</w:t>
      </w:r>
    </w:p>
    <w:p>
      <w:pPr>
        <w:snapToGrid w:val="0"/>
        <w:spacing w:line="360" w:lineRule="auto"/>
        <w:ind w:firstLine="480" w:firstLineChars="200"/>
        <w:rPr>
          <w:rFonts w:eastAsiaTheme="minorEastAsia"/>
          <w:sz w:val="24"/>
        </w:rPr>
      </w:pPr>
      <w:r>
        <w:rPr>
          <w:rFonts w:eastAsiaTheme="minorEastAsia"/>
          <w:sz w:val="24"/>
        </w:rPr>
        <w:t>3.破坏视觉形象和区域景观</w:t>
      </w:r>
    </w:p>
    <w:p>
      <w:pPr>
        <w:snapToGrid w:val="0"/>
        <w:spacing w:line="360" w:lineRule="auto"/>
        <w:ind w:firstLine="480" w:firstLineChars="200"/>
        <w:rPr>
          <w:rFonts w:eastAsiaTheme="minorEastAsia"/>
          <w:sz w:val="24"/>
        </w:rPr>
      </w:pPr>
      <w:r>
        <w:rPr>
          <w:rFonts w:eastAsiaTheme="minorEastAsia"/>
          <w:sz w:val="24"/>
        </w:rPr>
        <w:t>水土流失现象的发生，裸露地面等的出现将与自然景观形成鲜明的视觉反差，影响景观环境。</w:t>
      </w:r>
    </w:p>
    <w:p>
      <w:pPr>
        <w:snapToGrid w:val="0"/>
        <w:spacing w:line="360" w:lineRule="auto"/>
        <w:ind w:firstLine="480" w:firstLineChars="200"/>
        <w:rPr>
          <w:rFonts w:eastAsiaTheme="minorEastAsia"/>
          <w:sz w:val="24"/>
        </w:rPr>
      </w:pPr>
      <w:r>
        <w:rPr>
          <w:rFonts w:eastAsiaTheme="minorEastAsia"/>
          <w:sz w:val="24"/>
        </w:rPr>
        <w:t>因此，在施工过程中应及时采取必要的水土保持措施，如对施工基地采取平整和夯实的工程措施和绿化美化的生物措施，减少因项目建设地表扰动产生的水土流失和对生态环境的不利影响。</w:t>
      </w:r>
    </w:p>
    <w:p>
      <w:pPr>
        <w:snapToGrid w:val="0"/>
        <w:spacing w:line="360" w:lineRule="auto"/>
        <w:ind w:firstLine="480" w:firstLineChars="200"/>
        <w:rPr>
          <w:rFonts w:eastAsiaTheme="minorEastAsia"/>
          <w:sz w:val="24"/>
        </w:rPr>
      </w:pPr>
      <w:r>
        <w:rPr>
          <w:rFonts w:eastAsiaTheme="minorEastAsia"/>
          <w:sz w:val="24"/>
        </w:rPr>
        <w:t>综上所述，在落实本环评提出的各项污染防治措施后，本项目施工期对外环境的影响较小。</w:t>
      </w:r>
    </w:p>
    <w:p>
      <w:pPr>
        <w:pStyle w:val="3"/>
        <w:snapToGrid w:val="0"/>
        <w:spacing w:before="0" w:after="0" w:line="360" w:lineRule="auto"/>
        <w:rPr>
          <w:rFonts w:ascii="Times New Roman" w:hAnsi="Times New Roman" w:eastAsiaTheme="minorEastAsia"/>
          <w:sz w:val="28"/>
          <w:lang w:val="zh-CN"/>
        </w:rPr>
      </w:pPr>
      <w:bookmarkStart w:id="132" w:name="_Toc61026611"/>
      <w:r>
        <w:rPr>
          <w:rFonts w:ascii="Times New Roman" w:hAnsi="Times New Roman" w:eastAsiaTheme="minorEastAsia"/>
          <w:sz w:val="28"/>
          <w:lang w:val="zh-CN"/>
        </w:rPr>
        <w:t>6.2 营运期大气环境影响预测与评价</w:t>
      </w:r>
      <w:bookmarkEnd w:id="132"/>
    </w:p>
    <w:p>
      <w:pPr>
        <w:snapToGrid w:val="0"/>
        <w:spacing w:line="360" w:lineRule="auto"/>
        <w:ind w:firstLine="480" w:firstLineChars="200"/>
        <w:rPr>
          <w:rFonts w:eastAsiaTheme="minorEastAsia"/>
          <w:sz w:val="24"/>
          <w:szCs w:val="28"/>
        </w:rPr>
      </w:pPr>
      <w:bookmarkStart w:id="133" w:name="_Toc401594831"/>
      <w:bookmarkStart w:id="134" w:name="_Toc305696370"/>
      <w:r>
        <w:rPr>
          <w:rFonts w:eastAsiaTheme="minorEastAsia"/>
          <w:sz w:val="24"/>
          <w:szCs w:val="28"/>
        </w:rPr>
        <w:t>项目拟采用集中供暖，根据项目规划，工程建成投入营运后，所用能源全部为电和天然气，从源头上控制了废气污染物的产生。项目建成后废气主要包括污水处理站臭气、垃圾站恶臭、备用柴油发电机废气、食堂油烟废气、地下车库汽车尾气。</w:t>
      </w:r>
    </w:p>
    <w:p>
      <w:pPr>
        <w:snapToGrid w:val="0"/>
        <w:spacing w:line="360" w:lineRule="auto"/>
        <w:ind w:firstLine="482" w:firstLineChars="200"/>
        <w:rPr>
          <w:rFonts w:eastAsiaTheme="minorEastAsia"/>
          <w:b/>
          <w:bCs/>
          <w:sz w:val="24"/>
          <w:szCs w:val="28"/>
        </w:rPr>
      </w:pPr>
      <w:r>
        <w:rPr>
          <w:rFonts w:eastAsiaTheme="minorEastAsia"/>
          <w:b/>
          <w:bCs/>
          <w:sz w:val="24"/>
          <w:szCs w:val="28"/>
        </w:rPr>
        <w:t>（1）评价等级判定</w:t>
      </w:r>
    </w:p>
    <w:p>
      <w:pPr>
        <w:snapToGrid w:val="0"/>
        <w:spacing w:line="360" w:lineRule="auto"/>
        <w:ind w:firstLine="480" w:firstLineChars="200"/>
        <w:rPr>
          <w:rFonts w:eastAsiaTheme="minorEastAsia"/>
          <w:sz w:val="24"/>
          <w:szCs w:val="28"/>
        </w:rPr>
      </w:pPr>
      <w:r>
        <w:rPr>
          <w:rFonts w:eastAsiaTheme="minorEastAsia"/>
          <w:sz w:val="24"/>
          <w:szCs w:val="28"/>
        </w:rPr>
        <w:t>按照《环境影响评价技术导则—大气环境》（HJ2.2-2018）中相关规定，评价等级采用AERSCREEN估算模式进行计算，分别计算项目排放主要污染物的最大地面空气浓度占标率。根据工程分析结果，计算污染物的最大地面浓度占标率Pi（第i个污染物），及第i个污染物的地面浓度达到标准限值10%时所对应的最远距离D10%。其中Pi定义为：</w:t>
      </w:r>
    </w:p>
    <w:p>
      <w:pPr>
        <w:snapToGrid w:val="0"/>
        <w:spacing w:line="360" w:lineRule="auto"/>
        <w:jc w:val="center"/>
        <w:rPr>
          <w:rFonts w:eastAsiaTheme="minorEastAsia"/>
          <w:sz w:val="24"/>
          <w:szCs w:val="28"/>
        </w:rPr>
      </w:pPr>
      <w:r>
        <w:rPr>
          <w:rFonts w:eastAsiaTheme="minorEastAsia"/>
          <w:sz w:val="24"/>
        </w:rPr>
        <w:t>P</w:t>
      </w:r>
      <w:r>
        <w:rPr>
          <w:rFonts w:eastAsiaTheme="minorEastAsia"/>
          <w:sz w:val="24"/>
          <w:vertAlign w:val="subscript"/>
        </w:rPr>
        <w:t>i</w:t>
      </w:r>
      <w:r>
        <w:rPr>
          <w:rFonts w:eastAsiaTheme="minorEastAsia"/>
          <w:sz w:val="24"/>
        </w:rPr>
        <w:t>=(C</w:t>
      </w:r>
      <w:r>
        <w:rPr>
          <w:rFonts w:eastAsiaTheme="minorEastAsia"/>
          <w:sz w:val="24"/>
          <w:vertAlign w:val="subscript"/>
        </w:rPr>
        <w:t>i</w:t>
      </w:r>
      <w:r>
        <w:rPr>
          <w:rFonts w:eastAsiaTheme="minorEastAsia"/>
          <w:sz w:val="24"/>
        </w:rPr>
        <w:t>/C</w:t>
      </w:r>
      <w:r>
        <w:rPr>
          <w:rFonts w:eastAsiaTheme="minorEastAsia"/>
          <w:sz w:val="24"/>
          <w:vertAlign w:val="subscript"/>
        </w:rPr>
        <w:t>0i</w:t>
      </w:r>
      <w:r>
        <w:rPr>
          <w:rFonts w:eastAsiaTheme="minorEastAsia"/>
          <w:sz w:val="24"/>
        </w:rPr>
        <w:t>)×100%</w:t>
      </w:r>
    </w:p>
    <w:p>
      <w:pPr>
        <w:snapToGrid w:val="0"/>
        <w:spacing w:line="360" w:lineRule="auto"/>
        <w:ind w:firstLine="480" w:firstLineChars="200"/>
        <w:rPr>
          <w:rFonts w:eastAsiaTheme="minorEastAsia"/>
          <w:sz w:val="24"/>
          <w:szCs w:val="28"/>
        </w:rPr>
      </w:pPr>
      <w:r>
        <w:rPr>
          <w:rFonts w:eastAsiaTheme="minorEastAsia"/>
          <w:sz w:val="24"/>
          <w:szCs w:val="28"/>
        </w:rPr>
        <w:t>式中：Pi——第i个污染物的最大地面浓度占标率，%；</w:t>
      </w:r>
    </w:p>
    <w:p>
      <w:pPr>
        <w:snapToGrid w:val="0"/>
        <w:spacing w:line="360" w:lineRule="auto"/>
        <w:ind w:firstLine="480" w:firstLineChars="200"/>
        <w:rPr>
          <w:rFonts w:eastAsiaTheme="minorEastAsia"/>
          <w:sz w:val="24"/>
          <w:szCs w:val="28"/>
        </w:rPr>
      </w:pPr>
      <w:r>
        <w:rPr>
          <w:rFonts w:eastAsiaTheme="minorEastAsia"/>
          <w:sz w:val="24"/>
          <w:szCs w:val="28"/>
        </w:rPr>
        <w:t xml:space="preserve">      Ci——采用估算模式计算出的第i个污染物的最大地面浓度，mg/m</w:t>
      </w:r>
      <w:r>
        <w:rPr>
          <w:rFonts w:eastAsiaTheme="minorEastAsia"/>
          <w:sz w:val="24"/>
          <w:szCs w:val="28"/>
          <w:vertAlign w:val="superscript"/>
        </w:rPr>
        <w:t>3</w:t>
      </w:r>
      <w:r>
        <w:rPr>
          <w:rFonts w:eastAsiaTheme="minorEastAsia"/>
          <w:sz w:val="24"/>
          <w:szCs w:val="28"/>
        </w:rPr>
        <w:t>；</w:t>
      </w:r>
    </w:p>
    <w:p>
      <w:pPr>
        <w:snapToGrid w:val="0"/>
        <w:spacing w:line="360" w:lineRule="auto"/>
        <w:ind w:firstLine="480" w:firstLineChars="200"/>
        <w:rPr>
          <w:rFonts w:eastAsiaTheme="minorEastAsia"/>
          <w:sz w:val="24"/>
          <w:szCs w:val="28"/>
        </w:rPr>
      </w:pPr>
      <w:r>
        <w:rPr>
          <w:rFonts w:eastAsiaTheme="minorEastAsia"/>
          <w:sz w:val="24"/>
          <w:szCs w:val="28"/>
        </w:rPr>
        <w:t xml:space="preserve">      C0i——第i个污染物的环境空气质量标准，mg/m</w:t>
      </w:r>
      <w:r>
        <w:rPr>
          <w:rFonts w:eastAsiaTheme="minorEastAsia"/>
          <w:sz w:val="24"/>
          <w:szCs w:val="28"/>
          <w:vertAlign w:val="superscript"/>
        </w:rPr>
        <w:t>3</w:t>
      </w:r>
      <w:r>
        <w:rPr>
          <w:rFonts w:eastAsiaTheme="minorEastAsia"/>
          <w:sz w:val="24"/>
          <w:szCs w:val="28"/>
        </w:rPr>
        <w:t xml:space="preserve">，对于无小时浓度限值的污染物，可取日平均浓度限制的三倍值，对该标准未包含的污染物。 </w:t>
      </w:r>
    </w:p>
    <w:p>
      <w:pPr>
        <w:snapToGrid w:val="0"/>
        <w:spacing w:line="360" w:lineRule="auto"/>
        <w:ind w:left="1" w:hanging="1"/>
        <w:jc w:val="center"/>
        <w:rPr>
          <w:rFonts w:eastAsiaTheme="minorEastAsia"/>
          <w:b/>
          <w:bCs/>
          <w:sz w:val="24"/>
          <w:szCs w:val="28"/>
        </w:rPr>
      </w:pPr>
      <w:r>
        <w:rPr>
          <w:rFonts w:eastAsiaTheme="minorEastAsia"/>
          <w:b/>
          <w:bCs/>
          <w:sz w:val="24"/>
          <w:szCs w:val="28"/>
        </w:rPr>
        <w:t>表6.2-1大气环境影响评价工作等级</w:t>
      </w:r>
    </w:p>
    <w:tbl>
      <w:tblPr>
        <w:tblStyle w:val="858"/>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95"/>
        <w:gridCol w:w="43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95" w:type="dxa"/>
            <w:vAlign w:val="center"/>
          </w:tcPr>
          <w:p>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评价工作等级</w:t>
            </w:r>
          </w:p>
        </w:tc>
        <w:tc>
          <w:tcPr>
            <w:tcW w:w="4394" w:type="dxa"/>
            <w:vAlign w:val="center"/>
          </w:tcPr>
          <w:p>
            <w:pPr>
              <w:snapToGrid w:val="0"/>
              <w:jc w:val="center"/>
              <w:rPr>
                <w:rFonts w:ascii="Times New Roman" w:hAnsi="Times New Roman"/>
                <w:b/>
                <w:bCs/>
                <w:color w:val="000000" w:themeColor="text1"/>
                <w:kern w:val="0"/>
                <w:szCs w:val="21"/>
              </w:rPr>
            </w:pPr>
            <w:r>
              <w:rPr>
                <w:rFonts w:ascii="Times New Roman" w:hAnsi="Times New Roman"/>
                <w:b/>
                <w:bCs/>
                <w:color w:val="000000" w:themeColor="text1"/>
                <w:kern w:val="0"/>
                <w:szCs w:val="21"/>
              </w:rPr>
              <w:t>评价工作等级评价工作分级判据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95"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一级</w:t>
            </w:r>
          </w:p>
        </w:tc>
        <w:tc>
          <w:tcPr>
            <w:tcW w:w="4394"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Pmax ≥10%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95"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二级</w:t>
            </w:r>
          </w:p>
        </w:tc>
        <w:tc>
          <w:tcPr>
            <w:tcW w:w="4394"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1% ≤P max＜10%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95"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三级</w:t>
            </w:r>
          </w:p>
        </w:tc>
        <w:tc>
          <w:tcPr>
            <w:tcW w:w="4394" w:type="dxa"/>
            <w:vAlign w:val="center"/>
          </w:tcPr>
          <w:p>
            <w:pPr>
              <w:snapToGrid w:val="0"/>
              <w:jc w:val="center"/>
              <w:rPr>
                <w:rFonts w:ascii="Times New Roman" w:hAnsi="Times New Roman"/>
                <w:color w:val="000000" w:themeColor="text1"/>
                <w:kern w:val="0"/>
                <w:szCs w:val="21"/>
              </w:rPr>
            </w:pPr>
            <w:r>
              <w:rPr>
                <w:rFonts w:ascii="Times New Roman" w:hAnsi="Times New Roman"/>
                <w:color w:val="000000" w:themeColor="text1"/>
                <w:kern w:val="0"/>
                <w:szCs w:val="21"/>
              </w:rPr>
              <w:t>Pmax＜1%</w:t>
            </w:r>
          </w:p>
        </w:tc>
      </w:tr>
    </w:tbl>
    <w:p>
      <w:pPr>
        <w:snapToGrid w:val="0"/>
        <w:spacing w:line="360" w:lineRule="auto"/>
        <w:ind w:firstLine="480" w:firstLineChars="200"/>
        <w:rPr>
          <w:rFonts w:eastAsiaTheme="minorEastAsia"/>
          <w:sz w:val="24"/>
          <w:szCs w:val="28"/>
        </w:rPr>
      </w:pPr>
      <w:r>
        <w:rPr>
          <w:rFonts w:eastAsiaTheme="minorEastAsia"/>
          <w:sz w:val="24"/>
          <w:szCs w:val="28"/>
        </w:rPr>
        <w:t>同一项目有多个污染源（两个及以上）时，则按各污染源分别确定评价等级，并取评价等级最高者作为项目的评价等级。</w:t>
      </w:r>
    </w:p>
    <w:p>
      <w:pPr>
        <w:snapToGrid w:val="0"/>
        <w:spacing w:line="360" w:lineRule="auto"/>
        <w:ind w:firstLine="480" w:firstLineChars="200"/>
        <w:rPr>
          <w:rFonts w:eastAsiaTheme="minorEastAsia"/>
          <w:sz w:val="24"/>
          <w:szCs w:val="28"/>
        </w:rPr>
      </w:pPr>
      <w:r>
        <w:rPr>
          <w:rFonts w:hint="eastAsia" w:ascii="宋体" w:hAnsi="宋体" w:cs="宋体"/>
          <w:sz w:val="24"/>
          <w:szCs w:val="28"/>
        </w:rPr>
        <w:t>①</w:t>
      </w:r>
      <w:r>
        <w:rPr>
          <w:rFonts w:eastAsiaTheme="minorEastAsia"/>
          <w:sz w:val="24"/>
          <w:szCs w:val="28"/>
        </w:rPr>
        <w:t>污染物评价标准</w:t>
      </w:r>
    </w:p>
    <w:p>
      <w:pPr>
        <w:snapToGrid w:val="0"/>
        <w:spacing w:line="360" w:lineRule="auto"/>
        <w:ind w:firstLine="480" w:firstLineChars="200"/>
        <w:rPr>
          <w:rFonts w:eastAsiaTheme="minorEastAsia"/>
          <w:sz w:val="24"/>
          <w:szCs w:val="28"/>
        </w:rPr>
      </w:pPr>
      <w:r>
        <w:rPr>
          <w:rFonts w:eastAsiaTheme="minorEastAsia"/>
          <w:sz w:val="24"/>
          <w:szCs w:val="28"/>
        </w:rPr>
        <w:t>本项目评价因子和评价标准见下表。</w:t>
      </w:r>
    </w:p>
    <w:p>
      <w:pPr>
        <w:snapToGrid w:val="0"/>
        <w:spacing w:line="360" w:lineRule="auto"/>
        <w:ind w:left="1" w:hanging="1"/>
        <w:jc w:val="center"/>
        <w:rPr>
          <w:rFonts w:eastAsiaTheme="minorEastAsia"/>
          <w:b/>
          <w:bCs/>
          <w:sz w:val="24"/>
          <w:szCs w:val="28"/>
        </w:rPr>
      </w:pPr>
      <w:r>
        <w:rPr>
          <w:rFonts w:eastAsiaTheme="minorEastAsia"/>
          <w:b/>
          <w:bCs/>
          <w:sz w:val="24"/>
          <w:szCs w:val="28"/>
        </w:rPr>
        <w:t>表6.2-3  评价因子和评价标准</w:t>
      </w:r>
    </w:p>
    <w:tbl>
      <w:tblPr>
        <w:tblStyle w:val="79"/>
        <w:tblW w:w="878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586"/>
        <w:gridCol w:w="1717"/>
        <w:gridCol w:w="1981"/>
        <w:gridCol w:w="350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02" w:type="pct"/>
            <w:vAlign w:val="center"/>
          </w:tcPr>
          <w:p>
            <w:pPr>
              <w:snapToGrid w:val="0"/>
              <w:jc w:val="center"/>
              <w:rPr>
                <w:b/>
                <w:bCs/>
                <w:color w:val="000000" w:themeColor="text1"/>
                <w:kern w:val="0"/>
                <w:szCs w:val="21"/>
              </w:rPr>
            </w:pPr>
            <w:r>
              <w:rPr>
                <w:b/>
                <w:bCs/>
                <w:color w:val="000000" w:themeColor="text1"/>
                <w:kern w:val="0"/>
                <w:szCs w:val="21"/>
              </w:rPr>
              <w:t>评价因子</w:t>
            </w:r>
          </w:p>
        </w:tc>
        <w:tc>
          <w:tcPr>
            <w:tcW w:w="977" w:type="pct"/>
            <w:vAlign w:val="center"/>
          </w:tcPr>
          <w:p>
            <w:pPr>
              <w:snapToGrid w:val="0"/>
              <w:jc w:val="center"/>
              <w:rPr>
                <w:b/>
                <w:bCs/>
                <w:color w:val="000000" w:themeColor="text1"/>
                <w:kern w:val="0"/>
                <w:szCs w:val="21"/>
              </w:rPr>
            </w:pPr>
            <w:r>
              <w:rPr>
                <w:b/>
                <w:bCs/>
                <w:color w:val="000000" w:themeColor="text1"/>
                <w:kern w:val="0"/>
                <w:szCs w:val="21"/>
              </w:rPr>
              <w:t>平均时段</w:t>
            </w:r>
          </w:p>
        </w:tc>
        <w:tc>
          <w:tcPr>
            <w:tcW w:w="1127" w:type="pct"/>
            <w:vAlign w:val="center"/>
          </w:tcPr>
          <w:p>
            <w:pPr>
              <w:snapToGrid w:val="0"/>
              <w:jc w:val="center"/>
              <w:rPr>
                <w:b/>
                <w:bCs/>
                <w:color w:val="000000" w:themeColor="text1"/>
                <w:kern w:val="0"/>
                <w:szCs w:val="21"/>
              </w:rPr>
            </w:pPr>
            <w:r>
              <w:rPr>
                <w:b/>
                <w:bCs/>
                <w:color w:val="000000" w:themeColor="text1"/>
                <w:kern w:val="0"/>
                <w:szCs w:val="21"/>
              </w:rPr>
              <w:t>标准值/（μg/m3）</w:t>
            </w:r>
          </w:p>
        </w:tc>
        <w:tc>
          <w:tcPr>
            <w:tcW w:w="1994" w:type="pct"/>
            <w:vAlign w:val="center"/>
          </w:tcPr>
          <w:p>
            <w:pPr>
              <w:snapToGrid w:val="0"/>
              <w:jc w:val="center"/>
              <w:rPr>
                <w:b/>
                <w:bCs/>
                <w:color w:val="000000" w:themeColor="text1"/>
                <w:kern w:val="0"/>
                <w:szCs w:val="21"/>
              </w:rPr>
            </w:pPr>
            <w:r>
              <w:rPr>
                <w:b/>
                <w:bCs/>
                <w:color w:val="000000" w:themeColor="text1"/>
                <w:kern w:val="0"/>
                <w:szCs w:val="21"/>
              </w:rPr>
              <w:t>标准来源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02" w:type="pct"/>
            <w:vAlign w:val="center"/>
          </w:tcPr>
          <w:p>
            <w:pPr>
              <w:snapToGrid w:val="0"/>
              <w:jc w:val="center"/>
              <w:rPr>
                <w:color w:val="000000" w:themeColor="text1"/>
                <w:kern w:val="0"/>
                <w:szCs w:val="21"/>
              </w:rPr>
            </w:pPr>
            <w:r>
              <w:rPr>
                <w:color w:val="000000" w:themeColor="text1"/>
                <w:kern w:val="0"/>
                <w:szCs w:val="21"/>
              </w:rPr>
              <w:t>NH</w:t>
            </w:r>
            <w:r>
              <w:rPr>
                <w:color w:val="000000" w:themeColor="text1"/>
                <w:kern w:val="0"/>
                <w:szCs w:val="21"/>
                <w:vertAlign w:val="subscript"/>
              </w:rPr>
              <w:t>3</w:t>
            </w:r>
          </w:p>
        </w:tc>
        <w:tc>
          <w:tcPr>
            <w:tcW w:w="977" w:type="pct"/>
            <w:vAlign w:val="center"/>
          </w:tcPr>
          <w:p>
            <w:pPr>
              <w:snapToGrid w:val="0"/>
              <w:jc w:val="center"/>
              <w:rPr>
                <w:color w:val="000000" w:themeColor="text1"/>
                <w:kern w:val="0"/>
                <w:szCs w:val="21"/>
              </w:rPr>
            </w:pPr>
            <w:r>
              <w:rPr>
                <w:color w:val="000000" w:themeColor="text1"/>
                <w:kern w:val="0"/>
                <w:szCs w:val="21"/>
              </w:rPr>
              <w:t>1h平均</w:t>
            </w:r>
          </w:p>
        </w:tc>
        <w:tc>
          <w:tcPr>
            <w:tcW w:w="1127" w:type="pct"/>
            <w:vAlign w:val="center"/>
          </w:tcPr>
          <w:p>
            <w:pPr>
              <w:snapToGrid w:val="0"/>
              <w:jc w:val="center"/>
              <w:rPr>
                <w:color w:val="000000" w:themeColor="text1"/>
                <w:kern w:val="0"/>
                <w:szCs w:val="21"/>
              </w:rPr>
            </w:pPr>
            <w:r>
              <w:rPr>
                <w:color w:val="000000" w:themeColor="text1"/>
                <w:kern w:val="0"/>
                <w:szCs w:val="21"/>
              </w:rPr>
              <w:t>200</w:t>
            </w:r>
          </w:p>
        </w:tc>
        <w:tc>
          <w:tcPr>
            <w:tcW w:w="1994" w:type="pct"/>
            <w:vMerge w:val="restart"/>
            <w:vAlign w:val="center"/>
          </w:tcPr>
          <w:p>
            <w:pPr>
              <w:snapToGrid w:val="0"/>
              <w:jc w:val="center"/>
              <w:rPr>
                <w:color w:val="000000" w:themeColor="text1"/>
                <w:kern w:val="0"/>
                <w:szCs w:val="21"/>
              </w:rPr>
            </w:pPr>
            <w:r>
              <w:rPr>
                <w:color w:val="000000" w:themeColor="text1"/>
                <w:kern w:val="0"/>
                <w:szCs w:val="21"/>
              </w:rPr>
              <w:t>《环境影响评价技术导则（大气环境）》（HJ2.2-2018）附录D其他污染物空气质量浓度参考限值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902" w:type="pct"/>
            <w:vAlign w:val="center"/>
          </w:tcPr>
          <w:p>
            <w:pPr>
              <w:snapToGrid w:val="0"/>
              <w:jc w:val="center"/>
              <w:rPr>
                <w:color w:val="000000" w:themeColor="text1"/>
                <w:kern w:val="0"/>
                <w:szCs w:val="21"/>
              </w:rPr>
            </w:pPr>
            <w:r>
              <w:rPr>
                <w:color w:val="000000" w:themeColor="text1"/>
                <w:kern w:val="0"/>
                <w:szCs w:val="21"/>
              </w:rPr>
              <w:t>H</w:t>
            </w:r>
            <w:r>
              <w:rPr>
                <w:color w:val="000000" w:themeColor="text1"/>
                <w:kern w:val="0"/>
                <w:szCs w:val="21"/>
                <w:vertAlign w:val="subscript"/>
              </w:rPr>
              <w:t>2</w:t>
            </w:r>
            <w:r>
              <w:rPr>
                <w:color w:val="000000" w:themeColor="text1"/>
                <w:kern w:val="0"/>
                <w:szCs w:val="21"/>
              </w:rPr>
              <w:t>S</w:t>
            </w:r>
          </w:p>
        </w:tc>
        <w:tc>
          <w:tcPr>
            <w:tcW w:w="977" w:type="pct"/>
            <w:vAlign w:val="center"/>
          </w:tcPr>
          <w:p>
            <w:pPr>
              <w:snapToGrid w:val="0"/>
              <w:jc w:val="center"/>
              <w:rPr>
                <w:color w:val="000000" w:themeColor="text1"/>
                <w:kern w:val="0"/>
                <w:szCs w:val="21"/>
              </w:rPr>
            </w:pPr>
            <w:r>
              <w:rPr>
                <w:color w:val="000000" w:themeColor="text1"/>
                <w:kern w:val="0"/>
                <w:szCs w:val="21"/>
              </w:rPr>
              <w:t>1h平均</w:t>
            </w:r>
          </w:p>
        </w:tc>
        <w:tc>
          <w:tcPr>
            <w:tcW w:w="1127" w:type="pct"/>
            <w:vAlign w:val="center"/>
          </w:tcPr>
          <w:p>
            <w:pPr>
              <w:snapToGrid w:val="0"/>
              <w:jc w:val="center"/>
              <w:rPr>
                <w:color w:val="000000" w:themeColor="text1"/>
                <w:kern w:val="0"/>
                <w:szCs w:val="21"/>
              </w:rPr>
            </w:pPr>
            <w:r>
              <w:rPr>
                <w:color w:val="000000" w:themeColor="text1"/>
                <w:kern w:val="0"/>
                <w:szCs w:val="21"/>
              </w:rPr>
              <w:t>10</w:t>
            </w:r>
          </w:p>
        </w:tc>
        <w:tc>
          <w:tcPr>
            <w:tcW w:w="1994" w:type="pct"/>
            <w:vMerge w:val="continue"/>
            <w:vAlign w:val="center"/>
          </w:tcPr>
          <w:p>
            <w:pPr>
              <w:widowControl/>
              <w:snapToGrid w:val="0"/>
              <w:jc w:val="center"/>
              <w:rPr>
                <w:color w:val="000000" w:themeColor="text1"/>
              </w:rPr>
            </w:pPr>
          </w:p>
        </w:tc>
      </w:tr>
    </w:tbl>
    <w:p>
      <w:pPr>
        <w:snapToGrid w:val="0"/>
        <w:spacing w:line="360" w:lineRule="auto"/>
        <w:ind w:firstLine="480" w:firstLineChars="200"/>
        <w:rPr>
          <w:rFonts w:eastAsiaTheme="minorEastAsia"/>
          <w:sz w:val="24"/>
          <w:szCs w:val="28"/>
        </w:rPr>
      </w:pPr>
      <w:r>
        <w:rPr>
          <w:rFonts w:eastAsiaTheme="minorEastAsia"/>
          <w:sz w:val="24"/>
          <w:szCs w:val="28"/>
        </w:rPr>
        <w:t>（2）估算模型参数</w:t>
      </w:r>
    </w:p>
    <w:p>
      <w:pPr>
        <w:snapToGrid w:val="0"/>
        <w:spacing w:line="360" w:lineRule="auto"/>
        <w:ind w:firstLine="480" w:firstLineChars="200"/>
        <w:rPr>
          <w:rFonts w:eastAsiaTheme="minorEastAsia"/>
          <w:sz w:val="24"/>
          <w:szCs w:val="28"/>
        </w:rPr>
      </w:pPr>
      <w:r>
        <w:rPr>
          <w:rFonts w:eastAsiaTheme="minorEastAsia"/>
          <w:sz w:val="24"/>
          <w:szCs w:val="28"/>
        </w:rPr>
        <w:t>本项目估算模型参数见下表所示。</w:t>
      </w:r>
    </w:p>
    <w:p>
      <w:pPr>
        <w:snapToGrid w:val="0"/>
        <w:spacing w:line="360" w:lineRule="auto"/>
        <w:ind w:left="1" w:hanging="1"/>
        <w:jc w:val="center"/>
        <w:rPr>
          <w:rFonts w:eastAsiaTheme="minorEastAsia"/>
          <w:b/>
          <w:bCs/>
          <w:sz w:val="24"/>
          <w:szCs w:val="28"/>
        </w:rPr>
      </w:pPr>
      <w:r>
        <w:rPr>
          <w:rFonts w:eastAsiaTheme="minorEastAsia"/>
          <w:b/>
          <w:bCs/>
          <w:sz w:val="24"/>
          <w:szCs w:val="28"/>
        </w:rPr>
        <w:t>表6.2-4  估算模式参数表</w:t>
      </w:r>
    </w:p>
    <w:tbl>
      <w:tblPr>
        <w:tblStyle w:val="79"/>
        <w:tblW w:w="878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2433"/>
        <w:gridCol w:w="3255"/>
        <w:gridCol w:w="310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236" w:type="pct"/>
            <w:gridSpan w:val="2"/>
            <w:vAlign w:val="center"/>
          </w:tcPr>
          <w:p>
            <w:pPr>
              <w:snapToGrid w:val="0"/>
              <w:jc w:val="center"/>
              <w:rPr>
                <w:color w:val="000000" w:themeColor="text1"/>
                <w:kern w:val="0"/>
                <w:szCs w:val="21"/>
              </w:rPr>
            </w:pPr>
            <w:r>
              <w:rPr>
                <w:color w:val="000000" w:themeColor="text1"/>
                <w:kern w:val="0"/>
                <w:szCs w:val="21"/>
              </w:rPr>
              <w:t>参数</w:t>
            </w:r>
          </w:p>
        </w:tc>
        <w:tc>
          <w:tcPr>
            <w:tcW w:w="1764" w:type="pct"/>
            <w:vAlign w:val="center"/>
          </w:tcPr>
          <w:p>
            <w:pPr>
              <w:snapToGrid w:val="0"/>
              <w:spacing w:before="37"/>
              <w:jc w:val="center"/>
              <w:rPr>
                <w:color w:val="000000" w:themeColor="text1"/>
                <w:kern w:val="0"/>
                <w:szCs w:val="21"/>
              </w:rPr>
            </w:pPr>
            <w:r>
              <w:rPr>
                <w:color w:val="000000" w:themeColor="text1"/>
                <w:kern w:val="0"/>
                <w:szCs w:val="21"/>
              </w:rPr>
              <w:t>取值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84" w:type="pct"/>
            <w:vMerge w:val="restart"/>
            <w:vAlign w:val="center"/>
          </w:tcPr>
          <w:p>
            <w:pPr>
              <w:autoSpaceDE w:val="0"/>
              <w:autoSpaceDN w:val="0"/>
              <w:snapToGrid w:val="0"/>
              <w:ind w:firstLine="525" w:firstLineChars="250"/>
              <w:jc w:val="center"/>
              <w:rPr>
                <w:kern w:val="0"/>
                <w:szCs w:val="21"/>
              </w:rPr>
            </w:pPr>
            <w:r>
              <w:rPr>
                <w:kern w:val="0"/>
                <w:szCs w:val="21"/>
              </w:rPr>
              <w:t>城市/农村选项</w:t>
            </w:r>
          </w:p>
        </w:tc>
        <w:tc>
          <w:tcPr>
            <w:tcW w:w="1852" w:type="pct"/>
            <w:vAlign w:val="center"/>
          </w:tcPr>
          <w:p>
            <w:pPr>
              <w:snapToGrid w:val="0"/>
              <w:jc w:val="center"/>
              <w:rPr>
                <w:color w:val="000000" w:themeColor="text1"/>
                <w:kern w:val="0"/>
                <w:szCs w:val="21"/>
              </w:rPr>
            </w:pPr>
            <w:r>
              <w:rPr>
                <w:color w:val="000000" w:themeColor="text1"/>
                <w:kern w:val="0"/>
                <w:szCs w:val="21"/>
              </w:rPr>
              <w:t>城市/农村</w:t>
            </w:r>
          </w:p>
        </w:tc>
        <w:tc>
          <w:tcPr>
            <w:tcW w:w="1764" w:type="pct"/>
            <w:vAlign w:val="center"/>
          </w:tcPr>
          <w:p>
            <w:pPr>
              <w:snapToGrid w:val="0"/>
              <w:jc w:val="center"/>
              <w:rPr>
                <w:color w:val="000000" w:themeColor="text1"/>
                <w:kern w:val="0"/>
                <w:szCs w:val="21"/>
              </w:rPr>
            </w:pPr>
            <w:r>
              <w:rPr>
                <w:color w:val="000000" w:themeColor="text1"/>
                <w:kern w:val="0"/>
                <w:szCs w:val="21"/>
              </w:rPr>
              <w:t>城市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84" w:type="pct"/>
            <w:vMerge w:val="continue"/>
            <w:vAlign w:val="center"/>
          </w:tcPr>
          <w:p>
            <w:pPr>
              <w:widowControl/>
              <w:snapToGrid w:val="0"/>
              <w:jc w:val="center"/>
              <w:rPr>
                <w:szCs w:val="21"/>
              </w:rPr>
            </w:pPr>
          </w:p>
        </w:tc>
        <w:tc>
          <w:tcPr>
            <w:tcW w:w="1852" w:type="pct"/>
            <w:vAlign w:val="center"/>
          </w:tcPr>
          <w:p>
            <w:pPr>
              <w:snapToGrid w:val="0"/>
              <w:jc w:val="center"/>
              <w:rPr>
                <w:color w:val="000000" w:themeColor="text1"/>
                <w:kern w:val="0"/>
                <w:szCs w:val="21"/>
              </w:rPr>
            </w:pPr>
            <w:r>
              <w:rPr>
                <w:color w:val="000000" w:themeColor="text1"/>
                <w:kern w:val="0"/>
                <w:szCs w:val="21"/>
              </w:rPr>
              <w:t>人口数（城市选项时）</w:t>
            </w:r>
          </w:p>
        </w:tc>
        <w:tc>
          <w:tcPr>
            <w:tcW w:w="1764" w:type="pct"/>
            <w:vAlign w:val="center"/>
          </w:tcPr>
          <w:p>
            <w:pPr>
              <w:snapToGrid w:val="0"/>
              <w:jc w:val="center"/>
              <w:rPr>
                <w:color w:val="000000" w:themeColor="text1"/>
                <w:kern w:val="0"/>
                <w:szCs w:val="21"/>
              </w:rPr>
            </w:pPr>
            <w:r>
              <w:rPr>
                <w:color w:val="000000" w:themeColor="text1"/>
                <w:kern w:val="0"/>
                <w:szCs w:val="21"/>
              </w:rPr>
              <w:t>73336人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236" w:type="pct"/>
            <w:gridSpan w:val="2"/>
            <w:vAlign w:val="center"/>
          </w:tcPr>
          <w:p>
            <w:pPr>
              <w:snapToGrid w:val="0"/>
              <w:jc w:val="center"/>
              <w:rPr>
                <w:color w:val="000000" w:themeColor="text1"/>
                <w:kern w:val="0"/>
                <w:szCs w:val="21"/>
              </w:rPr>
            </w:pPr>
            <w:r>
              <w:rPr>
                <w:color w:val="000000" w:themeColor="text1"/>
                <w:kern w:val="0"/>
                <w:szCs w:val="21"/>
              </w:rPr>
              <w:t>最高环境温度/℃</w:t>
            </w:r>
          </w:p>
        </w:tc>
        <w:tc>
          <w:tcPr>
            <w:tcW w:w="1764" w:type="pct"/>
            <w:vAlign w:val="center"/>
          </w:tcPr>
          <w:p>
            <w:pPr>
              <w:snapToGrid w:val="0"/>
              <w:jc w:val="center"/>
              <w:rPr>
                <w:color w:val="000000" w:themeColor="text1"/>
                <w:kern w:val="0"/>
                <w:szCs w:val="21"/>
              </w:rPr>
            </w:pPr>
            <w:r>
              <w:rPr>
                <w:color w:val="000000" w:themeColor="text1"/>
                <w:kern w:val="0"/>
                <w:szCs w:val="21"/>
              </w:rPr>
              <w:t>38.5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236" w:type="pct"/>
            <w:gridSpan w:val="2"/>
            <w:vAlign w:val="center"/>
          </w:tcPr>
          <w:p>
            <w:pPr>
              <w:snapToGrid w:val="0"/>
              <w:jc w:val="center"/>
              <w:rPr>
                <w:color w:val="000000" w:themeColor="text1"/>
                <w:kern w:val="0"/>
                <w:szCs w:val="21"/>
              </w:rPr>
            </w:pPr>
            <w:r>
              <w:rPr>
                <w:color w:val="000000" w:themeColor="text1"/>
                <w:kern w:val="0"/>
                <w:szCs w:val="21"/>
              </w:rPr>
              <w:t>最低环境温度/℃</w:t>
            </w:r>
          </w:p>
        </w:tc>
        <w:tc>
          <w:tcPr>
            <w:tcW w:w="1764" w:type="pct"/>
            <w:vAlign w:val="center"/>
          </w:tcPr>
          <w:p>
            <w:pPr>
              <w:snapToGrid w:val="0"/>
              <w:jc w:val="center"/>
              <w:rPr>
                <w:color w:val="000000" w:themeColor="text1"/>
                <w:kern w:val="0"/>
                <w:szCs w:val="21"/>
              </w:rPr>
            </w:pPr>
            <w:r>
              <w:rPr>
                <w:color w:val="000000" w:themeColor="text1"/>
                <w:kern w:val="0"/>
                <w:szCs w:val="21"/>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236" w:type="pct"/>
            <w:gridSpan w:val="2"/>
            <w:vAlign w:val="center"/>
          </w:tcPr>
          <w:p>
            <w:pPr>
              <w:snapToGrid w:val="0"/>
              <w:jc w:val="center"/>
              <w:rPr>
                <w:color w:val="000000" w:themeColor="text1"/>
                <w:kern w:val="0"/>
                <w:szCs w:val="21"/>
              </w:rPr>
            </w:pPr>
            <w:r>
              <w:rPr>
                <w:color w:val="000000" w:themeColor="text1"/>
                <w:kern w:val="0"/>
                <w:szCs w:val="21"/>
              </w:rPr>
              <w:t>土地利用类型</w:t>
            </w:r>
          </w:p>
        </w:tc>
        <w:tc>
          <w:tcPr>
            <w:tcW w:w="1764" w:type="pct"/>
            <w:vAlign w:val="center"/>
          </w:tcPr>
          <w:p>
            <w:pPr>
              <w:snapToGrid w:val="0"/>
              <w:jc w:val="center"/>
              <w:rPr>
                <w:color w:val="000000" w:themeColor="text1"/>
                <w:kern w:val="0"/>
                <w:szCs w:val="21"/>
              </w:rPr>
            </w:pPr>
            <w:r>
              <w:rPr>
                <w:color w:val="000000" w:themeColor="text1"/>
                <w:kern w:val="0"/>
                <w:szCs w:val="21"/>
              </w:rPr>
              <w:t>医疗用地</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3236" w:type="pct"/>
            <w:gridSpan w:val="2"/>
            <w:vAlign w:val="center"/>
          </w:tcPr>
          <w:p>
            <w:pPr>
              <w:snapToGrid w:val="0"/>
              <w:jc w:val="center"/>
              <w:rPr>
                <w:color w:val="000000" w:themeColor="text1"/>
                <w:kern w:val="0"/>
                <w:szCs w:val="21"/>
              </w:rPr>
            </w:pPr>
            <w:r>
              <w:rPr>
                <w:color w:val="000000" w:themeColor="text1"/>
                <w:kern w:val="0"/>
                <w:szCs w:val="21"/>
              </w:rPr>
              <w:t>区域湿度条件</w:t>
            </w:r>
          </w:p>
        </w:tc>
        <w:tc>
          <w:tcPr>
            <w:tcW w:w="1764" w:type="pct"/>
            <w:vAlign w:val="center"/>
          </w:tcPr>
          <w:p>
            <w:pPr>
              <w:snapToGrid w:val="0"/>
              <w:jc w:val="center"/>
              <w:rPr>
                <w:color w:val="000000" w:themeColor="text1"/>
                <w:kern w:val="0"/>
                <w:szCs w:val="21"/>
              </w:rPr>
            </w:pPr>
            <w:r>
              <w:rPr>
                <w:color w:val="000000" w:themeColor="text1"/>
                <w:kern w:val="0"/>
                <w:szCs w:val="21"/>
              </w:rPr>
              <w:t>潮湿</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84" w:type="pct"/>
            <w:vMerge w:val="restart"/>
            <w:vAlign w:val="center"/>
          </w:tcPr>
          <w:p>
            <w:pPr>
              <w:snapToGrid w:val="0"/>
              <w:jc w:val="center"/>
              <w:rPr>
                <w:color w:val="000000" w:themeColor="text1"/>
                <w:kern w:val="0"/>
                <w:szCs w:val="21"/>
              </w:rPr>
            </w:pPr>
            <w:r>
              <w:rPr>
                <w:color w:val="000000" w:themeColor="text1"/>
                <w:kern w:val="0"/>
                <w:szCs w:val="21"/>
              </w:rPr>
              <w:t>是否考虑地形</w:t>
            </w:r>
          </w:p>
        </w:tc>
        <w:tc>
          <w:tcPr>
            <w:tcW w:w="1852" w:type="pct"/>
            <w:vAlign w:val="center"/>
          </w:tcPr>
          <w:p>
            <w:pPr>
              <w:snapToGrid w:val="0"/>
              <w:ind w:left="795" w:right="367"/>
              <w:jc w:val="center"/>
              <w:rPr>
                <w:color w:val="000000" w:themeColor="text1"/>
                <w:kern w:val="0"/>
                <w:szCs w:val="21"/>
              </w:rPr>
            </w:pPr>
            <w:r>
              <w:rPr>
                <w:color w:val="000000" w:themeColor="text1"/>
                <w:kern w:val="0"/>
                <w:szCs w:val="21"/>
              </w:rPr>
              <w:t>考虑地形</w:t>
            </w:r>
          </w:p>
        </w:tc>
        <w:tc>
          <w:tcPr>
            <w:tcW w:w="1764" w:type="pct"/>
            <w:vAlign w:val="center"/>
          </w:tcPr>
          <w:p>
            <w:pPr>
              <w:snapToGrid w:val="0"/>
              <w:jc w:val="center"/>
              <w:rPr>
                <w:color w:val="000000" w:themeColor="text1"/>
                <w:kern w:val="0"/>
                <w:szCs w:val="21"/>
              </w:rPr>
            </w:pPr>
            <w:r>
              <w:rPr>
                <w:color w:val="000000" w:themeColor="text1"/>
                <w:kern w:val="0"/>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84" w:type="pct"/>
            <w:vMerge w:val="continue"/>
            <w:vAlign w:val="center"/>
          </w:tcPr>
          <w:p>
            <w:pPr>
              <w:snapToGrid w:val="0"/>
              <w:jc w:val="center"/>
              <w:rPr>
                <w:color w:val="000000" w:themeColor="text1"/>
                <w:kern w:val="0"/>
                <w:szCs w:val="21"/>
              </w:rPr>
            </w:pPr>
          </w:p>
        </w:tc>
        <w:tc>
          <w:tcPr>
            <w:tcW w:w="1852" w:type="pct"/>
            <w:vAlign w:val="center"/>
          </w:tcPr>
          <w:p>
            <w:pPr>
              <w:autoSpaceDE w:val="0"/>
              <w:autoSpaceDN w:val="0"/>
              <w:snapToGrid w:val="0"/>
              <w:spacing w:before="39"/>
              <w:ind w:left="794" w:right="369"/>
              <w:jc w:val="center"/>
              <w:rPr>
                <w:color w:val="000000" w:themeColor="text1"/>
                <w:kern w:val="0"/>
                <w:szCs w:val="21"/>
              </w:rPr>
            </w:pPr>
            <w:r>
              <w:rPr>
                <w:color w:val="000000" w:themeColor="text1"/>
                <w:kern w:val="0"/>
                <w:szCs w:val="21"/>
              </w:rPr>
              <w:t>地形数据分辨率</w:t>
            </w:r>
          </w:p>
        </w:tc>
        <w:tc>
          <w:tcPr>
            <w:tcW w:w="1764" w:type="pct"/>
            <w:vAlign w:val="center"/>
          </w:tcPr>
          <w:p>
            <w:pPr>
              <w:autoSpaceDE w:val="0"/>
              <w:autoSpaceDN w:val="0"/>
              <w:snapToGrid w:val="0"/>
              <w:spacing w:before="37"/>
              <w:jc w:val="center"/>
              <w:rPr>
                <w:color w:val="000000" w:themeColor="text1"/>
                <w:kern w:val="0"/>
                <w:szCs w:val="21"/>
              </w:rPr>
            </w:pPr>
            <w:r>
              <w:rPr>
                <w:color w:val="000000" w:themeColor="text1"/>
                <w:kern w:val="0"/>
                <w:szCs w:val="21"/>
              </w:rPr>
              <w:t>90m</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84" w:type="pct"/>
            <w:vMerge w:val="restart"/>
            <w:vAlign w:val="center"/>
          </w:tcPr>
          <w:p>
            <w:pPr>
              <w:snapToGrid w:val="0"/>
              <w:ind w:right="159"/>
              <w:jc w:val="center"/>
              <w:rPr>
                <w:color w:val="000000" w:themeColor="text1"/>
                <w:kern w:val="0"/>
                <w:szCs w:val="21"/>
              </w:rPr>
            </w:pPr>
            <w:r>
              <w:rPr>
                <w:color w:val="000000" w:themeColor="text1"/>
                <w:kern w:val="0"/>
                <w:szCs w:val="21"/>
              </w:rPr>
              <w:t>是否考虑海岸线熏烟</w:t>
            </w:r>
          </w:p>
        </w:tc>
        <w:tc>
          <w:tcPr>
            <w:tcW w:w="1852" w:type="pct"/>
            <w:vAlign w:val="center"/>
          </w:tcPr>
          <w:p>
            <w:pPr>
              <w:snapToGrid w:val="0"/>
              <w:ind w:left="794" w:right="369"/>
              <w:jc w:val="center"/>
              <w:rPr>
                <w:color w:val="000000" w:themeColor="text1"/>
                <w:kern w:val="0"/>
                <w:szCs w:val="21"/>
              </w:rPr>
            </w:pPr>
            <w:r>
              <w:rPr>
                <w:color w:val="000000" w:themeColor="text1"/>
                <w:kern w:val="0"/>
                <w:szCs w:val="21"/>
              </w:rPr>
              <w:t>考虑岸线熏烟</w:t>
            </w:r>
          </w:p>
        </w:tc>
        <w:tc>
          <w:tcPr>
            <w:tcW w:w="1764" w:type="pct"/>
            <w:vAlign w:val="center"/>
          </w:tcPr>
          <w:p>
            <w:pPr>
              <w:snapToGrid w:val="0"/>
              <w:jc w:val="center"/>
              <w:rPr>
                <w:color w:val="000000" w:themeColor="text1"/>
                <w:kern w:val="0"/>
                <w:szCs w:val="21"/>
              </w:rPr>
            </w:pPr>
            <w:r>
              <w:rPr>
                <w:color w:val="000000" w:themeColor="text1"/>
                <w:kern w:val="0"/>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84" w:type="pct"/>
            <w:vMerge w:val="continue"/>
            <w:vAlign w:val="center"/>
          </w:tcPr>
          <w:p>
            <w:pPr>
              <w:snapToGrid w:val="0"/>
              <w:jc w:val="center"/>
              <w:rPr>
                <w:color w:val="000000" w:themeColor="text1"/>
                <w:kern w:val="0"/>
                <w:szCs w:val="21"/>
              </w:rPr>
            </w:pPr>
          </w:p>
        </w:tc>
        <w:tc>
          <w:tcPr>
            <w:tcW w:w="1852" w:type="pct"/>
            <w:vAlign w:val="center"/>
          </w:tcPr>
          <w:p>
            <w:pPr>
              <w:autoSpaceDE w:val="0"/>
              <w:autoSpaceDN w:val="0"/>
              <w:snapToGrid w:val="0"/>
              <w:spacing w:before="37"/>
              <w:ind w:left="795" w:right="367"/>
              <w:jc w:val="center"/>
              <w:rPr>
                <w:color w:val="000000" w:themeColor="text1"/>
                <w:kern w:val="0"/>
                <w:szCs w:val="21"/>
              </w:rPr>
            </w:pPr>
            <w:r>
              <w:rPr>
                <w:color w:val="000000" w:themeColor="text1"/>
                <w:kern w:val="0"/>
                <w:szCs w:val="21"/>
              </w:rPr>
              <w:t>海岸线距离/m</w:t>
            </w:r>
          </w:p>
        </w:tc>
        <w:tc>
          <w:tcPr>
            <w:tcW w:w="1764" w:type="pct"/>
            <w:vAlign w:val="center"/>
          </w:tcPr>
          <w:p>
            <w:pPr>
              <w:autoSpaceDE w:val="0"/>
              <w:autoSpaceDN w:val="0"/>
              <w:snapToGrid w:val="0"/>
              <w:spacing w:before="37"/>
              <w:jc w:val="center"/>
              <w:rPr>
                <w:color w:val="000000" w:themeColor="text1"/>
                <w:kern w:val="0"/>
                <w:szCs w:val="21"/>
              </w:rPr>
            </w:pPr>
            <w:r>
              <w:rPr>
                <w:color w:val="000000" w:themeColor="text1"/>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84" w:type="pct"/>
            <w:vMerge w:val="continue"/>
            <w:vAlign w:val="center"/>
          </w:tcPr>
          <w:p>
            <w:pPr>
              <w:snapToGrid w:val="0"/>
              <w:jc w:val="center"/>
              <w:rPr>
                <w:color w:val="000000" w:themeColor="text1"/>
                <w:kern w:val="0"/>
                <w:szCs w:val="21"/>
              </w:rPr>
            </w:pPr>
          </w:p>
        </w:tc>
        <w:tc>
          <w:tcPr>
            <w:tcW w:w="1852" w:type="pct"/>
            <w:vAlign w:val="center"/>
          </w:tcPr>
          <w:p>
            <w:pPr>
              <w:autoSpaceDE w:val="0"/>
              <w:autoSpaceDN w:val="0"/>
              <w:snapToGrid w:val="0"/>
              <w:spacing w:before="37"/>
              <w:ind w:left="795" w:right="365"/>
              <w:jc w:val="center"/>
              <w:rPr>
                <w:color w:val="000000" w:themeColor="text1"/>
                <w:kern w:val="0"/>
                <w:szCs w:val="21"/>
              </w:rPr>
            </w:pPr>
            <w:r>
              <w:rPr>
                <w:color w:val="000000" w:themeColor="text1"/>
                <w:kern w:val="0"/>
                <w:szCs w:val="21"/>
              </w:rPr>
              <w:t>海岸线方向/°</w:t>
            </w:r>
          </w:p>
        </w:tc>
        <w:tc>
          <w:tcPr>
            <w:tcW w:w="1764" w:type="pct"/>
            <w:vAlign w:val="center"/>
          </w:tcPr>
          <w:p>
            <w:pPr>
              <w:autoSpaceDE w:val="0"/>
              <w:autoSpaceDN w:val="0"/>
              <w:snapToGrid w:val="0"/>
              <w:spacing w:before="37"/>
              <w:jc w:val="center"/>
              <w:rPr>
                <w:color w:val="000000" w:themeColor="text1"/>
                <w:kern w:val="0"/>
                <w:szCs w:val="21"/>
              </w:rPr>
            </w:pPr>
            <w:r>
              <w:rPr>
                <w:color w:val="000000" w:themeColor="text1"/>
                <w:kern w:val="0"/>
                <w:szCs w:val="21"/>
              </w:rPr>
              <w:t>/</w:t>
            </w:r>
          </w:p>
        </w:tc>
      </w:tr>
    </w:tbl>
    <w:p>
      <w:pPr>
        <w:snapToGrid w:val="0"/>
        <w:spacing w:line="360" w:lineRule="auto"/>
        <w:ind w:firstLine="482" w:firstLineChars="200"/>
        <w:rPr>
          <w:rFonts w:eastAsiaTheme="minorEastAsia"/>
          <w:b/>
          <w:sz w:val="24"/>
          <w:szCs w:val="28"/>
        </w:rPr>
      </w:pPr>
      <w:r>
        <w:rPr>
          <w:rFonts w:eastAsiaTheme="minorEastAsia"/>
          <w:b/>
          <w:sz w:val="24"/>
          <w:szCs w:val="28"/>
        </w:rPr>
        <w:t>（2）污水处理站臭气</w:t>
      </w:r>
    </w:p>
    <w:p>
      <w:pPr>
        <w:snapToGrid w:val="0"/>
        <w:spacing w:line="360" w:lineRule="auto"/>
        <w:ind w:firstLine="480" w:firstLineChars="200"/>
        <w:rPr>
          <w:rFonts w:eastAsiaTheme="minorEastAsia"/>
          <w:sz w:val="24"/>
          <w:szCs w:val="28"/>
        </w:rPr>
      </w:pPr>
      <w:r>
        <w:rPr>
          <w:rFonts w:eastAsiaTheme="minorEastAsia"/>
          <w:sz w:val="24"/>
          <w:szCs w:val="28"/>
        </w:rPr>
        <w:t>有工程分析可知，本项目污水处理站采用地埋式封闭的池体，通过加盖密闭以及适时喷洒除臭剂处理后，臭气逸散量相对较小。根据工程分析可知，本项目污水处理站无组织废气释放速率约为硫化氢0.0000</w:t>
      </w:r>
      <w:r>
        <w:rPr>
          <w:rFonts w:hint="eastAsia" w:eastAsiaTheme="minorEastAsia"/>
          <w:sz w:val="24"/>
          <w:szCs w:val="28"/>
        </w:rPr>
        <w:t>07</w:t>
      </w:r>
      <w:r>
        <w:t xml:space="preserve"> </w:t>
      </w:r>
      <w:r>
        <w:rPr>
          <w:rFonts w:eastAsiaTheme="minorEastAsia"/>
          <w:sz w:val="24"/>
          <w:szCs w:val="28"/>
        </w:rPr>
        <w:t>kg/h、氨气0.000</w:t>
      </w:r>
      <w:r>
        <w:rPr>
          <w:rFonts w:hint="eastAsia" w:eastAsiaTheme="minorEastAsia"/>
          <w:sz w:val="24"/>
          <w:szCs w:val="28"/>
        </w:rPr>
        <w:t>18</w:t>
      </w:r>
      <w:r>
        <w:rPr>
          <w:rFonts w:eastAsiaTheme="minorEastAsia"/>
          <w:sz w:val="24"/>
          <w:szCs w:val="28"/>
        </w:rPr>
        <w:t>kg/h</w:t>
      </w:r>
      <w:r>
        <w:rPr>
          <w:rFonts w:hint="eastAsia" w:eastAsiaTheme="minorEastAsia"/>
          <w:sz w:val="24"/>
          <w:szCs w:val="28"/>
        </w:rPr>
        <w:t>；有组织</w:t>
      </w:r>
      <w:r>
        <w:rPr>
          <w:rFonts w:eastAsiaTheme="minorEastAsia"/>
          <w:sz w:val="24"/>
          <w:szCs w:val="28"/>
        </w:rPr>
        <w:t>废气释放速率约为硫化氢0.0000063</w:t>
      </w:r>
      <w:r>
        <w:t xml:space="preserve"> </w:t>
      </w:r>
      <w:r>
        <w:rPr>
          <w:rFonts w:eastAsiaTheme="minorEastAsia"/>
          <w:sz w:val="24"/>
          <w:szCs w:val="28"/>
        </w:rPr>
        <w:t>kg/h、氨气0.00016kg/h。</w:t>
      </w:r>
    </w:p>
    <w:p>
      <w:pPr>
        <w:snapToGrid w:val="0"/>
        <w:spacing w:line="360" w:lineRule="auto"/>
        <w:ind w:firstLine="480" w:firstLineChars="200"/>
        <w:rPr>
          <w:rFonts w:eastAsiaTheme="minorEastAsia"/>
          <w:sz w:val="24"/>
          <w:szCs w:val="28"/>
        </w:rPr>
      </w:pPr>
      <w:r>
        <w:rPr>
          <w:rFonts w:eastAsiaTheme="minorEastAsia"/>
          <w:sz w:val="24"/>
          <w:szCs w:val="28"/>
        </w:rPr>
        <w:t>污水处理站无组织排放源预测参数如下：</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 xml:space="preserve">表6.2-5  </w:t>
      </w:r>
      <w:r>
        <w:rPr>
          <w:rFonts w:hint="eastAsia" w:eastAsiaTheme="minorEastAsia"/>
          <w:b/>
          <w:bCs/>
          <w:sz w:val="24"/>
        </w:rPr>
        <w:t>污水处理站</w:t>
      </w:r>
      <w:r>
        <w:rPr>
          <w:rFonts w:eastAsiaTheme="minorEastAsia"/>
          <w:b/>
          <w:bCs/>
          <w:sz w:val="24"/>
        </w:rPr>
        <w:t>废气污染源参数一览表（面源）</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909"/>
        <w:gridCol w:w="1099"/>
        <w:gridCol w:w="998"/>
        <w:gridCol w:w="643"/>
        <w:gridCol w:w="1099"/>
        <w:gridCol w:w="1095"/>
        <w:gridCol w:w="946"/>
        <w:gridCol w:w="937"/>
        <w:gridCol w:w="10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污染源名称</w:t>
            </w:r>
          </w:p>
        </w:tc>
        <w:tc>
          <w:tcPr>
            <w:tcW w:w="1193" w:type="pct"/>
            <w:gridSpan w:val="2"/>
            <w:vAlign w:val="center"/>
          </w:tcPr>
          <w:p>
            <w:pPr>
              <w:adjustRightInd w:val="0"/>
              <w:snapToGrid w:val="0"/>
              <w:jc w:val="center"/>
              <w:rPr>
                <w:rFonts w:eastAsiaTheme="minorEastAsia"/>
                <w:b/>
                <w:szCs w:val="21"/>
                <w:u w:val="single"/>
              </w:rPr>
            </w:pPr>
            <w:r>
              <w:rPr>
                <w:rFonts w:eastAsiaTheme="minorEastAsia"/>
                <w:b/>
                <w:szCs w:val="21"/>
                <w:u w:val="single"/>
              </w:rPr>
              <w:t>中心坐标(</w:t>
            </w:r>
            <w:r>
              <w:rPr>
                <w:rFonts w:eastAsiaTheme="minorEastAsia"/>
                <w:b/>
                <w:szCs w:val="21"/>
                <w:u w:val="single"/>
                <w:vertAlign w:val="superscript"/>
              </w:rPr>
              <w:t>o</w:t>
            </w:r>
            <w:r>
              <w:rPr>
                <w:rFonts w:eastAsiaTheme="minorEastAsia"/>
                <w:b/>
                <w:szCs w:val="21"/>
                <w:u w:val="single"/>
              </w:rPr>
              <w:t>)</w:t>
            </w:r>
          </w:p>
        </w:tc>
        <w:tc>
          <w:tcPr>
            <w:tcW w:w="366"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海拔高度(m)</w:t>
            </w:r>
          </w:p>
        </w:tc>
        <w:tc>
          <w:tcPr>
            <w:tcW w:w="625"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面源宽度（m）</w:t>
            </w:r>
          </w:p>
        </w:tc>
        <w:tc>
          <w:tcPr>
            <w:tcW w:w="623"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面源长度（m）</w:t>
            </w:r>
          </w:p>
        </w:tc>
        <w:tc>
          <w:tcPr>
            <w:tcW w:w="538"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面源平均释放高度(m)</w:t>
            </w:r>
          </w:p>
        </w:tc>
        <w:tc>
          <w:tcPr>
            <w:tcW w:w="533"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污染物名称</w:t>
            </w:r>
          </w:p>
        </w:tc>
        <w:tc>
          <w:tcPr>
            <w:tcW w:w="605" w:type="pct"/>
            <w:vMerge w:val="restart"/>
            <w:vAlign w:val="center"/>
          </w:tcPr>
          <w:p>
            <w:pPr>
              <w:adjustRightInd w:val="0"/>
              <w:snapToGrid w:val="0"/>
              <w:jc w:val="center"/>
              <w:rPr>
                <w:rFonts w:eastAsiaTheme="minorEastAsia"/>
                <w:b/>
                <w:szCs w:val="21"/>
                <w:u w:val="single"/>
              </w:rPr>
            </w:pPr>
            <w:r>
              <w:rPr>
                <w:rFonts w:eastAsiaTheme="minorEastAsia"/>
                <w:b/>
                <w:szCs w:val="21"/>
                <w:u w:val="single"/>
              </w:rPr>
              <w:t>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continue"/>
            <w:vAlign w:val="center"/>
          </w:tcPr>
          <w:p>
            <w:pPr>
              <w:adjustRightInd w:val="0"/>
              <w:snapToGrid w:val="0"/>
              <w:jc w:val="center"/>
              <w:rPr>
                <w:rFonts w:eastAsiaTheme="minorEastAsia"/>
                <w:b/>
                <w:szCs w:val="21"/>
                <w:u w:val="single"/>
              </w:rPr>
            </w:pPr>
          </w:p>
        </w:tc>
        <w:tc>
          <w:tcPr>
            <w:tcW w:w="625" w:type="pct"/>
            <w:vAlign w:val="center"/>
          </w:tcPr>
          <w:p>
            <w:pPr>
              <w:adjustRightInd w:val="0"/>
              <w:snapToGrid w:val="0"/>
              <w:jc w:val="center"/>
              <w:rPr>
                <w:rFonts w:eastAsiaTheme="minorEastAsia"/>
                <w:b/>
                <w:szCs w:val="21"/>
                <w:u w:val="single"/>
              </w:rPr>
            </w:pPr>
            <w:r>
              <w:rPr>
                <w:rFonts w:eastAsiaTheme="minorEastAsia"/>
                <w:b/>
                <w:szCs w:val="21"/>
                <w:u w:val="single"/>
              </w:rPr>
              <w:t>经度</w:t>
            </w:r>
          </w:p>
        </w:tc>
        <w:tc>
          <w:tcPr>
            <w:tcW w:w="568" w:type="pct"/>
            <w:vAlign w:val="center"/>
          </w:tcPr>
          <w:p>
            <w:pPr>
              <w:adjustRightInd w:val="0"/>
              <w:snapToGrid w:val="0"/>
              <w:jc w:val="center"/>
              <w:rPr>
                <w:rFonts w:eastAsiaTheme="minorEastAsia"/>
                <w:b/>
                <w:szCs w:val="21"/>
                <w:u w:val="single"/>
              </w:rPr>
            </w:pPr>
            <w:r>
              <w:rPr>
                <w:rFonts w:eastAsiaTheme="minorEastAsia"/>
                <w:b/>
                <w:szCs w:val="21"/>
                <w:u w:val="single"/>
              </w:rPr>
              <w:t>纬度</w:t>
            </w:r>
          </w:p>
        </w:tc>
        <w:tc>
          <w:tcPr>
            <w:tcW w:w="366" w:type="pct"/>
            <w:vMerge w:val="continue"/>
            <w:vAlign w:val="center"/>
          </w:tcPr>
          <w:p>
            <w:pPr>
              <w:adjustRightInd w:val="0"/>
              <w:snapToGrid w:val="0"/>
              <w:jc w:val="center"/>
              <w:rPr>
                <w:rFonts w:eastAsiaTheme="minorEastAsia"/>
                <w:b/>
                <w:szCs w:val="21"/>
                <w:u w:val="single"/>
              </w:rPr>
            </w:pPr>
          </w:p>
        </w:tc>
        <w:tc>
          <w:tcPr>
            <w:tcW w:w="625" w:type="pct"/>
            <w:vMerge w:val="continue"/>
            <w:vAlign w:val="center"/>
          </w:tcPr>
          <w:p>
            <w:pPr>
              <w:adjustRightInd w:val="0"/>
              <w:snapToGrid w:val="0"/>
              <w:jc w:val="center"/>
              <w:rPr>
                <w:rFonts w:eastAsiaTheme="minorEastAsia"/>
                <w:b/>
                <w:szCs w:val="21"/>
                <w:u w:val="single"/>
              </w:rPr>
            </w:pPr>
          </w:p>
        </w:tc>
        <w:tc>
          <w:tcPr>
            <w:tcW w:w="623" w:type="pct"/>
            <w:vMerge w:val="continue"/>
            <w:vAlign w:val="center"/>
          </w:tcPr>
          <w:p>
            <w:pPr>
              <w:adjustRightInd w:val="0"/>
              <w:snapToGrid w:val="0"/>
              <w:jc w:val="center"/>
              <w:rPr>
                <w:rFonts w:eastAsiaTheme="minorEastAsia"/>
                <w:b/>
                <w:szCs w:val="21"/>
                <w:u w:val="single"/>
              </w:rPr>
            </w:pPr>
          </w:p>
        </w:tc>
        <w:tc>
          <w:tcPr>
            <w:tcW w:w="538" w:type="pct"/>
            <w:vMerge w:val="continue"/>
            <w:vAlign w:val="center"/>
          </w:tcPr>
          <w:p>
            <w:pPr>
              <w:adjustRightInd w:val="0"/>
              <w:snapToGrid w:val="0"/>
              <w:jc w:val="center"/>
              <w:rPr>
                <w:rFonts w:eastAsiaTheme="minorEastAsia"/>
                <w:b/>
                <w:szCs w:val="21"/>
                <w:u w:val="single"/>
              </w:rPr>
            </w:pPr>
          </w:p>
        </w:tc>
        <w:tc>
          <w:tcPr>
            <w:tcW w:w="533" w:type="pct"/>
            <w:vMerge w:val="continue"/>
            <w:vAlign w:val="center"/>
          </w:tcPr>
          <w:p>
            <w:pPr>
              <w:adjustRightInd w:val="0"/>
              <w:snapToGrid w:val="0"/>
              <w:jc w:val="center"/>
              <w:rPr>
                <w:rFonts w:eastAsiaTheme="minorEastAsia"/>
                <w:b/>
                <w:szCs w:val="21"/>
                <w:u w:val="single"/>
              </w:rPr>
            </w:pPr>
          </w:p>
        </w:tc>
        <w:tc>
          <w:tcPr>
            <w:tcW w:w="605" w:type="pct"/>
            <w:vMerge w:val="continue"/>
            <w:vAlign w:val="center"/>
          </w:tcPr>
          <w:p>
            <w:pPr>
              <w:adjustRightInd w:val="0"/>
              <w:snapToGrid w:val="0"/>
              <w:jc w:val="center"/>
              <w:rPr>
                <w:rFonts w:eastAsiaTheme="minorEastAsia"/>
                <w:b/>
                <w:szCs w:val="21"/>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无</w:t>
            </w:r>
            <w:r>
              <w:rPr>
                <w:rFonts w:eastAsiaTheme="minorEastAsia"/>
                <w:szCs w:val="21"/>
                <w:u w:val="single"/>
              </w:rPr>
              <w:t>组织</w:t>
            </w:r>
          </w:p>
        </w:tc>
        <w:tc>
          <w:tcPr>
            <w:tcW w:w="625" w:type="pct"/>
            <w:vMerge w:val="restart"/>
            <w:vAlign w:val="center"/>
          </w:tcPr>
          <w:p>
            <w:pPr>
              <w:adjustRightInd w:val="0"/>
              <w:snapToGrid w:val="0"/>
              <w:jc w:val="center"/>
              <w:rPr>
                <w:rFonts w:eastAsiaTheme="minorEastAsia"/>
                <w:szCs w:val="21"/>
                <w:u w:val="single"/>
              </w:rPr>
            </w:pPr>
            <w:r>
              <w:rPr>
                <w:rFonts w:eastAsiaTheme="minorEastAsia"/>
                <w:szCs w:val="21"/>
                <w:u w:val="single"/>
              </w:rPr>
              <w:t>113.078151</w:t>
            </w:r>
          </w:p>
        </w:tc>
        <w:tc>
          <w:tcPr>
            <w:tcW w:w="568" w:type="pct"/>
            <w:vMerge w:val="restart"/>
            <w:vAlign w:val="center"/>
          </w:tcPr>
          <w:p>
            <w:pPr>
              <w:adjustRightInd w:val="0"/>
              <w:snapToGrid w:val="0"/>
              <w:jc w:val="center"/>
              <w:rPr>
                <w:rFonts w:eastAsiaTheme="minorEastAsia"/>
                <w:szCs w:val="21"/>
                <w:u w:val="single"/>
              </w:rPr>
            </w:pPr>
            <w:r>
              <w:rPr>
                <w:rFonts w:eastAsiaTheme="minorEastAsia"/>
                <w:szCs w:val="21"/>
                <w:u w:val="single"/>
              </w:rPr>
              <w:t>28.823331</w:t>
            </w:r>
          </w:p>
        </w:tc>
        <w:tc>
          <w:tcPr>
            <w:tcW w:w="366" w:type="pct"/>
            <w:vMerge w:val="restart"/>
            <w:vAlign w:val="center"/>
          </w:tcPr>
          <w:p>
            <w:pPr>
              <w:adjustRightInd w:val="0"/>
              <w:snapToGrid w:val="0"/>
              <w:jc w:val="center"/>
              <w:rPr>
                <w:rFonts w:eastAsiaTheme="minorEastAsia"/>
                <w:szCs w:val="21"/>
                <w:u w:val="single"/>
              </w:rPr>
            </w:pPr>
            <w:r>
              <w:rPr>
                <w:rFonts w:eastAsiaTheme="minorEastAsia"/>
                <w:szCs w:val="21"/>
                <w:u w:val="single"/>
              </w:rPr>
              <w:t>30</w:t>
            </w:r>
          </w:p>
        </w:tc>
        <w:tc>
          <w:tcPr>
            <w:tcW w:w="625" w:type="pct"/>
            <w:vMerge w:val="restart"/>
            <w:vAlign w:val="center"/>
          </w:tcPr>
          <w:p>
            <w:pPr>
              <w:adjustRightInd w:val="0"/>
              <w:snapToGrid w:val="0"/>
              <w:jc w:val="center"/>
              <w:rPr>
                <w:rFonts w:eastAsiaTheme="minorEastAsia"/>
                <w:szCs w:val="21"/>
                <w:u w:val="single"/>
              </w:rPr>
            </w:pPr>
            <w:r>
              <w:rPr>
                <w:rFonts w:eastAsiaTheme="minorEastAsia"/>
                <w:szCs w:val="21"/>
                <w:u w:val="single"/>
              </w:rPr>
              <w:t>110</w:t>
            </w:r>
          </w:p>
        </w:tc>
        <w:tc>
          <w:tcPr>
            <w:tcW w:w="623" w:type="pct"/>
            <w:vMerge w:val="restart"/>
            <w:vAlign w:val="center"/>
          </w:tcPr>
          <w:p>
            <w:pPr>
              <w:adjustRightInd w:val="0"/>
              <w:snapToGrid w:val="0"/>
              <w:jc w:val="center"/>
              <w:rPr>
                <w:rFonts w:eastAsiaTheme="minorEastAsia"/>
                <w:szCs w:val="21"/>
                <w:u w:val="single"/>
              </w:rPr>
            </w:pPr>
            <w:r>
              <w:rPr>
                <w:rFonts w:eastAsiaTheme="minorEastAsia"/>
                <w:szCs w:val="21"/>
                <w:u w:val="single"/>
              </w:rPr>
              <w:t>120</w:t>
            </w:r>
          </w:p>
        </w:tc>
        <w:tc>
          <w:tcPr>
            <w:tcW w:w="538" w:type="pct"/>
            <w:vMerge w:val="restart"/>
            <w:vAlign w:val="center"/>
          </w:tcPr>
          <w:p>
            <w:pPr>
              <w:adjustRightInd w:val="0"/>
              <w:snapToGrid w:val="0"/>
              <w:jc w:val="center"/>
              <w:rPr>
                <w:rFonts w:eastAsiaTheme="minorEastAsia"/>
                <w:szCs w:val="21"/>
                <w:u w:val="single"/>
              </w:rPr>
            </w:pPr>
            <w:r>
              <w:rPr>
                <w:rFonts w:eastAsiaTheme="minorEastAsia"/>
                <w:szCs w:val="21"/>
                <w:u w:val="single"/>
              </w:rPr>
              <w:t>5</w:t>
            </w:r>
          </w:p>
        </w:tc>
        <w:tc>
          <w:tcPr>
            <w:tcW w:w="533" w:type="pct"/>
            <w:tcBorders>
              <w:bottom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H</w:t>
            </w:r>
            <w:r>
              <w:rPr>
                <w:rFonts w:eastAsiaTheme="minorEastAsia"/>
                <w:szCs w:val="21"/>
                <w:u w:val="single"/>
                <w:vertAlign w:val="subscript"/>
              </w:rPr>
              <w:t>2</w:t>
            </w:r>
            <w:r>
              <w:rPr>
                <w:rFonts w:eastAsiaTheme="minorEastAsia"/>
                <w:szCs w:val="21"/>
                <w:u w:val="single"/>
              </w:rPr>
              <w:t>S</w:t>
            </w:r>
          </w:p>
        </w:tc>
        <w:tc>
          <w:tcPr>
            <w:tcW w:w="605" w:type="pct"/>
            <w:tcBorders>
              <w:bottom w:val="single" w:color="auto" w:sz="4" w:space="0"/>
            </w:tcBorders>
            <w:vAlign w:val="center"/>
          </w:tcPr>
          <w:p>
            <w:pPr>
              <w:adjustRightInd w:val="0"/>
              <w:snapToGrid w:val="0"/>
              <w:jc w:val="center"/>
              <w:rPr>
                <w:rFonts w:eastAsiaTheme="minorEastAsia"/>
                <w:szCs w:val="21"/>
                <w:u w:val="single"/>
              </w:rPr>
            </w:pPr>
            <w:r>
              <w:rPr>
                <w:rFonts w:hint="eastAsia"/>
                <w:kern w:val="0"/>
                <w:u w:val="single"/>
              </w:rPr>
              <w:t>0.00018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continue"/>
            <w:vAlign w:val="center"/>
          </w:tcPr>
          <w:p>
            <w:pPr>
              <w:adjustRightInd w:val="0"/>
              <w:snapToGrid w:val="0"/>
              <w:jc w:val="center"/>
              <w:rPr>
                <w:rFonts w:eastAsiaTheme="minorEastAsia"/>
                <w:szCs w:val="21"/>
                <w:u w:val="single"/>
              </w:rPr>
            </w:pPr>
          </w:p>
        </w:tc>
        <w:tc>
          <w:tcPr>
            <w:tcW w:w="625" w:type="pct"/>
            <w:vMerge w:val="continue"/>
            <w:vAlign w:val="center"/>
          </w:tcPr>
          <w:p>
            <w:pPr>
              <w:adjustRightInd w:val="0"/>
              <w:snapToGrid w:val="0"/>
              <w:jc w:val="center"/>
              <w:rPr>
                <w:rFonts w:eastAsiaTheme="minorEastAsia"/>
                <w:szCs w:val="21"/>
                <w:u w:val="single"/>
              </w:rPr>
            </w:pPr>
          </w:p>
        </w:tc>
        <w:tc>
          <w:tcPr>
            <w:tcW w:w="568" w:type="pct"/>
            <w:vMerge w:val="continue"/>
            <w:vAlign w:val="center"/>
          </w:tcPr>
          <w:p>
            <w:pPr>
              <w:adjustRightInd w:val="0"/>
              <w:snapToGrid w:val="0"/>
              <w:jc w:val="center"/>
              <w:rPr>
                <w:rFonts w:eastAsiaTheme="minorEastAsia"/>
                <w:szCs w:val="21"/>
                <w:u w:val="single"/>
              </w:rPr>
            </w:pPr>
          </w:p>
        </w:tc>
        <w:tc>
          <w:tcPr>
            <w:tcW w:w="366" w:type="pct"/>
            <w:vMerge w:val="continue"/>
            <w:vAlign w:val="center"/>
          </w:tcPr>
          <w:p>
            <w:pPr>
              <w:adjustRightInd w:val="0"/>
              <w:snapToGrid w:val="0"/>
              <w:jc w:val="center"/>
              <w:rPr>
                <w:rFonts w:eastAsiaTheme="minorEastAsia"/>
                <w:szCs w:val="21"/>
                <w:u w:val="single"/>
              </w:rPr>
            </w:pPr>
          </w:p>
        </w:tc>
        <w:tc>
          <w:tcPr>
            <w:tcW w:w="625" w:type="pct"/>
            <w:vMerge w:val="continue"/>
            <w:vAlign w:val="center"/>
          </w:tcPr>
          <w:p>
            <w:pPr>
              <w:adjustRightInd w:val="0"/>
              <w:snapToGrid w:val="0"/>
              <w:jc w:val="center"/>
              <w:rPr>
                <w:rFonts w:eastAsiaTheme="minorEastAsia"/>
                <w:szCs w:val="21"/>
                <w:u w:val="single"/>
              </w:rPr>
            </w:pPr>
          </w:p>
        </w:tc>
        <w:tc>
          <w:tcPr>
            <w:tcW w:w="623" w:type="pct"/>
            <w:vMerge w:val="continue"/>
            <w:vAlign w:val="center"/>
          </w:tcPr>
          <w:p>
            <w:pPr>
              <w:adjustRightInd w:val="0"/>
              <w:snapToGrid w:val="0"/>
              <w:jc w:val="center"/>
              <w:rPr>
                <w:rFonts w:eastAsiaTheme="minorEastAsia"/>
                <w:szCs w:val="21"/>
                <w:u w:val="single"/>
              </w:rPr>
            </w:pPr>
          </w:p>
        </w:tc>
        <w:tc>
          <w:tcPr>
            <w:tcW w:w="538" w:type="pct"/>
            <w:vMerge w:val="continue"/>
            <w:vAlign w:val="center"/>
          </w:tcPr>
          <w:p>
            <w:pPr>
              <w:adjustRightInd w:val="0"/>
              <w:snapToGrid w:val="0"/>
              <w:jc w:val="center"/>
              <w:rPr>
                <w:rFonts w:eastAsiaTheme="minorEastAsia"/>
                <w:szCs w:val="21"/>
                <w:u w:val="single"/>
              </w:rPr>
            </w:pPr>
          </w:p>
        </w:tc>
        <w:tc>
          <w:tcPr>
            <w:tcW w:w="533" w:type="pct"/>
            <w:tcBorders>
              <w:top w:val="single" w:color="auto" w:sz="4" w:space="0"/>
              <w:bottom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NH</w:t>
            </w:r>
            <w:r>
              <w:rPr>
                <w:rFonts w:eastAsiaTheme="minorEastAsia"/>
                <w:szCs w:val="21"/>
                <w:u w:val="single"/>
                <w:vertAlign w:val="subscript"/>
              </w:rPr>
              <w:t>3</w:t>
            </w:r>
          </w:p>
        </w:tc>
        <w:tc>
          <w:tcPr>
            <w:tcW w:w="605" w:type="pct"/>
            <w:tcBorders>
              <w:top w:val="single" w:color="auto" w:sz="4" w:space="0"/>
              <w:bottom w:val="single" w:color="auto" w:sz="4" w:space="0"/>
            </w:tcBorders>
            <w:vAlign w:val="center"/>
          </w:tcPr>
          <w:p>
            <w:pPr>
              <w:adjustRightInd w:val="0"/>
              <w:snapToGrid w:val="0"/>
              <w:jc w:val="center"/>
              <w:rPr>
                <w:rFonts w:eastAsiaTheme="minorEastAsia"/>
                <w:szCs w:val="21"/>
                <w:u w:val="single"/>
              </w:rPr>
            </w:pPr>
            <w:r>
              <w:rPr>
                <w:rFonts w:eastAsiaTheme="minorEastAsia"/>
                <w:kern w:val="0"/>
                <w:szCs w:val="21"/>
                <w:u w:val="single"/>
              </w:rPr>
              <w:t>0.000007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有组织</w:t>
            </w:r>
          </w:p>
        </w:tc>
        <w:tc>
          <w:tcPr>
            <w:tcW w:w="625" w:type="pct"/>
            <w:vMerge w:val="restart"/>
            <w:vAlign w:val="center"/>
          </w:tcPr>
          <w:p>
            <w:pPr>
              <w:adjustRightInd w:val="0"/>
              <w:snapToGrid w:val="0"/>
              <w:jc w:val="center"/>
              <w:rPr>
                <w:rFonts w:eastAsiaTheme="minorEastAsia"/>
                <w:szCs w:val="21"/>
                <w:u w:val="single"/>
              </w:rPr>
            </w:pPr>
            <w:r>
              <w:rPr>
                <w:rFonts w:eastAsiaTheme="minorEastAsia"/>
                <w:szCs w:val="21"/>
                <w:u w:val="single"/>
              </w:rPr>
              <w:t>113.078151</w:t>
            </w:r>
          </w:p>
        </w:tc>
        <w:tc>
          <w:tcPr>
            <w:tcW w:w="568" w:type="pct"/>
            <w:vMerge w:val="restart"/>
            <w:vAlign w:val="center"/>
          </w:tcPr>
          <w:p>
            <w:pPr>
              <w:adjustRightInd w:val="0"/>
              <w:snapToGrid w:val="0"/>
              <w:jc w:val="center"/>
              <w:rPr>
                <w:rFonts w:eastAsiaTheme="minorEastAsia"/>
                <w:szCs w:val="21"/>
                <w:u w:val="single"/>
              </w:rPr>
            </w:pPr>
            <w:r>
              <w:rPr>
                <w:rFonts w:eastAsiaTheme="minorEastAsia"/>
                <w:szCs w:val="21"/>
                <w:u w:val="single"/>
              </w:rPr>
              <w:t>28.823331</w:t>
            </w:r>
          </w:p>
        </w:tc>
        <w:tc>
          <w:tcPr>
            <w:tcW w:w="366"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30</w:t>
            </w:r>
          </w:p>
        </w:tc>
        <w:tc>
          <w:tcPr>
            <w:tcW w:w="625" w:type="pct"/>
            <w:vAlign w:val="center"/>
          </w:tcPr>
          <w:p>
            <w:pPr>
              <w:adjustRightInd w:val="0"/>
              <w:snapToGrid w:val="0"/>
              <w:jc w:val="center"/>
              <w:rPr>
                <w:rFonts w:eastAsiaTheme="minorEastAsia"/>
                <w:szCs w:val="21"/>
                <w:u w:val="single"/>
              </w:rPr>
            </w:pPr>
            <w:r>
              <w:rPr>
                <w:rFonts w:hint="eastAsia" w:eastAsiaTheme="minorEastAsia"/>
                <w:szCs w:val="21"/>
                <w:u w:val="single"/>
              </w:rPr>
              <w:t>/</w:t>
            </w:r>
          </w:p>
        </w:tc>
        <w:tc>
          <w:tcPr>
            <w:tcW w:w="623" w:type="pct"/>
            <w:vAlign w:val="center"/>
          </w:tcPr>
          <w:p>
            <w:pPr>
              <w:adjustRightInd w:val="0"/>
              <w:snapToGrid w:val="0"/>
              <w:jc w:val="center"/>
              <w:rPr>
                <w:rFonts w:eastAsiaTheme="minorEastAsia"/>
                <w:szCs w:val="21"/>
                <w:u w:val="single"/>
              </w:rPr>
            </w:pPr>
            <w:r>
              <w:rPr>
                <w:rFonts w:hint="eastAsia" w:eastAsiaTheme="minorEastAsia"/>
                <w:szCs w:val="21"/>
                <w:u w:val="single"/>
              </w:rPr>
              <w:t>/</w:t>
            </w:r>
          </w:p>
        </w:tc>
        <w:tc>
          <w:tcPr>
            <w:tcW w:w="538" w:type="pct"/>
            <w:vMerge w:val="restart"/>
            <w:vAlign w:val="center"/>
          </w:tcPr>
          <w:p>
            <w:pPr>
              <w:adjustRightInd w:val="0"/>
              <w:snapToGrid w:val="0"/>
              <w:jc w:val="center"/>
              <w:rPr>
                <w:rFonts w:eastAsiaTheme="minorEastAsia"/>
                <w:szCs w:val="21"/>
                <w:u w:val="single"/>
              </w:rPr>
            </w:pPr>
            <w:r>
              <w:rPr>
                <w:rFonts w:hint="eastAsia" w:eastAsiaTheme="minorEastAsia"/>
                <w:szCs w:val="21"/>
                <w:u w:val="single"/>
              </w:rPr>
              <w:t>15</w:t>
            </w:r>
          </w:p>
        </w:tc>
        <w:tc>
          <w:tcPr>
            <w:tcW w:w="533" w:type="pct"/>
            <w:tcBorders>
              <w:top w:val="single" w:color="auto" w:sz="4" w:space="0"/>
              <w:bottom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H</w:t>
            </w:r>
            <w:r>
              <w:rPr>
                <w:rFonts w:eastAsiaTheme="minorEastAsia"/>
                <w:szCs w:val="21"/>
                <w:u w:val="single"/>
                <w:vertAlign w:val="subscript"/>
              </w:rPr>
              <w:t>2</w:t>
            </w:r>
            <w:r>
              <w:rPr>
                <w:rFonts w:eastAsiaTheme="minorEastAsia"/>
                <w:szCs w:val="21"/>
                <w:u w:val="single"/>
              </w:rPr>
              <w:t>S</w:t>
            </w:r>
          </w:p>
        </w:tc>
        <w:tc>
          <w:tcPr>
            <w:tcW w:w="605" w:type="pct"/>
            <w:tcBorders>
              <w:top w:val="single" w:color="auto" w:sz="4" w:space="0"/>
              <w:bottom w:val="single" w:color="auto" w:sz="4" w:space="0"/>
            </w:tcBorders>
            <w:vAlign w:val="center"/>
          </w:tcPr>
          <w:p>
            <w:pPr>
              <w:adjustRightInd w:val="0"/>
              <w:snapToGrid w:val="0"/>
              <w:jc w:val="center"/>
              <w:rPr>
                <w:kern w:val="0"/>
                <w:u w:val="single"/>
              </w:rPr>
            </w:pPr>
            <w:bookmarkStart w:id="135" w:name="_Hlk60777240"/>
            <w:r>
              <w:rPr>
                <w:rFonts w:hint="eastAsia"/>
                <w:kern w:val="0"/>
                <w:u w:val="single"/>
              </w:rPr>
              <w:t>0.00016</w:t>
            </w:r>
            <w:bookmarkEnd w:id="13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517" w:type="pct"/>
            <w:vMerge w:val="continue"/>
            <w:vAlign w:val="center"/>
          </w:tcPr>
          <w:p>
            <w:pPr>
              <w:adjustRightInd w:val="0"/>
              <w:snapToGrid w:val="0"/>
              <w:jc w:val="center"/>
              <w:rPr>
                <w:rFonts w:eastAsiaTheme="minorEastAsia"/>
                <w:szCs w:val="21"/>
                <w:u w:val="single"/>
              </w:rPr>
            </w:pPr>
          </w:p>
        </w:tc>
        <w:tc>
          <w:tcPr>
            <w:tcW w:w="625" w:type="pct"/>
            <w:vMerge w:val="continue"/>
            <w:vAlign w:val="center"/>
          </w:tcPr>
          <w:p>
            <w:pPr>
              <w:adjustRightInd w:val="0"/>
              <w:snapToGrid w:val="0"/>
              <w:jc w:val="center"/>
              <w:rPr>
                <w:rFonts w:eastAsiaTheme="minorEastAsia"/>
                <w:szCs w:val="21"/>
                <w:u w:val="single"/>
              </w:rPr>
            </w:pPr>
          </w:p>
        </w:tc>
        <w:tc>
          <w:tcPr>
            <w:tcW w:w="568" w:type="pct"/>
            <w:vMerge w:val="continue"/>
            <w:vAlign w:val="center"/>
          </w:tcPr>
          <w:p>
            <w:pPr>
              <w:adjustRightInd w:val="0"/>
              <w:snapToGrid w:val="0"/>
              <w:jc w:val="center"/>
              <w:rPr>
                <w:rFonts w:eastAsiaTheme="minorEastAsia"/>
                <w:szCs w:val="21"/>
                <w:u w:val="single"/>
              </w:rPr>
            </w:pPr>
          </w:p>
        </w:tc>
        <w:tc>
          <w:tcPr>
            <w:tcW w:w="366" w:type="pct"/>
            <w:vMerge w:val="continue"/>
            <w:vAlign w:val="center"/>
          </w:tcPr>
          <w:p>
            <w:pPr>
              <w:adjustRightInd w:val="0"/>
              <w:snapToGrid w:val="0"/>
              <w:jc w:val="center"/>
              <w:rPr>
                <w:rFonts w:eastAsiaTheme="minorEastAsia"/>
                <w:szCs w:val="21"/>
                <w:u w:val="single"/>
              </w:rPr>
            </w:pPr>
          </w:p>
        </w:tc>
        <w:tc>
          <w:tcPr>
            <w:tcW w:w="625" w:type="pct"/>
            <w:vAlign w:val="center"/>
          </w:tcPr>
          <w:p>
            <w:pPr>
              <w:adjustRightInd w:val="0"/>
              <w:snapToGrid w:val="0"/>
              <w:jc w:val="center"/>
              <w:rPr>
                <w:rFonts w:eastAsiaTheme="minorEastAsia"/>
                <w:szCs w:val="21"/>
                <w:u w:val="single"/>
              </w:rPr>
            </w:pPr>
            <w:r>
              <w:rPr>
                <w:rFonts w:hint="eastAsia" w:eastAsiaTheme="minorEastAsia"/>
                <w:szCs w:val="21"/>
                <w:u w:val="single"/>
              </w:rPr>
              <w:t>/</w:t>
            </w:r>
          </w:p>
        </w:tc>
        <w:tc>
          <w:tcPr>
            <w:tcW w:w="623" w:type="pct"/>
            <w:vAlign w:val="center"/>
          </w:tcPr>
          <w:p>
            <w:pPr>
              <w:adjustRightInd w:val="0"/>
              <w:snapToGrid w:val="0"/>
              <w:jc w:val="center"/>
              <w:rPr>
                <w:rFonts w:eastAsiaTheme="minorEastAsia"/>
                <w:szCs w:val="21"/>
                <w:u w:val="single"/>
              </w:rPr>
            </w:pPr>
            <w:r>
              <w:rPr>
                <w:rFonts w:hint="eastAsia" w:eastAsiaTheme="minorEastAsia"/>
                <w:szCs w:val="21"/>
                <w:u w:val="single"/>
              </w:rPr>
              <w:t>/</w:t>
            </w:r>
          </w:p>
        </w:tc>
        <w:tc>
          <w:tcPr>
            <w:tcW w:w="538" w:type="pct"/>
            <w:vMerge w:val="continue"/>
            <w:vAlign w:val="center"/>
          </w:tcPr>
          <w:p>
            <w:pPr>
              <w:adjustRightInd w:val="0"/>
              <w:snapToGrid w:val="0"/>
              <w:jc w:val="center"/>
              <w:rPr>
                <w:rFonts w:eastAsiaTheme="minorEastAsia"/>
                <w:szCs w:val="21"/>
                <w:u w:val="single"/>
              </w:rPr>
            </w:pPr>
          </w:p>
        </w:tc>
        <w:tc>
          <w:tcPr>
            <w:tcW w:w="533" w:type="pct"/>
            <w:tcBorders>
              <w:top w:val="single" w:color="auto" w:sz="4" w:space="0"/>
            </w:tcBorders>
            <w:vAlign w:val="center"/>
          </w:tcPr>
          <w:p>
            <w:pPr>
              <w:adjustRightInd w:val="0"/>
              <w:snapToGrid w:val="0"/>
              <w:jc w:val="center"/>
              <w:rPr>
                <w:rFonts w:eastAsiaTheme="minorEastAsia"/>
                <w:szCs w:val="21"/>
                <w:u w:val="single"/>
              </w:rPr>
            </w:pPr>
            <w:r>
              <w:rPr>
                <w:rFonts w:eastAsiaTheme="minorEastAsia"/>
                <w:szCs w:val="21"/>
                <w:u w:val="single"/>
              </w:rPr>
              <w:t>NH</w:t>
            </w:r>
            <w:r>
              <w:rPr>
                <w:rFonts w:eastAsiaTheme="minorEastAsia"/>
                <w:szCs w:val="21"/>
                <w:u w:val="single"/>
                <w:vertAlign w:val="subscript"/>
              </w:rPr>
              <w:t>3</w:t>
            </w:r>
          </w:p>
        </w:tc>
        <w:tc>
          <w:tcPr>
            <w:tcW w:w="605" w:type="pct"/>
            <w:tcBorders>
              <w:top w:val="single" w:color="auto" w:sz="4" w:space="0"/>
            </w:tcBorders>
            <w:vAlign w:val="center"/>
          </w:tcPr>
          <w:p>
            <w:pPr>
              <w:adjustRightInd w:val="0"/>
              <w:snapToGrid w:val="0"/>
              <w:jc w:val="center"/>
              <w:rPr>
                <w:kern w:val="0"/>
                <w:u w:val="single"/>
              </w:rPr>
            </w:pPr>
            <w:r>
              <w:rPr>
                <w:rFonts w:hint="eastAsia"/>
                <w:kern w:val="0"/>
                <w:u w:val="single"/>
              </w:rPr>
              <w:t>0</w:t>
            </w:r>
            <w:r>
              <w:rPr>
                <w:kern w:val="0"/>
                <w:u w:val="single"/>
              </w:rPr>
              <w:t>.000</w:t>
            </w:r>
            <w:r>
              <w:rPr>
                <w:rFonts w:hint="eastAsia"/>
                <w:kern w:val="0"/>
                <w:u w:val="single"/>
              </w:rPr>
              <w:t>00</w:t>
            </w:r>
            <w:r>
              <w:rPr>
                <w:kern w:val="0"/>
                <w:u w:val="single"/>
              </w:rPr>
              <w:t>63</w:t>
            </w:r>
          </w:p>
        </w:tc>
      </w:tr>
    </w:tbl>
    <w:p>
      <w:pPr>
        <w:snapToGrid w:val="0"/>
        <w:spacing w:line="360" w:lineRule="auto"/>
        <w:ind w:firstLine="480" w:firstLineChars="200"/>
        <w:rPr>
          <w:rFonts w:eastAsiaTheme="minorEastAsia"/>
          <w:sz w:val="24"/>
          <w:szCs w:val="28"/>
        </w:rPr>
      </w:pPr>
      <w:r>
        <w:rPr>
          <w:rFonts w:eastAsiaTheme="minorEastAsia"/>
          <w:sz w:val="24"/>
          <w:szCs w:val="28"/>
        </w:rPr>
        <w:t>根据《环境影响评价技术导则-大气环境》（HJ2.2-2018），选用大气估算模式（AERScreen）进行预测，预测计算结果见下表。</w:t>
      </w:r>
    </w:p>
    <w:p>
      <w:pPr>
        <w:snapToGrid w:val="0"/>
        <w:spacing w:line="360" w:lineRule="auto"/>
        <w:jc w:val="center"/>
        <w:rPr>
          <w:rFonts w:eastAsiaTheme="minorEastAsia"/>
          <w:sz w:val="24"/>
          <w:szCs w:val="28"/>
        </w:rPr>
      </w:pPr>
      <w:r>
        <w:drawing>
          <wp:inline distT="0" distB="0" distL="0" distR="0">
            <wp:extent cx="4857115" cy="41395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rcRect t="4354" b="12220"/>
                    <a:stretch>
                      <a:fillRect/>
                    </a:stretch>
                  </pic:blipFill>
                  <pic:spPr>
                    <a:xfrm>
                      <a:off x="0" y="0"/>
                      <a:ext cx="4857565" cy="4140000"/>
                    </a:xfrm>
                    <a:prstGeom prst="rect">
                      <a:avLst/>
                    </a:prstGeom>
                    <a:ln>
                      <a:noFill/>
                    </a:ln>
                  </pic:spPr>
                </pic:pic>
              </a:graphicData>
            </a:graphic>
          </wp:inline>
        </w:drawing>
      </w:r>
    </w:p>
    <w:p>
      <w:pPr>
        <w:snapToGrid w:val="0"/>
        <w:spacing w:line="360" w:lineRule="auto"/>
        <w:jc w:val="center"/>
        <w:rPr>
          <w:rFonts w:eastAsiaTheme="minorEastAsia"/>
          <w:b/>
          <w:bCs/>
          <w:sz w:val="24"/>
          <w:szCs w:val="28"/>
        </w:rPr>
      </w:pPr>
      <w:r>
        <w:rPr>
          <w:rFonts w:eastAsiaTheme="minorEastAsia"/>
          <w:b/>
          <w:bCs/>
          <w:sz w:val="24"/>
          <w:szCs w:val="28"/>
        </w:rPr>
        <w:t>图6.2-1 本项目硫化氢无组织排放</w:t>
      </w:r>
    </w:p>
    <w:p>
      <w:pPr>
        <w:snapToGrid w:val="0"/>
        <w:spacing w:line="360" w:lineRule="auto"/>
        <w:jc w:val="center"/>
        <w:rPr>
          <w:rFonts w:eastAsiaTheme="minorEastAsia"/>
          <w:sz w:val="24"/>
          <w:szCs w:val="28"/>
        </w:rPr>
      </w:pPr>
      <w:r>
        <w:drawing>
          <wp:inline distT="0" distB="0" distL="0" distR="0">
            <wp:extent cx="4913630" cy="41395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rcRect t="4993" b="12521"/>
                    <a:stretch>
                      <a:fillRect/>
                    </a:stretch>
                  </pic:blipFill>
                  <pic:spPr>
                    <a:xfrm>
                      <a:off x="0" y="0"/>
                      <a:ext cx="4914089" cy="4140000"/>
                    </a:xfrm>
                    <a:prstGeom prst="rect">
                      <a:avLst/>
                    </a:prstGeom>
                    <a:ln>
                      <a:noFill/>
                    </a:ln>
                  </pic:spPr>
                </pic:pic>
              </a:graphicData>
            </a:graphic>
          </wp:inline>
        </w:drawing>
      </w:r>
    </w:p>
    <w:p>
      <w:pPr>
        <w:snapToGrid w:val="0"/>
        <w:spacing w:line="360" w:lineRule="auto"/>
        <w:jc w:val="center"/>
        <w:rPr>
          <w:rFonts w:eastAsiaTheme="minorEastAsia"/>
          <w:sz w:val="24"/>
          <w:szCs w:val="28"/>
        </w:rPr>
      </w:pPr>
      <w:r>
        <w:rPr>
          <w:rFonts w:eastAsiaTheme="minorEastAsia"/>
          <w:b/>
          <w:bCs/>
          <w:sz w:val="24"/>
          <w:szCs w:val="28"/>
        </w:rPr>
        <w:t>图6.2-2 本项目氨气无组织排放</w:t>
      </w:r>
    </w:p>
    <w:p>
      <w:pPr>
        <w:snapToGrid w:val="0"/>
        <w:spacing w:line="360" w:lineRule="auto"/>
        <w:jc w:val="center"/>
        <w:rPr>
          <w:rFonts w:eastAsiaTheme="minorEastAsia"/>
          <w:sz w:val="24"/>
          <w:szCs w:val="28"/>
        </w:rPr>
      </w:pPr>
      <w:r>
        <w:drawing>
          <wp:inline distT="0" distB="0" distL="0" distR="0">
            <wp:extent cx="4911090" cy="3887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1"/>
                    <a:stretch>
                      <a:fillRect/>
                    </a:stretch>
                  </pic:blipFill>
                  <pic:spPr>
                    <a:xfrm>
                      <a:off x="0" y="0"/>
                      <a:ext cx="4911160" cy="3888000"/>
                    </a:xfrm>
                    <a:prstGeom prst="rect">
                      <a:avLst/>
                    </a:prstGeom>
                  </pic:spPr>
                </pic:pic>
              </a:graphicData>
            </a:graphic>
          </wp:inline>
        </w:drawing>
      </w:r>
    </w:p>
    <w:p>
      <w:pPr>
        <w:snapToGrid w:val="0"/>
        <w:spacing w:line="360" w:lineRule="auto"/>
        <w:jc w:val="center"/>
        <w:rPr>
          <w:rFonts w:eastAsiaTheme="minorEastAsia"/>
          <w:sz w:val="24"/>
          <w:szCs w:val="28"/>
          <w:u w:val="single"/>
        </w:rPr>
      </w:pPr>
      <w:r>
        <w:rPr>
          <w:rFonts w:eastAsiaTheme="minorEastAsia"/>
          <w:b/>
          <w:bCs/>
          <w:sz w:val="24"/>
          <w:szCs w:val="28"/>
          <w:u w:val="single"/>
        </w:rPr>
        <w:t>图6.2-</w:t>
      </w:r>
      <w:r>
        <w:rPr>
          <w:rFonts w:hint="eastAsia" w:eastAsiaTheme="minorEastAsia"/>
          <w:b/>
          <w:bCs/>
          <w:sz w:val="24"/>
          <w:szCs w:val="28"/>
          <w:u w:val="single"/>
        </w:rPr>
        <w:t>3</w:t>
      </w:r>
      <w:r>
        <w:rPr>
          <w:rFonts w:eastAsiaTheme="minorEastAsia"/>
          <w:b/>
          <w:bCs/>
          <w:sz w:val="24"/>
          <w:szCs w:val="28"/>
          <w:u w:val="single"/>
        </w:rPr>
        <w:t xml:space="preserve"> 本项目</w:t>
      </w:r>
      <w:r>
        <w:rPr>
          <w:rFonts w:hint="eastAsia" w:eastAsiaTheme="minorEastAsia"/>
          <w:b/>
          <w:bCs/>
          <w:sz w:val="24"/>
          <w:szCs w:val="28"/>
          <w:u w:val="single"/>
        </w:rPr>
        <w:t>硫化氢有</w:t>
      </w:r>
      <w:r>
        <w:rPr>
          <w:rFonts w:eastAsiaTheme="minorEastAsia"/>
          <w:b/>
          <w:bCs/>
          <w:sz w:val="24"/>
          <w:szCs w:val="28"/>
          <w:u w:val="single"/>
        </w:rPr>
        <w:t>组织排放</w:t>
      </w:r>
    </w:p>
    <w:p>
      <w:pPr>
        <w:snapToGrid w:val="0"/>
        <w:spacing w:line="360" w:lineRule="auto"/>
        <w:ind w:firstLine="480" w:firstLineChars="200"/>
        <w:rPr>
          <w:rFonts w:eastAsiaTheme="minorEastAsia"/>
          <w:sz w:val="24"/>
          <w:szCs w:val="28"/>
        </w:rPr>
      </w:pPr>
    </w:p>
    <w:p>
      <w:pPr>
        <w:snapToGrid w:val="0"/>
        <w:spacing w:line="360" w:lineRule="auto"/>
        <w:ind w:firstLine="480" w:firstLineChars="200"/>
        <w:rPr>
          <w:rFonts w:eastAsiaTheme="minorEastAsia"/>
          <w:sz w:val="24"/>
          <w:szCs w:val="28"/>
        </w:rPr>
      </w:pPr>
    </w:p>
    <w:p>
      <w:pPr>
        <w:snapToGrid w:val="0"/>
        <w:spacing w:line="360" w:lineRule="auto"/>
        <w:jc w:val="center"/>
        <w:rPr>
          <w:rFonts w:eastAsiaTheme="minorEastAsia"/>
          <w:sz w:val="24"/>
          <w:szCs w:val="28"/>
        </w:rPr>
      </w:pPr>
      <w:r>
        <w:drawing>
          <wp:inline distT="0" distB="0" distL="0" distR="0">
            <wp:extent cx="4767580" cy="38157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4767668" cy="3816000"/>
                    </a:xfrm>
                    <a:prstGeom prst="rect">
                      <a:avLst/>
                    </a:prstGeom>
                  </pic:spPr>
                </pic:pic>
              </a:graphicData>
            </a:graphic>
          </wp:inline>
        </w:drawing>
      </w:r>
    </w:p>
    <w:p>
      <w:pPr>
        <w:snapToGrid w:val="0"/>
        <w:spacing w:line="360" w:lineRule="auto"/>
        <w:jc w:val="center"/>
        <w:rPr>
          <w:rFonts w:eastAsiaTheme="minorEastAsia"/>
          <w:sz w:val="24"/>
          <w:szCs w:val="28"/>
          <w:u w:val="single"/>
        </w:rPr>
      </w:pPr>
      <w:r>
        <w:rPr>
          <w:rFonts w:eastAsiaTheme="minorEastAsia"/>
          <w:b/>
          <w:bCs/>
          <w:sz w:val="24"/>
          <w:szCs w:val="28"/>
          <w:u w:val="single"/>
        </w:rPr>
        <w:t>图6.2-2 本项目氨气</w:t>
      </w:r>
      <w:r>
        <w:rPr>
          <w:rFonts w:hint="eastAsia" w:eastAsiaTheme="minorEastAsia"/>
          <w:b/>
          <w:bCs/>
          <w:sz w:val="24"/>
          <w:szCs w:val="28"/>
          <w:u w:val="single"/>
        </w:rPr>
        <w:t>有</w:t>
      </w:r>
      <w:r>
        <w:rPr>
          <w:rFonts w:eastAsiaTheme="minorEastAsia"/>
          <w:b/>
          <w:bCs/>
          <w:sz w:val="24"/>
          <w:szCs w:val="28"/>
          <w:u w:val="single"/>
        </w:rPr>
        <w:t>组织排放</w:t>
      </w:r>
    </w:p>
    <w:p>
      <w:pPr>
        <w:snapToGrid w:val="0"/>
        <w:spacing w:line="360" w:lineRule="auto"/>
        <w:ind w:firstLine="480" w:firstLineChars="200"/>
        <w:rPr>
          <w:rFonts w:eastAsiaTheme="minorEastAsia"/>
          <w:sz w:val="24"/>
          <w:szCs w:val="28"/>
        </w:rPr>
      </w:pPr>
      <w:r>
        <w:rPr>
          <w:rFonts w:eastAsiaTheme="minorEastAsia"/>
          <w:sz w:val="24"/>
          <w:szCs w:val="28"/>
        </w:rPr>
        <w:t>根据上图预测结果可知，污水厂处理站无组织排放的氨气、硫化氢最大落地浓度分别为0.317μg/m</w:t>
      </w:r>
      <w:r>
        <w:rPr>
          <w:rFonts w:eastAsiaTheme="minorEastAsia"/>
          <w:sz w:val="24"/>
          <w:szCs w:val="28"/>
          <w:vertAlign w:val="superscript"/>
        </w:rPr>
        <w:t>3</w:t>
      </w:r>
      <w:r>
        <w:rPr>
          <w:rFonts w:eastAsiaTheme="minorEastAsia"/>
          <w:sz w:val="24"/>
          <w:szCs w:val="28"/>
        </w:rPr>
        <w:t>、0.012μg/m</w:t>
      </w:r>
      <w:r>
        <w:rPr>
          <w:rFonts w:eastAsiaTheme="minorEastAsia"/>
          <w:sz w:val="24"/>
          <w:szCs w:val="28"/>
          <w:vertAlign w:val="superscript"/>
        </w:rPr>
        <w:t>3</w:t>
      </w:r>
      <w:r>
        <w:rPr>
          <w:rFonts w:eastAsiaTheme="minorEastAsia"/>
          <w:sz w:val="24"/>
          <w:szCs w:val="28"/>
        </w:rPr>
        <w:t>，最大占标率分别为0.16%、0.12%，最大落地浓度对应距离均为105m</w:t>
      </w:r>
      <w:r>
        <w:rPr>
          <w:rFonts w:hint="eastAsia" w:eastAsiaTheme="minorEastAsia"/>
          <w:sz w:val="24"/>
          <w:szCs w:val="28"/>
        </w:rPr>
        <w:t>；有</w:t>
      </w:r>
      <w:r>
        <w:rPr>
          <w:rFonts w:eastAsiaTheme="minorEastAsia"/>
          <w:sz w:val="24"/>
          <w:szCs w:val="28"/>
        </w:rPr>
        <w:t>组织排放的氨气、硫化氢最大落地浓度分别为0.</w:t>
      </w:r>
      <w:r>
        <w:rPr>
          <w:rFonts w:hint="eastAsia" w:eastAsiaTheme="minorEastAsia"/>
          <w:sz w:val="24"/>
          <w:szCs w:val="28"/>
        </w:rPr>
        <w:t>422</w:t>
      </w:r>
      <w:r>
        <w:rPr>
          <w:rFonts w:eastAsiaTheme="minorEastAsia"/>
          <w:sz w:val="24"/>
          <w:szCs w:val="28"/>
        </w:rPr>
        <w:t>μg/m</w:t>
      </w:r>
      <w:r>
        <w:rPr>
          <w:rFonts w:eastAsiaTheme="minorEastAsia"/>
          <w:sz w:val="24"/>
          <w:szCs w:val="28"/>
          <w:vertAlign w:val="superscript"/>
        </w:rPr>
        <w:t>3</w:t>
      </w:r>
      <w:r>
        <w:rPr>
          <w:rFonts w:eastAsiaTheme="minorEastAsia"/>
          <w:sz w:val="24"/>
          <w:szCs w:val="28"/>
        </w:rPr>
        <w:t>、0.0</w:t>
      </w:r>
      <w:r>
        <w:rPr>
          <w:rFonts w:hint="eastAsia" w:eastAsiaTheme="minorEastAsia"/>
          <w:sz w:val="24"/>
          <w:szCs w:val="28"/>
        </w:rPr>
        <w:t>17</w:t>
      </w:r>
      <w:r>
        <w:rPr>
          <w:rFonts w:eastAsiaTheme="minorEastAsia"/>
          <w:sz w:val="24"/>
          <w:szCs w:val="28"/>
        </w:rPr>
        <w:t>μg/m</w:t>
      </w:r>
      <w:r>
        <w:rPr>
          <w:rFonts w:eastAsiaTheme="minorEastAsia"/>
          <w:sz w:val="24"/>
          <w:szCs w:val="28"/>
          <w:vertAlign w:val="superscript"/>
        </w:rPr>
        <w:t>3</w:t>
      </w:r>
      <w:r>
        <w:rPr>
          <w:rFonts w:eastAsiaTheme="minorEastAsia"/>
          <w:sz w:val="24"/>
          <w:szCs w:val="28"/>
        </w:rPr>
        <w:t>，最大占标率分别为0.</w:t>
      </w:r>
      <w:r>
        <w:rPr>
          <w:rFonts w:hint="eastAsia" w:eastAsiaTheme="minorEastAsia"/>
          <w:sz w:val="24"/>
          <w:szCs w:val="28"/>
        </w:rPr>
        <w:t>21</w:t>
      </w:r>
      <w:r>
        <w:rPr>
          <w:rFonts w:eastAsiaTheme="minorEastAsia"/>
          <w:sz w:val="24"/>
          <w:szCs w:val="28"/>
        </w:rPr>
        <w:t>%、0.</w:t>
      </w:r>
      <w:r>
        <w:rPr>
          <w:rFonts w:hint="eastAsia" w:eastAsiaTheme="minorEastAsia"/>
          <w:sz w:val="24"/>
          <w:szCs w:val="28"/>
        </w:rPr>
        <w:t>17</w:t>
      </w:r>
      <w:r>
        <w:rPr>
          <w:rFonts w:eastAsiaTheme="minorEastAsia"/>
          <w:sz w:val="24"/>
          <w:szCs w:val="28"/>
        </w:rPr>
        <w:t>%。根据《环境影响评价技术导则大气环境》(HJ2.2-2018)分级判据，确定本项目大气环境影响评价工作等级为三级。</w:t>
      </w:r>
    </w:p>
    <w:p>
      <w:pPr>
        <w:snapToGrid w:val="0"/>
        <w:spacing w:line="360" w:lineRule="auto"/>
        <w:ind w:firstLine="480" w:firstLineChars="200"/>
        <w:rPr>
          <w:rFonts w:eastAsiaTheme="minorEastAsia"/>
          <w:sz w:val="24"/>
          <w:szCs w:val="28"/>
        </w:rPr>
      </w:pPr>
      <w:r>
        <w:rPr>
          <w:rFonts w:eastAsiaTheme="minorEastAsia"/>
          <w:sz w:val="24"/>
          <w:szCs w:val="28"/>
        </w:rPr>
        <w:t>从预测结果可以看出，评价区域内氨气、硫化氢最大落地浓度均满足相应环境质量标准的要求，最大落地浓度位于项目场界内，说明污水处理站少量无组织排放的臭气对周围空气环境质量影响较小。</w:t>
      </w:r>
    </w:p>
    <w:p>
      <w:pPr>
        <w:snapToGrid w:val="0"/>
        <w:spacing w:line="360" w:lineRule="auto"/>
        <w:ind w:firstLine="480" w:firstLineChars="200"/>
        <w:rPr>
          <w:rFonts w:eastAsiaTheme="minorEastAsia"/>
          <w:sz w:val="24"/>
          <w:szCs w:val="28"/>
        </w:rPr>
      </w:pPr>
      <w:r>
        <w:rPr>
          <w:rFonts w:eastAsiaTheme="minorEastAsia"/>
          <w:sz w:val="24"/>
          <w:szCs w:val="28"/>
        </w:rPr>
        <w:t>根据工程分析及估算结果，污水处理站及压滤间周边大气中氨和硫化氢的浓度满足《医疗机构水污染物排放标准》（GB18466-2005）表3污水处理站周边大气污染物最高允许浓度要求。为进一步减轻污水处理站及压滤间恶臭气体对周边环境的影响，本项目拟采取以下污染防治措施：</w:t>
      </w:r>
    </w:p>
    <w:p>
      <w:pPr>
        <w:snapToGrid w:val="0"/>
        <w:spacing w:line="360" w:lineRule="auto"/>
        <w:ind w:firstLine="480" w:firstLineChars="200"/>
        <w:rPr>
          <w:rFonts w:eastAsiaTheme="minorEastAsia"/>
          <w:sz w:val="24"/>
          <w:szCs w:val="28"/>
        </w:rPr>
      </w:pPr>
      <w:r>
        <w:rPr>
          <w:rFonts w:hint="eastAsia" w:ascii="宋体" w:hAnsi="宋体" w:cs="宋体"/>
          <w:sz w:val="24"/>
          <w:szCs w:val="28"/>
        </w:rPr>
        <w:t>①</w:t>
      </w:r>
      <w:r>
        <w:rPr>
          <w:rFonts w:eastAsiaTheme="minorEastAsia"/>
          <w:sz w:val="24"/>
          <w:szCs w:val="28"/>
        </w:rPr>
        <w:t>加强污水处理站的运行操作管理，减少恶臭气体形成。</w:t>
      </w:r>
    </w:p>
    <w:p>
      <w:pPr>
        <w:snapToGrid w:val="0"/>
        <w:spacing w:line="360" w:lineRule="auto"/>
        <w:ind w:firstLine="480" w:firstLineChars="200"/>
        <w:rPr>
          <w:rFonts w:eastAsiaTheme="minorEastAsia"/>
          <w:sz w:val="24"/>
          <w:szCs w:val="28"/>
        </w:rPr>
      </w:pPr>
      <w:r>
        <w:rPr>
          <w:rFonts w:hint="eastAsia" w:ascii="宋体" w:hAnsi="宋体" w:cs="宋体"/>
          <w:sz w:val="24"/>
          <w:szCs w:val="28"/>
        </w:rPr>
        <w:t>②</w:t>
      </w:r>
      <w:r>
        <w:rPr>
          <w:rFonts w:eastAsiaTheme="minorEastAsia"/>
          <w:sz w:val="24"/>
          <w:szCs w:val="28"/>
        </w:rPr>
        <w:t>污泥经消毒处理后要及时外运，以免长期堆放在院内，散发出异味及有害气体，造成环境污染。</w:t>
      </w:r>
    </w:p>
    <w:p>
      <w:pPr>
        <w:snapToGrid w:val="0"/>
        <w:spacing w:line="360" w:lineRule="auto"/>
        <w:ind w:firstLine="480" w:firstLineChars="200"/>
        <w:rPr>
          <w:rFonts w:eastAsiaTheme="minorEastAsia"/>
          <w:sz w:val="24"/>
          <w:szCs w:val="28"/>
        </w:rPr>
      </w:pPr>
      <w:r>
        <w:rPr>
          <w:rFonts w:hint="eastAsia" w:ascii="宋体" w:hAnsi="宋体" w:cs="宋体"/>
          <w:sz w:val="24"/>
          <w:szCs w:val="28"/>
        </w:rPr>
        <w:t>③</w:t>
      </w:r>
      <w:r>
        <w:rPr>
          <w:rFonts w:eastAsiaTheme="minorEastAsia"/>
          <w:sz w:val="24"/>
          <w:szCs w:val="28"/>
        </w:rPr>
        <w:t>为了避免污水渗漏、污染土壤及地下水源而造成的二次污染，各构筑物底部应采取必要的防渗、防漏措施。</w:t>
      </w:r>
    </w:p>
    <w:p>
      <w:pPr>
        <w:snapToGrid w:val="0"/>
        <w:spacing w:line="360" w:lineRule="auto"/>
        <w:ind w:firstLine="480" w:firstLineChars="200"/>
        <w:rPr>
          <w:rFonts w:eastAsiaTheme="minorEastAsia"/>
          <w:color w:val="FF0000"/>
          <w:sz w:val="24"/>
          <w:szCs w:val="28"/>
        </w:rPr>
      </w:pPr>
      <w:r>
        <w:rPr>
          <w:rFonts w:hint="eastAsia" w:ascii="宋体" w:hAnsi="宋体" w:cs="宋体"/>
          <w:sz w:val="24"/>
          <w:szCs w:val="28"/>
        </w:rPr>
        <w:t>④</w:t>
      </w:r>
      <w:r>
        <w:rPr>
          <w:rFonts w:eastAsiaTheme="minorEastAsia"/>
          <w:sz w:val="24"/>
          <w:szCs w:val="28"/>
        </w:rPr>
        <w:t>污水处理站边界植树造林，并在院内遍植花草树木，采用植物吸收也能够有效的缓解臭味对周围环境的影响，建立多层绿化防护隔离带，形成绿化屏障，阻隔恶臭扩散的途径。</w:t>
      </w:r>
    </w:p>
    <w:p>
      <w:pPr>
        <w:snapToGrid w:val="0"/>
        <w:spacing w:line="360" w:lineRule="auto"/>
        <w:ind w:firstLine="482" w:firstLineChars="200"/>
        <w:rPr>
          <w:rFonts w:eastAsiaTheme="minorEastAsia"/>
          <w:b/>
          <w:sz w:val="24"/>
          <w:szCs w:val="28"/>
        </w:rPr>
      </w:pPr>
      <w:r>
        <w:rPr>
          <w:rFonts w:eastAsiaTheme="minorEastAsia"/>
          <w:b/>
          <w:sz w:val="24"/>
          <w:szCs w:val="28"/>
        </w:rPr>
        <w:t>（3）医疗废物暂存间异味</w:t>
      </w:r>
    </w:p>
    <w:p>
      <w:pPr>
        <w:snapToGrid w:val="0"/>
        <w:spacing w:line="360" w:lineRule="auto"/>
        <w:ind w:firstLine="480" w:firstLineChars="200"/>
        <w:rPr>
          <w:rFonts w:eastAsiaTheme="minorEastAsia"/>
          <w:sz w:val="24"/>
          <w:szCs w:val="28"/>
        </w:rPr>
      </w:pPr>
      <w:r>
        <w:rPr>
          <w:rFonts w:eastAsiaTheme="minorEastAsia"/>
          <w:sz w:val="24"/>
          <w:szCs w:val="28"/>
        </w:rPr>
        <w:t>项目医疗废物暂存间拟设于地下室，面积约64.1m</w:t>
      </w:r>
      <w:r>
        <w:rPr>
          <w:rFonts w:eastAsiaTheme="minorEastAsia"/>
          <w:sz w:val="24"/>
          <w:szCs w:val="28"/>
          <w:vertAlign w:val="superscript"/>
        </w:rPr>
        <w:t>2</w:t>
      </w:r>
      <w:r>
        <w:rPr>
          <w:rFonts w:eastAsiaTheme="minorEastAsia"/>
          <w:sz w:val="24"/>
          <w:szCs w:val="28"/>
        </w:rPr>
        <w:t>，与生活垃圾站布置在一起，医疗固废堆积会产生一定的异味，各类医疗固废收集后分别用密封袋、专用的锐器收集筒包装后分类存放。此类废物要求定期进行清运，产生的异味气味少，医疗废物暂存间为地埋式，布设的位置人流量小，且设有专门的污物出口运出，对周围环境影响不明显。</w:t>
      </w:r>
    </w:p>
    <w:p>
      <w:pPr>
        <w:snapToGrid w:val="0"/>
        <w:spacing w:line="360" w:lineRule="auto"/>
        <w:ind w:firstLine="482" w:firstLineChars="200"/>
        <w:rPr>
          <w:rFonts w:eastAsiaTheme="minorEastAsia"/>
          <w:b/>
          <w:sz w:val="24"/>
          <w:szCs w:val="28"/>
        </w:rPr>
      </w:pPr>
      <w:r>
        <w:rPr>
          <w:rFonts w:eastAsiaTheme="minorEastAsia"/>
          <w:b/>
          <w:sz w:val="24"/>
          <w:szCs w:val="28"/>
        </w:rPr>
        <w:t>（4）生活垃圾暂存间恶臭</w:t>
      </w:r>
    </w:p>
    <w:p>
      <w:pPr>
        <w:snapToGrid w:val="0"/>
        <w:spacing w:line="360" w:lineRule="auto"/>
        <w:ind w:firstLine="480" w:firstLineChars="200"/>
        <w:rPr>
          <w:rFonts w:eastAsiaTheme="minorEastAsia"/>
          <w:sz w:val="24"/>
          <w:szCs w:val="28"/>
        </w:rPr>
      </w:pPr>
      <w:r>
        <w:rPr>
          <w:rFonts w:eastAsiaTheme="minorEastAsia"/>
          <w:sz w:val="24"/>
          <w:szCs w:val="28"/>
        </w:rPr>
        <w:t>项目营运期间垃圾产生量较大，由于生活垃圾中含有各类易发酵的有机物，尤其是在气温较高时，生活垃圾在堆存、运输过程中会散发出较难闻的恶臭气体，其主要成份为H</w:t>
      </w:r>
      <w:r>
        <w:rPr>
          <w:rFonts w:eastAsiaTheme="minorEastAsia"/>
          <w:sz w:val="24"/>
          <w:szCs w:val="28"/>
          <w:vertAlign w:val="subscript"/>
        </w:rPr>
        <w:t>2</w:t>
      </w:r>
      <w:r>
        <w:rPr>
          <w:rFonts w:eastAsiaTheme="minorEastAsia"/>
          <w:sz w:val="24"/>
          <w:szCs w:val="28"/>
        </w:rPr>
        <w:t>S和NH</w:t>
      </w:r>
      <w:r>
        <w:rPr>
          <w:rFonts w:eastAsiaTheme="minorEastAsia"/>
          <w:sz w:val="24"/>
          <w:szCs w:val="28"/>
          <w:vertAlign w:val="subscript"/>
        </w:rPr>
        <w:t>3</w:t>
      </w:r>
      <w:r>
        <w:rPr>
          <w:rFonts w:eastAsiaTheme="minorEastAsia"/>
          <w:sz w:val="24"/>
          <w:szCs w:val="28"/>
        </w:rPr>
        <w:t>，项目拟设一座生活垃圾暂存间，位于地下室，医疗废物暂存间旁。</w:t>
      </w:r>
      <w:r>
        <w:rPr>
          <w:rFonts w:eastAsiaTheme="minorEastAsia"/>
          <w:sz w:val="24"/>
        </w:rPr>
        <w:t>生活垃圾经集中收集后，经专用的通道运送至位于地下室的生活垃圾暂存间，每日由环卫部门进行清运处理，</w:t>
      </w:r>
      <w:r>
        <w:rPr>
          <w:rFonts w:eastAsiaTheme="minorEastAsia"/>
          <w:sz w:val="24"/>
          <w:szCs w:val="28"/>
        </w:rPr>
        <w:t>垃圾站临近道路，便于污物运出；垃圾站位于院区的侧风向，对医院环境影响较小；垃圾站周边50m内无居民等敏感点，周边规划为道路、人工河等，同时垃圾站与周边建筑物之间的距离满足《生活垃圾收集站技术规程》CJJ179-2012中大于8m的要求，预计垃圾站恶臭不会对周边居民产生明显影响。</w:t>
      </w:r>
    </w:p>
    <w:p>
      <w:pPr>
        <w:snapToGrid w:val="0"/>
        <w:spacing w:line="360" w:lineRule="auto"/>
        <w:ind w:firstLine="482" w:firstLineChars="200"/>
        <w:rPr>
          <w:rFonts w:eastAsiaTheme="minorEastAsia"/>
          <w:b/>
          <w:sz w:val="24"/>
          <w:szCs w:val="28"/>
        </w:rPr>
      </w:pPr>
      <w:r>
        <w:rPr>
          <w:rFonts w:eastAsiaTheme="minorEastAsia"/>
          <w:b/>
          <w:sz w:val="24"/>
          <w:szCs w:val="28"/>
        </w:rPr>
        <w:t>（5）备用柴油发电机燃油废气影响分析</w:t>
      </w:r>
    </w:p>
    <w:p>
      <w:pPr>
        <w:snapToGrid w:val="0"/>
        <w:spacing w:line="360" w:lineRule="auto"/>
        <w:ind w:firstLine="480" w:firstLineChars="200"/>
        <w:rPr>
          <w:rFonts w:eastAsiaTheme="minorEastAsia"/>
          <w:sz w:val="24"/>
          <w:szCs w:val="28"/>
        </w:rPr>
      </w:pPr>
      <w:r>
        <w:rPr>
          <w:rFonts w:eastAsiaTheme="minorEastAsia"/>
          <w:sz w:val="24"/>
          <w:szCs w:val="28"/>
        </w:rPr>
        <w:t>根据工程消防设施、手术室等重要医疗负荷分布情况，拟在地下一层发电机房设置1台柴油发电机组作为本工程的应急备用电源，确保医院重要负荷和高层建筑消防负荷的供电可靠性。在区域停电时，启用柴油发电机发电将产生尾气，其主要污染物是NO</w:t>
      </w:r>
      <w:r>
        <w:rPr>
          <w:rFonts w:eastAsiaTheme="minorEastAsia"/>
          <w:sz w:val="24"/>
          <w:szCs w:val="28"/>
          <w:vertAlign w:val="subscript"/>
        </w:rPr>
        <w:t>x</w:t>
      </w:r>
      <w:r>
        <w:rPr>
          <w:rFonts w:eastAsiaTheme="minorEastAsia"/>
          <w:sz w:val="24"/>
          <w:szCs w:val="28"/>
        </w:rPr>
        <w:t>、SO</w:t>
      </w:r>
      <w:r>
        <w:rPr>
          <w:rFonts w:eastAsiaTheme="minorEastAsia"/>
          <w:sz w:val="24"/>
          <w:szCs w:val="28"/>
          <w:vertAlign w:val="subscript"/>
        </w:rPr>
        <w:t>2</w:t>
      </w:r>
      <w:r>
        <w:rPr>
          <w:rFonts w:eastAsiaTheme="minorEastAsia"/>
          <w:sz w:val="24"/>
          <w:szCs w:val="28"/>
        </w:rPr>
        <w:t>，根据工程分析，项目柴油发电机污染物排放量为SO</w:t>
      </w:r>
      <w:r>
        <w:rPr>
          <w:rFonts w:eastAsiaTheme="minorEastAsia"/>
          <w:sz w:val="24"/>
          <w:szCs w:val="28"/>
          <w:vertAlign w:val="subscript"/>
        </w:rPr>
        <w:t>2</w:t>
      </w:r>
      <w:r>
        <w:rPr>
          <w:rFonts w:eastAsiaTheme="minorEastAsia"/>
          <w:sz w:val="24"/>
          <w:szCs w:val="28"/>
        </w:rPr>
        <w:t>：127.4mg/m</w:t>
      </w:r>
      <w:r>
        <w:rPr>
          <w:rFonts w:eastAsiaTheme="minorEastAsia"/>
          <w:sz w:val="24"/>
          <w:szCs w:val="28"/>
          <w:vertAlign w:val="superscript"/>
        </w:rPr>
        <w:t>3</w:t>
      </w:r>
      <w:r>
        <w:rPr>
          <w:rFonts w:eastAsiaTheme="minorEastAsia"/>
          <w:sz w:val="24"/>
          <w:szCs w:val="28"/>
        </w:rPr>
        <w:t>、烟尘22.58mg/m</w:t>
      </w:r>
      <w:r>
        <w:rPr>
          <w:rFonts w:eastAsiaTheme="minorEastAsia"/>
          <w:sz w:val="24"/>
          <w:szCs w:val="28"/>
          <w:vertAlign w:val="superscript"/>
        </w:rPr>
        <w:t>3</w:t>
      </w:r>
      <w:r>
        <w:rPr>
          <w:rFonts w:eastAsiaTheme="minorEastAsia"/>
          <w:sz w:val="24"/>
          <w:szCs w:val="28"/>
        </w:rPr>
        <w:t>、NO</w:t>
      </w:r>
      <w:r>
        <w:rPr>
          <w:rFonts w:eastAsiaTheme="minorEastAsia"/>
          <w:sz w:val="24"/>
          <w:szCs w:val="28"/>
          <w:vertAlign w:val="subscript"/>
        </w:rPr>
        <w:t>X</w:t>
      </w:r>
      <w:r>
        <w:rPr>
          <w:rFonts w:eastAsiaTheme="minorEastAsia"/>
          <w:sz w:val="24"/>
          <w:szCs w:val="28"/>
        </w:rPr>
        <w:t>：80.65mg/m</w:t>
      </w:r>
      <w:r>
        <w:rPr>
          <w:rFonts w:eastAsiaTheme="minorEastAsia"/>
          <w:sz w:val="24"/>
          <w:szCs w:val="28"/>
          <w:vertAlign w:val="superscript"/>
        </w:rPr>
        <w:t>3</w:t>
      </w:r>
      <w:r>
        <w:rPr>
          <w:rFonts w:eastAsiaTheme="minorEastAsia"/>
          <w:sz w:val="24"/>
          <w:szCs w:val="28"/>
        </w:rPr>
        <w:t>，污染物排放浓度明显低于《大气污染物综合排放标准》（GB16297-1996）二级标准的要求，</w:t>
      </w:r>
      <w:r>
        <w:rPr>
          <w:rFonts w:eastAsiaTheme="minorEastAsia"/>
          <w:sz w:val="24"/>
        </w:rPr>
        <w:t>备用柴油发电机废气经排烟竖井引至门诊楼楼顶高空排放</w:t>
      </w:r>
      <w:r>
        <w:rPr>
          <w:rFonts w:eastAsiaTheme="minorEastAsia"/>
          <w:sz w:val="24"/>
          <w:szCs w:val="28"/>
        </w:rPr>
        <w:t>，鉴于本项目采用双回路供电，停电情况较少，柴油发电机不常使用，废气不会对医院内部和外界造成明显影响。</w:t>
      </w:r>
    </w:p>
    <w:p>
      <w:pPr>
        <w:snapToGrid w:val="0"/>
        <w:spacing w:line="360" w:lineRule="auto"/>
        <w:ind w:firstLine="482" w:firstLineChars="200"/>
        <w:rPr>
          <w:rFonts w:eastAsiaTheme="minorEastAsia"/>
          <w:b/>
          <w:sz w:val="24"/>
          <w:szCs w:val="28"/>
        </w:rPr>
      </w:pPr>
      <w:r>
        <w:rPr>
          <w:rFonts w:eastAsiaTheme="minorEastAsia"/>
          <w:b/>
          <w:sz w:val="24"/>
          <w:szCs w:val="28"/>
        </w:rPr>
        <w:t>（6）食堂餐饮油烟影响分析</w:t>
      </w:r>
    </w:p>
    <w:p>
      <w:pPr>
        <w:snapToGrid w:val="0"/>
        <w:spacing w:line="360" w:lineRule="auto"/>
        <w:ind w:firstLine="480" w:firstLineChars="200"/>
        <w:rPr>
          <w:rFonts w:eastAsiaTheme="minorEastAsia"/>
          <w:sz w:val="24"/>
          <w:szCs w:val="28"/>
        </w:rPr>
      </w:pPr>
      <w:r>
        <w:rPr>
          <w:rFonts w:eastAsiaTheme="minorEastAsia"/>
          <w:sz w:val="24"/>
          <w:szCs w:val="28"/>
        </w:rPr>
        <w:t>本项目食堂需采用油烟净化效率在85%以上的油烟净化装置处理，经处理后的油烟排放浓度小于2mg/m</w:t>
      </w:r>
      <w:r>
        <w:rPr>
          <w:rFonts w:eastAsiaTheme="minorEastAsia"/>
          <w:sz w:val="24"/>
          <w:szCs w:val="28"/>
          <w:vertAlign w:val="superscript"/>
        </w:rPr>
        <w:t>3</w:t>
      </w:r>
      <w:r>
        <w:rPr>
          <w:rFonts w:eastAsiaTheme="minorEastAsia"/>
          <w:sz w:val="24"/>
          <w:szCs w:val="28"/>
        </w:rPr>
        <w:t>，低于《饮食业油烟排放标准（试行）》（GB18483-2001）的油烟最高允许排放浓度2.0mg/m</w:t>
      </w:r>
      <w:r>
        <w:rPr>
          <w:rFonts w:eastAsiaTheme="minorEastAsia"/>
          <w:sz w:val="24"/>
          <w:szCs w:val="28"/>
          <w:vertAlign w:val="superscript"/>
        </w:rPr>
        <w:t>3</w:t>
      </w:r>
      <w:r>
        <w:rPr>
          <w:rFonts w:eastAsiaTheme="minorEastAsia"/>
          <w:sz w:val="24"/>
          <w:szCs w:val="28"/>
        </w:rPr>
        <w:t>的标准限值要求，经住食堂楼预留专用烟道引出大楼屋顶集中排放，排放高度约25m，明显高于项目周边多数建筑，油烟废气经净化处理后高空排放对周围空气环境影响较小。</w:t>
      </w:r>
    </w:p>
    <w:p>
      <w:pPr>
        <w:snapToGrid w:val="0"/>
        <w:spacing w:line="360" w:lineRule="auto"/>
        <w:ind w:firstLine="482" w:firstLineChars="200"/>
        <w:rPr>
          <w:rFonts w:eastAsiaTheme="minorEastAsia"/>
          <w:b/>
          <w:sz w:val="24"/>
          <w:szCs w:val="28"/>
        </w:rPr>
      </w:pPr>
      <w:r>
        <w:rPr>
          <w:rFonts w:eastAsiaTheme="minorEastAsia"/>
          <w:b/>
          <w:sz w:val="24"/>
          <w:szCs w:val="28"/>
        </w:rPr>
        <w:t>（7）地下停车库停车尾气</w:t>
      </w:r>
    </w:p>
    <w:p>
      <w:pPr>
        <w:snapToGrid w:val="0"/>
        <w:spacing w:line="360" w:lineRule="auto"/>
        <w:ind w:firstLine="480" w:firstLineChars="200"/>
        <w:rPr>
          <w:rFonts w:eastAsiaTheme="minorEastAsia"/>
          <w:sz w:val="24"/>
          <w:szCs w:val="28"/>
        </w:rPr>
      </w:pPr>
      <w:r>
        <w:rPr>
          <w:rFonts w:eastAsiaTheme="minorEastAsia"/>
          <w:sz w:val="24"/>
          <w:szCs w:val="28"/>
        </w:rPr>
        <w:t>本项目机动车停车位主要供医院职工及就诊者车辆的停放。本项目的地面停车位相对较多，由于地面是开放性区域，采取自然通风，污染物扩散较快，汽车行驶过程中排放的尾气在大气的稀释扩散作用下，对周围大气环境影响较小。</w:t>
      </w:r>
    </w:p>
    <w:p>
      <w:pPr>
        <w:snapToGrid w:val="0"/>
        <w:spacing w:line="360" w:lineRule="auto"/>
        <w:ind w:firstLine="480" w:firstLineChars="200"/>
        <w:rPr>
          <w:rFonts w:eastAsiaTheme="minorEastAsia"/>
          <w:sz w:val="24"/>
          <w:szCs w:val="28"/>
        </w:rPr>
      </w:pPr>
      <w:r>
        <w:rPr>
          <w:rFonts w:eastAsiaTheme="minorEastAsia"/>
          <w:sz w:val="24"/>
          <w:szCs w:val="28"/>
        </w:rPr>
        <w:t>本项目的地下车库是汽车尾气排放较集中的地方，根据工程分析可知，项目地下车库内汽车排放的有害物主要是CO、HC、NOx等有害物质，地下车库汽车尾气通过机械通风由排风竖井引至距地面约2.5m铝合金防雨排风百叶窗排放，设置不少于6个排放口，车库的换气率为6次/时，则地下车库汽车尾气主要污染物CO、HC、NOx的排放速率和排放浓度均符合《大气污染物综合排放标准》(GB16297-1996)表2二级标准。</w:t>
      </w:r>
    </w:p>
    <w:p>
      <w:pPr>
        <w:snapToGrid w:val="0"/>
        <w:spacing w:line="360" w:lineRule="auto"/>
        <w:ind w:firstLine="480" w:firstLineChars="200"/>
        <w:rPr>
          <w:rFonts w:eastAsiaTheme="minorEastAsia"/>
          <w:sz w:val="24"/>
          <w:szCs w:val="28"/>
        </w:rPr>
      </w:pPr>
      <w:r>
        <w:rPr>
          <w:rFonts w:eastAsiaTheme="minorEastAsia"/>
          <w:sz w:val="24"/>
          <w:szCs w:val="28"/>
        </w:rPr>
        <w:t>本项目采用合理布局通道、车位，加强管理等手段来避免塞车现象，减少汽车低速进出停车场，以降低CO、HC、NOx等污染物的排放。其次，合理布置车库排气口，应尽量把排气口设置在绿化带内及区内隐蔽处，四周以植被加以装饰和掩盖，上面种植草坪覆盖，不仅能遮挡住排气口，使其不影响小区整体美观，也在一定程度上通过植被对废气的吸收减少汽车尾气对周围人群的直接影响。再者保证地下车库的换气次数不少于6次/小时，在车辆进出较频繁时可适当增加换气次数，则汽车尾气经地下车库机械排风系统收集后通过排风系统朝向地面绿化带内排放，汽车尾气通过自然通风以及绿地的净化，对项目内环境和外环境影响均较轻。为减轻进出院区的机动车所排尾气对附近敏感点的影响，应采取以下措施：</w:t>
      </w:r>
    </w:p>
    <w:p>
      <w:pPr>
        <w:snapToGrid w:val="0"/>
        <w:spacing w:line="360" w:lineRule="auto"/>
        <w:ind w:firstLine="480" w:firstLineChars="200"/>
        <w:rPr>
          <w:rFonts w:eastAsiaTheme="minorEastAsia"/>
          <w:sz w:val="24"/>
          <w:szCs w:val="28"/>
        </w:rPr>
      </w:pPr>
      <w:r>
        <w:rPr>
          <w:rFonts w:eastAsiaTheme="minorEastAsia"/>
          <w:sz w:val="24"/>
          <w:szCs w:val="28"/>
        </w:rPr>
        <w:t>（1）限制机动车在院区内低速行驶，适当设置减速缓冲带；</w:t>
      </w:r>
    </w:p>
    <w:p>
      <w:pPr>
        <w:snapToGrid w:val="0"/>
        <w:spacing w:line="360" w:lineRule="auto"/>
        <w:ind w:firstLine="480" w:firstLineChars="200"/>
        <w:rPr>
          <w:rFonts w:eastAsiaTheme="minorEastAsia"/>
          <w:sz w:val="24"/>
          <w:szCs w:val="28"/>
        </w:rPr>
      </w:pPr>
      <w:r>
        <w:rPr>
          <w:rFonts w:eastAsiaTheme="minorEastAsia"/>
          <w:sz w:val="24"/>
          <w:szCs w:val="28"/>
        </w:rPr>
        <w:t>（2）院区边界设置绿化隔离带，配种灌木、乔木及其他绿化植物，能对机动车尾气及扬尘起到有效的防尘吸收作用。通过以上措施，进去院区的机动车所产生的尾气对附近的敏感点较小。</w:t>
      </w:r>
    </w:p>
    <w:p>
      <w:pPr>
        <w:snapToGrid w:val="0"/>
        <w:spacing w:line="360" w:lineRule="auto"/>
        <w:ind w:firstLine="482" w:firstLineChars="200"/>
        <w:rPr>
          <w:rFonts w:eastAsiaTheme="minorEastAsia"/>
          <w:b/>
          <w:sz w:val="24"/>
          <w:szCs w:val="28"/>
        </w:rPr>
      </w:pPr>
      <w:r>
        <w:rPr>
          <w:rFonts w:eastAsiaTheme="minorEastAsia"/>
          <w:b/>
          <w:sz w:val="24"/>
          <w:szCs w:val="28"/>
        </w:rPr>
        <w:t>（8）大气防护距离</w:t>
      </w:r>
    </w:p>
    <w:p>
      <w:pPr>
        <w:snapToGrid w:val="0"/>
        <w:spacing w:line="360" w:lineRule="auto"/>
        <w:ind w:firstLine="480" w:firstLineChars="200"/>
        <w:rPr>
          <w:rFonts w:eastAsiaTheme="minorEastAsia"/>
          <w:sz w:val="24"/>
          <w:szCs w:val="28"/>
        </w:rPr>
      </w:pPr>
      <w:r>
        <w:rPr>
          <w:rFonts w:eastAsiaTheme="minorEastAsia"/>
          <w:sz w:val="24"/>
          <w:szCs w:val="28"/>
        </w:rPr>
        <w:t>大气环境防护距离根据《环境影响评价技术导则－大气环境》（HJ2.2-2018）中相关规定，对于项目厂界浓度满足大气污染物厂界浓度限值，但厂界外大气污染物短期贡献浓度超过环境质量浓度限值的，可以自厂界向外设置一定范围的大气环境防护距离，以确保大气环境防护区域外的污染物贡献浓度满足环境质量标准。</w:t>
      </w:r>
    </w:p>
    <w:p>
      <w:pPr>
        <w:snapToGrid w:val="0"/>
        <w:spacing w:line="360" w:lineRule="auto"/>
        <w:ind w:firstLine="480" w:firstLineChars="200"/>
        <w:rPr>
          <w:rFonts w:eastAsiaTheme="minorEastAsia"/>
          <w:sz w:val="24"/>
          <w:szCs w:val="28"/>
        </w:rPr>
      </w:pPr>
      <w:r>
        <w:rPr>
          <w:rFonts w:eastAsiaTheme="minorEastAsia"/>
          <w:sz w:val="24"/>
          <w:szCs w:val="28"/>
        </w:rPr>
        <w:t>由计算可知，本项目厂界外大气污染物短期贡献浓度未超过环境质量浓度限值，无需设置大气环境防护距离。</w:t>
      </w:r>
    </w:p>
    <w:p>
      <w:pPr>
        <w:snapToGrid w:val="0"/>
        <w:spacing w:line="360" w:lineRule="auto"/>
        <w:ind w:firstLine="482" w:firstLineChars="200"/>
        <w:rPr>
          <w:rFonts w:eastAsiaTheme="minorEastAsia"/>
          <w:b/>
          <w:sz w:val="24"/>
        </w:rPr>
      </w:pPr>
      <w:r>
        <w:rPr>
          <w:rFonts w:eastAsiaTheme="minorEastAsia"/>
          <w:b/>
          <w:sz w:val="24"/>
        </w:rPr>
        <w:t>（9）大气污染物排放量核算</w:t>
      </w:r>
    </w:p>
    <w:tbl>
      <w:tblPr>
        <w:tblStyle w:val="79"/>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64"/>
        <w:gridCol w:w="963"/>
        <w:gridCol w:w="1072"/>
        <w:gridCol w:w="739"/>
        <w:gridCol w:w="880"/>
        <w:gridCol w:w="1224"/>
        <w:gridCol w:w="1134"/>
        <w:gridCol w:w="1134"/>
        <w:gridCol w:w="11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dxa"/>
            <w:vAlign w:val="center"/>
          </w:tcPr>
          <w:p>
            <w:pPr>
              <w:widowControl/>
              <w:autoSpaceDE w:val="0"/>
              <w:autoSpaceDN w:val="0"/>
              <w:spacing w:line="300" w:lineRule="exact"/>
              <w:jc w:val="center"/>
              <w:rPr>
                <w:color w:val="000000"/>
                <w:kern w:val="0"/>
                <w:szCs w:val="21"/>
                <w:u w:val="single"/>
                <w:lang w:eastAsia="en-US" w:bidi="en-US"/>
              </w:rPr>
            </w:pPr>
            <w:r>
              <w:rPr>
                <w:color w:val="000000"/>
                <w:kern w:val="0"/>
                <w:szCs w:val="21"/>
                <w:u w:val="single"/>
                <w:lang w:eastAsia="en-US" w:bidi="en-US"/>
              </w:rPr>
              <w:t>污染物</w:t>
            </w:r>
          </w:p>
        </w:tc>
        <w:tc>
          <w:tcPr>
            <w:tcW w:w="963" w:type="dxa"/>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eastAsia="en-US" w:bidi="en-US"/>
              </w:rPr>
              <w:t>产生速率(kg/h)</w:t>
            </w:r>
          </w:p>
        </w:tc>
        <w:tc>
          <w:tcPr>
            <w:tcW w:w="1072" w:type="dxa"/>
            <w:vAlign w:val="center"/>
          </w:tcPr>
          <w:p>
            <w:pPr>
              <w:widowControl/>
              <w:autoSpaceDE w:val="0"/>
              <w:autoSpaceDN w:val="0"/>
              <w:spacing w:line="300" w:lineRule="exact"/>
              <w:jc w:val="center"/>
              <w:rPr>
                <w:color w:val="000000"/>
                <w:kern w:val="0"/>
                <w:szCs w:val="21"/>
                <w:u w:val="single"/>
                <w:lang w:eastAsia="en-US" w:bidi="en-US"/>
              </w:rPr>
            </w:pPr>
            <w:r>
              <w:rPr>
                <w:color w:val="000000"/>
                <w:kern w:val="0"/>
                <w:szCs w:val="21"/>
                <w:u w:val="single"/>
                <w:lang w:eastAsia="en-US" w:bidi="en-US"/>
              </w:rPr>
              <w:t>年产生量（t/a）</w:t>
            </w:r>
          </w:p>
        </w:tc>
        <w:tc>
          <w:tcPr>
            <w:tcW w:w="1619" w:type="dxa"/>
            <w:gridSpan w:val="2"/>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处理措施</w:t>
            </w:r>
          </w:p>
        </w:tc>
        <w:tc>
          <w:tcPr>
            <w:tcW w:w="1224" w:type="dxa"/>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有组织</w:t>
            </w:r>
            <w:r>
              <w:rPr>
                <w:rFonts w:hint="eastAsia"/>
                <w:color w:val="000000"/>
                <w:kern w:val="0"/>
                <w:szCs w:val="21"/>
                <w:u w:val="single"/>
                <w:lang w:bidi="en-US"/>
              </w:rPr>
              <w:t>排放速率(kg/h)</w:t>
            </w:r>
          </w:p>
        </w:tc>
        <w:tc>
          <w:tcPr>
            <w:tcW w:w="1134" w:type="dxa"/>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有组织年排放量（t/a）</w:t>
            </w:r>
          </w:p>
        </w:tc>
        <w:tc>
          <w:tcPr>
            <w:tcW w:w="1134" w:type="dxa"/>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无组织</w:t>
            </w:r>
            <w:r>
              <w:rPr>
                <w:rFonts w:hint="eastAsia"/>
                <w:color w:val="000000"/>
                <w:kern w:val="0"/>
                <w:szCs w:val="21"/>
                <w:u w:val="single"/>
                <w:lang w:bidi="en-US"/>
              </w:rPr>
              <w:t>排放速率(kg/h)</w:t>
            </w:r>
          </w:p>
        </w:tc>
        <w:tc>
          <w:tcPr>
            <w:tcW w:w="1162" w:type="dxa"/>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无组织年排放量（t/a）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764" w:type="dxa"/>
            <w:vAlign w:val="center"/>
          </w:tcPr>
          <w:p>
            <w:pPr>
              <w:widowControl/>
              <w:autoSpaceDE w:val="0"/>
              <w:autoSpaceDN w:val="0"/>
              <w:spacing w:line="300" w:lineRule="exact"/>
              <w:jc w:val="center"/>
              <w:rPr>
                <w:color w:val="000000"/>
                <w:kern w:val="0"/>
                <w:szCs w:val="21"/>
                <w:u w:val="single"/>
                <w:lang w:eastAsia="en-US" w:bidi="en-US"/>
              </w:rPr>
            </w:pPr>
            <w:r>
              <w:rPr>
                <w:color w:val="000000"/>
                <w:kern w:val="0"/>
                <w:szCs w:val="21"/>
                <w:u w:val="single"/>
                <w:lang w:eastAsia="en-US" w:bidi="en-US"/>
              </w:rPr>
              <w:t>NH</w:t>
            </w:r>
            <w:r>
              <w:rPr>
                <w:color w:val="000000"/>
                <w:kern w:val="0"/>
                <w:szCs w:val="21"/>
                <w:u w:val="single"/>
                <w:vertAlign w:val="subscript"/>
                <w:lang w:eastAsia="en-US" w:bidi="en-US"/>
              </w:rPr>
              <w:t>3</w:t>
            </w:r>
          </w:p>
        </w:tc>
        <w:tc>
          <w:tcPr>
            <w:tcW w:w="963" w:type="dxa"/>
            <w:vAlign w:val="center"/>
          </w:tcPr>
          <w:p>
            <w:pPr>
              <w:widowControl/>
              <w:jc w:val="center"/>
              <w:textAlignment w:val="center"/>
              <w:rPr>
                <w:color w:val="000000"/>
                <w:kern w:val="0"/>
                <w:u w:val="single"/>
                <w:lang w:eastAsia="en-US"/>
              </w:rPr>
            </w:pPr>
            <w:r>
              <w:rPr>
                <w:rFonts w:eastAsiaTheme="minorEastAsia"/>
                <w:kern w:val="0"/>
                <w:szCs w:val="21"/>
                <w:u w:val="single"/>
              </w:rPr>
              <w:t>0.00007</w:t>
            </w:r>
          </w:p>
        </w:tc>
        <w:tc>
          <w:tcPr>
            <w:tcW w:w="1072" w:type="dxa"/>
            <w:vAlign w:val="center"/>
          </w:tcPr>
          <w:p>
            <w:pPr>
              <w:widowControl/>
              <w:jc w:val="center"/>
              <w:textAlignment w:val="center"/>
              <w:rPr>
                <w:color w:val="000000"/>
                <w:kern w:val="0"/>
                <w:u w:val="single"/>
                <w:lang w:eastAsia="en-US"/>
              </w:rPr>
            </w:pPr>
            <w:r>
              <w:rPr>
                <w:rFonts w:eastAsiaTheme="minorEastAsia"/>
                <w:kern w:val="0"/>
                <w:szCs w:val="21"/>
                <w:u w:val="single"/>
              </w:rPr>
              <w:t>0.00062</w:t>
            </w:r>
          </w:p>
        </w:tc>
        <w:tc>
          <w:tcPr>
            <w:tcW w:w="739" w:type="dxa"/>
            <w:vMerge w:val="restart"/>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生物除臭处理</w:t>
            </w:r>
          </w:p>
        </w:tc>
        <w:tc>
          <w:tcPr>
            <w:tcW w:w="880" w:type="dxa"/>
            <w:vMerge w:val="restart"/>
            <w:vAlign w:val="center"/>
          </w:tcPr>
          <w:p>
            <w:pPr>
              <w:widowControl/>
              <w:autoSpaceDE w:val="0"/>
              <w:autoSpaceDN w:val="0"/>
              <w:spacing w:line="300" w:lineRule="exact"/>
              <w:jc w:val="center"/>
              <w:rPr>
                <w:color w:val="000000"/>
                <w:kern w:val="0"/>
                <w:szCs w:val="21"/>
                <w:u w:val="single"/>
                <w:lang w:bidi="en-US"/>
              </w:rPr>
            </w:pPr>
            <w:r>
              <w:rPr>
                <w:color w:val="000000"/>
                <w:kern w:val="0"/>
                <w:szCs w:val="21"/>
                <w:u w:val="single"/>
                <w:lang w:bidi="en-US"/>
              </w:rPr>
              <w:t>处理效率约90%</w:t>
            </w:r>
          </w:p>
        </w:tc>
        <w:tc>
          <w:tcPr>
            <w:tcW w:w="1224" w:type="dxa"/>
            <w:vAlign w:val="center"/>
          </w:tcPr>
          <w:p>
            <w:pPr>
              <w:widowControl/>
              <w:jc w:val="center"/>
              <w:textAlignment w:val="center"/>
              <w:rPr>
                <w:color w:val="000000"/>
                <w:kern w:val="0"/>
                <w:u w:val="single"/>
              </w:rPr>
            </w:pPr>
            <w:r>
              <w:rPr>
                <w:rFonts w:hint="eastAsia"/>
                <w:color w:val="000000"/>
                <w:kern w:val="0"/>
                <w:u w:val="single"/>
              </w:rPr>
              <w:t>0</w:t>
            </w:r>
            <w:r>
              <w:rPr>
                <w:color w:val="000000"/>
                <w:kern w:val="0"/>
                <w:u w:val="single"/>
              </w:rPr>
              <w:t>.000</w:t>
            </w:r>
            <w:r>
              <w:rPr>
                <w:rFonts w:hint="eastAsia"/>
                <w:color w:val="000000"/>
                <w:kern w:val="0"/>
                <w:u w:val="single"/>
              </w:rPr>
              <w:t>00</w:t>
            </w:r>
            <w:r>
              <w:rPr>
                <w:color w:val="000000"/>
                <w:kern w:val="0"/>
                <w:u w:val="single"/>
              </w:rPr>
              <w:t>63</w:t>
            </w:r>
          </w:p>
        </w:tc>
        <w:tc>
          <w:tcPr>
            <w:tcW w:w="1134" w:type="dxa"/>
            <w:vAlign w:val="center"/>
          </w:tcPr>
          <w:p>
            <w:pPr>
              <w:widowControl/>
              <w:jc w:val="center"/>
              <w:textAlignment w:val="center"/>
              <w:rPr>
                <w:color w:val="000000"/>
                <w:kern w:val="0"/>
                <w:u w:val="single"/>
              </w:rPr>
            </w:pPr>
            <w:r>
              <w:rPr>
                <w:rFonts w:hint="eastAsia"/>
                <w:color w:val="000000"/>
                <w:kern w:val="0"/>
                <w:u w:val="single"/>
              </w:rPr>
              <w:t>0.000056</w:t>
            </w:r>
          </w:p>
        </w:tc>
        <w:tc>
          <w:tcPr>
            <w:tcW w:w="1134" w:type="dxa"/>
            <w:vAlign w:val="center"/>
          </w:tcPr>
          <w:p>
            <w:pPr>
              <w:widowControl/>
              <w:jc w:val="center"/>
              <w:textAlignment w:val="center"/>
              <w:rPr>
                <w:color w:val="000000"/>
                <w:kern w:val="0"/>
                <w:u w:val="single"/>
              </w:rPr>
            </w:pPr>
            <w:r>
              <w:rPr>
                <w:rFonts w:eastAsiaTheme="minorEastAsia"/>
                <w:kern w:val="0"/>
                <w:szCs w:val="21"/>
                <w:u w:val="single"/>
              </w:rPr>
              <w:t>0.000007</w:t>
            </w:r>
          </w:p>
        </w:tc>
        <w:tc>
          <w:tcPr>
            <w:tcW w:w="1162" w:type="dxa"/>
            <w:vAlign w:val="center"/>
          </w:tcPr>
          <w:p>
            <w:pPr>
              <w:widowControl/>
              <w:jc w:val="center"/>
              <w:textAlignment w:val="center"/>
              <w:rPr>
                <w:color w:val="000000"/>
                <w:kern w:val="0"/>
                <w:u w:val="single"/>
              </w:rPr>
            </w:pPr>
            <w:r>
              <w:rPr>
                <w:rFonts w:eastAsiaTheme="minorEastAsia"/>
                <w:kern w:val="0"/>
                <w:szCs w:val="21"/>
                <w:u w:val="single"/>
              </w:rPr>
              <w:t>0.000062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64" w:type="dxa"/>
            <w:vAlign w:val="center"/>
          </w:tcPr>
          <w:p>
            <w:pPr>
              <w:widowControl/>
              <w:autoSpaceDE w:val="0"/>
              <w:autoSpaceDN w:val="0"/>
              <w:spacing w:line="300" w:lineRule="exact"/>
              <w:jc w:val="center"/>
              <w:rPr>
                <w:color w:val="000000"/>
                <w:kern w:val="0"/>
                <w:szCs w:val="21"/>
                <w:u w:val="single"/>
                <w:lang w:eastAsia="en-US" w:bidi="en-US"/>
              </w:rPr>
            </w:pPr>
            <w:r>
              <w:rPr>
                <w:color w:val="000000"/>
                <w:kern w:val="0"/>
                <w:szCs w:val="21"/>
                <w:u w:val="single"/>
                <w:lang w:eastAsia="en-US" w:bidi="en-US"/>
              </w:rPr>
              <w:t>H</w:t>
            </w:r>
            <w:r>
              <w:rPr>
                <w:color w:val="000000"/>
                <w:kern w:val="0"/>
                <w:szCs w:val="21"/>
                <w:u w:val="single"/>
                <w:vertAlign w:val="subscript"/>
                <w:lang w:eastAsia="en-US" w:bidi="en-US"/>
              </w:rPr>
              <w:t>2</w:t>
            </w:r>
            <w:r>
              <w:rPr>
                <w:color w:val="000000"/>
                <w:kern w:val="0"/>
                <w:szCs w:val="21"/>
                <w:u w:val="single"/>
                <w:lang w:eastAsia="en-US" w:bidi="en-US"/>
              </w:rPr>
              <w:t>S</w:t>
            </w:r>
          </w:p>
        </w:tc>
        <w:tc>
          <w:tcPr>
            <w:tcW w:w="963" w:type="dxa"/>
            <w:vAlign w:val="center"/>
          </w:tcPr>
          <w:p>
            <w:pPr>
              <w:widowControl/>
              <w:jc w:val="center"/>
              <w:textAlignment w:val="center"/>
              <w:rPr>
                <w:color w:val="000000"/>
                <w:kern w:val="0"/>
                <w:u w:val="single"/>
                <w:lang w:eastAsia="en-US"/>
              </w:rPr>
            </w:pPr>
            <w:r>
              <w:rPr>
                <w:rFonts w:eastAsiaTheme="minorEastAsia"/>
                <w:kern w:val="0"/>
                <w:szCs w:val="21"/>
                <w:u w:val="single"/>
              </w:rPr>
              <w:t>0.0018</w:t>
            </w:r>
          </w:p>
        </w:tc>
        <w:tc>
          <w:tcPr>
            <w:tcW w:w="1072" w:type="dxa"/>
            <w:vAlign w:val="center"/>
          </w:tcPr>
          <w:p>
            <w:pPr>
              <w:widowControl/>
              <w:jc w:val="center"/>
              <w:textAlignment w:val="center"/>
              <w:rPr>
                <w:color w:val="000000"/>
                <w:kern w:val="0"/>
                <w:u w:val="single"/>
                <w:lang w:eastAsia="en-US"/>
              </w:rPr>
            </w:pPr>
            <w:r>
              <w:rPr>
                <w:rFonts w:eastAsiaTheme="minorEastAsia"/>
                <w:kern w:val="0"/>
                <w:szCs w:val="21"/>
                <w:u w:val="single"/>
              </w:rPr>
              <w:t>0.016</w:t>
            </w:r>
          </w:p>
        </w:tc>
        <w:tc>
          <w:tcPr>
            <w:tcW w:w="739" w:type="dxa"/>
            <w:vMerge w:val="continue"/>
            <w:vAlign w:val="center"/>
          </w:tcPr>
          <w:p>
            <w:pPr>
              <w:widowControl/>
              <w:autoSpaceDE w:val="0"/>
              <w:autoSpaceDN w:val="0"/>
              <w:spacing w:line="300" w:lineRule="exact"/>
              <w:jc w:val="center"/>
              <w:rPr>
                <w:color w:val="000000"/>
                <w:kern w:val="0"/>
                <w:szCs w:val="21"/>
                <w:u w:val="single"/>
                <w:lang w:bidi="en-US"/>
              </w:rPr>
            </w:pPr>
          </w:p>
        </w:tc>
        <w:tc>
          <w:tcPr>
            <w:tcW w:w="880" w:type="dxa"/>
            <w:vMerge w:val="continue"/>
            <w:vAlign w:val="center"/>
          </w:tcPr>
          <w:p>
            <w:pPr>
              <w:widowControl/>
              <w:autoSpaceDE w:val="0"/>
              <w:autoSpaceDN w:val="0"/>
              <w:spacing w:line="300" w:lineRule="exact"/>
              <w:jc w:val="center"/>
              <w:rPr>
                <w:color w:val="000000"/>
                <w:kern w:val="0"/>
                <w:szCs w:val="21"/>
                <w:u w:val="single"/>
                <w:lang w:bidi="en-US"/>
              </w:rPr>
            </w:pPr>
          </w:p>
        </w:tc>
        <w:tc>
          <w:tcPr>
            <w:tcW w:w="1224" w:type="dxa"/>
            <w:vAlign w:val="center"/>
          </w:tcPr>
          <w:p>
            <w:pPr>
              <w:widowControl/>
              <w:jc w:val="center"/>
              <w:textAlignment w:val="center"/>
              <w:rPr>
                <w:color w:val="000000"/>
                <w:kern w:val="0"/>
                <w:u w:val="single"/>
              </w:rPr>
            </w:pPr>
            <w:r>
              <w:rPr>
                <w:rFonts w:hint="eastAsia"/>
                <w:color w:val="000000"/>
                <w:kern w:val="0"/>
                <w:u w:val="single"/>
              </w:rPr>
              <w:t>0.00016</w:t>
            </w:r>
          </w:p>
        </w:tc>
        <w:tc>
          <w:tcPr>
            <w:tcW w:w="1134" w:type="dxa"/>
            <w:vAlign w:val="center"/>
          </w:tcPr>
          <w:p>
            <w:pPr>
              <w:widowControl/>
              <w:jc w:val="center"/>
              <w:textAlignment w:val="center"/>
              <w:rPr>
                <w:color w:val="000000"/>
                <w:kern w:val="0"/>
                <w:u w:val="single"/>
              </w:rPr>
            </w:pPr>
            <w:r>
              <w:rPr>
                <w:rFonts w:hint="eastAsia"/>
                <w:color w:val="000000"/>
                <w:kern w:val="0"/>
                <w:u w:val="single"/>
              </w:rPr>
              <w:t>0.0014</w:t>
            </w:r>
          </w:p>
        </w:tc>
        <w:tc>
          <w:tcPr>
            <w:tcW w:w="1134" w:type="dxa"/>
            <w:vAlign w:val="center"/>
          </w:tcPr>
          <w:p>
            <w:pPr>
              <w:widowControl/>
              <w:jc w:val="center"/>
              <w:textAlignment w:val="center"/>
              <w:rPr>
                <w:color w:val="000000"/>
                <w:kern w:val="0"/>
                <w:u w:val="single"/>
              </w:rPr>
            </w:pPr>
            <w:r>
              <w:rPr>
                <w:rFonts w:eastAsiaTheme="minorEastAsia"/>
                <w:kern w:val="0"/>
                <w:szCs w:val="21"/>
                <w:u w:val="single"/>
              </w:rPr>
              <w:t>0.00018</w:t>
            </w:r>
          </w:p>
        </w:tc>
        <w:tc>
          <w:tcPr>
            <w:tcW w:w="1162" w:type="dxa"/>
            <w:vAlign w:val="center"/>
          </w:tcPr>
          <w:p>
            <w:pPr>
              <w:widowControl/>
              <w:jc w:val="center"/>
              <w:textAlignment w:val="center"/>
              <w:rPr>
                <w:color w:val="000000"/>
                <w:kern w:val="0"/>
                <w:u w:val="single"/>
              </w:rPr>
            </w:pPr>
            <w:r>
              <w:rPr>
                <w:rFonts w:eastAsiaTheme="minorEastAsia"/>
                <w:kern w:val="0"/>
                <w:szCs w:val="21"/>
                <w:u w:val="single"/>
              </w:rPr>
              <w:t>0.0016</w:t>
            </w:r>
          </w:p>
        </w:tc>
      </w:tr>
    </w:tbl>
    <w:p>
      <w:pPr>
        <w:snapToGrid w:val="0"/>
        <w:spacing w:line="360" w:lineRule="auto"/>
        <w:ind w:firstLine="480" w:firstLineChars="200"/>
        <w:rPr>
          <w:rFonts w:eastAsiaTheme="minorEastAsia"/>
          <w:sz w:val="24"/>
        </w:rPr>
      </w:pPr>
      <w:r>
        <w:rPr>
          <w:rFonts w:eastAsiaTheme="minorEastAsia"/>
          <w:sz w:val="24"/>
        </w:rPr>
        <w:t>有组织排放量核算：</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表6.2-7  大气污染物有组织排放量核算表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68"/>
        <w:gridCol w:w="2191"/>
        <w:gridCol w:w="1477"/>
        <w:gridCol w:w="1485"/>
        <w:gridCol w:w="1484"/>
        <w:gridCol w:w="14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Align w:val="center"/>
          </w:tcPr>
          <w:p>
            <w:pPr>
              <w:snapToGrid w:val="0"/>
              <w:jc w:val="center"/>
              <w:rPr>
                <w:rFonts w:eastAsiaTheme="minorEastAsia"/>
                <w:b/>
                <w:szCs w:val="21"/>
              </w:rPr>
            </w:pPr>
            <w:r>
              <w:rPr>
                <w:rFonts w:eastAsiaTheme="minorEastAsia"/>
                <w:b/>
                <w:szCs w:val="21"/>
              </w:rPr>
              <w:t>序号</w:t>
            </w:r>
          </w:p>
        </w:tc>
        <w:tc>
          <w:tcPr>
            <w:tcW w:w="2191" w:type="dxa"/>
            <w:vAlign w:val="center"/>
          </w:tcPr>
          <w:p>
            <w:pPr>
              <w:snapToGrid w:val="0"/>
              <w:jc w:val="center"/>
              <w:rPr>
                <w:rFonts w:eastAsiaTheme="minorEastAsia"/>
                <w:b/>
                <w:szCs w:val="21"/>
              </w:rPr>
            </w:pPr>
            <w:r>
              <w:rPr>
                <w:rFonts w:eastAsiaTheme="minorEastAsia"/>
                <w:b/>
                <w:szCs w:val="21"/>
              </w:rPr>
              <w:t>排放口编号</w:t>
            </w:r>
          </w:p>
        </w:tc>
        <w:tc>
          <w:tcPr>
            <w:tcW w:w="1477" w:type="dxa"/>
            <w:vAlign w:val="center"/>
          </w:tcPr>
          <w:p>
            <w:pPr>
              <w:snapToGrid w:val="0"/>
              <w:jc w:val="center"/>
              <w:rPr>
                <w:rFonts w:eastAsiaTheme="minorEastAsia"/>
                <w:b/>
                <w:szCs w:val="21"/>
              </w:rPr>
            </w:pPr>
            <w:r>
              <w:rPr>
                <w:rFonts w:eastAsiaTheme="minorEastAsia"/>
                <w:b/>
                <w:szCs w:val="21"/>
              </w:rPr>
              <w:t>污染物</w:t>
            </w:r>
          </w:p>
        </w:tc>
        <w:tc>
          <w:tcPr>
            <w:tcW w:w="1485" w:type="dxa"/>
            <w:vAlign w:val="center"/>
          </w:tcPr>
          <w:p>
            <w:pPr>
              <w:snapToGrid w:val="0"/>
              <w:jc w:val="center"/>
              <w:rPr>
                <w:rFonts w:eastAsiaTheme="minorEastAsia"/>
                <w:b/>
                <w:szCs w:val="21"/>
              </w:rPr>
            </w:pPr>
            <w:r>
              <w:rPr>
                <w:rFonts w:eastAsiaTheme="minorEastAsia"/>
                <w:b/>
                <w:szCs w:val="21"/>
              </w:rPr>
              <w:t>核算排放浓度</w:t>
            </w:r>
          </w:p>
          <w:p>
            <w:pPr>
              <w:snapToGrid w:val="0"/>
              <w:jc w:val="center"/>
              <w:rPr>
                <w:rFonts w:eastAsiaTheme="minorEastAsia"/>
                <w:b/>
                <w:szCs w:val="21"/>
              </w:rPr>
            </w:pPr>
            <w:r>
              <w:rPr>
                <w:rFonts w:eastAsiaTheme="minorEastAsia"/>
                <w:b/>
                <w:szCs w:val="21"/>
              </w:rPr>
              <w:t>mg/m</w:t>
            </w:r>
            <w:r>
              <w:rPr>
                <w:rFonts w:eastAsiaTheme="minorEastAsia"/>
                <w:b/>
                <w:szCs w:val="21"/>
                <w:vertAlign w:val="superscript"/>
              </w:rPr>
              <w:t>3</w:t>
            </w:r>
          </w:p>
        </w:tc>
        <w:tc>
          <w:tcPr>
            <w:tcW w:w="1484" w:type="dxa"/>
            <w:vAlign w:val="center"/>
          </w:tcPr>
          <w:p>
            <w:pPr>
              <w:snapToGrid w:val="0"/>
              <w:jc w:val="center"/>
              <w:rPr>
                <w:rFonts w:eastAsiaTheme="minorEastAsia"/>
                <w:b/>
                <w:szCs w:val="21"/>
              </w:rPr>
            </w:pPr>
            <w:r>
              <w:rPr>
                <w:rFonts w:eastAsiaTheme="minorEastAsia"/>
                <w:b/>
                <w:szCs w:val="21"/>
              </w:rPr>
              <w:t>核算排放速率</w:t>
            </w:r>
          </w:p>
          <w:p>
            <w:pPr>
              <w:snapToGrid w:val="0"/>
              <w:jc w:val="center"/>
              <w:rPr>
                <w:rFonts w:eastAsiaTheme="minorEastAsia"/>
                <w:b/>
                <w:szCs w:val="21"/>
              </w:rPr>
            </w:pPr>
            <w:r>
              <w:rPr>
                <w:rFonts w:eastAsiaTheme="minorEastAsia"/>
                <w:b/>
                <w:szCs w:val="21"/>
              </w:rPr>
              <w:t>kg/h</w:t>
            </w:r>
          </w:p>
        </w:tc>
        <w:tc>
          <w:tcPr>
            <w:tcW w:w="1484" w:type="dxa"/>
            <w:vAlign w:val="center"/>
          </w:tcPr>
          <w:p>
            <w:pPr>
              <w:snapToGrid w:val="0"/>
              <w:jc w:val="center"/>
              <w:rPr>
                <w:rFonts w:eastAsiaTheme="minorEastAsia"/>
                <w:b/>
                <w:szCs w:val="21"/>
              </w:rPr>
            </w:pPr>
            <w:r>
              <w:rPr>
                <w:rFonts w:eastAsiaTheme="minorEastAsia"/>
                <w:b/>
                <w:szCs w:val="21"/>
              </w:rPr>
              <w:t>核算年排放量t/a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restart"/>
            <w:vAlign w:val="center"/>
          </w:tcPr>
          <w:p>
            <w:pPr>
              <w:snapToGrid w:val="0"/>
              <w:jc w:val="center"/>
              <w:rPr>
                <w:rFonts w:eastAsiaTheme="minorEastAsia"/>
                <w:szCs w:val="21"/>
                <w:u w:val="single"/>
              </w:rPr>
            </w:pPr>
            <w:r>
              <w:rPr>
                <w:rFonts w:hint="eastAsia" w:eastAsiaTheme="minorEastAsia"/>
                <w:szCs w:val="21"/>
                <w:u w:val="single"/>
              </w:rPr>
              <w:t>1</w:t>
            </w:r>
          </w:p>
        </w:tc>
        <w:tc>
          <w:tcPr>
            <w:tcW w:w="2191" w:type="dxa"/>
            <w:vMerge w:val="restart"/>
            <w:vAlign w:val="center"/>
          </w:tcPr>
          <w:p>
            <w:pPr>
              <w:snapToGrid w:val="0"/>
              <w:jc w:val="center"/>
              <w:rPr>
                <w:rFonts w:eastAsiaTheme="minorEastAsia"/>
                <w:szCs w:val="21"/>
                <w:u w:val="single"/>
              </w:rPr>
            </w:pPr>
            <w:r>
              <w:rPr>
                <w:rFonts w:hint="eastAsia" w:eastAsiaTheme="minorEastAsia"/>
                <w:szCs w:val="21"/>
                <w:u w:val="single"/>
              </w:rPr>
              <w:t>污水处理站废弃排气筒</w:t>
            </w:r>
          </w:p>
        </w:tc>
        <w:tc>
          <w:tcPr>
            <w:tcW w:w="1477" w:type="dxa"/>
            <w:vAlign w:val="center"/>
          </w:tcPr>
          <w:p>
            <w:pPr>
              <w:snapToGrid w:val="0"/>
              <w:jc w:val="center"/>
              <w:rPr>
                <w:rFonts w:eastAsiaTheme="minorEastAsia"/>
                <w:szCs w:val="21"/>
                <w:u w:val="single"/>
              </w:rPr>
            </w:pPr>
            <w:r>
              <w:rPr>
                <w:rFonts w:eastAsiaTheme="minorEastAsia"/>
                <w:szCs w:val="21"/>
                <w:u w:val="single"/>
              </w:rPr>
              <w:t>氨气</w:t>
            </w:r>
          </w:p>
        </w:tc>
        <w:tc>
          <w:tcPr>
            <w:tcW w:w="1485" w:type="dxa"/>
            <w:vAlign w:val="center"/>
          </w:tcPr>
          <w:p>
            <w:pPr>
              <w:snapToGrid w:val="0"/>
              <w:jc w:val="center"/>
              <w:rPr>
                <w:rFonts w:eastAsiaTheme="minorEastAsia"/>
                <w:szCs w:val="21"/>
                <w:u w:val="single"/>
              </w:rPr>
            </w:pPr>
            <w:r>
              <w:rPr>
                <w:rFonts w:hint="eastAsia" w:eastAsiaTheme="minorEastAsia"/>
                <w:szCs w:val="21"/>
                <w:u w:val="single"/>
              </w:rPr>
              <w:t>/</w:t>
            </w:r>
          </w:p>
        </w:tc>
        <w:tc>
          <w:tcPr>
            <w:tcW w:w="1484" w:type="dxa"/>
            <w:vAlign w:val="center"/>
          </w:tcPr>
          <w:p>
            <w:pPr>
              <w:snapToGrid w:val="0"/>
              <w:jc w:val="center"/>
              <w:rPr>
                <w:rFonts w:eastAsiaTheme="minorEastAsia"/>
                <w:szCs w:val="21"/>
                <w:u w:val="single"/>
              </w:rPr>
            </w:pPr>
            <w:r>
              <w:rPr>
                <w:rFonts w:hint="eastAsia"/>
                <w:color w:val="000000"/>
                <w:kern w:val="0"/>
                <w:u w:val="single"/>
              </w:rPr>
              <w:t>0.00016</w:t>
            </w:r>
          </w:p>
        </w:tc>
        <w:tc>
          <w:tcPr>
            <w:tcW w:w="1484" w:type="dxa"/>
            <w:vAlign w:val="center"/>
          </w:tcPr>
          <w:p>
            <w:pPr>
              <w:snapToGrid w:val="0"/>
              <w:jc w:val="center"/>
              <w:rPr>
                <w:rFonts w:eastAsiaTheme="minorEastAsia"/>
                <w:szCs w:val="21"/>
                <w:u w:val="single"/>
              </w:rPr>
            </w:pPr>
            <w:r>
              <w:rPr>
                <w:rFonts w:hint="eastAsia"/>
                <w:color w:val="000000"/>
                <w:kern w:val="0"/>
                <w:u w:val="single"/>
              </w:rPr>
              <w:t>0.0014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snapToGrid w:val="0"/>
              <w:jc w:val="center"/>
              <w:rPr>
                <w:rFonts w:eastAsiaTheme="minorEastAsia"/>
                <w:szCs w:val="21"/>
                <w:u w:val="single"/>
              </w:rPr>
            </w:pPr>
          </w:p>
        </w:tc>
        <w:tc>
          <w:tcPr>
            <w:tcW w:w="2191" w:type="dxa"/>
            <w:vMerge w:val="continue"/>
            <w:vAlign w:val="center"/>
          </w:tcPr>
          <w:p>
            <w:pPr>
              <w:snapToGrid w:val="0"/>
              <w:jc w:val="center"/>
              <w:rPr>
                <w:rFonts w:eastAsiaTheme="minorEastAsia"/>
                <w:szCs w:val="21"/>
                <w:u w:val="single"/>
              </w:rPr>
            </w:pPr>
          </w:p>
        </w:tc>
        <w:tc>
          <w:tcPr>
            <w:tcW w:w="1477" w:type="dxa"/>
            <w:vAlign w:val="center"/>
          </w:tcPr>
          <w:p>
            <w:pPr>
              <w:snapToGrid w:val="0"/>
              <w:jc w:val="center"/>
              <w:rPr>
                <w:rFonts w:eastAsiaTheme="minorEastAsia"/>
                <w:szCs w:val="21"/>
                <w:u w:val="single"/>
              </w:rPr>
            </w:pPr>
            <w:r>
              <w:rPr>
                <w:rFonts w:eastAsiaTheme="minorEastAsia"/>
                <w:szCs w:val="21"/>
                <w:u w:val="single"/>
              </w:rPr>
              <w:t>硫化氢</w:t>
            </w:r>
          </w:p>
        </w:tc>
        <w:tc>
          <w:tcPr>
            <w:tcW w:w="1485" w:type="dxa"/>
            <w:vAlign w:val="center"/>
          </w:tcPr>
          <w:p>
            <w:pPr>
              <w:snapToGrid w:val="0"/>
              <w:jc w:val="center"/>
              <w:rPr>
                <w:rFonts w:eastAsiaTheme="minorEastAsia"/>
                <w:szCs w:val="21"/>
                <w:u w:val="single"/>
              </w:rPr>
            </w:pPr>
            <w:r>
              <w:rPr>
                <w:rFonts w:hint="eastAsia" w:eastAsiaTheme="minorEastAsia"/>
                <w:szCs w:val="21"/>
                <w:u w:val="single"/>
              </w:rPr>
              <w:t>/</w:t>
            </w:r>
          </w:p>
        </w:tc>
        <w:tc>
          <w:tcPr>
            <w:tcW w:w="1484" w:type="dxa"/>
            <w:vAlign w:val="center"/>
          </w:tcPr>
          <w:p>
            <w:pPr>
              <w:snapToGrid w:val="0"/>
              <w:jc w:val="center"/>
              <w:rPr>
                <w:rFonts w:eastAsiaTheme="minorEastAsia"/>
                <w:szCs w:val="21"/>
                <w:u w:val="single"/>
              </w:rPr>
            </w:pPr>
            <w:r>
              <w:rPr>
                <w:rFonts w:hint="eastAsia"/>
                <w:color w:val="000000"/>
                <w:kern w:val="0"/>
                <w:u w:val="single"/>
              </w:rPr>
              <w:t>0</w:t>
            </w:r>
            <w:r>
              <w:rPr>
                <w:color w:val="000000"/>
                <w:kern w:val="0"/>
                <w:u w:val="single"/>
              </w:rPr>
              <w:t>.000</w:t>
            </w:r>
            <w:r>
              <w:rPr>
                <w:rFonts w:hint="eastAsia"/>
                <w:color w:val="000000"/>
                <w:kern w:val="0"/>
                <w:u w:val="single"/>
              </w:rPr>
              <w:t>00</w:t>
            </w:r>
            <w:r>
              <w:rPr>
                <w:color w:val="000000"/>
                <w:kern w:val="0"/>
                <w:u w:val="single"/>
              </w:rPr>
              <w:t>63</w:t>
            </w:r>
          </w:p>
        </w:tc>
        <w:tc>
          <w:tcPr>
            <w:tcW w:w="1484" w:type="dxa"/>
            <w:vAlign w:val="center"/>
          </w:tcPr>
          <w:p>
            <w:pPr>
              <w:snapToGrid w:val="0"/>
              <w:jc w:val="center"/>
              <w:rPr>
                <w:rFonts w:eastAsiaTheme="minorEastAsia"/>
                <w:szCs w:val="21"/>
                <w:u w:val="single"/>
              </w:rPr>
            </w:pPr>
            <w:r>
              <w:rPr>
                <w:rFonts w:hint="eastAsia"/>
                <w:color w:val="000000"/>
                <w:kern w:val="0"/>
                <w:u w:val="single"/>
              </w:rPr>
              <w:t>0.000056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restart"/>
            <w:vAlign w:val="center"/>
          </w:tcPr>
          <w:p>
            <w:pPr>
              <w:snapToGrid w:val="0"/>
              <w:jc w:val="center"/>
              <w:rPr>
                <w:rFonts w:eastAsiaTheme="minorEastAsia"/>
                <w:szCs w:val="21"/>
              </w:rPr>
            </w:pPr>
            <w:r>
              <w:rPr>
                <w:rFonts w:hint="eastAsia" w:eastAsiaTheme="minorEastAsia"/>
                <w:szCs w:val="21"/>
              </w:rPr>
              <w:t>2</w:t>
            </w:r>
          </w:p>
        </w:tc>
        <w:tc>
          <w:tcPr>
            <w:tcW w:w="2191" w:type="dxa"/>
            <w:vMerge w:val="restart"/>
            <w:vAlign w:val="center"/>
          </w:tcPr>
          <w:p>
            <w:pPr>
              <w:snapToGrid w:val="0"/>
              <w:jc w:val="center"/>
              <w:rPr>
                <w:rFonts w:eastAsiaTheme="minorEastAsia"/>
                <w:szCs w:val="21"/>
              </w:rPr>
            </w:pPr>
            <w:r>
              <w:rPr>
                <w:rFonts w:eastAsiaTheme="minorEastAsia"/>
                <w:szCs w:val="21"/>
              </w:rPr>
              <w:t>备用柴油发电机废气</w:t>
            </w:r>
          </w:p>
        </w:tc>
        <w:tc>
          <w:tcPr>
            <w:tcW w:w="1477" w:type="dxa"/>
            <w:vAlign w:val="center"/>
          </w:tcPr>
          <w:p>
            <w:pPr>
              <w:snapToGrid w:val="0"/>
              <w:jc w:val="center"/>
              <w:rPr>
                <w:rFonts w:eastAsiaTheme="minorEastAsia"/>
                <w:szCs w:val="21"/>
              </w:rPr>
            </w:pPr>
            <w:r>
              <w:rPr>
                <w:rFonts w:eastAsiaTheme="minorEastAsia"/>
                <w:szCs w:val="21"/>
              </w:rPr>
              <w:t>二氧化硫</w:t>
            </w:r>
          </w:p>
        </w:tc>
        <w:tc>
          <w:tcPr>
            <w:tcW w:w="1485" w:type="dxa"/>
            <w:vAlign w:val="center"/>
          </w:tcPr>
          <w:p>
            <w:pPr>
              <w:snapToGrid w:val="0"/>
              <w:jc w:val="center"/>
              <w:rPr>
                <w:rFonts w:eastAsiaTheme="minorEastAsia"/>
                <w:szCs w:val="21"/>
              </w:rPr>
            </w:pPr>
            <w:r>
              <w:rPr>
                <w:rFonts w:eastAsiaTheme="minorEastAsia"/>
                <w:szCs w:val="21"/>
              </w:rPr>
              <w:t>127.4</w:t>
            </w:r>
          </w:p>
        </w:tc>
        <w:tc>
          <w:tcPr>
            <w:tcW w:w="1484" w:type="dxa"/>
            <w:vAlign w:val="center"/>
          </w:tcPr>
          <w:p>
            <w:pPr>
              <w:snapToGrid w:val="0"/>
              <w:jc w:val="center"/>
              <w:rPr>
                <w:rFonts w:eastAsiaTheme="minorEastAsia"/>
                <w:szCs w:val="21"/>
              </w:rPr>
            </w:pPr>
            <w:r>
              <w:rPr>
                <w:rFonts w:eastAsiaTheme="minorEastAsia"/>
                <w:szCs w:val="21"/>
              </w:rPr>
              <w:t>0.79</w:t>
            </w:r>
          </w:p>
        </w:tc>
        <w:tc>
          <w:tcPr>
            <w:tcW w:w="1484" w:type="dxa"/>
            <w:vAlign w:val="center"/>
          </w:tcPr>
          <w:p>
            <w:pPr>
              <w:snapToGrid w:val="0"/>
              <w:jc w:val="center"/>
              <w:rPr>
                <w:rFonts w:eastAsiaTheme="minorEastAsia"/>
                <w:szCs w:val="21"/>
              </w:rPr>
            </w:pPr>
            <w:r>
              <w:rPr>
                <w:rFonts w:eastAsiaTheme="minorEastAsia"/>
                <w:szCs w:val="21"/>
              </w:rPr>
              <w:t>0.01265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snapToGrid w:val="0"/>
              <w:jc w:val="center"/>
              <w:rPr>
                <w:rFonts w:eastAsiaTheme="minorEastAsia"/>
                <w:szCs w:val="21"/>
              </w:rPr>
            </w:pPr>
          </w:p>
        </w:tc>
        <w:tc>
          <w:tcPr>
            <w:tcW w:w="2191" w:type="dxa"/>
            <w:vMerge w:val="continue"/>
            <w:vAlign w:val="center"/>
          </w:tcPr>
          <w:p>
            <w:pPr>
              <w:snapToGrid w:val="0"/>
              <w:jc w:val="center"/>
              <w:rPr>
                <w:rFonts w:eastAsiaTheme="minorEastAsia"/>
                <w:szCs w:val="21"/>
              </w:rPr>
            </w:pPr>
          </w:p>
        </w:tc>
        <w:tc>
          <w:tcPr>
            <w:tcW w:w="1477" w:type="dxa"/>
            <w:vAlign w:val="center"/>
          </w:tcPr>
          <w:p>
            <w:pPr>
              <w:snapToGrid w:val="0"/>
              <w:jc w:val="center"/>
              <w:rPr>
                <w:rFonts w:eastAsiaTheme="minorEastAsia"/>
                <w:szCs w:val="21"/>
              </w:rPr>
            </w:pPr>
            <w:r>
              <w:rPr>
                <w:rFonts w:eastAsiaTheme="minorEastAsia"/>
                <w:szCs w:val="21"/>
              </w:rPr>
              <w:t>氮氧化物</w:t>
            </w:r>
          </w:p>
        </w:tc>
        <w:tc>
          <w:tcPr>
            <w:tcW w:w="1485" w:type="dxa"/>
            <w:vAlign w:val="center"/>
          </w:tcPr>
          <w:p>
            <w:pPr>
              <w:snapToGrid w:val="0"/>
              <w:jc w:val="center"/>
              <w:rPr>
                <w:rFonts w:eastAsiaTheme="minorEastAsia"/>
                <w:szCs w:val="21"/>
              </w:rPr>
            </w:pPr>
            <w:r>
              <w:rPr>
                <w:rFonts w:eastAsiaTheme="minorEastAsia"/>
                <w:szCs w:val="21"/>
              </w:rPr>
              <w:t>80.65</w:t>
            </w:r>
          </w:p>
        </w:tc>
        <w:tc>
          <w:tcPr>
            <w:tcW w:w="1484" w:type="dxa"/>
            <w:vAlign w:val="center"/>
          </w:tcPr>
          <w:p>
            <w:pPr>
              <w:snapToGrid w:val="0"/>
              <w:jc w:val="center"/>
              <w:rPr>
                <w:rFonts w:eastAsiaTheme="minorEastAsia"/>
                <w:szCs w:val="21"/>
              </w:rPr>
            </w:pPr>
            <w:r>
              <w:rPr>
                <w:rFonts w:eastAsiaTheme="minorEastAsia"/>
                <w:szCs w:val="21"/>
              </w:rPr>
              <w:t>0.50</w:t>
            </w:r>
          </w:p>
        </w:tc>
        <w:tc>
          <w:tcPr>
            <w:tcW w:w="1484" w:type="dxa"/>
            <w:vAlign w:val="center"/>
          </w:tcPr>
          <w:p>
            <w:pPr>
              <w:snapToGrid w:val="0"/>
              <w:jc w:val="center"/>
              <w:rPr>
                <w:rFonts w:eastAsiaTheme="minorEastAsia"/>
                <w:szCs w:val="21"/>
              </w:rPr>
            </w:pPr>
            <w:r>
              <w:rPr>
                <w:rFonts w:eastAsiaTheme="minorEastAsia"/>
                <w:szCs w:val="21"/>
              </w:rPr>
              <w:t>0.00814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snapToGrid w:val="0"/>
              <w:jc w:val="center"/>
              <w:rPr>
                <w:rFonts w:eastAsiaTheme="minorEastAsia"/>
                <w:szCs w:val="21"/>
              </w:rPr>
            </w:pPr>
          </w:p>
        </w:tc>
        <w:tc>
          <w:tcPr>
            <w:tcW w:w="2191" w:type="dxa"/>
            <w:vMerge w:val="continue"/>
            <w:vAlign w:val="center"/>
          </w:tcPr>
          <w:p>
            <w:pPr>
              <w:snapToGrid w:val="0"/>
              <w:jc w:val="center"/>
              <w:rPr>
                <w:rFonts w:eastAsiaTheme="minorEastAsia"/>
                <w:szCs w:val="21"/>
              </w:rPr>
            </w:pPr>
          </w:p>
        </w:tc>
        <w:tc>
          <w:tcPr>
            <w:tcW w:w="1477" w:type="dxa"/>
            <w:vAlign w:val="center"/>
          </w:tcPr>
          <w:p>
            <w:pPr>
              <w:snapToGrid w:val="0"/>
              <w:jc w:val="center"/>
              <w:rPr>
                <w:rFonts w:eastAsiaTheme="minorEastAsia"/>
                <w:szCs w:val="21"/>
              </w:rPr>
            </w:pPr>
            <w:r>
              <w:rPr>
                <w:rFonts w:eastAsiaTheme="minorEastAsia"/>
                <w:szCs w:val="21"/>
              </w:rPr>
              <w:t>颗粒物</w:t>
            </w:r>
          </w:p>
        </w:tc>
        <w:tc>
          <w:tcPr>
            <w:tcW w:w="1485" w:type="dxa"/>
            <w:vAlign w:val="center"/>
          </w:tcPr>
          <w:p>
            <w:pPr>
              <w:snapToGrid w:val="0"/>
              <w:jc w:val="center"/>
              <w:rPr>
                <w:rFonts w:eastAsiaTheme="minorEastAsia"/>
                <w:szCs w:val="21"/>
              </w:rPr>
            </w:pPr>
            <w:r>
              <w:rPr>
                <w:rFonts w:eastAsiaTheme="minorEastAsia"/>
                <w:szCs w:val="21"/>
              </w:rPr>
              <w:t>22.58</w:t>
            </w:r>
          </w:p>
        </w:tc>
        <w:tc>
          <w:tcPr>
            <w:tcW w:w="1484" w:type="dxa"/>
            <w:vAlign w:val="center"/>
          </w:tcPr>
          <w:p>
            <w:pPr>
              <w:snapToGrid w:val="0"/>
              <w:jc w:val="center"/>
              <w:rPr>
                <w:rFonts w:eastAsiaTheme="minorEastAsia"/>
                <w:szCs w:val="21"/>
              </w:rPr>
            </w:pPr>
            <w:r>
              <w:rPr>
                <w:rFonts w:eastAsiaTheme="minorEastAsia"/>
                <w:szCs w:val="21"/>
              </w:rPr>
              <w:t>0.14</w:t>
            </w:r>
          </w:p>
        </w:tc>
        <w:tc>
          <w:tcPr>
            <w:tcW w:w="1484" w:type="dxa"/>
            <w:vAlign w:val="center"/>
          </w:tcPr>
          <w:p>
            <w:pPr>
              <w:snapToGrid w:val="0"/>
              <w:jc w:val="center"/>
              <w:rPr>
                <w:rFonts w:eastAsiaTheme="minorEastAsia"/>
                <w:szCs w:val="21"/>
              </w:rPr>
            </w:pPr>
            <w:r>
              <w:rPr>
                <w:rFonts w:eastAsiaTheme="minorEastAsia"/>
                <w:szCs w:val="21"/>
              </w:rPr>
              <w:t>0.00224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Align w:val="center"/>
          </w:tcPr>
          <w:p>
            <w:pPr>
              <w:snapToGrid w:val="0"/>
              <w:jc w:val="center"/>
              <w:rPr>
                <w:rFonts w:eastAsiaTheme="minorEastAsia"/>
                <w:szCs w:val="21"/>
              </w:rPr>
            </w:pPr>
            <w:r>
              <w:rPr>
                <w:rFonts w:hint="eastAsia" w:eastAsiaTheme="minorEastAsia"/>
                <w:szCs w:val="21"/>
              </w:rPr>
              <w:t>3</w:t>
            </w:r>
          </w:p>
        </w:tc>
        <w:tc>
          <w:tcPr>
            <w:tcW w:w="2191" w:type="dxa"/>
            <w:vAlign w:val="center"/>
          </w:tcPr>
          <w:p>
            <w:pPr>
              <w:snapToGrid w:val="0"/>
              <w:jc w:val="center"/>
              <w:rPr>
                <w:rFonts w:eastAsiaTheme="minorEastAsia"/>
                <w:szCs w:val="21"/>
              </w:rPr>
            </w:pPr>
            <w:r>
              <w:rPr>
                <w:rFonts w:eastAsiaTheme="minorEastAsia"/>
                <w:szCs w:val="21"/>
              </w:rPr>
              <w:t>食堂油烟废气</w:t>
            </w:r>
          </w:p>
        </w:tc>
        <w:tc>
          <w:tcPr>
            <w:tcW w:w="1477" w:type="dxa"/>
            <w:vAlign w:val="center"/>
          </w:tcPr>
          <w:p>
            <w:pPr>
              <w:snapToGrid w:val="0"/>
              <w:jc w:val="center"/>
              <w:rPr>
                <w:rFonts w:eastAsiaTheme="minorEastAsia"/>
                <w:szCs w:val="21"/>
              </w:rPr>
            </w:pPr>
            <w:r>
              <w:rPr>
                <w:rFonts w:eastAsiaTheme="minorEastAsia"/>
                <w:szCs w:val="21"/>
              </w:rPr>
              <w:t>食堂油烟</w:t>
            </w:r>
          </w:p>
        </w:tc>
        <w:tc>
          <w:tcPr>
            <w:tcW w:w="1485" w:type="dxa"/>
            <w:vAlign w:val="center"/>
          </w:tcPr>
          <w:p>
            <w:pPr>
              <w:snapToGrid w:val="0"/>
              <w:jc w:val="center"/>
              <w:rPr>
                <w:rFonts w:eastAsiaTheme="minorEastAsia"/>
                <w:szCs w:val="21"/>
              </w:rPr>
            </w:pPr>
            <w:r>
              <w:rPr>
                <w:rFonts w:eastAsiaTheme="minorEastAsia"/>
                <w:szCs w:val="21"/>
              </w:rPr>
              <w:t>1.05</w:t>
            </w:r>
          </w:p>
        </w:tc>
        <w:tc>
          <w:tcPr>
            <w:tcW w:w="1484" w:type="dxa"/>
            <w:vAlign w:val="center"/>
          </w:tcPr>
          <w:p>
            <w:pPr>
              <w:snapToGrid w:val="0"/>
              <w:jc w:val="center"/>
              <w:rPr>
                <w:rFonts w:eastAsiaTheme="minorEastAsia"/>
                <w:szCs w:val="21"/>
              </w:rPr>
            </w:pPr>
            <w:r>
              <w:rPr>
                <w:rFonts w:eastAsiaTheme="minorEastAsia"/>
                <w:szCs w:val="21"/>
              </w:rPr>
              <w:t>0.042</w:t>
            </w:r>
          </w:p>
        </w:tc>
        <w:tc>
          <w:tcPr>
            <w:tcW w:w="1484" w:type="dxa"/>
            <w:vAlign w:val="center"/>
          </w:tcPr>
          <w:p>
            <w:pPr>
              <w:snapToGrid w:val="0"/>
              <w:jc w:val="center"/>
              <w:rPr>
                <w:rFonts w:eastAsiaTheme="minorEastAsia"/>
                <w:szCs w:val="21"/>
              </w:rPr>
            </w:pPr>
            <w:r>
              <w:rPr>
                <w:rFonts w:eastAsiaTheme="minorEastAsia"/>
                <w:szCs w:val="21"/>
              </w:rPr>
              <w:t>0.09198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789" w:type="dxa"/>
            <w:gridSpan w:val="6"/>
            <w:vAlign w:val="center"/>
          </w:tcPr>
          <w:p>
            <w:pPr>
              <w:snapToGrid w:val="0"/>
              <w:jc w:val="center"/>
              <w:rPr>
                <w:rFonts w:eastAsiaTheme="minorEastAsia"/>
                <w:szCs w:val="21"/>
              </w:rPr>
            </w:pPr>
            <w:r>
              <w:rPr>
                <w:rFonts w:eastAsiaTheme="minorEastAsia"/>
                <w:szCs w:val="21"/>
              </w:rPr>
              <w:t>有组织排放总计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59" w:type="dxa"/>
            <w:gridSpan w:val="2"/>
            <w:vMerge w:val="restart"/>
            <w:vAlign w:val="center"/>
          </w:tcPr>
          <w:p>
            <w:pPr>
              <w:snapToGrid w:val="0"/>
              <w:jc w:val="center"/>
              <w:rPr>
                <w:rFonts w:eastAsiaTheme="minorEastAsia"/>
                <w:szCs w:val="21"/>
                <w:u w:val="single"/>
              </w:rPr>
            </w:pPr>
            <w:r>
              <w:rPr>
                <w:rFonts w:eastAsiaTheme="minorEastAsia"/>
                <w:szCs w:val="21"/>
                <w:u w:val="single"/>
              </w:rPr>
              <w:t>有组织排放总计</w:t>
            </w:r>
          </w:p>
        </w:tc>
        <w:tc>
          <w:tcPr>
            <w:tcW w:w="4446" w:type="dxa"/>
            <w:gridSpan w:val="3"/>
            <w:vAlign w:val="center"/>
          </w:tcPr>
          <w:p>
            <w:pPr>
              <w:snapToGrid w:val="0"/>
              <w:jc w:val="center"/>
              <w:rPr>
                <w:rFonts w:eastAsiaTheme="minorEastAsia"/>
                <w:szCs w:val="21"/>
                <w:u w:val="single"/>
              </w:rPr>
            </w:pPr>
            <w:r>
              <w:rPr>
                <w:rFonts w:eastAsiaTheme="minorEastAsia"/>
                <w:szCs w:val="21"/>
                <w:u w:val="single"/>
              </w:rPr>
              <w:t>氨气</w:t>
            </w:r>
          </w:p>
        </w:tc>
        <w:tc>
          <w:tcPr>
            <w:tcW w:w="1484" w:type="dxa"/>
            <w:vAlign w:val="center"/>
          </w:tcPr>
          <w:p>
            <w:pPr>
              <w:snapToGrid w:val="0"/>
              <w:jc w:val="center"/>
              <w:rPr>
                <w:rFonts w:eastAsiaTheme="minorEastAsia"/>
                <w:szCs w:val="21"/>
              </w:rPr>
            </w:pPr>
            <w:r>
              <w:rPr>
                <w:rFonts w:hint="eastAsia"/>
                <w:color w:val="000000"/>
                <w:kern w:val="0"/>
                <w:u w:val="single"/>
              </w:rPr>
              <w:t>0.0014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59" w:type="dxa"/>
            <w:gridSpan w:val="2"/>
            <w:vMerge w:val="continue"/>
            <w:vAlign w:val="center"/>
          </w:tcPr>
          <w:p>
            <w:pPr>
              <w:snapToGrid w:val="0"/>
              <w:jc w:val="center"/>
              <w:rPr>
                <w:rFonts w:eastAsiaTheme="minorEastAsia"/>
                <w:szCs w:val="21"/>
              </w:rPr>
            </w:pPr>
          </w:p>
        </w:tc>
        <w:tc>
          <w:tcPr>
            <w:tcW w:w="4446" w:type="dxa"/>
            <w:gridSpan w:val="3"/>
            <w:vAlign w:val="center"/>
          </w:tcPr>
          <w:p>
            <w:pPr>
              <w:snapToGrid w:val="0"/>
              <w:jc w:val="center"/>
              <w:rPr>
                <w:rFonts w:eastAsiaTheme="minorEastAsia"/>
                <w:szCs w:val="21"/>
                <w:u w:val="single"/>
              </w:rPr>
            </w:pPr>
            <w:r>
              <w:rPr>
                <w:rFonts w:eastAsiaTheme="minorEastAsia"/>
                <w:szCs w:val="21"/>
                <w:u w:val="single"/>
              </w:rPr>
              <w:t>硫化氢</w:t>
            </w:r>
          </w:p>
        </w:tc>
        <w:tc>
          <w:tcPr>
            <w:tcW w:w="1484" w:type="dxa"/>
            <w:vAlign w:val="center"/>
          </w:tcPr>
          <w:p>
            <w:pPr>
              <w:snapToGrid w:val="0"/>
              <w:jc w:val="center"/>
              <w:rPr>
                <w:rFonts w:eastAsiaTheme="minorEastAsia"/>
                <w:szCs w:val="21"/>
              </w:rPr>
            </w:pPr>
            <w:r>
              <w:rPr>
                <w:rFonts w:hint="eastAsia"/>
                <w:color w:val="000000"/>
                <w:kern w:val="0"/>
                <w:u w:val="single"/>
              </w:rPr>
              <w:t>0.000056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59" w:type="dxa"/>
            <w:gridSpan w:val="2"/>
            <w:vMerge w:val="continue"/>
            <w:vAlign w:val="center"/>
          </w:tcPr>
          <w:p>
            <w:pPr>
              <w:snapToGrid w:val="0"/>
              <w:jc w:val="center"/>
              <w:rPr>
                <w:rFonts w:eastAsiaTheme="minorEastAsia"/>
                <w:szCs w:val="21"/>
              </w:rPr>
            </w:pPr>
          </w:p>
        </w:tc>
        <w:tc>
          <w:tcPr>
            <w:tcW w:w="4446" w:type="dxa"/>
            <w:gridSpan w:val="3"/>
            <w:vAlign w:val="center"/>
          </w:tcPr>
          <w:p>
            <w:pPr>
              <w:snapToGrid w:val="0"/>
              <w:jc w:val="center"/>
              <w:rPr>
                <w:rFonts w:eastAsiaTheme="minorEastAsia"/>
                <w:szCs w:val="21"/>
              </w:rPr>
            </w:pPr>
            <w:r>
              <w:rPr>
                <w:rFonts w:eastAsiaTheme="minorEastAsia"/>
                <w:szCs w:val="21"/>
              </w:rPr>
              <w:t>二氧化硫</w:t>
            </w:r>
          </w:p>
        </w:tc>
        <w:tc>
          <w:tcPr>
            <w:tcW w:w="1484" w:type="dxa"/>
            <w:vAlign w:val="center"/>
          </w:tcPr>
          <w:p>
            <w:pPr>
              <w:snapToGrid w:val="0"/>
              <w:jc w:val="center"/>
              <w:rPr>
                <w:rFonts w:eastAsiaTheme="minorEastAsia"/>
                <w:szCs w:val="21"/>
              </w:rPr>
            </w:pPr>
            <w:r>
              <w:rPr>
                <w:rFonts w:eastAsiaTheme="minorEastAsia"/>
                <w:szCs w:val="21"/>
              </w:rPr>
              <w:t>0.01265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59" w:type="dxa"/>
            <w:gridSpan w:val="2"/>
            <w:vMerge w:val="continue"/>
            <w:vAlign w:val="center"/>
          </w:tcPr>
          <w:p>
            <w:pPr>
              <w:snapToGrid w:val="0"/>
              <w:jc w:val="center"/>
              <w:rPr>
                <w:rFonts w:eastAsiaTheme="minorEastAsia"/>
                <w:szCs w:val="21"/>
              </w:rPr>
            </w:pPr>
          </w:p>
        </w:tc>
        <w:tc>
          <w:tcPr>
            <w:tcW w:w="4446" w:type="dxa"/>
            <w:gridSpan w:val="3"/>
            <w:vAlign w:val="center"/>
          </w:tcPr>
          <w:p>
            <w:pPr>
              <w:snapToGrid w:val="0"/>
              <w:jc w:val="center"/>
              <w:rPr>
                <w:rFonts w:eastAsiaTheme="minorEastAsia"/>
                <w:szCs w:val="21"/>
              </w:rPr>
            </w:pPr>
            <w:r>
              <w:rPr>
                <w:rFonts w:eastAsiaTheme="minorEastAsia"/>
                <w:szCs w:val="21"/>
              </w:rPr>
              <w:t>氮氧化物</w:t>
            </w:r>
          </w:p>
        </w:tc>
        <w:tc>
          <w:tcPr>
            <w:tcW w:w="1484" w:type="dxa"/>
            <w:vAlign w:val="center"/>
          </w:tcPr>
          <w:p>
            <w:pPr>
              <w:snapToGrid w:val="0"/>
              <w:jc w:val="center"/>
              <w:rPr>
                <w:rFonts w:eastAsiaTheme="minorEastAsia"/>
                <w:szCs w:val="21"/>
              </w:rPr>
            </w:pPr>
            <w:r>
              <w:rPr>
                <w:rFonts w:eastAsiaTheme="minorEastAsia"/>
                <w:szCs w:val="21"/>
              </w:rPr>
              <w:t>0.00814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59" w:type="dxa"/>
            <w:gridSpan w:val="2"/>
            <w:vMerge w:val="continue"/>
            <w:vAlign w:val="center"/>
          </w:tcPr>
          <w:p>
            <w:pPr>
              <w:snapToGrid w:val="0"/>
              <w:jc w:val="center"/>
              <w:rPr>
                <w:rFonts w:eastAsiaTheme="minorEastAsia"/>
                <w:szCs w:val="21"/>
              </w:rPr>
            </w:pPr>
          </w:p>
        </w:tc>
        <w:tc>
          <w:tcPr>
            <w:tcW w:w="4446" w:type="dxa"/>
            <w:gridSpan w:val="3"/>
            <w:vAlign w:val="center"/>
          </w:tcPr>
          <w:p>
            <w:pPr>
              <w:snapToGrid w:val="0"/>
              <w:jc w:val="center"/>
              <w:rPr>
                <w:rFonts w:eastAsiaTheme="minorEastAsia"/>
                <w:szCs w:val="21"/>
              </w:rPr>
            </w:pPr>
            <w:r>
              <w:rPr>
                <w:rFonts w:eastAsiaTheme="minorEastAsia"/>
                <w:szCs w:val="21"/>
              </w:rPr>
              <w:t>颗粒物</w:t>
            </w:r>
          </w:p>
        </w:tc>
        <w:tc>
          <w:tcPr>
            <w:tcW w:w="1484" w:type="dxa"/>
            <w:vAlign w:val="center"/>
          </w:tcPr>
          <w:p>
            <w:pPr>
              <w:snapToGrid w:val="0"/>
              <w:jc w:val="center"/>
              <w:rPr>
                <w:rFonts w:eastAsiaTheme="minorEastAsia"/>
                <w:szCs w:val="21"/>
              </w:rPr>
            </w:pPr>
            <w:r>
              <w:rPr>
                <w:rFonts w:eastAsiaTheme="minorEastAsia"/>
                <w:szCs w:val="21"/>
              </w:rPr>
              <w:t>0.00224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59" w:type="dxa"/>
            <w:gridSpan w:val="2"/>
            <w:vMerge w:val="continue"/>
            <w:vAlign w:val="center"/>
          </w:tcPr>
          <w:p>
            <w:pPr>
              <w:snapToGrid w:val="0"/>
              <w:jc w:val="center"/>
              <w:rPr>
                <w:rFonts w:eastAsiaTheme="minorEastAsia"/>
                <w:szCs w:val="21"/>
              </w:rPr>
            </w:pPr>
          </w:p>
        </w:tc>
        <w:tc>
          <w:tcPr>
            <w:tcW w:w="4446" w:type="dxa"/>
            <w:gridSpan w:val="3"/>
            <w:vAlign w:val="center"/>
          </w:tcPr>
          <w:p>
            <w:pPr>
              <w:snapToGrid w:val="0"/>
              <w:jc w:val="center"/>
              <w:rPr>
                <w:rFonts w:eastAsiaTheme="minorEastAsia"/>
                <w:szCs w:val="21"/>
              </w:rPr>
            </w:pPr>
            <w:r>
              <w:rPr>
                <w:rFonts w:eastAsiaTheme="minorEastAsia"/>
                <w:szCs w:val="21"/>
              </w:rPr>
              <w:t>食堂油烟</w:t>
            </w:r>
          </w:p>
        </w:tc>
        <w:tc>
          <w:tcPr>
            <w:tcW w:w="1484" w:type="dxa"/>
            <w:vAlign w:val="center"/>
          </w:tcPr>
          <w:p>
            <w:pPr>
              <w:snapToGrid w:val="0"/>
              <w:jc w:val="center"/>
              <w:rPr>
                <w:rFonts w:eastAsiaTheme="minorEastAsia"/>
                <w:szCs w:val="21"/>
              </w:rPr>
            </w:pPr>
            <w:r>
              <w:rPr>
                <w:rFonts w:eastAsiaTheme="minorEastAsia"/>
                <w:szCs w:val="21"/>
              </w:rPr>
              <w:t>0.09198</w:t>
            </w:r>
          </w:p>
        </w:tc>
      </w:tr>
    </w:tbl>
    <w:p>
      <w:pPr>
        <w:snapToGrid w:val="0"/>
        <w:spacing w:line="360" w:lineRule="auto"/>
        <w:ind w:firstLine="480" w:firstLineChars="200"/>
        <w:rPr>
          <w:rFonts w:eastAsiaTheme="minorEastAsia"/>
          <w:sz w:val="24"/>
        </w:rPr>
      </w:pPr>
      <w:r>
        <w:rPr>
          <w:rFonts w:eastAsiaTheme="minorEastAsia"/>
          <w:sz w:val="24"/>
        </w:rPr>
        <w:t>无组织排放量核算：</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表6.2-8  大气污染物无组织排放量核算表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5"/>
        <w:gridCol w:w="993"/>
        <w:gridCol w:w="851"/>
        <w:gridCol w:w="708"/>
        <w:gridCol w:w="2551"/>
        <w:gridCol w:w="1419"/>
        <w:gridCol w:w="566"/>
        <w:gridCol w:w="11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 w:type="pct"/>
            <w:vMerge w:val="restart"/>
            <w:vAlign w:val="center"/>
          </w:tcPr>
          <w:p>
            <w:pPr>
              <w:adjustRightInd w:val="0"/>
              <w:snapToGrid w:val="0"/>
              <w:jc w:val="center"/>
              <w:rPr>
                <w:rFonts w:eastAsiaTheme="minorEastAsia"/>
                <w:b/>
                <w:szCs w:val="21"/>
              </w:rPr>
            </w:pPr>
            <w:r>
              <w:rPr>
                <w:rFonts w:eastAsiaTheme="minorEastAsia"/>
                <w:b/>
                <w:szCs w:val="21"/>
              </w:rPr>
              <w:t>序号</w:t>
            </w:r>
          </w:p>
        </w:tc>
        <w:tc>
          <w:tcPr>
            <w:tcW w:w="565" w:type="pct"/>
            <w:vMerge w:val="restart"/>
            <w:vAlign w:val="center"/>
          </w:tcPr>
          <w:p>
            <w:pPr>
              <w:adjustRightInd w:val="0"/>
              <w:snapToGrid w:val="0"/>
              <w:jc w:val="center"/>
              <w:rPr>
                <w:rFonts w:eastAsiaTheme="minorEastAsia"/>
                <w:b/>
                <w:szCs w:val="21"/>
              </w:rPr>
            </w:pPr>
            <w:r>
              <w:rPr>
                <w:rFonts w:eastAsiaTheme="minorEastAsia"/>
                <w:b/>
                <w:szCs w:val="21"/>
              </w:rPr>
              <w:t>排放口编号</w:t>
            </w:r>
          </w:p>
        </w:tc>
        <w:tc>
          <w:tcPr>
            <w:tcW w:w="484" w:type="pct"/>
            <w:vMerge w:val="restart"/>
            <w:vAlign w:val="center"/>
          </w:tcPr>
          <w:p>
            <w:pPr>
              <w:adjustRightInd w:val="0"/>
              <w:snapToGrid w:val="0"/>
              <w:jc w:val="center"/>
              <w:rPr>
                <w:rFonts w:eastAsiaTheme="minorEastAsia"/>
                <w:b/>
                <w:szCs w:val="21"/>
              </w:rPr>
            </w:pPr>
            <w:r>
              <w:rPr>
                <w:rFonts w:eastAsiaTheme="minorEastAsia"/>
                <w:b/>
                <w:szCs w:val="21"/>
              </w:rPr>
              <w:t>污染物</w:t>
            </w:r>
          </w:p>
        </w:tc>
        <w:tc>
          <w:tcPr>
            <w:tcW w:w="403" w:type="pct"/>
            <w:vMerge w:val="restart"/>
            <w:vAlign w:val="center"/>
          </w:tcPr>
          <w:p>
            <w:pPr>
              <w:adjustRightInd w:val="0"/>
              <w:snapToGrid w:val="0"/>
              <w:jc w:val="center"/>
              <w:rPr>
                <w:rFonts w:eastAsiaTheme="minorEastAsia"/>
                <w:b/>
                <w:szCs w:val="21"/>
              </w:rPr>
            </w:pPr>
            <w:r>
              <w:rPr>
                <w:rFonts w:eastAsiaTheme="minorEastAsia"/>
                <w:b/>
                <w:szCs w:val="21"/>
              </w:rPr>
              <w:t>产污环节</w:t>
            </w:r>
          </w:p>
        </w:tc>
        <w:tc>
          <w:tcPr>
            <w:tcW w:w="1451" w:type="pct"/>
            <w:vMerge w:val="restart"/>
            <w:vAlign w:val="center"/>
          </w:tcPr>
          <w:p>
            <w:pPr>
              <w:adjustRightInd w:val="0"/>
              <w:snapToGrid w:val="0"/>
              <w:jc w:val="center"/>
              <w:rPr>
                <w:rFonts w:eastAsiaTheme="minorEastAsia"/>
                <w:b/>
                <w:szCs w:val="21"/>
              </w:rPr>
            </w:pPr>
            <w:r>
              <w:rPr>
                <w:rFonts w:eastAsiaTheme="minorEastAsia"/>
                <w:b/>
                <w:szCs w:val="21"/>
              </w:rPr>
              <w:t>主要防治措施</w:t>
            </w:r>
          </w:p>
        </w:tc>
        <w:tc>
          <w:tcPr>
            <w:tcW w:w="1129" w:type="pct"/>
            <w:gridSpan w:val="2"/>
            <w:vAlign w:val="center"/>
          </w:tcPr>
          <w:p>
            <w:pPr>
              <w:adjustRightInd w:val="0"/>
              <w:snapToGrid w:val="0"/>
              <w:jc w:val="center"/>
              <w:rPr>
                <w:rFonts w:eastAsiaTheme="minorEastAsia"/>
                <w:b/>
                <w:szCs w:val="21"/>
              </w:rPr>
            </w:pPr>
            <w:r>
              <w:rPr>
                <w:rFonts w:eastAsiaTheme="minorEastAsia"/>
                <w:b/>
                <w:szCs w:val="21"/>
              </w:rPr>
              <w:t>污染物排放标准</w:t>
            </w:r>
          </w:p>
        </w:tc>
        <w:tc>
          <w:tcPr>
            <w:tcW w:w="669" w:type="pct"/>
            <w:vMerge w:val="restart"/>
            <w:vAlign w:val="center"/>
          </w:tcPr>
          <w:p>
            <w:pPr>
              <w:adjustRightInd w:val="0"/>
              <w:snapToGrid w:val="0"/>
              <w:jc w:val="center"/>
              <w:rPr>
                <w:rFonts w:eastAsiaTheme="minorEastAsia"/>
                <w:b/>
                <w:szCs w:val="21"/>
              </w:rPr>
            </w:pPr>
            <w:r>
              <w:rPr>
                <w:rFonts w:eastAsiaTheme="minorEastAsia"/>
                <w:b/>
                <w:szCs w:val="21"/>
              </w:rPr>
              <w:t>年排放量</w:t>
            </w:r>
            <w:r>
              <w:rPr>
                <w:rFonts w:eastAsiaTheme="minorEastAsia"/>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 w:type="pct"/>
            <w:vMerge w:val="continue"/>
            <w:vAlign w:val="center"/>
          </w:tcPr>
          <w:p>
            <w:pPr>
              <w:adjustRightInd w:val="0"/>
              <w:snapToGrid w:val="0"/>
              <w:jc w:val="center"/>
              <w:rPr>
                <w:rFonts w:eastAsiaTheme="minorEastAsia"/>
                <w:b/>
                <w:szCs w:val="21"/>
              </w:rPr>
            </w:pPr>
          </w:p>
        </w:tc>
        <w:tc>
          <w:tcPr>
            <w:tcW w:w="565" w:type="pct"/>
            <w:vMerge w:val="continue"/>
            <w:vAlign w:val="center"/>
          </w:tcPr>
          <w:p>
            <w:pPr>
              <w:adjustRightInd w:val="0"/>
              <w:snapToGrid w:val="0"/>
              <w:jc w:val="center"/>
              <w:rPr>
                <w:rFonts w:eastAsiaTheme="minorEastAsia"/>
                <w:b/>
                <w:szCs w:val="21"/>
              </w:rPr>
            </w:pPr>
          </w:p>
        </w:tc>
        <w:tc>
          <w:tcPr>
            <w:tcW w:w="484" w:type="pct"/>
            <w:vMerge w:val="continue"/>
            <w:vAlign w:val="center"/>
          </w:tcPr>
          <w:p>
            <w:pPr>
              <w:adjustRightInd w:val="0"/>
              <w:snapToGrid w:val="0"/>
              <w:jc w:val="center"/>
              <w:rPr>
                <w:rFonts w:eastAsiaTheme="minorEastAsia"/>
                <w:b/>
                <w:szCs w:val="21"/>
              </w:rPr>
            </w:pPr>
          </w:p>
        </w:tc>
        <w:tc>
          <w:tcPr>
            <w:tcW w:w="403" w:type="pct"/>
            <w:vMerge w:val="continue"/>
            <w:vAlign w:val="center"/>
          </w:tcPr>
          <w:p>
            <w:pPr>
              <w:adjustRightInd w:val="0"/>
              <w:snapToGrid w:val="0"/>
              <w:jc w:val="center"/>
              <w:rPr>
                <w:rFonts w:eastAsiaTheme="minorEastAsia"/>
                <w:b/>
                <w:szCs w:val="21"/>
              </w:rPr>
            </w:pPr>
          </w:p>
        </w:tc>
        <w:tc>
          <w:tcPr>
            <w:tcW w:w="1451" w:type="pct"/>
            <w:vMerge w:val="continue"/>
            <w:vAlign w:val="center"/>
          </w:tcPr>
          <w:p>
            <w:pPr>
              <w:adjustRightInd w:val="0"/>
              <w:snapToGrid w:val="0"/>
              <w:jc w:val="center"/>
              <w:rPr>
                <w:rFonts w:eastAsiaTheme="minorEastAsia"/>
                <w:b/>
                <w:szCs w:val="21"/>
              </w:rPr>
            </w:pPr>
          </w:p>
        </w:tc>
        <w:tc>
          <w:tcPr>
            <w:tcW w:w="807" w:type="pct"/>
            <w:vAlign w:val="center"/>
          </w:tcPr>
          <w:p>
            <w:pPr>
              <w:adjustRightInd w:val="0"/>
              <w:snapToGrid w:val="0"/>
              <w:jc w:val="center"/>
              <w:rPr>
                <w:rFonts w:eastAsiaTheme="minorEastAsia"/>
                <w:b/>
                <w:szCs w:val="21"/>
              </w:rPr>
            </w:pPr>
            <w:r>
              <w:rPr>
                <w:rFonts w:eastAsiaTheme="minorEastAsia"/>
                <w:b/>
                <w:szCs w:val="21"/>
              </w:rPr>
              <w:t>标准名称</w:t>
            </w:r>
          </w:p>
        </w:tc>
        <w:tc>
          <w:tcPr>
            <w:tcW w:w="322" w:type="pct"/>
            <w:vAlign w:val="center"/>
          </w:tcPr>
          <w:p>
            <w:pPr>
              <w:adjustRightInd w:val="0"/>
              <w:snapToGrid w:val="0"/>
              <w:jc w:val="center"/>
              <w:rPr>
                <w:rFonts w:eastAsiaTheme="minorEastAsia"/>
                <w:b/>
                <w:szCs w:val="21"/>
              </w:rPr>
            </w:pPr>
            <w:r>
              <w:rPr>
                <w:rFonts w:eastAsiaTheme="minorEastAsia"/>
                <w:b/>
                <w:szCs w:val="21"/>
              </w:rPr>
              <w:t>浓度</w:t>
            </w:r>
          </w:p>
        </w:tc>
        <w:tc>
          <w:tcPr>
            <w:tcW w:w="669" w:type="pct"/>
            <w:vMerge w:val="continue"/>
            <w:vAlign w:val="center"/>
          </w:tcPr>
          <w:p>
            <w:pPr>
              <w:adjustRightInd w:val="0"/>
              <w:snapToGrid w:val="0"/>
              <w:jc w:val="center"/>
              <w:rPr>
                <w:rFonts w:eastAsiaTheme="minorEastAsia"/>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299" w:type="pct"/>
            <w:vMerge w:val="restart"/>
            <w:vAlign w:val="center"/>
          </w:tcPr>
          <w:p>
            <w:pPr>
              <w:adjustRightInd w:val="0"/>
              <w:snapToGrid w:val="0"/>
              <w:jc w:val="center"/>
              <w:rPr>
                <w:rFonts w:eastAsiaTheme="minorEastAsia"/>
                <w:szCs w:val="21"/>
              </w:rPr>
            </w:pPr>
            <w:r>
              <w:rPr>
                <w:rFonts w:eastAsiaTheme="minorEastAsia"/>
                <w:szCs w:val="21"/>
              </w:rPr>
              <w:t>1</w:t>
            </w:r>
          </w:p>
        </w:tc>
        <w:tc>
          <w:tcPr>
            <w:tcW w:w="565" w:type="pct"/>
            <w:vMerge w:val="restart"/>
            <w:vAlign w:val="center"/>
          </w:tcPr>
          <w:p>
            <w:pPr>
              <w:adjustRightInd w:val="0"/>
              <w:snapToGrid w:val="0"/>
              <w:jc w:val="center"/>
              <w:rPr>
                <w:rFonts w:eastAsiaTheme="minorEastAsia"/>
                <w:szCs w:val="21"/>
              </w:rPr>
            </w:pPr>
            <w:r>
              <w:rPr>
                <w:rFonts w:eastAsiaTheme="minorEastAsia"/>
                <w:szCs w:val="21"/>
              </w:rPr>
              <w:t>污水处理站无组织排放</w:t>
            </w:r>
          </w:p>
        </w:tc>
        <w:tc>
          <w:tcPr>
            <w:tcW w:w="484" w:type="pct"/>
            <w:vAlign w:val="center"/>
          </w:tcPr>
          <w:p>
            <w:pPr>
              <w:adjustRightInd w:val="0"/>
              <w:snapToGrid w:val="0"/>
              <w:jc w:val="center"/>
              <w:rPr>
                <w:rFonts w:eastAsiaTheme="minorEastAsia"/>
                <w:szCs w:val="21"/>
              </w:rPr>
            </w:pPr>
            <w:r>
              <w:rPr>
                <w:rFonts w:eastAsiaTheme="minorEastAsia"/>
                <w:szCs w:val="21"/>
              </w:rPr>
              <w:t>氨气</w:t>
            </w:r>
          </w:p>
        </w:tc>
        <w:tc>
          <w:tcPr>
            <w:tcW w:w="403" w:type="pct"/>
            <w:vMerge w:val="restart"/>
            <w:vAlign w:val="center"/>
          </w:tcPr>
          <w:p>
            <w:pPr>
              <w:adjustRightInd w:val="0"/>
              <w:snapToGrid w:val="0"/>
              <w:jc w:val="center"/>
              <w:rPr>
                <w:rFonts w:eastAsiaTheme="minorEastAsia"/>
                <w:szCs w:val="21"/>
              </w:rPr>
            </w:pPr>
            <w:r>
              <w:rPr>
                <w:rFonts w:eastAsiaTheme="minorEastAsia"/>
                <w:szCs w:val="21"/>
              </w:rPr>
              <w:t>污水处理</w:t>
            </w:r>
          </w:p>
        </w:tc>
        <w:tc>
          <w:tcPr>
            <w:tcW w:w="1451" w:type="pct"/>
            <w:vMerge w:val="restart"/>
            <w:vAlign w:val="center"/>
          </w:tcPr>
          <w:p>
            <w:pPr>
              <w:adjustRightInd w:val="0"/>
              <w:snapToGrid w:val="0"/>
              <w:jc w:val="center"/>
              <w:rPr>
                <w:rFonts w:eastAsiaTheme="minorEastAsia"/>
                <w:szCs w:val="21"/>
                <w:u w:val="single"/>
              </w:rPr>
            </w:pPr>
            <w:r>
              <w:rPr>
                <w:rFonts w:eastAsiaTheme="minorEastAsia"/>
                <w:szCs w:val="21"/>
                <w:u w:val="single"/>
              </w:rPr>
              <w:t>污水站采用地下结构，所有反应池体均加盖密闭</w:t>
            </w:r>
            <w:r>
              <w:rPr>
                <w:rFonts w:hint="eastAsia" w:eastAsiaTheme="minorEastAsia"/>
                <w:szCs w:val="21"/>
                <w:u w:val="single"/>
              </w:rPr>
              <w:t>，臭气经收集净化后，由15m高排气筒排放</w:t>
            </w:r>
            <w:r>
              <w:rPr>
                <w:rFonts w:eastAsiaTheme="minorEastAsia"/>
                <w:szCs w:val="21"/>
                <w:u w:val="single"/>
              </w:rPr>
              <w:t>；定期喷洒除臭剂，加强周边绿化，保持与周边建筑物的距离。</w:t>
            </w:r>
          </w:p>
        </w:tc>
        <w:tc>
          <w:tcPr>
            <w:tcW w:w="807" w:type="pct"/>
            <w:vMerge w:val="restart"/>
            <w:vAlign w:val="center"/>
          </w:tcPr>
          <w:p>
            <w:pPr>
              <w:adjustRightInd w:val="0"/>
              <w:snapToGrid w:val="0"/>
              <w:jc w:val="center"/>
              <w:rPr>
                <w:rFonts w:eastAsiaTheme="minorEastAsia"/>
                <w:szCs w:val="21"/>
              </w:rPr>
            </w:pPr>
            <w:r>
              <w:rPr>
                <w:rFonts w:eastAsiaTheme="minorEastAsia"/>
                <w:szCs w:val="21"/>
              </w:rPr>
              <w:t>《医疗机构水污染物排放标准》（GB18466-2005）表 3</w:t>
            </w:r>
          </w:p>
        </w:tc>
        <w:tc>
          <w:tcPr>
            <w:tcW w:w="322" w:type="pct"/>
            <w:vAlign w:val="center"/>
          </w:tcPr>
          <w:p>
            <w:pPr>
              <w:adjustRightInd w:val="0"/>
              <w:snapToGrid w:val="0"/>
              <w:jc w:val="center"/>
              <w:rPr>
                <w:rFonts w:eastAsiaTheme="minorEastAsia"/>
                <w:szCs w:val="21"/>
              </w:rPr>
            </w:pPr>
            <w:r>
              <w:rPr>
                <w:rFonts w:eastAsiaTheme="minorEastAsia"/>
                <w:szCs w:val="21"/>
              </w:rPr>
              <w:t>1.0</w:t>
            </w:r>
          </w:p>
        </w:tc>
        <w:tc>
          <w:tcPr>
            <w:tcW w:w="669" w:type="pct"/>
            <w:vAlign w:val="center"/>
          </w:tcPr>
          <w:p>
            <w:pPr>
              <w:adjustRightInd w:val="0"/>
              <w:snapToGrid w:val="0"/>
              <w:jc w:val="center"/>
              <w:rPr>
                <w:rFonts w:eastAsiaTheme="minorEastAsia"/>
                <w:szCs w:val="21"/>
              </w:rPr>
            </w:pPr>
            <w:r>
              <w:rPr>
                <w:rFonts w:eastAsiaTheme="minorEastAsia"/>
                <w:kern w:val="0"/>
                <w:szCs w:val="21"/>
                <w:u w:val="single"/>
              </w:rPr>
              <w:t>0.0016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 w:type="pct"/>
            <w:vMerge w:val="continue"/>
            <w:vAlign w:val="center"/>
          </w:tcPr>
          <w:p>
            <w:pPr>
              <w:adjustRightInd w:val="0"/>
              <w:snapToGrid w:val="0"/>
              <w:jc w:val="center"/>
              <w:rPr>
                <w:rFonts w:eastAsiaTheme="minorEastAsia"/>
                <w:szCs w:val="21"/>
              </w:rPr>
            </w:pPr>
          </w:p>
        </w:tc>
        <w:tc>
          <w:tcPr>
            <w:tcW w:w="565" w:type="pct"/>
            <w:vMerge w:val="continue"/>
            <w:vAlign w:val="center"/>
          </w:tcPr>
          <w:p>
            <w:pPr>
              <w:adjustRightInd w:val="0"/>
              <w:snapToGrid w:val="0"/>
              <w:jc w:val="center"/>
              <w:rPr>
                <w:rFonts w:eastAsiaTheme="minorEastAsia"/>
                <w:szCs w:val="21"/>
              </w:rPr>
            </w:pPr>
          </w:p>
        </w:tc>
        <w:tc>
          <w:tcPr>
            <w:tcW w:w="484" w:type="pct"/>
            <w:vAlign w:val="center"/>
          </w:tcPr>
          <w:p>
            <w:pPr>
              <w:adjustRightInd w:val="0"/>
              <w:snapToGrid w:val="0"/>
              <w:jc w:val="center"/>
              <w:rPr>
                <w:rFonts w:eastAsiaTheme="minorEastAsia"/>
                <w:szCs w:val="21"/>
              </w:rPr>
            </w:pPr>
            <w:r>
              <w:rPr>
                <w:rFonts w:eastAsiaTheme="minorEastAsia"/>
                <w:szCs w:val="21"/>
              </w:rPr>
              <w:t>硫化氢</w:t>
            </w:r>
          </w:p>
        </w:tc>
        <w:tc>
          <w:tcPr>
            <w:tcW w:w="403" w:type="pct"/>
            <w:vMerge w:val="continue"/>
            <w:vAlign w:val="center"/>
          </w:tcPr>
          <w:p>
            <w:pPr>
              <w:adjustRightInd w:val="0"/>
              <w:snapToGrid w:val="0"/>
              <w:jc w:val="center"/>
              <w:rPr>
                <w:rFonts w:eastAsiaTheme="minorEastAsia"/>
                <w:szCs w:val="21"/>
              </w:rPr>
            </w:pPr>
          </w:p>
        </w:tc>
        <w:tc>
          <w:tcPr>
            <w:tcW w:w="1451" w:type="pct"/>
            <w:vMerge w:val="continue"/>
            <w:vAlign w:val="center"/>
          </w:tcPr>
          <w:p>
            <w:pPr>
              <w:adjustRightInd w:val="0"/>
              <w:snapToGrid w:val="0"/>
              <w:jc w:val="center"/>
              <w:rPr>
                <w:rFonts w:eastAsiaTheme="minorEastAsia"/>
                <w:szCs w:val="21"/>
              </w:rPr>
            </w:pPr>
          </w:p>
        </w:tc>
        <w:tc>
          <w:tcPr>
            <w:tcW w:w="807" w:type="pct"/>
            <w:vMerge w:val="continue"/>
            <w:vAlign w:val="center"/>
          </w:tcPr>
          <w:p>
            <w:pPr>
              <w:adjustRightInd w:val="0"/>
              <w:snapToGrid w:val="0"/>
              <w:jc w:val="center"/>
              <w:rPr>
                <w:rFonts w:eastAsiaTheme="minorEastAsia"/>
                <w:szCs w:val="21"/>
              </w:rPr>
            </w:pPr>
          </w:p>
        </w:tc>
        <w:tc>
          <w:tcPr>
            <w:tcW w:w="322" w:type="pct"/>
            <w:vAlign w:val="center"/>
          </w:tcPr>
          <w:p>
            <w:pPr>
              <w:adjustRightInd w:val="0"/>
              <w:snapToGrid w:val="0"/>
              <w:jc w:val="center"/>
              <w:rPr>
                <w:rFonts w:eastAsiaTheme="minorEastAsia"/>
                <w:szCs w:val="21"/>
              </w:rPr>
            </w:pPr>
            <w:r>
              <w:rPr>
                <w:rFonts w:eastAsiaTheme="minorEastAsia"/>
                <w:szCs w:val="21"/>
              </w:rPr>
              <w:t>0.03</w:t>
            </w:r>
          </w:p>
        </w:tc>
        <w:tc>
          <w:tcPr>
            <w:tcW w:w="669" w:type="pct"/>
            <w:vAlign w:val="center"/>
          </w:tcPr>
          <w:p>
            <w:pPr>
              <w:adjustRightInd w:val="0"/>
              <w:snapToGrid w:val="0"/>
              <w:jc w:val="center"/>
              <w:rPr>
                <w:rFonts w:eastAsiaTheme="minorEastAsia"/>
                <w:szCs w:val="21"/>
              </w:rPr>
            </w:pPr>
            <w:r>
              <w:rPr>
                <w:rFonts w:eastAsiaTheme="minorEastAsia"/>
                <w:kern w:val="0"/>
                <w:szCs w:val="21"/>
                <w:u w:val="single"/>
              </w:rPr>
              <w:t>0.000062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 w:type="pct"/>
            <w:vMerge w:val="restart"/>
            <w:vAlign w:val="center"/>
          </w:tcPr>
          <w:p>
            <w:pPr>
              <w:adjustRightInd w:val="0"/>
              <w:snapToGrid w:val="0"/>
              <w:jc w:val="center"/>
              <w:rPr>
                <w:rFonts w:eastAsiaTheme="minorEastAsia"/>
                <w:szCs w:val="21"/>
              </w:rPr>
            </w:pPr>
            <w:r>
              <w:rPr>
                <w:rFonts w:eastAsiaTheme="minorEastAsia"/>
                <w:szCs w:val="21"/>
              </w:rPr>
              <w:t>2</w:t>
            </w:r>
          </w:p>
        </w:tc>
        <w:tc>
          <w:tcPr>
            <w:tcW w:w="565" w:type="pct"/>
            <w:vMerge w:val="restart"/>
            <w:vAlign w:val="center"/>
          </w:tcPr>
          <w:p>
            <w:pPr>
              <w:adjustRightInd w:val="0"/>
              <w:snapToGrid w:val="0"/>
              <w:jc w:val="center"/>
              <w:rPr>
                <w:rFonts w:eastAsiaTheme="minorEastAsia"/>
                <w:szCs w:val="21"/>
              </w:rPr>
            </w:pPr>
            <w:r>
              <w:rPr>
                <w:rFonts w:eastAsiaTheme="minorEastAsia"/>
                <w:szCs w:val="21"/>
              </w:rPr>
              <w:t>停车场</w:t>
            </w:r>
          </w:p>
        </w:tc>
        <w:tc>
          <w:tcPr>
            <w:tcW w:w="484" w:type="pct"/>
            <w:vAlign w:val="center"/>
          </w:tcPr>
          <w:p>
            <w:pPr>
              <w:adjustRightInd w:val="0"/>
              <w:snapToGrid w:val="0"/>
              <w:jc w:val="center"/>
              <w:rPr>
                <w:rFonts w:eastAsiaTheme="minorEastAsia"/>
                <w:szCs w:val="21"/>
              </w:rPr>
            </w:pPr>
            <w:r>
              <w:rPr>
                <w:kern w:val="0"/>
                <w:szCs w:val="21"/>
                <w:lang w:bidi="en-US"/>
              </w:rPr>
              <w:t>NO</w:t>
            </w:r>
            <w:r>
              <w:rPr>
                <w:kern w:val="0"/>
                <w:szCs w:val="21"/>
                <w:vertAlign w:val="subscript"/>
                <w:lang w:bidi="en-US"/>
              </w:rPr>
              <w:t>2</w:t>
            </w:r>
          </w:p>
        </w:tc>
        <w:tc>
          <w:tcPr>
            <w:tcW w:w="403" w:type="pct"/>
            <w:vMerge w:val="restart"/>
            <w:vAlign w:val="center"/>
          </w:tcPr>
          <w:p>
            <w:pPr>
              <w:adjustRightInd w:val="0"/>
              <w:snapToGrid w:val="0"/>
              <w:jc w:val="center"/>
              <w:rPr>
                <w:rFonts w:eastAsiaTheme="minorEastAsia"/>
                <w:szCs w:val="21"/>
              </w:rPr>
            </w:pPr>
            <w:r>
              <w:rPr>
                <w:rFonts w:eastAsiaTheme="minorEastAsia"/>
                <w:szCs w:val="21"/>
              </w:rPr>
              <w:t>停车过程</w:t>
            </w:r>
          </w:p>
        </w:tc>
        <w:tc>
          <w:tcPr>
            <w:tcW w:w="1451" w:type="pct"/>
            <w:vMerge w:val="restart"/>
            <w:vAlign w:val="center"/>
          </w:tcPr>
          <w:p>
            <w:pPr>
              <w:adjustRightInd w:val="0"/>
              <w:snapToGrid w:val="0"/>
              <w:jc w:val="center"/>
              <w:rPr>
                <w:rFonts w:eastAsiaTheme="minorEastAsia"/>
                <w:szCs w:val="21"/>
              </w:rPr>
            </w:pPr>
            <w:r>
              <w:rPr>
                <w:rFonts w:eastAsiaTheme="minorEastAsia"/>
                <w:szCs w:val="21"/>
              </w:rPr>
              <w:t>加强排风，将废气引至地面排放</w:t>
            </w:r>
          </w:p>
        </w:tc>
        <w:tc>
          <w:tcPr>
            <w:tcW w:w="807" w:type="pct"/>
            <w:vMerge w:val="restart"/>
            <w:vAlign w:val="center"/>
          </w:tcPr>
          <w:p>
            <w:pPr>
              <w:adjustRightInd w:val="0"/>
              <w:snapToGrid w:val="0"/>
              <w:jc w:val="center"/>
              <w:rPr>
                <w:rFonts w:eastAsiaTheme="minorEastAsia"/>
                <w:szCs w:val="21"/>
              </w:rPr>
            </w:pPr>
            <w:r>
              <w:rPr>
                <w:rFonts w:eastAsiaTheme="minorEastAsia"/>
                <w:szCs w:val="21"/>
              </w:rPr>
              <w:t>/</w:t>
            </w:r>
          </w:p>
        </w:tc>
        <w:tc>
          <w:tcPr>
            <w:tcW w:w="322" w:type="pct"/>
            <w:vAlign w:val="center"/>
          </w:tcPr>
          <w:p>
            <w:pPr>
              <w:adjustRightInd w:val="0"/>
              <w:snapToGrid w:val="0"/>
              <w:jc w:val="center"/>
              <w:rPr>
                <w:rFonts w:eastAsiaTheme="minorEastAsia"/>
                <w:szCs w:val="21"/>
              </w:rPr>
            </w:pPr>
            <w:r>
              <w:rPr>
                <w:rFonts w:eastAsiaTheme="minorEastAsia"/>
                <w:szCs w:val="21"/>
              </w:rPr>
              <w:t>/</w:t>
            </w:r>
          </w:p>
        </w:tc>
        <w:tc>
          <w:tcPr>
            <w:tcW w:w="669" w:type="pct"/>
            <w:vAlign w:val="center"/>
          </w:tcPr>
          <w:p>
            <w:pPr>
              <w:adjustRightInd w:val="0"/>
              <w:snapToGrid w:val="0"/>
              <w:jc w:val="center"/>
              <w:rPr>
                <w:rFonts w:eastAsiaTheme="minorEastAsia"/>
                <w:szCs w:val="21"/>
              </w:rPr>
            </w:pPr>
            <w:r>
              <w:rPr>
                <w:rFonts w:eastAsia="等线"/>
                <w:kern w:val="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 w:type="pct"/>
            <w:vMerge w:val="continue"/>
            <w:vAlign w:val="center"/>
          </w:tcPr>
          <w:p>
            <w:pPr>
              <w:adjustRightInd w:val="0"/>
              <w:snapToGrid w:val="0"/>
              <w:jc w:val="center"/>
              <w:rPr>
                <w:rFonts w:eastAsiaTheme="minorEastAsia"/>
                <w:szCs w:val="21"/>
              </w:rPr>
            </w:pPr>
          </w:p>
        </w:tc>
        <w:tc>
          <w:tcPr>
            <w:tcW w:w="565" w:type="pct"/>
            <w:vMerge w:val="continue"/>
            <w:vAlign w:val="center"/>
          </w:tcPr>
          <w:p>
            <w:pPr>
              <w:adjustRightInd w:val="0"/>
              <w:snapToGrid w:val="0"/>
              <w:jc w:val="center"/>
              <w:rPr>
                <w:rFonts w:eastAsiaTheme="minorEastAsia"/>
                <w:szCs w:val="21"/>
              </w:rPr>
            </w:pPr>
          </w:p>
        </w:tc>
        <w:tc>
          <w:tcPr>
            <w:tcW w:w="484" w:type="pct"/>
            <w:vAlign w:val="center"/>
          </w:tcPr>
          <w:p>
            <w:pPr>
              <w:adjustRightInd w:val="0"/>
              <w:snapToGrid w:val="0"/>
              <w:jc w:val="center"/>
              <w:rPr>
                <w:rFonts w:eastAsiaTheme="minorEastAsia"/>
                <w:szCs w:val="21"/>
              </w:rPr>
            </w:pPr>
            <w:r>
              <w:rPr>
                <w:kern w:val="0"/>
                <w:szCs w:val="21"/>
                <w:lang w:bidi="en-US"/>
              </w:rPr>
              <w:t>CO</w:t>
            </w:r>
          </w:p>
        </w:tc>
        <w:tc>
          <w:tcPr>
            <w:tcW w:w="403" w:type="pct"/>
            <w:vMerge w:val="continue"/>
            <w:vAlign w:val="center"/>
          </w:tcPr>
          <w:p>
            <w:pPr>
              <w:adjustRightInd w:val="0"/>
              <w:snapToGrid w:val="0"/>
              <w:jc w:val="center"/>
              <w:rPr>
                <w:rFonts w:eastAsiaTheme="minorEastAsia"/>
                <w:szCs w:val="21"/>
              </w:rPr>
            </w:pPr>
          </w:p>
        </w:tc>
        <w:tc>
          <w:tcPr>
            <w:tcW w:w="1451" w:type="pct"/>
            <w:vMerge w:val="continue"/>
            <w:vAlign w:val="center"/>
          </w:tcPr>
          <w:p>
            <w:pPr>
              <w:adjustRightInd w:val="0"/>
              <w:snapToGrid w:val="0"/>
              <w:jc w:val="center"/>
              <w:rPr>
                <w:rFonts w:eastAsiaTheme="minorEastAsia"/>
                <w:szCs w:val="21"/>
              </w:rPr>
            </w:pPr>
          </w:p>
        </w:tc>
        <w:tc>
          <w:tcPr>
            <w:tcW w:w="807" w:type="pct"/>
            <w:vMerge w:val="continue"/>
            <w:vAlign w:val="center"/>
          </w:tcPr>
          <w:p>
            <w:pPr>
              <w:adjustRightInd w:val="0"/>
              <w:snapToGrid w:val="0"/>
              <w:jc w:val="center"/>
              <w:rPr>
                <w:rFonts w:eastAsiaTheme="minorEastAsia"/>
                <w:szCs w:val="21"/>
              </w:rPr>
            </w:pPr>
          </w:p>
        </w:tc>
        <w:tc>
          <w:tcPr>
            <w:tcW w:w="322" w:type="pct"/>
            <w:vAlign w:val="center"/>
          </w:tcPr>
          <w:p>
            <w:pPr>
              <w:adjustRightInd w:val="0"/>
              <w:snapToGrid w:val="0"/>
              <w:jc w:val="center"/>
              <w:rPr>
                <w:rFonts w:eastAsiaTheme="minorEastAsia"/>
                <w:szCs w:val="21"/>
              </w:rPr>
            </w:pPr>
            <w:r>
              <w:rPr>
                <w:rFonts w:eastAsiaTheme="minorEastAsia"/>
                <w:szCs w:val="21"/>
              </w:rPr>
              <w:t>/</w:t>
            </w:r>
          </w:p>
        </w:tc>
        <w:tc>
          <w:tcPr>
            <w:tcW w:w="669" w:type="pct"/>
            <w:vAlign w:val="center"/>
          </w:tcPr>
          <w:p>
            <w:pPr>
              <w:adjustRightInd w:val="0"/>
              <w:snapToGrid w:val="0"/>
              <w:jc w:val="center"/>
              <w:rPr>
                <w:rFonts w:eastAsiaTheme="minorEastAsia"/>
                <w:szCs w:val="21"/>
              </w:rPr>
            </w:pPr>
            <w:r>
              <w:rPr>
                <w:rFonts w:eastAsia="等线"/>
                <w:kern w:val="0"/>
                <w:szCs w:val="21"/>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99" w:type="pct"/>
            <w:vMerge w:val="continue"/>
            <w:vAlign w:val="center"/>
          </w:tcPr>
          <w:p>
            <w:pPr>
              <w:adjustRightInd w:val="0"/>
              <w:snapToGrid w:val="0"/>
              <w:jc w:val="center"/>
              <w:rPr>
                <w:rFonts w:eastAsiaTheme="minorEastAsia"/>
                <w:szCs w:val="21"/>
              </w:rPr>
            </w:pPr>
          </w:p>
        </w:tc>
        <w:tc>
          <w:tcPr>
            <w:tcW w:w="565" w:type="pct"/>
            <w:vMerge w:val="continue"/>
            <w:vAlign w:val="center"/>
          </w:tcPr>
          <w:p>
            <w:pPr>
              <w:adjustRightInd w:val="0"/>
              <w:snapToGrid w:val="0"/>
              <w:jc w:val="center"/>
              <w:rPr>
                <w:rFonts w:eastAsiaTheme="minorEastAsia"/>
                <w:szCs w:val="21"/>
              </w:rPr>
            </w:pPr>
          </w:p>
        </w:tc>
        <w:tc>
          <w:tcPr>
            <w:tcW w:w="484" w:type="pct"/>
            <w:vAlign w:val="center"/>
          </w:tcPr>
          <w:p>
            <w:pPr>
              <w:adjustRightInd w:val="0"/>
              <w:snapToGrid w:val="0"/>
              <w:jc w:val="center"/>
              <w:rPr>
                <w:rFonts w:eastAsiaTheme="minorEastAsia"/>
                <w:szCs w:val="21"/>
              </w:rPr>
            </w:pPr>
            <w:r>
              <w:rPr>
                <w:kern w:val="0"/>
                <w:szCs w:val="21"/>
                <w:lang w:bidi="en-US"/>
              </w:rPr>
              <w:t>THC</w:t>
            </w:r>
          </w:p>
        </w:tc>
        <w:tc>
          <w:tcPr>
            <w:tcW w:w="403" w:type="pct"/>
            <w:vMerge w:val="continue"/>
            <w:vAlign w:val="center"/>
          </w:tcPr>
          <w:p>
            <w:pPr>
              <w:adjustRightInd w:val="0"/>
              <w:snapToGrid w:val="0"/>
              <w:jc w:val="center"/>
              <w:rPr>
                <w:rFonts w:eastAsiaTheme="minorEastAsia"/>
                <w:szCs w:val="21"/>
              </w:rPr>
            </w:pPr>
          </w:p>
        </w:tc>
        <w:tc>
          <w:tcPr>
            <w:tcW w:w="1451" w:type="pct"/>
            <w:vMerge w:val="continue"/>
            <w:vAlign w:val="center"/>
          </w:tcPr>
          <w:p>
            <w:pPr>
              <w:adjustRightInd w:val="0"/>
              <w:snapToGrid w:val="0"/>
              <w:jc w:val="center"/>
              <w:rPr>
                <w:rFonts w:eastAsiaTheme="minorEastAsia"/>
                <w:szCs w:val="21"/>
              </w:rPr>
            </w:pPr>
          </w:p>
        </w:tc>
        <w:tc>
          <w:tcPr>
            <w:tcW w:w="807" w:type="pct"/>
            <w:vMerge w:val="continue"/>
            <w:vAlign w:val="center"/>
          </w:tcPr>
          <w:p>
            <w:pPr>
              <w:adjustRightInd w:val="0"/>
              <w:snapToGrid w:val="0"/>
              <w:jc w:val="center"/>
              <w:rPr>
                <w:rFonts w:eastAsiaTheme="minorEastAsia"/>
                <w:szCs w:val="21"/>
              </w:rPr>
            </w:pPr>
          </w:p>
        </w:tc>
        <w:tc>
          <w:tcPr>
            <w:tcW w:w="322" w:type="pct"/>
            <w:vAlign w:val="center"/>
          </w:tcPr>
          <w:p>
            <w:pPr>
              <w:adjustRightInd w:val="0"/>
              <w:snapToGrid w:val="0"/>
              <w:jc w:val="center"/>
              <w:rPr>
                <w:rFonts w:eastAsiaTheme="minorEastAsia"/>
                <w:szCs w:val="21"/>
              </w:rPr>
            </w:pPr>
            <w:r>
              <w:rPr>
                <w:rFonts w:eastAsiaTheme="minorEastAsia"/>
                <w:szCs w:val="21"/>
              </w:rPr>
              <w:t>/</w:t>
            </w:r>
          </w:p>
        </w:tc>
        <w:tc>
          <w:tcPr>
            <w:tcW w:w="669" w:type="pct"/>
            <w:vAlign w:val="center"/>
          </w:tcPr>
          <w:p>
            <w:pPr>
              <w:adjustRightInd w:val="0"/>
              <w:snapToGrid w:val="0"/>
              <w:jc w:val="center"/>
              <w:rPr>
                <w:rFonts w:eastAsiaTheme="minorEastAsia"/>
                <w:szCs w:val="21"/>
              </w:rPr>
            </w:pPr>
            <w:r>
              <w:rPr>
                <w:rFonts w:eastAsia="等线"/>
                <w:kern w:val="0"/>
                <w:szCs w:val="21"/>
              </w:rPr>
              <w:t>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8"/>
            <w:vAlign w:val="center"/>
          </w:tcPr>
          <w:p>
            <w:pPr>
              <w:adjustRightInd w:val="0"/>
              <w:snapToGrid w:val="0"/>
              <w:jc w:val="center"/>
              <w:rPr>
                <w:rFonts w:eastAsiaTheme="minorEastAsia"/>
                <w:szCs w:val="21"/>
              </w:rPr>
            </w:pPr>
            <w:r>
              <w:rPr>
                <w:rFonts w:eastAsiaTheme="minorEastAsia"/>
                <w:szCs w:val="21"/>
              </w:rPr>
              <w:t>无组织排放总计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4" w:type="pct"/>
            <w:gridSpan w:val="2"/>
            <w:vMerge w:val="restart"/>
            <w:vAlign w:val="center"/>
          </w:tcPr>
          <w:p>
            <w:pPr>
              <w:adjustRightInd w:val="0"/>
              <w:snapToGrid w:val="0"/>
              <w:jc w:val="center"/>
              <w:rPr>
                <w:rFonts w:eastAsiaTheme="minorEastAsia"/>
                <w:szCs w:val="21"/>
              </w:rPr>
            </w:pPr>
            <w:r>
              <w:rPr>
                <w:rFonts w:eastAsiaTheme="minorEastAsia"/>
                <w:szCs w:val="21"/>
              </w:rPr>
              <w:t>无组织排放总计</w:t>
            </w:r>
          </w:p>
        </w:tc>
        <w:tc>
          <w:tcPr>
            <w:tcW w:w="3467" w:type="pct"/>
            <w:gridSpan w:val="5"/>
            <w:vAlign w:val="center"/>
          </w:tcPr>
          <w:p>
            <w:pPr>
              <w:adjustRightInd w:val="0"/>
              <w:snapToGrid w:val="0"/>
              <w:jc w:val="center"/>
              <w:rPr>
                <w:rFonts w:eastAsiaTheme="minorEastAsia"/>
                <w:szCs w:val="21"/>
                <w:u w:val="single"/>
              </w:rPr>
            </w:pPr>
            <w:r>
              <w:rPr>
                <w:rFonts w:eastAsiaTheme="minorEastAsia"/>
                <w:szCs w:val="21"/>
                <w:u w:val="single"/>
              </w:rPr>
              <w:t>氨气</w:t>
            </w:r>
          </w:p>
        </w:tc>
        <w:tc>
          <w:tcPr>
            <w:tcW w:w="669" w:type="pct"/>
            <w:vAlign w:val="center"/>
          </w:tcPr>
          <w:p>
            <w:pPr>
              <w:adjustRightInd w:val="0"/>
              <w:snapToGrid w:val="0"/>
              <w:jc w:val="center"/>
              <w:rPr>
                <w:rFonts w:eastAsiaTheme="minorEastAsia"/>
                <w:szCs w:val="21"/>
              </w:rPr>
            </w:pPr>
            <w:r>
              <w:rPr>
                <w:rFonts w:eastAsiaTheme="minorEastAsia"/>
                <w:kern w:val="0"/>
                <w:szCs w:val="21"/>
                <w:u w:val="single"/>
              </w:rPr>
              <w:t>0.0016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4" w:type="pct"/>
            <w:gridSpan w:val="2"/>
            <w:vMerge w:val="continue"/>
            <w:vAlign w:val="center"/>
          </w:tcPr>
          <w:p>
            <w:pPr>
              <w:adjustRightInd w:val="0"/>
              <w:snapToGrid w:val="0"/>
              <w:jc w:val="center"/>
              <w:rPr>
                <w:rFonts w:eastAsiaTheme="minorEastAsia"/>
                <w:szCs w:val="21"/>
              </w:rPr>
            </w:pPr>
          </w:p>
        </w:tc>
        <w:tc>
          <w:tcPr>
            <w:tcW w:w="3467" w:type="pct"/>
            <w:gridSpan w:val="5"/>
            <w:vAlign w:val="center"/>
          </w:tcPr>
          <w:p>
            <w:pPr>
              <w:adjustRightInd w:val="0"/>
              <w:snapToGrid w:val="0"/>
              <w:jc w:val="center"/>
              <w:rPr>
                <w:rFonts w:eastAsiaTheme="minorEastAsia"/>
                <w:szCs w:val="21"/>
                <w:u w:val="single"/>
              </w:rPr>
            </w:pPr>
            <w:r>
              <w:rPr>
                <w:rFonts w:eastAsiaTheme="minorEastAsia"/>
                <w:szCs w:val="21"/>
                <w:u w:val="single"/>
              </w:rPr>
              <w:t>硫化氢</w:t>
            </w:r>
          </w:p>
        </w:tc>
        <w:tc>
          <w:tcPr>
            <w:tcW w:w="669" w:type="pct"/>
            <w:vAlign w:val="center"/>
          </w:tcPr>
          <w:p>
            <w:pPr>
              <w:adjustRightInd w:val="0"/>
              <w:snapToGrid w:val="0"/>
              <w:jc w:val="center"/>
              <w:rPr>
                <w:rFonts w:eastAsiaTheme="minorEastAsia"/>
                <w:szCs w:val="21"/>
              </w:rPr>
            </w:pPr>
            <w:r>
              <w:rPr>
                <w:rFonts w:eastAsiaTheme="minorEastAsia"/>
                <w:kern w:val="0"/>
                <w:szCs w:val="21"/>
                <w:u w:val="single"/>
              </w:rPr>
              <w:t>0.000062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4" w:type="pct"/>
            <w:gridSpan w:val="2"/>
            <w:vMerge w:val="continue"/>
            <w:vAlign w:val="center"/>
          </w:tcPr>
          <w:p>
            <w:pPr>
              <w:adjustRightInd w:val="0"/>
              <w:snapToGrid w:val="0"/>
              <w:jc w:val="center"/>
              <w:rPr>
                <w:rFonts w:eastAsiaTheme="minorEastAsia"/>
                <w:szCs w:val="21"/>
              </w:rPr>
            </w:pPr>
          </w:p>
        </w:tc>
        <w:tc>
          <w:tcPr>
            <w:tcW w:w="3467" w:type="pct"/>
            <w:gridSpan w:val="5"/>
            <w:vAlign w:val="center"/>
          </w:tcPr>
          <w:p>
            <w:pPr>
              <w:adjustRightInd w:val="0"/>
              <w:snapToGrid w:val="0"/>
              <w:jc w:val="center"/>
              <w:rPr>
                <w:rFonts w:eastAsiaTheme="minorEastAsia"/>
                <w:szCs w:val="21"/>
              </w:rPr>
            </w:pPr>
            <w:r>
              <w:rPr>
                <w:kern w:val="0"/>
                <w:szCs w:val="21"/>
                <w:lang w:bidi="en-US"/>
              </w:rPr>
              <w:t>NO</w:t>
            </w:r>
            <w:r>
              <w:rPr>
                <w:kern w:val="0"/>
                <w:szCs w:val="21"/>
                <w:vertAlign w:val="subscript"/>
                <w:lang w:bidi="en-US"/>
              </w:rPr>
              <w:t>2</w:t>
            </w:r>
          </w:p>
        </w:tc>
        <w:tc>
          <w:tcPr>
            <w:tcW w:w="669" w:type="pct"/>
            <w:vAlign w:val="center"/>
          </w:tcPr>
          <w:p>
            <w:pPr>
              <w:adjustRightInd w:val="0"/>
              <w:snapToGrid w:val="0"/>
              <w:jc w:val="center"/>
              <w:rPr>
                <w:rFonts w:eastAsiaTheme="minorEastAsia"/>
                <w:szCs w:val="21"/>
              </w:rPr>
            </w:pPr>
            <w:r>
              <w:rPr>
                <w:rFonts w:eastAsia="等线"/>
                <w:kern w:val="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4" w:type="pct"/>
            <w:gridSpan w:val="2"/>
            <w:vMerge w:val="continue"/>
            <w:vAlign w:val="center"/>
          </w:tcPr>
          <w:p>
            <w:pPr>
              <w:adjustRightInd w:val="0"/>
              <w:snapToGrid w:val="0"/>
              <w:jc w:val="center"/>
              <w:rPr>
                <w:rFonts w:eastAsiaTheme="minorEastAsia"/>
                <w:szCs w:val="21"/>
              </w:rPr>
            </w:pPr>
          </w:p>
        </w:tc>
        <w:tc>
          <w:tcPr>
            <w:tcW w:w="3467" w:type="pct"/>
            <w:gridSpan w:val="5"/>
            <w:vAlign w:val="center"/>
          </w:tcPr>
          <w:p>
            <w:pPr>
              <w:adjustRightInd w:val="0"/>
              <w:snapToGrid w:val="0"/>
              <w:jc w:val="center"/>
              <w:rPr>
                <w:rFonts w:eastAsiaTheme="minorEastAsia"/>
                <w:szCs w:val="21"/>
              </w:rPr>
            </w:pPr>
            <w:r>
              <w:rPr>
                <w:kern w:val="0"/>
                <w:szCs w:val="21"/>
                <w:lang w:bidi="en-US"/>
              </w:rPr>
              <w:t>CO</w:t>
            </w:r>
          </w:p>
        </w:tc>
        <w:tc>
          <w:tcPr>
            <w:tcW w:w="669" w:type="pct"/>
            <w:vAlign w:val="center"/>
          </w:tcPr>
          <w:p>
            <w:pPr>
              <w:adjustRightInd w:val="0"/>
              <w:snapToGrid w:val="0"/>
              <w:jc w:val="center"/>
              <w:rPr>
                <w:rFonts w:eastAsiaTheme="minorEastAsia"/>
                <w:szCs w:val="21"/>
              </w:rPr>
            </w:pPr>
            <w:r>
              <w:rPr>
                <w:rFonts w:eastAsia="等线"/>
                <w:kern w:val="0"/>
                <w:szCs w:val="21"/>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64" w:type="pct"/>
            <w:gridSpan w:val="2"/>
            <w:vMerge w:val="continue"/>
            <w:vAlign w:val="center"/>
          </w:tcPr>
          <w:p>
            <w:pPr>
              <w:adjustRightInd w:val="0"/>
              <w:snapToGrid w:val="0"/>
              <w:jc w:val="center"/>
              <w:rPr>
                <w:rFonts w:eastAsiaTheme="minorEastAsia"/>
                <w:szCs w:val="21"/>
              </w:rPr>
            </w:pPr>
          </w:p>
        </w:tc>
        <w:tc>
          <w:tcPr>
            <w:tcW w:w="3467" w:type="pct"/>
            <w:gridSpan w:val="5"/>
            <w:vAlign w:val="center"/>
          </w:tcPr>
          <w:p>
            <w:pPr>
              <w:adjustRightInd w:val="0"/>
              <w:snapToGrid w:val="0"/>
              <w:jc w:val="center"/>
              <w:rPr>
                <w:rFonts w:eastAsiaTheme="minorEastAsia"/>
                <w:szCs w:val="21"/>
              </w:rPr>
            </w:pPr>
            <w:r>
              <w:rPr>
                <w:kern w:val="0"/>
                <w:szCs w:val="21"/>
                <w:lang w:bidi="en-US"/>
              </w:rPr>
              <w:t>THC</w:t>
            </w:r>
          </w:p>
        </w:tc>
        <w:tc>
          <w:tcPr>
            <w:tcW w:w="669" w:type="pct"/>
            <w:vAlign w:val="center"/>
          </w:tcPr>
          <w:p>
            <w:pPr>
              <w:adjustRightInd w:val="0"/>
              <w:snapToGrid w:val="0"/>
              <w:jc w:val="center"/>
              <w:rPr>
                <w:rFonts w:eastAsiaTheme="minorEastAsia"/>
                <w:szCs w:val="21"/>
              </w:rPr>
            </w:pPr>
            <w:r>
              <w:rPr>
                <w:rFonts w:eastAsia="等线"/>
                <w:kern w:val="0"/>
                <w:szCs w:val="21"/>
              </w:rPr>
              <w:t>0.03</w:t>
            </w:r>
          </w:p>
        </w:tc>
      </w:tr>
      <w:bookmarkEnd w:id="133"/>
      <w:bookmarkEnd w:id="134"/>
    </w:tbl>
    <w:p>
      <w:pPr>
        <w:autoSpaceDE w:val="0"/>
        <w:autoSpaceDN w:val="0"/>
        <w:adjustRightInd w:val="0"/>
        <w:snapToGrid w:val="0"/>
        <w:spacing w:line="360" w:lineRule="auto"/>
        <w:jc w:val="center"/>
        <w:rPr>
          <w:rFonts w:eastAsiaTheme="minorEastAsia"/>
          <w:b/>
          <w:bCs/>
          <w:sz w:val="24"/>
        </w:rPr>
      </w:pPr>
      <w:r>
        <w:rPr>
          <w:rFonts w:eastAsiaTheme="minorEastAsia"/>
          <w:b/>
          <w:bCs/>
          <w:sz w:val="24"/>
        </w:rPr>
        <w:t>表6.2-9  大气污染物年排放量核算表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86"/>
        <w:gridCol w:w="3320"/>
        <w:gridCol w:w="34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b/>
                <w:bCs/>
                <w:color w:val="000000" w:themeColor="text1"/>
                <w:szCs w:val="21"/>
              </w:rPr>
            </w:pPr>
            <w:r>
              <w:rPr>
                <w:b/>
                <w:bCs/>
                <w:color w:val="000000" w:themeColor="text1"/>
                <w:szCs w:val="21"/>
              </w:rPr>
              <w:t>序号</w:t>
            </w:r>
          </w:p>
        </w:tc>
        <w:tc>
          <w:tcPr>
            <w:tcW w:w="1889" w:type="pct"/>
            <w:vAlign w:val="center"/>
          </w:tcPr>
          <w:p>
            <w:pPr>
              <w:adjustRightInd w:val="0"/>
              <w:snapToGrid w:val="0"/>
              <w:spacing w:before="24"/>
              <w:jc w:val="center"/>
              <w:rPr>
                <w:b/>
                <w:bCs/>
                <w:color w:val="000000" w:themeColor="text1"/>
                <w:szCs w:val="21"/>
              </w:rPr>
            </w:pPr>
            <w:r>
              <w:rPr>
                <w:b/>
                <w:bCs/>
                <w:color w:val="000000" w:themeColor="text1"/>
                <w:szCs w:val="21"/>
              </w:rPr>
              <w:t>污染物</w:t>
            </w:r>
          </w:p>
        </w:tc>
        <w:tc>
          <w:tcPr>
            <w:tcW w:w="1981" w:type="pct"/>
            <w:vAlign w:val="center"/>
          </w:tcPr>
          <w:p>
            <w:pPr>
              <w:adjustRightInd w:val="0"/>
              <w:snapToGrid w:val="0"/>
              <w:spacing w:before="24"/>
              <w:jc w:val="center"/>
              <w:rPr>
                <w:b/>
                <w:bCs/>
                <w:color w:val="000000" w:themeColor="text1"/>
                <w:szCs w:val="21"/>
              </w:rPr>
            </w:pPr>
            <w:r>
              <w:rPr>
                <w:b/>
                <w:bCs/>
                <w:color w:val="000000" w:themeColor="text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rPr>
            </w:pPr>
            <w:r>
              <w:rPr>
                <w:color w:val="000000" w:themeColor="text1"/>
                <w:szCs w:val="21"/>
              </w:rPr>
              <w:t>1</w:t>
            </w:r>
          </w:p>
        </w:tc>
        <w:tc>
          <w:tcPr>
            <w:tcW w:w="1889" w:type="pct"/>
            <w:vAlign w:val="center"/>
          </w:tcPr>
          <w:p>
            <w:pPr>
              <w:snapToGrid w:val="0"/>
              <w:jc w:val="center"/>
              <w:rPr>
                <w:szCs w:val="21"/>
              </w:rPr>
            </w:pPr>
            <w:r>
              <w:rPr>
                <w:rFonts w:eastAsiaTheme="minorEastAsia"/>
                <w:szCs w:val="21"/>
              </w:rPr>
              <w:t>二氧化硫</w:t>
            </w:r>
          </w:p>
        </w:tc>
        <w:tc>
          <w:tcPr>
            <w:tcW w:w="1981" w:type="pct"/>
            <w:vAlign w:val="center"/>
          </w:tcPr>
          <w:p>
            <w:pPr>
              <w:adjustRightInd w:val="0"/>
              <w:snapToGrid w:val="0"/>
              <w:spacing w:before="24"/>
              <w:jc w:val="center"/>
              <w:rPr>
                <w:color w:val="000000" w:themeColor="text1"/>
                <w:szCs w:val="21"/>
              </w:rPr>
            </w:pPr>
            <w:r>
              <w:rPr>
                <w:rFonts w:eastAsiaTheme="minorEastAsia"/>
                <w:szCs w:val="21"/>
              </w:rPr>
              <w:t>0.01265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rPr>
            </w:pPr>
            <w:r>
              <w:rPr>
                <w:color w:val="000000" w:themeColor="text1"/>
                <w:szCs w:val="21"/>
              </w:rPr>
              <w:t>2</w:t>
            </w:r>
          </w:p>
        </w:tc>
        <w:tc>
          <w:tcPr>
            <w:tcW w:w="1889" w:type="pct"/>
            <w:vAlign w:val="center"/>
          </w:tcPr>
          <w:p>
            <w:pPr>
              <w:snapToGrid w:val="0"/>
              <w:jc w:val="center"/>
              <w:rPr>
                <w:szCs w:val="21"/>
              </w:rPr>
            </w:pPr>
            <w:r>
              <w:rPr>
                <w:rFonts w:eastAsiaTheme="minorEastAsia"/>
                <w:szCs w:val="21"/>
              </w:rPr>
              <w:t>氮氧化物</w:t>
            </w:r>
          </w:p>
        </w:tc>
        <w:tc>
          <w:tcPr>
            <w:tcW w:w="1981" w:type="pct"/>
            <w:vAlign w:val="center"/>
          </w:tcPr>
          <w:p>
            <w:pPr>
              <w:adjustRightInd w:val="0"/>
              <w:snapToGrid w:val="0"/>
              <w:spacing w:before="24"/>
              <w:jc w:val="center"/>
              <w:rPr>
                <w:color w:val="000000" w:themeColor="text1"/>
                <w:szCs w:val="21"/>
              </w:rPr>
            </w:pPr>
            <w:r>
              <w:rPr>
                <w:rFonts w:eastAsiaTheme="minorEastAsia"/>
                <w:szCs w:val="21"/>
              </w:rPr>
              <w:t>0.00814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rPr>
            </w:pPr>
            <w:r>
              <w:rPr>
                <w:color w:val="000000" w:themeColor="text1"/>
                <w:szCs w:val="21"/>
              </w:rPr>
              <w:t>3</w:t>
            </w:r>
          </w:p>
        </w:tc>
        <w:tc>
          <w:tcPr>
            <w:tcW w:w="1889" w:type="pct"/>
            <w:vAlign w:val="center"/>
          </w:tcPr>
          <w:p>
            <w:pPr>
              <w:snapToGrid w:val="0"/>
              <w:jc w:val="center"/>
              <w:rPr>
                <w:szCs w:val="21"/>
              </w:rPr>
            </w:pPr>
            <w:r>
              <w:rPr>
                <w:rFonts w:eastAsiaTheme="minorEastAsia"/>
                <w:szCs w:val="21"/>
              </w:rPr>
              <w:t>颗粒物</w:t>
            </w:r>
          </w:p>
        </w:tc>
        <w:tc>
          <w:tcPr>
            <w:tcW w:w="1981" w:type="pct"/>
            <w:vAlign w:val="center"/>
          </w:tcPr>
          <w:p>
            <w:pPr>
              <w:adjustRightInd w:val="0"/>
              <w:snapToGrid w:val="0"/>
              <w:spacing w:before="24"/>
              <w:jc w:val="center"/>
              <w:rPr>
                <w:color w:val="000000" w:themeColor="text1"/>
                <w:szCs w:val="21"/>
              </w:rPr>
            </w:pPr>
            <w:r>
              <w:rPr>
                <w:rFonts w:eastAsiaTheme="minorEastAsia"/>
                <w:szCs w:val="21"/>
              </w:rPr>
              <w:t>0.00224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rPr>
            </w:pPr>
            <w:r>
              <w:rPr>
                <w:color w:val="000000" w:themeColor="text1"/>
                <w:szCs w:val="21"/>
              </w:rPr>
              <w:t>4</w:t>
            </w:r>
          </w:p>
        </w:tc>
        <w:tc>
          <w:tcPr>
            <w:tcW w:w="1889" w:type="pct"/>
            <w:vAlign w:val="center"/>
          </w:tcPr>
          <w:p>
            <w:pPr>
              <w:snapToGrid w:val="0"/>
              <w:jc w:val="center"/>
              <w:rPr>
                <w:szCs w:val="21"/>
              </w:rPr>
            </w:pPr>
            <w:r>
              <w:rPr>
                <w:rFonts w:eastAsiaTheme="minorEastAsia"/>
                <w:szCs w:val="21"/>
              </w:rPr>
              <w:t>食堂油烟</w:t>
            </w:r>
          </w:p>
        </w:tc>
        <w:tc>
          <w:tcPr>
            <w:tcW w:w="1981" w:type="pct"/>
            <w:vAlign w:val="center"/>
          </w:tcPr>
          <w:p>
            <w:pPr>
              <w:adjustRightInd w:val="0"/>
              <w:snapToGrid w:val="0"/>
              <w:spacing w:before="24"/>
              <w:jc w:val="center"/>
              <w:rPr>
                <w:color w:val="000000" w:themeColor="text1"/>
                <w:szCs w:val="21"/>
              </w:rPr>
            </w:pPr>
            <w:r>
              <w:rPr>
                <w:rFonts w:eastAsiaTheme="minorEastAsia"/>
                <w:szCs w:val="21"/>
              </w:rPr>
              <w:t>0.09198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u w:val="single"/>
              </w:rPr>
            </w:pPr>
            <w:r>
              <w:rPr>
                <w:color w:val="000000" w:themeColor="text1"/>
                <w:szCs w:val="21"/>
                <w:u w:val="single"/>
              </w:rPr>
              <w:t>5</w:t>
            </w:r>
          </w:p>
        </w:tc>
        <w:tc>
          <w:tcPr>
            <w:tcW w:w="1889" w:type="pct"/>
            <w:vAlign w:val="center"/>
          </w:tcPr>
          <w:p>
            <w:pPr>
              <w:snapToGrid w:val="0"/>
              <w:jc w:val="center"/>
              <w:rPr>
                <w:szCs w:val="21"/>
                <w:u w:val="single"/>
              </w:rPr>
            </w:pPr>
            <w:r>
              <w:rPr>
                <w:rFonts w:eastAsiaTheme="minorEastAsia"/>
                <w:szCs w:val="21"/>
                <w:u w:val="single"/>
              </w:rPr>
              <w:t>氨气</w:t>
            </w:r>
          </w:p>
        </w:tc>
        <w:tc>
          <w:tcPr>
            <w:tcW w:w="1981" w:type="pct"/>
            <w:vAlign w:val="center"/>
          </w:tcPr>
          <w:p>
            <w:pPr>
              <w:adjustRightInd w:val="0"/>
              <w:snapToGrid w:val="0"/>
              <w:spacing w:before="24" w:after="24"/>
              <w:jc w:val="center"/>
              <w:rPr>
                <w:kern w:val="0"/>
                <w:szCs w:val="21"/>
                <w:u w:val="single"/>
              </w:rPr>
            </w:pPr>
            <w:r>
              <w:rPr>
                <w:rFonts w:eastAsiaTheme="minorEastAsia"/>
                <w:szCs w:val="21"/>
                <w:u w:val="single"/>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u w:val="single"/>
              </w:rPr>
            </w:pPr>
            <w:r>
              <w:rPr>
                <w:color w:val="000000" w:themeColor="text1"/>
                <w:szCs w:val="21"/>
                <w:u w:val="single"/>
              </w:rPr>
              <w:t>6</w:t>
            </w:r>
          </w:p>
        </w:tc>
        <w:tc>
          <w:tcPr>
            <w:tcW w:w="1889" w:type="pct"/>
            <w:vAlign w:val="center"/>
          </w:tcPr>
          <w:p>
            <w:pPr>
              <w:adjustRightInd w:val="0"/>
              <w:snapToGrid w:val="0"/>
              <w:jc w:val="center"/>
              <w:rPr>
                <w:szCs w:val="21"/>
                <w:u w:val="single"/>
              </w:rPr>
            </w:pPr>
            <w:r>
              <w:rPr>
                <w:rFonts w:eastAsiaTheme="minorEastAsia"/>
                <w:szCs w:val="21"/>
                <w:u w:val="single"/>
              </w:rPr>
              <w:t>硫化氢</w:t>
            </w:r>
          </w:p>
        </w:tc>
        <w:tc>
          <w:tcPr>
            <w:tcW w:w="1981" w:type="pct"/>
            <w:vAlign w:val="center"/>
          </w:tcPr>
          <w:p>
            <w:pPr>
              <w:adjustRightInd w:val="0"/>
              <w:snapToGrid w:val="0"/>
              <w:spacing w:before="24"/>
              <w:jc w:val="center"/>
              <w:rPr>
                <w:color w:val="000000" w:themeColor="text1"/>
                <w:szCs w:val="21"/>
                <w:u w:val="single"/>
              </w:rPr>
            </w:pPr>
            <w:r>
              <w:rPr>
                <w:rFonts w:eastAsiaTheme="minorEastAsia"/>
                <w:szCs w:val="21"/>
                <w:u w:val="single"/>
              </w:rPr>
              <w:t>0.000</w:t>
            </w:r>
            <w:r>
              <w:rPr>
                <w:rFonts w:hint="eastAsia" w:eastAsiaTheme="minorEastAsia"/>
                <w:szCs w:val="21"/>
                <w:u w:val="single"/>
              </w:rPr>
              <w:t>012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rPr>
            </w:pPr>
            <w:r>
              <w:rPr>
                <w:color w:val="000000" w:themeColor="text1"/>
                <w:szCs w:val="21"/>
              </w:rPr>
              <w:t>7</w:t>
            </w:r>
          </w:p>
        </w:tc>
        <w:tc>
          <w:tcPr>
            <w:tcW w:w="1889" w:type="pct"/>
            <w:vAlign w:val="center"/>
          </w:tcPr>
          <w:p>
            <w:pPr>
              <w:adjustRightInd w:val="0"/>
              <w:snapToGrid w:val="0"/>
              <w:spacing w:before="24"/>
              <w:jc w:val="center"/>
              <w:rPr>
                <w:color w:val="000000" w:themeColor="text1"/>
                <w:szCs w:val="21"/>
              </w:rPr>
            </w:pPr>
            <w:r>
              <w:rPr>
                <w:kern w:val="0"/>
                <w:szCs w:val="21"/>
                <w:lang w:bidi="en-US"/>
              </w:rPr>
              <w:t>NO</w:t>
            </w:r>
            <w:r>
              <w:rPr>
                <w:kern w:val="0"/>
                <w:szCs w:val="21"/>
                <w:vertAlign w:val="subscript"/>
                <w:lang w:bidi="en-US"/>
              </w:rPr>
              <w:t>2</w:t>
            </w:r>
          </w:p>
        </w:tc>
        <w:tc>
          <w:tcPr>
            <w:tcW w:w="1981" w:type="pct"/>
            <w:vAlign w:val="center"/>
          </w:tcPr>
          <w:p>
            <w:pPr>
              <w:adjustRightInd w:val="0"/>
              <w:snapToGrid w:val="0"/>
              <w:spacing w:before="24"/>
              <w:jc w:val="center"/>
              <w:rPr>
                <w:color w:val="000000" w:themeColor="text1"/>
                <w:szCs w:val="21"/>
              </w:rPr>
            </w:pPr>
            <w:r>
              <w:rPr>
                <w:rFonts w:eastAsia="等线"/>
                <w:kern w:val="0"/>
                <w:szCs w:val="21"/>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rPr>
            </w:pPr>
            <w:r>
              <w:rPr>
                <w:color w:val="000000" w:themeColor="text1"/>
                <w:szCs w:val="21"/>
              </w:rPr>
              <w:t>8</w:t>
            </w:r>
          </w:p>
        </w:tc>
        <w:tc>
          <w:tcPr>
            <w:tcW w:w="1889" w:type="pct"/>
            <w:vAlign w:val="center"/>
          </w:tcPr>
          <w:p>
            <w:pPr>
              <w:adjustRightInd w:val="0"/>
              <w:snapToGrid w:val="0"/>
              <w:spacing w:before="24"/>
              <w:jc w:val="center"/>
              <w:rPr>
                <w:kern w:val="0"/>
                <w:szCs w:val="21"/>
                <w:lang w:bidi="en-US"/>
              </w:rPr>
            </w:pPr>
            <w:r>
              <w:rPr>
                <w:kern w:val="0"/>
                <w:szCs w:val="21"/>
                <w:lang w:bidi="en-US"/>
              </w:rPr>
              <w:t>CO</w:t>
            </w:r>
          </w:p>
        </w:tc>
        <w:tc>
          <w:tcPr>
            <w:tcW w:w="1981" w:type="pct"/>
            <w:vAlign w:val="center"/>
          </w:tcPr>
          <w:p>
            <w:pPr>
              <w:adjustRightInd w:val="0"/>
              <w:snapToGrid w:val="0"/>
              <w:spacing w:before="24"/>
              <w:jc w:val="center"/>
              <w:rPr>
                <w:color w:val="000000" w:themeColor="text1"/>
                <w:szCs w:val="21"/>
              </w:rPr>
            </w:pPr>
            <w:r>
              <w:rPr>
                <w:rFonts w:eastAsia="等线"/>
                <w:kern w:val="0"/>
                <w:szCs w:val="21"/>
              </w:rPr>
              <w:t>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30" w:type="pct"/>
            <w:vAlign w:val="center"/>
          </w:tcPr>
          <w:p>
            <w:pPr>
              <w:adjustRightInd w:val="0"/>
              <w:snapToGrid w:val="0"/>
              <w:spacing w:before="24"/>
              <w:jc w:val="center"/>
              <w:rPr>
                <w:color w:val="000000" w:themeColor="text1"/>
                <w:szCs w:val="21"/>
              </w:rPr>
            </w:pPr>
            <w:r>
              <w:rPr>
                <w:color w:val="000000" w:themeColor="text1"/>
                <w:szCs w:val="21"/>
              </w:rPr>
              <w:t>9</w:t>
            </w:r>
          </w:p>
        </w:tc>
        <w:tc>
          <w:tcPr>
            <w:tcW w:w="1889" w:type="pct"/>
            <w:vAlign w:val="center"/>
          </w:tcPr>
          <w:p>
            <w:pPr>
              <w:adjustRightInd w:val="0"/>
              <w:snapToGrid w:val="0"/>
              <w:spacing w:before="24"/>
              <w:jc w:val="center"/>
              <w:rPr>
                <w:kern w:val="0"/>
                <w:szCs w:val="21"/>
                <w:lang w:bidi="en-US"/>
              </w:rPr>
            </w:pPr>
            <w:r>
              <w:rPr>
                <w:kern w:val="0"/>
                <w:szCs w:val="21"/>
                <w:lang w:bidi="en-US"/>
              </w:rPr>
              <w:t>THC</w:t>
            </w:r>
          </w:p>
        </w:tc>
        <w:tc>
          <w:tcPr>
            <w:tcW w:w="1981" w:type="pct"/>
            <w:vAlign w:val="center"/>
          </w:tcPr>
          <w:p>
            <w:pPr>
              <w:adjustRightInd w:val="0"/>
              <w:snapToGrid w:val="0"/>
              <w:spacing w:before="24"/>
              <w:jc w:val="center"/>
              <w:rPr>
                <w:color w:val="000000" w:themeColor="text1"/>
                <w:szCs w:val="21"/>
              </w:rPr>
            </w:pPr>
            <w:r>
              <w:rPr>
                <w:rFonts w:eastAsia="等线"/>
                <w:kern w:val="0"/>
                <w:szCs w:val="21"/>
              </w:rPr>
              <w:t>0.03</w:t>
            </w:r>
          </w:p>
        </w:tc>
      </w:tr>
    </w:tbl>
    <w:p>
      <w:pPr>
        <w:pStyle w:val="3"/>
        <w:snapToGrid w:val="0"/>
        <w:spacing w:before="0" w:after="0" w:line="360" w:lineRule="auto"/>
        <w:rPr>
          <w:rFonts w:ascii="Times New Roman" w:hAnsi="Times New Roman" w:eastAsiaTheme="minorEastAsia"/>
          <w:sz w:val="28"/>
          <w:lang w:val="zh-CN"/>
        </w:rPr>
      </w:pPr>
      <w:bookmarkStart w:id="136" w:name="_Toc61026612"/>
      <w:r>
        <w:rPr>
          <w:rFonts w:ascii="Times New Roman" w:hAnsi="Times New Roman" w:eastAsiaTheme="minorEastAsia"/>
          <w:sz w:val="28"/>
          <w:lang w:val="zh-CN"/>
        </w:rPr>
        <w:t>6.3 营运期地表水环境影响评价</w:t>
      </w:r>
      <w:bookmarkEnd w:id="136"/>
    </w:p>
    <w:p>
      <w:pPr>
        <w:snapToGrid w:val="0"/>
        <w:spacing w:line="360" w:lineRule="auto"/>
        <w:ind w:firstLine="482" w:firstLineChars="200"/>
        <w:rPr>
          <w:rFonts w:eastAsiaTheme="minorEastAsia"/>
          <w:b/>
          <w:bCs/>
          <w:sz w:val="24"/>
        </w:rPr>
      </w:pPr>
      <w:r>
        <w:rPr>
          <w:rFonts w:eastAsiaTheme="minorEastAsia"/>
          <w:b/>
          <w:bCs/>
          <w:sz w:val="24"/>
        </w:rPr>
        <w:t>（1）废水处理方式及排放去向</w:t>
      </w:r>
    </w:p>
    <w:p>
      <w:pPr>
        <w:snapToGrid w:val="0"/>
        <w:spacing w:line="360" w:lineRule="auto"/>
        <w:ind w:firstLine="480" w:firstLineChars="200"/>
        <w:rPr>
          <w:rFonts w:eastAsiaTheme="minorEastAsia"/>
          <w:sz w:val="24"/>
        </w:rPr>
      </w:pPr>
      <w:r>
        <w:rPr>
          <w:rFonts w:eastAsiaTheme="minorEastAsia"/>
          <w:sz w:val="24"/>
        </w:rPr>
        <w:t>项目建成后，废水主要包括普通医疗废水（医院住院部综合废水、医务人员废水、医院门诊急诊废水、体检中心废水）、特殊医疗废水（检验室检验废水、口腔科废水）和食堂餐饮废水。各类废水排放量如下表：</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表6.3-1 本项目废水种类及排放量</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3"/>
        <w:gridCol w:w="3121"/>
        <w:gridCol w:w="2344"/>
        <w:gridCol w:w="23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8" w:type="pct"/>
            <w:vAlign w:val="center"/>
          </w:tcPr>
          <w:p>
            <w:pPr>
              <w:widowControl/>
              <w:snapToGrid w:val="0"/>
              <w:jc w:val="center"/>
              <w:rPr>
                <w:rFonts w:eastAsiaTheme="minorEastAsia"/>
                <w:b/>
                <w:szCs w:val="21"/>
              </w:rPr>
            </w:pPr>
            <w:r>
              <w:rPr>
                <w:rFonts w:eastAsiaTheme="minorEastAsia"/>
                <w:b/>
                <w:szCs w:val="21"/>
              </w:rPr>
              <w:t>序号</w:t>
            </w:r>
          </w:p>
        </w:tc>
        <w:tc>
          <w:tcPr>
            <w:tcW w:w="1775" w:type="pct"/>
            <w:vAlign w:val="center"/>
          </w:tcPr>
          <w:p>
            <w:pPr>
              <w:widowControl/>
              <w:snapToGrid w:val="0"/>
              <w:jc w:val="center"/>
              <w:rPr>
                <w:rFonts w:eastAsiaTheme="minorEastAsia"/>
                <w:b/>
                <w:szCs w:val="21"/>
              </w:rPr>
            </w:pPr>
            <w:r>
              <w:rPr>
                <w:rFonts w:eastAsiaTheme="minorEastAsia"/>
                <w:b/>
                <w:szCs w:val="21"/>
              </w:rPr>
              <w:t>用水项目名称</w:t>
            </w:r>
          </w:p>
        </w:tc>
        <w:tc>
          <w:tcPr>
            <w:tcW w:w="1333" w:type="pct"/>
            <w:vAlign w:val="center"/>
          </w:tcPr>
          <w:p>
            <w:pPr>
              <w:widowControl/>
              <w:snapToGrid w:val="0"/>
              <w:jc w:val="center"/>
              <w:rPr>
                <w:rFonts w:eastAsiaTheme="minorEastAsia"/>
                <w:b/>
                <w:szCs w:val="21"/>
              </w:rPr>
            </w:pPr>
            <w:r>
              <w:rPr>
                <w:rFonts w:eastAsiaTheme="minorEastAsia"/>
                <w:b/>
                <w:szCs w:val="21"/>
              </w:rPr>
              <w:t>日排水量m</w:t>
            </w:r>
            <w:r>
              <w:rPr>
                <w:rFonts w:eastAsiaTheme="minorEastAsia"/>
                <w:b/>
                <w:szCs w:val="21"/>
                <w:vertAlign w:val="superscript"/>
              </w:rPr>
              <w:t>3</w:t>
            </w:r>
            <w:r>
              <w:rPr>
                <w:rFonts w:eastAsiaTheme="minorEastAsia"/>
                <w:b/>
                <w:szCs w:val="21"/>
              </w:rPr>
              <w:t>/d</w:t>
            </w:r>
          </w:p>
        </w:tc>
        <w:tc>
          <w:tcPr>
            <w:tcW w:w="1343" w:type="pct"/>
            <w:vAlign w:val="center"/>
          </w:tcPr>
          <w:p>
            <w:pPr>
              <w:widowControl/>
              <w:snapToGrid w:val="0"/>
              <w:jc w:val="center"/>
              <w:rPr>
                <w:rFonts w:eastAsiaTheme="minorEastAsia"/>
                <w:b/>
                <w:szCs w:val="21"/>
              </w:rPr>
            </w:pPr>
            <w:r>
              <w:rPr>
                <w:rFonts w:eastAsiaTheme="minorEastAsia"/>
                <w:b/>
                <w:szCs w:val="21"/>
              </w:rPr>
              <w:t>年排水量m</w:t>
            </w:r>
            <w:r>
              <w:rPr>
                <w:rFonts w:eastAsiaTheme="minorEastAsia"/>
                <w:b/>
                <w:szCs w:val="21"/>
                <w:vertAlign w:val="superscript"/>
              </w:rPr>
              <w:t>3</w:t>
            </w:r>
            <w:r>
              <w:rPr>
                <w:rFonts w:eastAsiaTheme="minorEastAsia"/>
                <w:b/>
                <w:szCs w:val="21"/>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8" w:type="pct"/>
            <w:vAlign w:val="center"/>
          </w:tcPr>
          <w:p>
            <w:pPr>
              <w:widowControl/>
              <w:snapToGrid w:val="0"/>
              <w:jc w:val="center"/>
              <w:rPr>
                <w:rFonts w:eastAsiaTheme="minorEastAsia"/>
                <w:szCs w:val="21"/>
              </w:rPr>
            </w:pPr>
            <w:r>
              <w:rPr>
                <w:rFonts w:eastAsiaTheme="minorEastAsia"/>
                <w:szCs w:val="21"/>
              </w:rPr>
              <w:t>1</w:t>
            </w:r>
          </w:p>
        </w:tc>
        <w:tc>
          <w:tcPr>
            <w:tcW w:w="1775" w:type="pct"/>
            <w:vAlign w:val="center"/>
          </w:tcPr>
          <w:p>
            <w:pPr>
              <w:widowControl/>
              <w:snapToGrid w:val="0"/>
              <w:jc w:val="center"/>
              <w:rPr>
                <w:rFonts w:eastAsiaTheme="minorEastAsia"/>
                <w:szCs w:val="21"/>
              </w:rPr>
            </w:pPr>
            <w:r>
              <w:rPr>
                <w:rFonts w:eastAsiaTheme="minorEastAsia"/>
                <w:szCs w:val="21"/>
              </w:rPr>
              <w:t>医院住院部综合废水</w:t>
            </w:r>
          </w:p>
        </w:tc>
        <w:tc>
          <w:tcPr>
            <w:tcW w:w="1333" w:type="pct"/>
            <w:vAlign w:val="center"/>
          </w:tcPr>
          <w:p>
            <w:pPr>
              <w:adjustRightInd w:val="0"/>
              <w:snapToGrid w:val="0"/>
              <w:jc w:val="center"/>
              <w:rPr>
                <w:rFonts w:eastAsiaTheme="minorEastAsia"/>
                <w:szCs w:val="21"/>
              </w:rPr>
            </w:pPr>
            <w:r>
              <w:rPr>
                <w:rFonts w:eastAsia="等线"/>
                <w:color w:val="000000"/>
                <w:kern w:val="0"/>
                <w:szCs w:val="21"/>
              </w:rPr>
              <w:t>172.72</w:t>
            </w:r>
          </w:p>
        </w:tc>
        <w:tc>
          <w:tcPr>
            <w:tcW w:w="1343" w:type="pct"/>
            <w:vAlign w:val="center"/>
          </w:tcPr>
          <w:p>
            <w:pPr>
              <w:adjustRightInd w:val="0"/>
              <w:snapToGrid w:val="0"/>
              <w:jc w:val="center"/>
              <w:rPr>
                <w:rFonts w:eastAsiaTheme="minorEastAsia"/>
                <w:szCs w:val="21"/>
              </w:rPr>
            </w:pPr>
            <w:r>
              <w:rPr>
                <w:rFonts w:eastAsia="等线"/>
                <w:color w:val="000000"/>
                <w:kern w:val="0"/>
                <w:szCs w:val="21"/>
              </w:rPr>
              <w:t>63042.8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8" w:type="pct"/>
            <w:vAlign w:val="center"/>
          </w:tcPr>
          <w:p>
            <w:pPr>
              <w:widowControl/>
              <w:snapToGrid w:val="0"/>
              <w:jc w:val="center"/>
              <w:rPr>
                <w:rFonts w:eastAsiaTheme="minorEastAsia"/>
                <w:szCs w:val="21"/>
              </w:rPr>
            </w:pPr>
            <w:r>
              <w:rPr>
                <w:rFonts w:eastAsiaTheme="minorEastAsia"/>
                <w:szCs w:val="21"/>
              </w:rPr>
              <w:t>2</w:t>
            </w:r>
          </w:p>
        </w:tc>
        <w:tc>
          <w:tcPr>
            <w:tcW w:w="1775" w:type="pct"/>
            <w:vAlign w:val="center"/>
          </w:tcPr>
          <w:p>
            <w:pPr>
              <w:widowControl/>
              <w:snapToGrid w:val="0"/>
              <w:jc w:val="center"/>
              <w:rPr>
                <w:rFonts w:eastAsiaTheme="minorEastAsia"/>
                <w:szCs w:val="21"/>
              </w:rPr>
            </w:pPr>
            <w:r>
              <w:rPr>
                <w:rFonts w:eastAsiaTheme="minorEastAsia"/>
                <w:szCs w:val="21"/>
              </w:rPr>
              <w:t>医务人员废水</w:t>
            </w:r>
          </w:p>
        </w:tc>
        <w:tc>
          <w:tcPr>
            <w:tcW w:w="1333" w:type="pct"/>
            <w:vAlign w:val="center"/>
          </w:tcPr>
          <w:p>
            <w:pPr>
              <w:adjustRightInd w:val="0"/>
              <w:snapToGrid w:val="0"/>
              <w:jc w:val="center"/>
              <w:rPr>
                <w:rFonts w:eastAsiaTheme="minorEastAsia"/>
                <w:szCs w:val="21"/>
              </w:rPr>
            </w:pPr>
            <w:r>
              <w:rPr>
                <w:rFonts w:eastAsia="等线"/>
                <w:color w:val="000000"/>
                <w:kern w:val="0"/>
                <w:szCs w:val="21"/>
              </w:rPr>
              <w:t xml:space="preserve">61.20 </w:t>
            </w:r>
          </w:p>
        </w:tc>
        <w:tc>
          <w:tcPr>
            <w:tcW w:w="1343" w:type="pct"/>
            <w:vAlign w:val="center"/>
          </w:tcPr>
          <w:p>
            <w:pPr>
              <w:adjustRightInd w:val="0"/>
              <w:snapToGrid w:val="0"/>
              <w:jc w:val="center"/>
              <w:rPr>
                <w:rFonts w:eastAsiaTheme="minorEastAsia"/>
                <w:szCs w:val="21"/>
              </w:rPr>
            </w:pPr>
            <w:r>
              <w:rPr>
                <w:rFonts w:eastAsia="等线"/>
                <w:color w:val="000000"/>
                <w:kern w:val="0"/>
                <w:szCs w:val="21"/>
              </w:rPr>
              <w:t xml:space="preserve">22338.00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8" w:type="pct"/>
            <w:vAlign w:val="center"/>
          </w:tcPr>
          <w:p>
            <w:pPr>
              <w:widowControl/>
              <w:snapToGrid w:val="0"/>
              <w:jc w:val="center"/>
              <w:rPr>
                <w:rFonts w:eastAsiaTheme="minorEastAsia"/>
                <w:szCs w:val="21"/>
              </w:rPr>
            </w:pPr>
            <w:r>
              <w:rPr>
                <w:rFonts w:eastAsiaTheme="minorEastAsia"/>
                <w:szCs w:val="21"/>
              </w:rPr>
              <w:t>3</w:t>
            </w:r>
          </w:p>
        </w:tc>
        <w:tc>
          <w:tcPr>
            <w:tcW w:w="1775" w:type="pct"/>
            <w:vAlign w:val="center"/>
          </w:tcPr>
          <w:p>
            <w:pPr>
              <w:widowControl/>
              <w:snapToGrid w:val="0"/>
              <w:jc w:val="center"/>
              <w:rPr>
                <w:rFonts w:eastAsiaTheme="minorEastAsia"/>
                <w:szCs w:val="21"/>
              </w:rPr>
            </w:pPr>
            <w:r>
              <w:rPr>
                <w:rFonts w:eastAsiaTheme="minorEastAsia"/>
                <w:szCs w:val="21"/>
              </w:rPr>
              <w:t>医院门诊急诊废水</w:t>
            </w:r>
          </w:p>
        </w:tc>
        <w:tc>
          <w:tcPr>
            <w:tcW w:w="1333" w:type="pct"/>
            <w:vAlign w:val="center"/>
          </w:tcPr>
          <w:p>
            <w:pPr>
              <w:adjustRightInd w:val="0"/>
              <w:snapToGrid w:val="0"/>
              <w:jc w:val="center"/>
              <w:rPr>
                <w:rFonts w:eastAsiaTheme="minorEastAsia"/>
                <w:szCs w:val="21"/>
              </w:rPr>
            </w:pPr>
            <w:r>
              <w:rPr>
                <w:rFonts w:eastAsia="等线"/>
                <w:color w:val="000000"/>
                <w:kern w:val="0"/>
                <w:szCs w:val="21"/>
              </w:rPr>
              <w:t xml:space="preserve">3.46 </w:t>
            </w:r>
          </w:p>
        </w:tc>
        <w:tc>
          <w:tcPr>
            <w:tcW w:w="1343" w:type="pct"/>
            <w:vAlign w:val="center"/>
          </w:tcPr>
          <w:p>
            <w:pPr>
              <w:adjustRightInd w:val="0"/>
              <w:snapToGrid w:val="0"/>
              <w:jc w:val="center"/>
              <w:rPr>
                <w:rFonts w:eastAsiaTheme="minorEastAsia"/>
                <w:szCs w:val="21"/>
              </w:rPr>
            </w:pPr>
            <w:r>
              <w:rPr>
                <w:rFonts w:eastAsia="等线"/>
                <w:color w:val="000000"/>
                <w:kern w:val="0"/>
                <w:szCs w:val="21"/>
              </w:rPr>
              <w:t xml:space="preserve">1261.17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8" w:type="pct"/>
            <w:vAlign w:val="center"/>
          </w:tcPr>
          <w:p>
            <w:pPr>
              <w:widowControl/>
              <w:snapToGrid w:val="0"/>
              <w:jc w:val="center"/>
              <w:rPr>
                <w:rFonts w:eastAsiaTheme="minorEastAsia"/>
                <w:szCs w:val="21"/>
              </w:rPr>
            </w:pPr>
            <w:r>
              <w:rPr>
                <w:rFonts w:eastAsiaTheme="minorEastAsia"/>
                <w:szCs w:val="21"/>
              </w:rPr>
              <w:t>4</w:t>
            </w:r>
          </w:p>
        </w:tc>
        <w:tc>
          <w:tcPr>
            <w:tcW w:w="1775" w:type="pct"/>
            <w:vAlign w:val="center"/>
          </w:tcPr>
          <w:p>
            <w:pPr>
              <w:widowControl/>
              <w:snapToGrid w:val="0"/>
              <w:jc w:val="center"/>
              <w:rPr>
                <w:rFonts w:eastAsiaTheme="minorEastAsia"/>
                <w:szCs w:val="21"/>
              </w:rPr>
            </w:pPr>
            <w:r>
              <w:rPr>
                <w:rFonts w:eastAsiaTheme="minorEastAsia"/>
                <w:szCs w:val="21"/>
              </w:rPr>
              <w:t>食堂餐饮废水</w:t>
            </w:r>
          </w:p>
        </w:tc>
        <w:tc>
          <w:tcPr>
            <w:tcW w:w="1333" w:type="pct"/>
            <w:vAlign w:val="center"/>
          </w:tcPr>
          <w:p>
            <w:pPr>
              <w:adjustRightInd w:val="0"/>
              <w:snapToGrid w:val="0"/>
              <w:jc w:val="center"/>
              <w:rPr>
                <w:rFonts w:eastAsiaTheme="minorEastAsia"/>
                <w:szCs w:val="21"/>
              </w:rPr>
            </w:pPr>
            <w:r>
              <w:rPr>
                <w:rFonts w:eastAsia="等线"/>
                <w:color w:val="000000"/>
                <w:kern w:val="0"/>
                <w:szCs w:val="21"/>
              </w:rPr>
              <w:t xml:space="preserve">47.60 </w:t>
            </w:r>
          </w:p>
        </w:tc>
        <w:tc>
          <w:tcPr>
            <w:tcW w:w="1343" w:type="pct"/>
            <w:vAlign w:val="center"/>
          </w:tcPr>
          <w:p>
            <w:pPr>
              <w:adjustRightInd w:val="0"/>
              <w:snapToGrid w:val="0"/>
              <w:jc w:val="center"/>
              <w:rPr>
                <w:rFonts w:eastAsiaTheme="minorEastAsia"/>
                <w:szCs w:val="21"/>
              </w:rPr>
            </w:pPr>
            <w:r>
              <w:rPr>
                <w:rFonts w:eastAsia="等线"/>
                <w:color w:val="000000"/>
                <w:kern w:val="0"/>
                <w:szCs w:val="21"/>
              </w:rPr>
              <w:t xml:space="preserve">17374.00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8" w:type="pct"/>
            <w:vAlign w:val="center"/>
          </w:tcPr>
          <w:p>
            <w:pPr>
              <w:widowControl/>
              <w:snapToGrid w:val="0"/>
              <w:jc w:val="center"/>
              <w:rPr>
                <w:rFonts w:eastAsiaTheme="minorEastAsia"/>
                <w:szCs w:val="21"/>
              </w:rPr>
            </w:pPr>
            <w:r>
              <w:rPr>
                <w:rFonts w:eastAsiaTheme="minorEastAsia"/>
                <w:szCs w:val="21"/>
              </w:rPr>
              <w:t>5</w:t>
            </w:r>
          </w:p>
        </w:tc>
        <w:tc>
          <w:tcPr>
            <w:tcW w:w="1775" w:type="pct"/>
            <w:vAlign w:val="center"/>
          </w:tcPr>
          <w:p>
            <w:pPr>
              <w:widowControl/>
              <w:snapToGrid w:val="0"/>
              <w:jc w:val="center"/>
              <w:rPr>
                <w:rFonts w:eastAsiaTheme="minorEastAsia"/>
                <w:szCs w:val="21"/>
              </w:rPr>
            </w:pPr>
            <w:r>
              <w:rPr>
                <w:rFonts w:eastAsiaTheme="minorEastAsia"/>
                <w:szCs w:val="21"/>
              </w:rPr>
              <w:t>检验室检验废水</w:t>
            </w:r>
          </w:p>
        </w:tc>
        <w:tc>
          <w:tcPr>
            <w:tcW w:w="1333" w:type="pct"/>
            <w:vAlign w:val="center"/>
          </w:tcPr>
          <w:p>
            <w:pPr>
              <w:adjustRightInd w:val="0"/>
              <w:snapToGrid w:val="0"/>
              <w:jc w:val="center"/>
              <w:rPr>
                <w:rFonts w:eastAsiaTheme="minorEastAsia"/>
                <w:szCs w:val="21"/>
              </w:rPr>
            </w:pPr>
            <w:r>
              <w:rPr>
                <w:rFonts w:eastAsia="等线"/>
                <w:color w:val="000000"/>
                <w:kern w:val="0"/>
                <w:szCs w:val="21"/>
              </w:rPr>
              <w:t xml:space="preserve">0.85 </w:t>
            </w:r>
          </w:p>
        </w:tc>
        <w:tc>
          <w:tcPr>
            <w:tcW w:w="1343" w:type="pct"/>
            <w:vAlign w:val="center"/>
          </w:tcPr>
          <w:p>
            <w:pPr>
              <w:adjustRightInd w:val="0"/>
              <w:snapToGrid w:val="0"/>
              <w:jc w:val="center"/>
              <w:rPr>
                <w:rFonts w:eastAsiaTheme="minorEastAsia"/>
                <w:szCs w:val="21"/>
              </w:rPr>
            </w:pPr>
            <w:r>
              <w:rPr>
                <w:rFonts w:eastAsia="等线"/>
                <w:color w:val="000000"/>
                <w:kern w:val="0"/>
                <w:szCs w:val="21"/>
              </w:rPr>
              <w:t xml:space="preserve">310.25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48" w:type="pct"/>
            <w:vAlign w:val="center"/>
          </w:tcPr>
          <w:p>
            <w:pPr>
              <w:widowControl/>
              <w:snapToGrid w:val="0"/>
              <w:jc w:val="center"/>
              <w:rPr>
                <w:rFonts w:eastAsiaTheme="minorEastAsia"/>
                <w:szCs w:val="21"/>
              </w:rPr>
            </w:pPr>
            <w:r>
              <w:rPr>
                <w:rFonts w:eastAsiaTheme="minorEastAsia"/>
                <w:szCs w:val="21"/>
              </w:rPr>
              <w:t>6</w:t>
            </w:r>
          </w:p>
        </w:tc>
        <w:tc>
          <w:tcPr>
            <w:tcW w:w="1775" w:type="pct"/>
            <w:vAlign w:val="center"/>
          </w:tcPr>
          <w:p>
            <w:pPr>
              <w:widowControl/>
              <w:snapToGrid w:val="0"/>
              <w:jc w:val="center"/>
              <w:rPr>
                <w:rFonts w:eastAsiaTheme="minorEastAsia"/>
                <w:szCs w:val="21"/>
              </w:rPr>
            </w:pPr>
            <w:r>
              <w:rPr>
                <w:rFonts w:eastAsiaTheme="minorEastAsia"/>
                <w:szCs w:val="21"/>
              </w:rPr>
              <w:t>口腔科废水</w:t>
            </w:r>
          </w:p>
        </w:tc>
        <w:tc>
          <w:tcPr>
            <w:tcW w:w="1333" w:type="pct"/>
            <w:vAlign w:val="center"/>
          </w:tcPr>
          <w:p>
            <w:pPr>
              <w:adjustRightInd w:val="0"/>
              <w:snapToGrid w:val="0"/>
              <w:jc w:val="center"/>
              <w:rPr>
                <w:rFonts w:eastAsiaTheme="minorEastAsia"/>
                <w:szCs w:val="21"/>
              </w:rPr>
            </w:pPr>
            <w:r>
              <w:rPr>
                <w:rFonts w:eastAsia="等线"/>
                <w:color w:val="000000"/>
                <w:kern w:val="0"/>
                <w:szCs w:val="21"/>
              </w:rPr>
              <w:t xml:space="preserve">0.85 </w:t>
            </w:r>
          </w:p>
        </w:tc>
        <w:tc>
          <w:tcPr>
            <w:tcW w:w="1343" w:type="pct"/>
            <w:vAlign w:val="center"/>
          </w:tcPr>
          <w:p>
            <w:pPr>
              <w:adjustRightInd w:val="0"/>
              <w:snapToGrid w:val="0"/>
              <w:jc w:val="center"/>
              <w:rPr>
                <w:rFonts w:eastAsiaTheme="minorEastAsia"/>
                <w:szCs w:val="21"/>
              </w:rPr>
            </w:pPr>
            <w:r>
              <w:rPr>
                <w:rFonts w:eastAsia="等线"/>
                <w:color w:val="000000"/>
                <w:kern w:val="0"/>
                <w:szCs w:val="21"/>
              </w:rPr>
              <w:t xml:space="preserve">310.25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23" w:type="pct"/>
            <w:gridSpan w:val="2"/>
            <w:vAlign w:val="center"/>
          </w:tcPr>
          <w:p>
            <w:pPr>
              <w:widowControl/>
              <w:snapToGrid w:val="0"/>
              <w:jc w:val="center"/>
              <w:rPr>
                <w:rFonts w:eastAsiaTheme="minorEastAsia"/>
                <w:szCs w:val="21"/>
              </w:rPr>
            </w:pPr>
            <w:r>
              <w:rPr>
                <w:rFonts w:eastAsiaTheme="minorEastAsia"/>
                <w:szCs w:val="21"/>
              </w:rPr>
              <w:t>合计</w:t>
            </w:r>
          </w:p>
        </w:tc>
        <w:tc>
          <w:tcPr>
            <w:tcW w:w="1333" w:type="pct"/>
            <w:vAlign w:val="center"/>
          </w:tcPr>
          <w:p>
            <w:pPr>
              <w:adjustRightInd w:val="0"/>
              <w:snapToGrid w:val="0"/>
              <w:jc w:val="center"/>
              <w:rPr>
                <w:rFonts w:eastAsiaTheme="minorEastAsia"/>
                <w:szCs w:val="21"/>
              </w:rPr>
            </w:pPr>
            <w:r>
              <w:rPr>
                <w:rFonts w:eastAsia="等线"/>
                <w:color w:val="000000"/>
                <w:kern w:val="0"/>
                <w:szCs w:val="21"/>
              </w:rPr>
              <w:t>286.68</w:t>
            </w:r>
          </w:p>
        </w:tc>
        <w:tc>
          <w:tcPr>
            <w:tcW w:w="1343" w:type="pct"/>
            <w:vAlign w:val="center"/>
          </w:tcPr>
          <w:p>
            <w:pPr>
              <w:widowControl/>
              <w:snapToGrid w:val="0"/>
              <w:jc w:val="center"/>
            </w:pPr>
            <w:r>
              <w:rPr>
                <w:rFonts w:eastAsia="等线"/>
                <w:color w:val="000000"/>
                <w:kern w:val="0"/>
                <w:szCs w:val="21"/>
              </w:rPr>
              <w:t>104636.47</w:t>
            </w:r>
          </w:p>
        </w:tc>
      </w:tr>
    </w:tbl>
    <w:p>
      <w:pPr>
        <w:widowControl/>
        <w:shd w:val="clear" w:color="auto" w:fill="FFFFFF"/>
        <w:snapToGrid w:val="0"/>
        <w:spacing w:line="360" w:lineRule="auto"/>
        <w:ind w:firstLine="480" w:firstLineChars="200"/>
        <w:rPr>
          <w:rFonts w:eastAsiaTheme="minorEastAsia"/>
          <w:color w:val="FF0000"/>
          <w:sz w:val="24"/>
        </w:rPr>
      </w:pPr>
      <w:r>
        <w:rPr>
          <w:rFonts w:eastAsiaTheme="minorEastAsia"/>
          <w:sz w:val="24"/>
          <w:u w:val="single"/>
        </w:rPr>
        <w:t>项目产生各类废水需分类收集，分类预处理，拟采取的废水处理方式为：</w:t>
      </w:r>
      <w:r>
        <w:rPr>
          <w:rFonts w:hint="eastAsia" w:eastAsiaTheme="minorEastAsia"/>
          <w:sz w:val="24"/>
          <w:u w:val="single"/>
        </w:rPr>
        <w:t>食堂废水经隔油预处理后与医护人员生活废水合并排入化粪池，经化粪池处理并达到湘阴县第一污水处理厂接管标准后排入市政污水管网；住院部废水经化粪池处理后，与门诊废水合并排入污水处理站；</w:t>
      </w:r>
      <w:r>
        <w:rPr>
          <w:rFonts w:eastAsiaTheme="minorEastAsia"/>
          <w:sz w:val="24"/>
        </w:rPr>
        <w:t>检验室酸碱废水经预处理槽中和预处理，含氰废水采用预处理槽碱式氯化法预处理，检验科生化标本清洗废水经84消毒液（次氯酸钠）预处理后，排入污水处理站；检验室产生的少量含重金属废水在检验科废液桶内收集作为危废交有资质单位处理；口腔科漱口废水经84消毒液（次氯酸钠）消毒后排入污水处理站。</w:t>
      </w:r>
    </w:p>
    <w:p>
      <w:pPr>
        <w:snapToGrid w:val="0"/>
        <w:spacing w:line="360" w:lineRule="auto"/>
        <w:ind w:firstLine="480" w:firstLineChars="200"/>
        <w:rPr>
          <w:rFonts w:eastAsiaTheme="minorEastAsia"/>
          <w:sz w:val="24"/>
          <w:u w:val="single"/>
        </w:rPr>
      </w:pPr>
      <w:r>
        <w:rPr>
          <w:rFonts w:eastAsiaTheme="minorEastAsia"/>
          <w:sz w:val="24"/>
        </w:rPr>
        <w:t>废水处理站拟采用“调节+水解酸化+生物接触氧化+斜管沉淀池+接触消毒”处理工艺，该工艺是医疗废水处理中较为成熟的工艺。项目共有床位508张</w:t>
      </w:r>
      <w:r>
        <w:rPr>
          <w:rFonts w:eastAsiaTheme="minorEastAsia"/>
          <w:sz w:val="24"/>
          <w:u w:val="single"/>
        </w:rPr>
        <w:t>，</w:t>
      </w:r>
      <w:r>
        <w:rPr>
          <w:rFonts w:hint="eastAsia" w:eastAsiaTheme="minorEastAsia"/>
          <w:sz w:val="24"/>
          <w:u w:val="single"/>
        </w:rPr>
        <w:t>相关医疗</w:t>
      </w:r>
      <w:r>
        <w:rPr>
          <w:rFonts w:eastAsiaTheme="minorEastAsia"/>
          <w:sz w:val="24"/>
          <w:u w:val="single"/>
        </w:rPr>
        <w:t>废水总排放量为64,924.47 m</w:t>
      </w:r>
      <w:r>
        <w:rPr>
          <w:rFonts w:eastAsiaTheme="minorEastAsia"/>
          <w:sz w:val="24"/>
          <w:u w:val="single"/>
          <w:vertAlign w:val="superscript"/>
        </w:rPr>
        <w:t>3</w:t>
      </w:r>
      <w:r>
        <w:rPr>
          <w:rFonts w:eastAsiaTheme="minorEastAsia"/>
          <w:sz w:val="24"/>
          <w:u w:val="single"/>
        </w:rPr>
        <w:t>/</w:t>
      </w:r>
      <w:r>
        <w:rPr>
          <w:rFonts w:hint="eastAsia" w:eastAsiaTheme="minorEastAsia"/>
          <w:sz w:val="24"/>
          <w:u w:val="single"/>
        </w:rPr>
        <w:t>a（</w:t>
      </w:r>
      <w:bookmarkStart w:id="137" w:name="OLE_LINK36"/>
      <w:bookmarkStart w:id="138" w:name="OLE_LINK35"/>
      <w:r>
        <w:rPr>
          <w:rFonts w:hint="eastAsia" w:eastAsiaTheme="minorEastAsia"/>
          <w:sz w:val="24"/>
          <w:u w:val="single"/>
        </w:rPr>
        <w:t>177.88</w:t>
      </w:r>
      <w:r>
        <w:rPr>
          <w:rFonts w:eastAsiaTheme="minorEastAsia"/>
          <w:sz w:val="24"/>
          <w:u w:val="single"/>
        </w:rPr>
        <w:t>m</w:t>
      </w:r>
      <w:r>
        <w:rPr>
          <w:rFonts w:eastAsiaTheme="minorEastAsia"/>
          <w:sz w:val="24"/>
          <w:u w:val="single"/>
          <w:vertAlign w:val="superscript"/>
        </w:rPr>
        <w:t>3</w:t>
      </w:r>
      <w:r>
        <w:rPr>
          <w:rFonts w:eastAsiaTheme="minorEastAsia"/>
          <w:sz w:val="24"/>
          <w:u w:val="single"/>
        </w:rPr>
        <w:t>/d</w:t>
      </w:r>
      <w:bookmarkEnd w:id="137"/>
      <w:bookmarkEnd w:id="138"/>
      <w:r>
        <w:rPr>
          <w:rFonts w:hint="eastAsia" w:eastAsiaTheme="minorEastAsia"/>
          <w:sz w:val="24"/>
          <w:u w:val="single"/>
        </w:rPr>
        <w:t>）</w:t>
      </w:r>
      <w:r>
        <w:rPr>
          <w:rFonts w:eastAsiaTheme="minorEastAsia"/>
          <w:sz w:val="24"/>
          <w:u w:val="single"/>
        </w:rPr>
        <w:t>，考虑到医院废水量的波动</w:t>
      </w:r>
      <w:r>
        <w:rPr>
          <w:rFonts w:hint="eastAsia" w:eastAsiaTheme="minorEastAsia"/>
          <w:sz w:val="24"/>
          <w:u w:val="single"/>
        </w:rPr>
        <w:t>与可能遇到的突发情况</w:t>
      </w:r>
      <w:r>
        <w:rPr>
          <w:rFonts w:eastAsiaTheme="minorEastAsia"/>
          <w:sz w:val="24"/>
          <w:u w:val="single"/>
        </w:rPr>
        <w:t>，污水处理站</w:t>
      </w:r>
      <w:r>
        <w:rPr>
          <w:rFonts w:hint="eastAsia" w:eastAsiaTheme="minorEastAsia"/>
          <w:sz w:val="24"/>
          <w:u w:val="single"/>
        </w:rPr>
        <w:t>拟</w:t>
      </w:r>
      <w:r>
        <w:rPr>
          <w:rFonts w:eastAsiaTheme="minorEastAsia"/>
          <w:sz w:val="24"/>
          <w:u w:val="single"/>
        </w:rPr>
        <w:t>设计的日处理规模不小于</w:t>
      </w:r>
      <w:r>
        <w:rPr>
          <w:rFonts w:hint="eastAsia" w:eastAsiaTheme="minorEastAsia"/>
          <w:sz w:val="24"/>
          <w:u w:val="single"/>
        </w:rPr>
        <w:t>3</w:t>
      </w:r>
      <w:r>
        <w:rPr>
          <w:rFonts w:eastAsiaTheme="minorEastAsia"/>
          <w:sz w:val="24"/>
          <w:u w:val="single"/>
        </w:rPr>
        <w:t>00m</w:t>
      </w:r>
      <w:r>
        <w:rPr>
          <w:rFonts w:eastAsiaTheme="minorEastAsia"/>
          <w:sz w:val="24"/>
          <w:u w:val="single"/>
          <w:vertAlign w:val="superscript"/>
        </w:rPr>
        <w:t>3</w:t>
      </w:r>
      <w:r>
        <w:rPr>
          <w:rFonts w:eastAsiaTheme="minorEastAsia"/>
          <w:sz w:val="24"/>
          <w:u w:val="single"/>
        </w:rPr>
        <w:t>/d。</w:t>
      </w:r>
    </w:p>
    <w:p>
      <w:pPr>
        <w:snapToGrid w:val="0"/>
        <w:spacing w:line="360" w:lineRule="auto"/>
        <w:ind w:firstLine="480" w:firstLineChars="200"/>
        <w:rPr>
          <w:rFonts w:eastAsiaTheme="minorEastAsia"/>
          <w:color w:val="FF0000"/>
          <w:sz w:val="24"/>
        </w:rPr>
      </w:pPr>
      <w:r>
        <w:rPr>
          <w:rFonts w:eastAsiaTheme="minorEastAsia"/>
          <w:sz w:val="24"/>
        </w:rPr>
        <w:t>现湘阴县中医院采用“水解酸化+接触氧化+接触消毒”的处理工艺，现有医院监测报告显示，出水水质可达到《医疗机构水污染物排放标准》（GB18466-2005）表2中的预处理标准，迁建后污水处理工艺、设备将更先进，增加了处理效率更高的斜管沉淀工艺，处理效果将较现有项目更好，可实现达标排放。本项目废水经自建污水处理站处理达《医疗机构水污染物排放标准》（GB18466-2005）表2中的预处理标准后再排入市政管网，最后进入湘阴县第一污水处理厂处理。本项目产生的各类废水经妥善处理后，对周边水环境影响较小。</w:t>
      </w:r>
    </w:p>
    <w:p>
      <w:pPr>
        <w:snapToGrid w:val="0"/>
        <w:spacing w:line="360" w:lineRule="auto"/>
        <w:ind w:firstLine="482" w:firstLineChars="200"/>
        <w:rPr>
          <w:rFonts w:eastAsiaTheme="minorEastAsia"/>
          <w:b/>
          <w:bCs/>
          <w:sz w:val="24"/>
        </w:rPr>
      </w:pPr>
      <w:r>
        <w:rPr>
          <w:rFonts w:eastAsiaTheme="minorEastAsia"/>
          <w:b/>
          <w:bCs/>
          <w:sz w:val="24"/>
        </w:rPr>
        <w:t>（2）废水纳入湘阴县第一污水处理厂的可行性分析</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水量分析</w:t>
      </w:r>
    </w:p>
    <w:p>
      <w:pPr>
        <w:snapToGrid w:val="0"/>
        <w:spacing w:line="360" w:lineRule="auto"/>
        <w:ind w:firstLine="480" w:firstLineChars="200"/>
        <w:rPr>
          <w:rFonts w:eastAsiaTheme="minorEastAsia"/>
          <w:sz w:val="24"/>
        </w:rPr>
      </w:pPr>
      <w:r>
        <w:rPr>
          <w:rFonts w:eastAsiaTheme="minorEastAsia"/>
          <w:sz w:val="24"/>
        </w:rPr>
        <w:t>湘阴县第一污水处理厂位于湘江与白水江交叉口东北角，一期工程已征用土地42.80亩（28533.3m</w:t>
      </w:r>
      <w:r>
        <w:rPr>
          <w:rFonts w:eastAsiaTheme="minorEastAsia"/>
          <w:sz w:val="24"/>
          <w:vertAlign w:val="superscript"/>
        </w:rPr>
        <w:t>2</w:t>
      </w:r>
      <w:r>
        <w:rPr>
          <w:rFonts w:eastAsiaTheme="minorEastAsia"/>
          <w:sz w:val="24"/>
        </w:rPr>
        <w:t>），其中一期工程已用土地33.88亩（22586.6m</w:t>
      </w:r>
      <w:r>
        <w:rPr>
          <w:rFonts w:eastAsiaTheme="minorEastAsia"/>
          <w:sz w:val="24"/>
          <w:vertAlign w:val="superscript"/>
        </w:rPr>
        <w:t>2</w:t>
      </w:r>
      <w:r>
        <w:rPr>
          <w:rFonts w:eastAsiaTheme="minorEastAsia"/>
          <w:sz w:val="24"/>
        </w:rPr>
        <w:t>）；二期扩建需要再征用土地23.97亩（15982m</w:t>
      </w:r>
      <w:r>
        <w:rPr>
          <w:rFonts w:eastAsiaTheme="minorEastAsia"/>
          <w:sz w:val="24"/>
          <w:vertAlign w:val="superscript"/>
        </w:rPr>
        <w:t>2</w:t>
      </w:r>
      <w:r>
        <w:rPr>
          <w:rFonts w:eastAsiaTheme="minorEastAsia"/>
          <w:sz w:val="24"/>
        </w:rPr>
        <w:t>，已包含远期预留地，征用西湖渔场土地)，湘阴县第一污水处理厂远期设计总规模为6万m</w:t>
      </w:r>
      <w:r>
        <w:rPr>
          <w:rFonts w:eastAsiaTheme="minorEastAsia"/>
          <w:sz w:val="24"/>
          <w:vertAlign w:val="superscript"/>
        </w:rPr>
        <w:t>3</w:t>
      </w:r>
      <w:r>
        <w:rPr>
          <w:rFonts w:eastAsiaTheme="minorEastAsia"/>
          <w:sz w:val="24"/>
        </w:rPr>
        <w:t>/d，近期设计规模为4万m</w:t>
      </w:r>
      <w:r>
        <w:rPr>
          <w:rFonts w:eastAsiaTheme="minorEastAsia"/>
          <w:sz w:val="24"/>
          <w:vertAlign w:val="superscript"/>
        </w:rPr>
        <w:t>3</w:t>
      </w:r>
      <w:r>
        <w:rPr>
          <w:rFonts w:eastAsiaTheme="minorEastAsia"/>
          <w:sz w:val="24"/>
        </w:rPr>
        <w:t>/d，工程总占地面积66.77亩（44515.3m</w:t>
      </w:r>
      <w:r>
        <w:rPr>
          <w:rFonts w:eastAsiaTheme="minorEastAsia"/>
          <w:sz w:val="24"/>
          <w:vertAlign w:val="superscript"/>
        </w:rPr>
        <w:t>2</w:t>
      </w:r>
      <w:r>
        <w:rPr>
          <w:rFonts w:eastAsiaTheme="minorEastAsia"/>
          <w:sz w:val="24"/>
        </w:rPr>
        <w:t>）。</w:t>
      </w:r>
    </w:p>
    <w:p>
      <w:pPr>
        <w:snapToGrid w:val="0"/>
        <w:spacing w:line="360" w:lineRule="auto"/>
        <w:ind w:firstLine="480" w:firstLineChars="200"/>
        <w:rPr>
          <w:rFonts w:eastAsiaTheme="minorEastAsia"/>
          <w:sz w:val="24"/>
        </w:rPr>
      </w:pPr>
      <w:r>
        <w:rPr>
          <w:rFonts w:eastAsiaTheme="minorEastAsia"/>
          <w:sz w:val="24"/>
        </w:rPr>
        <w:t>湘阴县城市综合污水处理厂已于2009年正式运行，二期扩建工程已于2017年底投产运行，接纳范围主要包括湘阴县城区、洋沙湖工业园区域内的污水、白水江以北建成区范围内的生活污水，污水经二级生化处理达到国家《城镇污水处理厂污染物排放标准》（GB18918-2002）一级标准的A标准后排入湘江，湘阴县城市综合污水处理厂已于2009年正式运行，能有效接收本项目产生废水。</w:t>
      </w:r>
    </w:p>
    <w:p>
      <w:pPr>
        <w:snapToGrid w:val="0"/>
        <w:spacing w:line="360" w:lineRule="auto"/>
        <w:ind w:firstLine="480" w:firstLineChars="200"/>
        <w:rPr>
          <w:rFonts w:eastAsiaTheme="minorEastAsia"/>
          <w:sz w:val="24"/>
        </w:rPr>
      </w:pPr>
      <w:r>
        <w:rPr>
          <w:rFonts w:eastAsiaTheme="minorEastAsia"/>
          <w:sz w:val="24"/>
        </w:rPr>
        <w:t>本项目处于湘阴县第一污水处理厂纳污范围内（附图3），区域污水管网已完善。项目建成营运后，污水排放量为286.68</w:t>
      </w:r>
      <w:bookmarkStart w:id="139" w:name="OLE_LINK30"/>
      <w:bookmarkStart w:id="140" w:name="OLE_LINK31"/>
      <w:r>
        <w:rPr>
          <w:rFonts w:eastAsiaTheme="minorEastAsia"/>
          <w:sz w:val="24"/>
        </w:rPr>
        <w:t>m</w:t>
      </w:r>
      <w:r>
        <w:rPr>
          <w:rFonts w:eastAsiaTheme="minorEastAsia"/>
          <w:sz w:val="24"/>
          <w:vertAlign w:val="superscript"/>
        </w:rPr>
        <w:t>3</w:t>
      </w:r>
      <w:r>
        <w:rPr>
          <w:rFonts w:eastAsiaTheme="minorEastAsia"/>
          <w:sz w:val="24"/>
        </w:rPr>
        <w:t>/d</w:t>
      </w:r>
      <w:bookmarkEnd w:id="139"/>
      <w:bookmarkEnd w:id="140"/>
      <w:r>
        <w:rPr>
          <w:rFonts w:eastAsiaTheme="minorEastAsia"/>
          <w:sz w:val="24"/>
        </w:rPr>
        <w:t>，主要为门诊楼医疗</w:t>
      </w:r>
      <w:bookmarkStart w:id="141" w:name="OLE_LINK28"/>
      <w:bookmarkStart w:id="142" w:name="OLE_LINK29"/>
      <w:r>
        <w:rPr>
          <w:rFonts w:eastAsiaTheme="minorEastAsia"/>
          <w:sz w:val="24"/>
        </w:rPr>
        <w:t>综合污水、医院住院部住院就诊（疗养）人员、</w:t>
      </w:r>
      <w:bookmarkEnd w:id="141"/>
      <w:bookmarkEnd w:id="142"/>
      <w:r>
        <w:rPr>
          <w:rFonts w:eastAsiaTheme="minorEastAsia"/>
          <w:sz w:val="24"/>
        </w:rPr>
        <w:t>以及医护人员的生活。</w:t>
      </w:r>
      <w:r>
        <w:rPr>
          <w:rFonts w:hint="eastAsia" w:eastAsiaTheme="minorEastAsia"/>
          <w:sz w:val="24"/>
          <w:u w:val="single"/>
        </w:rPr>
        <w:t>其中门诊楼</w:t>
      </w:r>
      <w:r>
        <w:rPr>
          <w:rFonts w:eastAsiaTheme="minorEastAsia"/>
          <w:sz w:val="24"/>
          <w:u w:val="single"/>
        </w:rPr>
        <w:t>综合污水、医院住院部</w:t>
      </w:r>
      <w:r>
        <w:rPr>
          <w:rFonts w:hint="eastAsia" w:eastAsiaTheme="minorEastAsia"/>
          <w:sz w:val="24"/>
          <w:u w:val="single"/>
        </w:rPr>
        <w:t>废水、检验室废水以及口腔内科废水共约</w:t>
      </w:r>
      <w:r>
        <w:rPr>
          <w:rFonts w:eastAsiaTheme="minorEastAsia"/>
          <w:sz w:val="24"/>
          <w:u w:val="single"/>
        </w:rPr>
        <w:t>64924.47 m</w:t>
      </w:r>
      <w:r>
        <w:rPr>
          <w:rFonts w:eastAsiaTheme="minorEastAsia"/>
          <w:sz w:val="24"/>
          <w:u w:val="single"/>
          <w:vertAlign w:val="superscript"/>
        </w:rPr>
        <w:t>3</w:t>
      </w:r>
      <w:r>
        <w:rPr>
          <w:rFonts w:eastAsiaTheme="minorEastAsia"/>
          <w:sz w:val="24"/>
          <w:u w:val="single"/>
        </w:rPr>
        <w:t>/</w:t>
      </w:r>
      <w:r>
        <w:rPr>
          <w:rFonts w:hint="eastAsia" w:eastAsiaTheme="minorEastAsia"/>
          <w:sz w:val="24"/>
          <w:u w:val="single"/>
        </w:rPr>
        <w:t>a，其</w:t>
      </w:r>
      <w:r>
        <w:rPr>
          <w:rFonts w:eastAsiaTheme="minorEastAsia"/>
          <w:sz w:val="24"/>
          <w:u w:val="single"/>
        </w:rPr>
        <w:t>主要污染物为COD、BOD</w:t>
      </w:r>
      <w:r>
        <w:rPr>
          <w:rFonts w:eastAsiaTheme="minorEastAsia"/>
          <w:sz w:val="24"/>
          <w:u w:val="single"/>
          <w:vertAlign w:val="subscript"/>
        </w:rPr>
        <w:t>5</w:t>
      </w:r>
      <w:r>
        <w:rPr>
          <w:rFonts w:eastAsiaTheme="minorEastAsia"/>
          <w:sz w:val="24"/>
          <w:u w:val="single"/>
        </w:rPr>
        <w:t>、SS，NH</w:t>
      </w:r>
      <w:r>
        <w:rPr>
          <w:rFonts w:eastAsiaTheme="minorEastAsia"/>
          <w:sz w:val="24"/>
          <w:u w:val="single"/>
          <w:vertAlign w:val="subscript"/>
        </w:rPr>
        <w:t>3</w:t>
      </w:r>
      <w:r>
        <w:rPr>
          <w:rFonts w:eastAsiaTheme="minorEastAsia"/>
          <w:sz w:val="24"/>
          <w:u w:val="single"/>
        </w:rPr>
        <w:t>-N均为湘阴县城市综合污水处理厂常规处理项目。项目综合废水经项目新建污水处理工程预处理，预处理后的污水达到《医疗机构水污染物排放标准》（GB18466-2005）表2标准中预处理标准限值，通过项目地</w:t>
      </w:r>
      <w:r>
        <w:rPr>
          <w:rFonts w:hint="eastAsia" w:eastAsiaTheme="minorEastAsia"/>
          <w:sz w:val="24"/>
          <w:u w:val="single"/>
        </w:rPr>
        <w:t>西</w:t>
      </w:r>
      <w:r>
        <w:rPr>
          <w:rFonts w:eastAsiaTheme="minorEastAsia"/>
          <w:sz w:val="24"/>
          <w:u w:val="single"/>
        </w:rPr>
        <w:t>侧建新路城市污水管网，进入</w:t>
      </w:r>
      <w:bookmarkStart w:id="143" w:name="OLE_LINK32"/>
      <w:bookmarkStart w:id="144" w:name="OLE_LINK34"/>
      <w:bookmarkStart w:id="145" w:name="OLE_LINK33"/>
      <w:r>
        <w:rPr>
          <w:rFonts w:eastAsiaTheme="minorEastAsia"/>
          <w:sz w:val="24"/>
          <w:u w:val="single"/>
        </w:rPr>
        <w:t>湘阴县</w:t>
      </w:r>
      <w:r>
        <w:rPr>
          <w:rFonts w:hint="eastAsia" w:eastAsiaTheme="minorEastAsia"/>
          <w:sz w:val="24"/>
          <w:u w:val="single"/>
        </w:rPr>
        <w:t>第一</w:t>
      </w:r>
      <w:r>
        <w:rPr>
          <w:rFonts w:eastAsiaTheme="minorEastAsia"/>
          <w:sz w:val="24"/>
          <w:u w:val="single"/>
        </w:rPr>
        <w:t>污水处理厂</w:t>
      </w:r>
      <w:bookmarkEnd w:id="143"/>
      <w:bookmarkEnd w:id="144"/>
      <w:bookmarkEnd w:id="145"/>
      <w:r>
        <w:rPr>
          <w:rFonts w:eastAsiaTheme="minorEastAsia"/>
          <w:sz w:val="24"/>
          <w:u w:val="single"/>
        </w:rPr>
        <w:t>集中处理。</w:t>
      </w:r>
      <w:r>
        <w:rPr>
          <w:rFonts w:eastAsiaTheme="minorEastAsia"/>
          <w:sz w:val="24"/>
        </w:rPr>
        <w:t>预计项目日排水量仅为该厂日处理量的0.472%，不会对该厂水质、水量造成冲击。因此，本项目污水纳入</w:t>
      </w:r>
      <w:r>
        <w:rPr>
          <w:rFonts w:hint="eastAsia" w:eastAsiaTheme="minorEastAsia"/>
          <w:sz w:val="24"/>
          <w:u w:val="single"/>
        </w:rPr>
        <w:t>湘阴县第一污水处理厂</w:t>
      </w:r>
      <w:r>
        <w:rPr>
          <w:rFonts w:eastAsiaTheme="minorEastAsia"/>
          <w:sz w:val="24"/>
        </w:rPr>
        <w:t>集中处理是可行可靠的。</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水质分析</w:t>
      </w:r>
    </w:p>
    <w:p>
      <w:pPr>
        <w:snapToGrid w:val="0"/>
        <w:spacing w:line="360" w:lineRule="auto"/>
        <w:ind w:firstLine="480" w:firstLineChars="200"/>
        <w:rPr>
          <w:rFonts w:eastAsiaTheme="minorEastAsia"/>
          <w:sz w:val="24"/>
        </w:rPr>
      </w:pPr>
      <w:r>
        <w:rPr>
          <w:rFonts w:eastAsiaTheme="minorEastAsia"/>
          <w:sz w:val="24"/>
        </w:rPr>
        <w:t>本项目建成后总床位数约为508床，门诊人数约为9.90万人/a，因此新增产生的废水主要为门诊和住院大楼排放的废水，属于医疗废水，该类废水主要含粪大肠菌群和病毒等病原性微生物。</w:t>
      </w:r>
    </w:p>
    <w:p>
      <w:pPr>
        <w:snapToGrid w:val="0"/>
        <w:spacing w:line="360" w:lineRule="auto"/>
        <w:ind w:firstLine="480" w:firstLineChars="200"/>
        <w:rPr>
          <w:rFonts w:eastAsiaTheme="minorEastAsia"/>
          <w:sz w:val="24"/>
        </w:rPr>
      </w:pPr>
      <w:r>
        <w:rPr>
          <w:rFonts w:eastAsiaTheme="minorEastAsia"/>
          <w:sz w:val="24"/>
        </w:rPr>
        <w:t>粪大肠菌群数：粪大肠菌群数通常作为衡量水质是否受到生活粪便污染的生物学指标。在44.5℃温度下能生长并发酵乳糖产酸产气的大肠菌群称为粪大肠菌群，其反映的是存在于温血动物肠道内的大肠菌群细菌。</w:t>
      </w:r>
    </w:p>
    <w:p>
      <w:pPr>
        <w:snapToGrid w:val="0"/>
        <w:spacing w:line="360" w:lineRule="auto"/>
        <w:ind w:firstLine="480" w:firstLineChars="200"/>
        <w:rPr>
          <w:rFonts w:eastAsiaTheme="minorEastAsia"/>
          <w:sz w:val="24"/>
        </w:rPr>
      </w:pPr>
      <w:r>
        <w:rPr>
          <w:rFonts w:eastAsiaTheme="minorEastAsia"/>
          <w:sz w:val="24"/>
        </w:rPr>
        <w:t>医院的生活污水主要来自医务人员、后勤职工等，生活污水杂质很多，但其总量约占0.1％～1％；溶解物则含有各种含氮化合物、磷酸盐、硫酸盐、氯化物、尿素和其他有机物质及分解产物；产生臭味的有硫化物、硫化氢以及特殊的粪臭素。此外，还有大量的微生物，如细菌、病毒、原生动物以及病原菌等。生活污水一般呈中性，pH约为7.2～7.8。由此构成的生活污水外观就是一种浑浊、黄绿以至黑色、带有腐臭气味的污水。除生活污水外，项目运营期会产生车库冲洗废水，污染物成分相对简单，主要为COD，外观与生活污水类似。</w:t>
      </w:r>
    </w:p>
    <w:p>
      <w:pPr>
        <w:snapToGrid w:val="0"/>
        <w:spacing w:line="360" w:lineRule="auto"/>
        <w:ind w:firstLine="480" w:firstLineChars="200"/>
        <w:rPr>
          <w:rFonts w:eastAsiaTheme="minorEastAsia"/>
          <w:color w:val="FF0000"/>
          <w:sz w:val="24"/>
        </w:rPr>
      </w:pPr>
      <w:r>
        <w:rPr>
          <w:rFonts w:eastAsiaTheme="minorEastAsia"/>
          <w:sz w:val="24"/>
        </w:rPr>
        <w:t>项目污水排入医院自建的污水处理站处理（处理规模</w:t>
      </w:r>
      <w:bookmarkStart w:id="146" w:name="OLE_LINK51"/>
      <w:r>
        <w:rPr>
          <w:rFonts w:hint="eastAsia" w:eastAsiaTheme="minorEastAsia"/>
          <w:sz w:val="24"/>
        </w:rPr>
        <w:t>3</w:t>
      </w:r>
      <w:r>
        <w:rPr>
          <w:rFonts w:eastAsiaTheme="minorEastAsia"/>
          <w:sz w:val="24"/>
        </w:rPr>
        <w:t>00m</w:t>
      </w:r>
      <w:r>
        <w:rPr>
          <w:rFonts w:eastAsiaTheme="minorEastAsia"/>
          <w:sz w:val="24"/>
          <w:vertAlign w:val="superscript"/>
        </w:rPr>
        <w:t>3</w:t>
      </w:r>
      <w:r>
        <w:rPr>
          <w:rFonts w:eastAsiaTheme="minorEastAsia"/>
          <w:sz w:val="24"/>
        </w:rPr>
        <w:t>/d</w:t>
      </w:r>
      <w:bookmarkEnd w:id="146"/>
      <w:r>
        <w:rPr>
          <w:rFonts w:eastAsiaTheme="minorEastAsia"/>
          <w:sz w:val="24"/>
        </w:rPr>
        <w:t>），采用“调节+水解酸化+生物接触氧化+斜管沉淀池+接触消毒”处理达到《医疗机构水污染物排放标准》（GB18466-2005）中综合医疗机构和其他医疗机构水污染物排放限值（日均值）中的预处理标准后，经污水管网排入湘阴县第一污水处理厂。</w:t>
      </w:r>
    </w:p>
    <w:p>
      <w:pPr>
        <w:snapToGrid w:val="0"/>
        <w:spacing w:line="360" w:lineRule="auto"/>
        <w:ind w:firstLine="480" w:firstLineChars="200"/>
        <w:rPr>
          <w:rFonts w:eastAsiaTheme="minorEastAsia"/>
          <w:color w:val="FF0000"/>
          <w:sz w:val="24"/>
          <w:u w:val="single"/>
        </w:rPr>
      </w:pPr>
      <w:r>
        <w:rPr>
          <w:rFonts w:eastAsiaTheme="minorEastAsia"/>
          <w:sz w:val="24"/>
          <w:u w:val="single"/>
        </w:rPr>
        <w:t>湘阴县第一污水处理厂目前污水处理工艺主要为A/A/C氧化沟工艺以及A/A/O工艺，具体处理流程如下图所示。经该污水处理工艺处理后可实现尾水达标排放，对周边地表水环境影响较小。</w:t>
      </w:r>
    </w:p>
    <w:p>
      <w:pPr>
        <w:snapToGrid w:val="0"/>
        <w:spacing w:line="360" w:lineRule="auto"/>
        <w:jc w:val="center"/>
        <w:rPr>
          <w:rFonts w:eastAsiaTheme="minorEastAsia"/>
          <w:color w:val="FF0000"/>
          <w:sz w:val="24"/>
        </w:rPr>
      </w:pPr>
      <w:r>
        <w:drawing>
          <wp:inline distT="0" distB="0" distL="0" distR="0">
            <wp:extent cx="5274310" cy="5495925"/>
            <wp:effectExtent l="19050" t="1905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5274310" cy="5495925"/>
                    </a:xfrm>
                    <a:prstGeom prst="rect">
                      <a:avLst/>
                    </a:prstGeom>
                    <a:ln>
                      <a:solidFill>
                        <a:schemeClr val="tx1"/>
                      </a:solidFill>
                    </a:ln>
                  </pic:spPr>
                </pic:pic>
              </a:graphicData>
            </a:graphic>
          </wp:inline>
        </w:drawing>
      </w:r>
    </w:p>
    <w:p>
      <w:pPr>
        <w:snapToGrid w:val="0"/>
        <w:spacing w:line="360" w:lineRule="auto"/>
        <w:ind w:firstLine="482" w:firstLineChars="200"/>
        <w:jc w:val="center"/>
        <w:rPr>
          <w:rFonts w:eastAsiaTheme="minorEastAsia"/>
          <w:b/>
          <w:bCs/>
          <w:color w:val="FF0000"/>
          <w:sz w:val="24"/>
        </w:rPr>
      </w:pPr>
      <w:r>
        <w:rPr>
          <w:rFonts w:eastAsiaTheme="minorEastAsia"/>
          <w:b/>
          <w:bCs/>
          <w:sz w:val="24"/>
        </w:rPr>
        <w:t>图6.3-1 湘阴县第一污水处理厂工艺流程</w:t>
      </w:r>
    </w:p>
    <w:p>
      <w:pPr>
        <w:snapToGrid w:val="0"/>
        <w:spacing w:line="360" w:lineRule="auto"/>
        <w:ind w:firstLine="482" w:firstLineChars="200"/>
        <w:rPr>
          <w:rFonts w:eastAsiaTheme="minorEastAsia"/>
          <w:b/>
          <w:bCs/>
          <w:sz w:val="24"/>
        </w:rPr>
      </w:pPr>
      <w:r>
        <w:rPr>
          <w:rFonts w:eastAsiaTheme="minorEastAsia"/>
          <w:b/>
          <w:bCs/>
          <w:sz w:val="24"/>
        </w:rPr>
        <w:t>（3）非正常排放情况下地表水环境影响分析</w:t>
      </w:r>
    </w:p>
    <w:p>
      <w:pPr>
        <w:snapToGrid w:val="0"/>
        <w:spacing w:line="360" w:lineRule="auto"/>
        <w:ind w:firstLine="480" w:firstLineChars="200"/>
        <w:rPr>
          <w:rFonts w:eastAsiaTheme="minorEastAsia"/>
          <w:sz w:val="24"/>
        </w:rPr>
      </w:pPr>
      <w:r>
        <w:rPr>
          <w:rFonts w:eastAsiaTheme="minorEastAsia"/>
          <w:sz w:val="24"/>
        </w:rPr>
        <w:t>非正常排放情况下，主要是院内医疗污水处理站异常，导致医疗废水未经处理直接排放，此时排入市政污水管网医疗废水量为286.68m</w:t>
      </w:r>
      <w:r>
        <w:rPr>
          <w:rFonts w:eastAsiaTheme="minorEastAsia"/>
          <w:sz w:val="24"/>
          <w:vertAlign w:val="superscript"/>
        </w:rPr>
        <w:t>3</w:t>
      </w:r>
      <w:r>
        <w:rPr>
          <w:rFonts w:eastAsiaTheme="minorEastAsia"/>
          <w:sz w:val="24"/>
        </w:rPr>
        <w:t>/d（104636.47m</w:t>
      </w:r>
      <w:r>
        <w:rPr>
          <w:rFonts w:eastAsiaTheme="minorEastAsia"/>
          <w:sz w:val="24"/>
          <w:vertAlign w:val="superscript"/>
        </w:rPr>
        <w:t>3</w:t>
      </w:r>
      <w:r>
        <w:rPr>
          <w:rFonts w:eastAsiaTheme="minorEastAsia"/>
          <w:sz w:val="24"/>
        </w:rPr>
        <w:t>/a），废水水质为：COD：300mg/L、BOD</w:t>
      </w:r>
      <w:r>
        <w:rPr>
          <w:rFonts w:eastAsiaTheme="minorEastAsia"/>
          <w:sz w:val="24"/>
          <w:vertAlign w:val="subscript"/>
        </w:rPr>
        <w:t>5</w:t>
      </w:r>
      <w:r>
        <w:rPr>
          <w:rFonts w:eastAsiaTheme="minorEastAsia"/>
          <w:sz w:val="24"/>
        </w:rPr>
        <w:t>：150mg/L、氨氮：30mg/L、SS：200mg/L、粪大肠菌群：1.6×10</w:t>
      </w:r>
      <w:r>
        <w:rPr>
          <w:rFonts w:eastAsiaTheme="minorEastAsia"/>
          <w:sz w:val="24"/>
          <w:vertAlign w:val="superscript"/>
        </w:rPr>
        <w:t>8</w:t>
      </w:r>
      <w:r>
        <w:rPr>
          <w:rFonts w:eastAsiaTheme="minorEastAsia"/>
          <w:sz w:val="24"/>
        </w:rPr>
        <w:t>MPN/L。湘阴县第一污水处理厂位于湘江与白水江交叉口东北角，目前已建规模为4万m</w:t>
      </w:r>
      <w:r>
        <w:rPr>
          <w:rFonts w:eastAsiaTheme="minorEastAsia"/>
          <w:sz w:val="24"/>
          <w:vertAlign w:val="superscript"/>
        </w:rPr>
        <w:t>3</w:t>
      </w:r>
      <w:r>
        <w:rPr>
          <w:rFonts w:eastAsiaTheme="minorEastAsia"/>
          <w:sz w:val="24"/>
        </w:rPr>
        <w:t>/d，主要采用A/A/C氧化沟工艺以及A/A/O工艺。异常情况下医疗废水中的COD、氨氮、SS均能满足湘阴县第一污水处理厂进水水质标准（表6.3-2），湘阴县第一污水处理厂对放大成菌群没有控制，但是BOD</w:t>
      </w:r>
      <w:r>
        <w:rPr>
          <w:rFonts w:eastAsiaTheme="minorEastAsia"/>
          <w:sz w:val="24"/>
          <w:vertAlign w:val="subscript"/>
        </w:rPr>
        <w:t>5</w:t>
      </w:r>
      <w:r>
        <w:rPr>
          <w:rFonts w:eastAsiaTheme="minorEastAsia"/>
          <w:sz w:val="24"/>
        </w:rPr>
        <w:t>、粪大肠菌群严重超出《医疗机构水污染物排放标准》中表2预处理标准，医院含菌废水可沾染病人的血、尿、便，或受到粪便、病毒等病原性微生物污染，；含有酸、碱、悬浮固体、BOD、COD和动植物油等有多种致病菌、病毒和寄生虫卵，它们在环境中具有一定的适应力，有的甚至在污水中存活较长，危害性较大；不经有效处理会成为一条疫病扩散的重要途径和严重污染环境，危害人体健康并对环境有长远影响，排放的废水会导致环境污染事故。除此之外，事故状态下还可导致水中余氯超标，余氯超标会导致水中致癌和制毒性物质的增加，对湘阴县第一污水处理厂的处理效率造成影响。</w:t>
      </w:r>
    </w:p>
    <w:p>
      <w:pPr>
        <w:snapToGrid w:val="0"/>
        <w:spacing w:line="360" w:lineRule="auto"/>
        <w:jc w:val="center"/>
        <w:rPr>
          <w:rFonts w:eastAsiaTheme="minorEastAsia"/>
          <w:b/>
          <w:bCs/>
          <w:sz w:val="24"/>
        </w:rPr>
      </w:pPr>
      <w:bookmarkStart w:id="147" w:name="OLE_LINK39"/>
      <w:bookmarkStart w:id="148" w:name="OLE_LINK38"/>
      <w:bookmarkStart w:id="149" w:name="OLE_LINK37"/>
      <w:r>
        <w:rPr>
          <w:rFonts w:eastAsiaTheme="minorEastAsia"/>
          <w:b/>
          <w:bCs/>
          <w:sz w:val="24"/>
        </w:rPr>
        <w:t>表6.3-2  湘阴县第一污水处理厂设计进水质（单位mg/L）</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84"/>
        <w:gridCol w:w="1279"/>
        <w:gridCol w:w="1274"/>
        <w:gridCol w:w="1208"/>
        <w:gridCol w:w="1296"/>
        <w:gridCol w:w="1076"/>
        <w:gridCol w:w="11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40" w:type="dxa"/>
            <w:vAlign w:val="center"/>
          </w:tcPr>
          <w:p>
            <w:pPr>
              <w:widowControl/>
              <w:snapToGrid w:val="0"/>
              <w:jc w:val="center"/>
              <w:rPr>
                <w:kern w:val="0"/>
                <w:szCs w:val="21"/>
              </w:rPr>
            </w:pPr>
            <w:r>
              <w:rPr>
                <w:kern w:val="0"/>
                <w:szCs w:val="21"/>
              </w:rPr>
              <w:t>项目</w:t>
            </w:r>
          </w:p>
        </w:tc>
        <w:tc>
          <w:tcPr>
            <w:tcW w:w="1240" w:type="dxa"/>
            <w:vAlign w:val="center"/>
          </w:tcPr>
          <w:p>
            <w:pPr>
              <w:widowControl/>
              <w:snapToGrid w:val="0"/>
              <w:jc w:val="center"/>
              <w:rPr>
                <w:kern w:val="0"/>
                <w:szCs w:val="21"/>
              </w:rPr>
            </w:pPr>
            <w:r>
              <w:rPr>
                <w:kern w:val="0"/>
                <w:szCs w:val="21"/>
              </w:rPr>
              <w:t>COD</w:t>
            </w:r>
          </w:p>
        </w:tc>
        <w:tc>
          <w:tcPr>
            <w:tcW w:w="1235" w:type="dxa"/>
            <w:vAlign w:val="center"/>
          </w:tcPr>
          <w:p>
            <w:pPr>
              <w:widowControl/>
              <w:snapToGrid w:val="0"/>
              <w:jc w:val="center"/>
              <w:rPr>
                <w:kern w:val="0"/>
                <w:szCs w:val="21"/>
              </w:rPr>
            </w:pPr>
            <w:r>
              <w:rPr>
                <w:szCs w:val="21"/>
              </w:rPr>
              <w:t>BOD</w:t>
            </w:r>
            <w:r>
              <w:rPr>
                <w:szCs w:val="21"/>
                <w:vertAlign w:val="subscript"/>
              </w:rPr>
              <w:t>5</w:t>
            </w:r>
          </w:p>
        </w:tc>
        <w:tc>
          <w:tcPr>
            <w:tcW w:w="1171" w:type="dxa"/>
            <w:vAlign w:val="center"/>
          </w:tcPr>
          <w:p>
            <w:pPr>
              <w:widowControl/>
              <w:snapToGrid w:val="0"/>
              <w:jc w:val="center"/>
              <w:rPr>
                <w:kern w:val="0"/>
                <w:szCs w:val="21"/>
              </w:rPr>
            </w:pPr>
            <w:r>
              <w:rPr>
                <w:szCs w:val="21"/>
              </w:rPr>
              <w:t>SS</w:t>
            </w:r>
          </w:p>
        </w:tc>
        <w:tc>
          <w:tcPr>
            <w:tcW w:w="1257" w:type="dxa"/>
            <w:vAlign w:val="center"/>
          </w:tcPr>
          <w:p>
            <w:pPr>
              <w:widowControl/>
              <w:snapToGrid w:val="0"/>
              <w:jc w:val="center"/>
              <w:rPr>
                <w:kern w:val="0"/>
                <w:szCs w:val="21"/>
              </w:rPr>
            </w:pPr>
            <w:r>
              <w:rPr>
                <w:szCs w:val="21"/>
              </w:rPr>
              <w:t>NH</w:t>
            </w:r>
            <w:r>
              <w:rPr>
                <w:szCs w:val="21"/>
                <w:vertAlign w:val="subscript"/>
              </w:rPr>
              <w:t>3</w:t>
            </w:r>
            <w:r>
              <w:rPr>
                <w:szCs w:val="21"/>
              </w:rPr>
              <w:t>-N</w:t>
            </w:r>
          </w:p>
        </w:tc>
        <w:tc>
          <w:tcPr>
            <w:tcW w:w="1043" w:type="dxa"/>
            <w:vAlign w:val="center"/>
          </w:tcPr>
          <w:p>
            <w:pPr>
              <w:widowControl/>
              <w:snapToGrid w:val="0"/>
              <w:jc w:val="center"/>
              <w:rPr>
                <w:kern w:val="0"/>
                <w:szCs w:val="21"/>
              </w:rPr>
            </w:pPr>
            <w:r>
              <w:rPr>
                <w:szCs w:val="21"/>
              </w:rPr>
              <w:t>TN</w:t>
            </w:r>
          </w:p>
        </w:tc>
        <w:tc>
          <w:tcPr>
            <w:tcW w:w="1136" w:type="dxa"/>
            <w:vAlign w:val="center"/>
          </w:tcPr>
          <w:p>
            <w:pPr>
              <w:widowControl/>
              <w:snapToGrid w:val="0"/>
              <w:jc w:val="center"/>
              <w:rPr>
                <w:kern w:val="0"/>
                <w:szCs w:val="21"/>
              </w:rPr>
            </w:pPr>
            <w:r>
              <w:rPr>
                <w:szCs w:val="21"/>
              </w:rPr>
              <w:t>TP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40" w:type="dxa"/>
            <w:vAlign w:val="center"/>
          </w:tcPr>
          <w:p>
            <w:pPr>
              <w:widowControl/>
              <w:snapToGrid w:val="0"/>
              <w:jc w:val="center"/>
              <w:rPr>
                <w:kern w:val="0"/>
                <w:szCs w:val="21"/>
              </w:rPr>
            </w:pPr>
            <w:r>
              <w:rPr>
                <w:kern w:val="0"/>
                <w:szCs w:val="21"/>
              </w:rPr>
              <w:t>设计进水水质</w:t>
            </w:r>
          </w:p>
        </w:tc>
        <w:tc>
          <w:tcPr>
            <w:tcW w:w="1240" w:type="dxa"/>
            <w:vAlign w:val="center"/>
          </w:tcPr>
          <w:p>
            <w:pPr>
              <w:widowControl/>
              <w:snapToGrid w:val="0"/>
              <w:jc w:val="center"/>
              <w:rPr>
                <w:kern w:val="0"/>
                <w:szCs w:val="21"/>
              </w:rPr>
            </w:pPr>
            <w:r>
              <w:rPr>
                <w:kern w:val="0"/>
                <w:szCs w:val="21"/>
              </w:rPr>
              <w:t>300</w:t>
            </w:r>
          </w:p>
        </w:tc>
        <w:tc>
          <w:tcPr>
            <w:tcW w:w="1235" w:type="dxa"/>
            <w:vAlign w:val="center"/>
          </w:tcPr>
          <w:p>
            <w:pPr>
              <w:widowControl/>
              <w:snapToGrid w:val="0"/>
              <w:jc w:val="center"/>
              <w:rPr>
                <w:kern w:val="0"/>
                <w:szCs w:val="21"/>
              </w:rPr>
            </w:pPr>
            <w:r>
              <w:rPr>
                <w:kern w:val="0"/>
                <w:szCs w:val="21"/>
              </w:rPr>
              <w:t>120</w:t>
            </w:r>
          </w:p>
        </w:tc>
        <w:tc>
          <w:tcPr>
            <w:tcW w:w="1171" w:type="dxa"/>
            <w:vAlign w:val="center"/>
          </w:tcPr>
          <w:p>
            <w:pPr>
              <w:widowControl/>
              <w:snapToGrid w:val="0"/>
              <w:jc w:val="center"/>
              <w:rPr>
                <w:kern w:val="0"/>
                <w:szCs w:val="21"/>
              </w:rPr>
            </w:pPr>
            <w:r>
              <w:rPr>
                <w:kern w:val="0"/>
                <w:szCs w:val="21"/>
              </w:rPr>
              <w:t>200</w:t>
            </w:r>
          </w:p>
        </w:tc>
        <w:tc>
          <w:tcPr>
            <w:tcW w:w="1257" w:type="dxa"/>
            <w:vAlign w:val="center"/>
          </w:tcPr>
          <w:p>
            <w:pPr>
              <w:widowControl/>
              <w:snapToGrid w:val="0"/>
              <w:jc w:val="center"/>
              <w:rPr>
                <w:kern w:val="0"/>
                <w:szCs w:val="21"/>
              </w:rPr>
            </w:pPr>
            <w:r>
              <w:rPr>
                <w:kern w:val="0"/>
                <w:szCs w:val="21"/>
              </w:rPr>
              <w:t>30</w:t>
            </w:r>
          </w:p>
        </w:tc>
        <w:tc>
          <w:tcPr>
            <w:tcW w:w="1043" w:type="dxa"/>
            <w:vAlign w:val="center"/>
          </w:tcPr>
          <w:p>
            <w:pPr>
              <w:widowControl/>
              <w:snapToGrid w:val="0"/>
              <w:jc w:val="center"/>
              <w:rPr>
                <w:kern w:val="0"/>
                <w:szCs w:val="21"/>
              </w:rPr>
            </w:pPr>
            <w:r>
              <w:rPr>
                <w:kern w:val="0"/>
                <w:szCs w:val="21"/>
              </w:rPr>
              <w:t>35</w:t>
            </w:r>
          </w:p>
        </w:tc>
        <w:tc>
          <w:tcPr>
            <w:tcW w:w="1136" w:type="dxa"/>
            <w:vAlign w:val="center"/>
          </w:tcPr>
          <w:p>
            <w:pPr>
              <w:widowControl/>
              <w:snapToGrid w:val="0"/>
              <w:jc w:val="center"/>
              <w:rPr>
                <w:kern w:val="0"/>
                <w:szCs w:val="21"/>
              </w:rPr>
            </w:pPr>
            <w:r>
              <w:rPr>
                <w:kern w:val="0"/>
                <w:szCs w:val="21"/>
              </w:rPr>
              <w:t>3.0</w:t>
            </w:r>
          </w:p>
        </w:tc>
      </w:tr>
      <w:bookmarkEnd w:id="147"/>
      <w:bookmarkEnd w:id="148"/>
      <w:bookmarkEnd w:id="149"/>
    </w:tbl>
    <w:p>
      <w:pPr>
        <w:snapToGrid w:val="0"/>
        <w:spacing w:line="360" w:lineRule="auto"/>
        <w:ind w:firstLine="480" w:firstLineChars="200"/>
        <w:rPr>
          <w:rFonts w:eastAsiaTheme="minorEastAsia"/>
          <w:sz w:val="24"/>
          <w:u w:val="single"/>
        </w:rPr>
      </w:pPr>
      <w:r>
        <w:rPr>
          <w:rFonts w:eastAsiaTheme="minorEastAsia"/>
          <w:sz w:val="24"/>
        </w:rPr>
        <w:t>但为了确保达标排放，同时减轻对湘阴县第一污水处理厂的冲击，本项目必须杜绝非正常排放。废水处理站在设备检修时，可将废水先保存在调节池或沉淀池中不进行外排废水，待设备检修（检修大约6小时）完成后，正常运行后再进行废水处理及外排，调节池和沉淀池大小需满足可以临时存放6小时事故水，杜绝未经处理的医疗废水排入市政管网。根据《医院污水处理工程技术规范》（HJ2029-2013）的要求和设计规范中对于医院污水处理工程应急事故池设计的相关要求，传染病医院污水处理工程应急事故池容积不小于日排放量的100%，非传染病区医院污水处理工程应急事故池容积不小于日排放量的30%，本项目为非传染病医院，本项目废水产生量约为286.68m</w:t>
      </w:r>
      <w:r>
        <w:rPr>
          <w:rFonts w:eastAsiaTheme="minorEastAsia"/>
          <w:sz w:val="24"/>
          <w:vertAlign w:val="superscript"/>
        </w:rPr>
        <w:t>3</w:t>
      </w:r>
      <w:r>
        <w:rPr>
          <w:rFonts w:eastAsiaTheme="minorEastAsia"/>
          <w:sz w:val="24"/>
        </w:rPr>
        <w:t>/d，则本项目污水处理工程应急事故池应大于286.68×30%=85.185m</w:t>
      </w:r>
      <w:r>
        <w:rPr>
          <w:rFonts w:eastAsiaTheme="minorEastAsia"/>
          <w:sz w:val="24"/>
          <w:vertAlign w:val="superscript"/>
        </w:rPr>
        <w:t>3</w:t>
      </w:r>
      <w:r>
        <w:rPr>
          <w:rFonts w:hint="eastAsia" w:eastAsiaTheme="minorEastAsia"/>
          <w:sz w:val="24"/>
        </w:rPr>
        <w:t>。</w:t>
      </w:r>
      <w:r>
        <w:rPr>
          <w:rFonts w:eastAsiaTheme="minorEastAsia"/>
          <w:sz w:val="24"/>
          <w:u w:val="single"/>
        </w:rPr>
        <w:t>本项目</w:t>
      </w:r>
      <w:r>
        <w:rPr>
          <w:rFonts w:hint="eastAsia" w:eastAsiaTheme="minorEastAsia"/>
          <w:sz w:val="24"/>
          <w:u w:val="single"/>
        </w:rPr>
        <w:t>拟在污水处理站附近新建一个事故应急池</w:t>
      </w:r>
      <w:r>
        <w:rPr>
          <w:rFonts w:eastAsiaTheme="minorEastAsia"/>
          <w:sz w:val="24"/>
          <w:u w:val="single"/>
        </w:rPr>
        <w:t>（兼做消防废水池）</w:t>
      </w:r>
      <w:r>
        <w:rPr>
          <w:rFonts w:hint="eastAsia" w:eastAsiaTheme="minorEastAsia"/>
          <w:sz w:val="24"/>
          <w:u w:val="single"/>
        </w:rPr>
        <w:t>，容积约为100</w:t>
      </w:r>
      <w:r>
        <w:rPr>
          <w:rFonts w:eastAsiaTheme="minorEastAsia"/>
          <w:sz w:val="24"/>
          <w:u w:val="single"/>
        </w:rPr>
        <w:t>m</w:t>
      </w:r>
      <w:r>
        <w:rPr>
          <w:rFonts w:eastAsiaTheme="minorEastAsia"/>
          <w:sz w:val="24"/>
          <w:u w:val="single"/>
          <w:vertAlign w:val="superscript"/>
        </w:rPr>
        <w:t>3</w:t>
      </w:r>
      <w:r>
        <w:rPr>
          <w:rFonts w:hint="eastAsia" w:eastAsiaTheme="minorEastAsia"/>
          <w:sz w:val="24"/>
          <w:u w:val="single"/>
        </w:rPr>
        <w:t>，避免污水处理站发生事故时废水泄露。</w:t>
      </w:r>
    </w:p>
    <w:p>
      <w:pPr>
        <w:snapToGrid w:val="0"/>
        <w:spacing w:line="360" w:lineRule="auto"/>
        <w:ind w:firstLine="480" w:firstLineChars="200"/>
        <w:rPr>
          <w:rFonts w:eastAsiaTheme="minorEastAsia"/>
          <w:sz w:val="24"/>
          <w:u w:val="single"/>
        </w:rPr>
      </w:pPr>
      <w:r>
        <w:rPr>
          <w:rFonts w:eastAsiaTheme="minorEastAsia"/>
          <w:sz w:val="24"/>
          <w:u w:val="single"/>
        </w:rPr>
        <w:t>总的来说，在设置事故应急池之后，医院可杜绝非正常排放废水，并且医院务必要加强生产管理，加强责任监控，防止事故发生。</w:t>
      </w:r>
    </w:p>
    <w:p>
      <w:pPr>
        <w:snapToGrid w:val="0"/>
        <w:spacing w:line="360" w:lineRule="auto"/>
        <w:ind w:firstLine="482" w:firstLineChars="200"/>
        <w:rPr>
          <w:rFonts w:eastAsiaTheme="minorEastAsia"/>
          <w:b/>
          <w:bCs/>
          <w:sz w:val="24"/>
        </w:rPr>
      </w:pPr>
      <w:r>
        <w:rPr>
          <w:rFonts w:eastAsiaTheme="minorEastAsia"/>
          <w:b/>
          <w:bCs/>
          <w:sz w:val="24"/>
        </w:rPr>
        <w:t>（4）地表水污染源排放量核算结果</w:t>
      </w:r>
    </w:p>
    <w:p>
      <w:pPr>
        <w:snapToGrid w:val="0"/>
        <w:spacing w:line="360" w:lineRule="auto"/>
        <w:ind w:firstLine="480" w:firstLineChars="200"/>
        <w:rPr>
          <w:rFonts w:eastAsiaTheme="minorEastAsia"/>
          <w:sz w:val="24"/>
        </w:rPr>
      </w:pPr>
      <w:r>
        <w:rPr>
          <w:rFonts w:eastAsiaTheme="minorEastAsia"/>
          <w:sz w:val="24"/>
        </w:rPr>
        <w:t>本项目污染物排放信息主要见下表所示：</w:t>
      </w: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sectPr>
          <w:pgSz w:w="11906" w:h="16838"/>
          <w:pgMar w:top="1418" w:right="1304" w:bottom="1418" w:left="1474" w:header="851" w:footer="680" w:gutter="0"/>
          <w:cols w:space="720" w:num="1"/>
          <w:docGrid w:linePitch="312" w:charSpace="0"/>
        </w:sectPr>
      </w:pPr>
    </w:p>
    <w:p>
      <w:pPr>
        <w:snapToGrid w:val="0"/>
        <w:spacing w:line="360" w:lineRule="auto"/>
        <w:jc w:val="center"/>
        <w:rPr>
          <w:rFonts w:eastAsiaTheme="minorEastAsia"/>
          <w:b/>
          <w:bCs/>
          <w:sz w:val="24"/>
        </w:rPr>
      </w:pPr>
      <w:r>
        <w:rPr>
          <w:rFonts w:eastAsiaTheme="minorEastAsia"/>
          <w:b/>
          <w:bCs/>
          <w:sz w:val="24"/>
        </w:rPr>
        <w:t>表6.3-3  废水类别、污染物及污染治理设施信息表</w:t>
      </w:r>
    </w:p>
    <w:tbl>
      <w:tblPr>
        <w:tblStyle w:val="79"/>
        <w:tblW w:w="1360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42"/>
        <w:gridCol w:w="691"/>
        <w:gridCol w:w="1843"/>
        <w:gridCol w:w="993"/>
        <w:gridCol w:w="849"/>
        <w:gridCol w:w="1135"/>
        <w:gridCol w:w="1184"/>
        <w:gridCol w:w="1911"/>
        <w:gridCol w:w="925"/>
        <w:gridCol w:w="1086"/>
        <w:gridCol w:w="234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36" w:type="pct"/>
            <w:vMerge w:val="restart"/>
            <w:vAlign w:val="center"/>
          </w:tcPr>
          <w:p>
            <w:pPr>
              <w:autoSpaceDE w:val="0"/>
              <w:autoSpaceDN w:val="0"/>
              <w:snapToGrid w:val="0"/>
              <w:ind w:left="109"/>
              <w:jc w:val="center"/>
              <w:rPr>
                <w:rFonts w:eastAsiaTheme="minorEastAsia"/>
                <w:b/>
                <w:bCs/>
                <w:kern w:val="0"/>
                <w:szCs w:val="21"/>
              </w:rPr>
            </w:pPr>
            <w:r>
              <w:rPr>
                <w:rFonts w:eastAsiaTheme="minorEastAsia"/>
                <w:b/>
                <w:bCs/>
                <w:kern w:val="0"/>
                <w:szCs w:val="21"/>
              </w:rPr>
              <w:t>序号</w:t>
            </w:r>
          </w:p>
        </w:tc>
        <w:tc>
          <w:tcPr>
            <w:tcW w:w="254" w:type="pct"/>
            <w:vMerge w:val="restart"/>
            <w:vAlign w:val="center"/>
          </w:tcPr>
          <w:p>
            <w:pPr>
              <w:autoSpaceDE w:val="0"/>
              <w:autoSpaceDN w:val="0"/>
              <w:snapToGrid w:val="0"/>
              <w:ind w:left="116"/>
              <w:jc w:val="center"/>
              <w:rPr>
                <w:rFonts w:eastAsiaTheme="minorEastAsia"/>
                <w:b/>
                <w:bCs/>
                <w:kern w:val="0"/>
                <w:szCs w:val="21"/>
              </w:rPr>
            </w:pPr>
            <w:r>
              <w:rPr>
                <w:rFonts w:eastAsiaTheme="minorEastAsia"/>
                <w:b/>
                <w:bCs/>
                <w:kern w:val="0"/>
                <w:szCs w:val="21"/>
              </w:rPr>
              <w:t>废水类别</w:t>
            </w:r>
          </w:p>
        </w:tc>
        <w:tc>
          <w:tcPr>
            <w:tcW w:w="677" w:type="pct"/>
            <w:vMerge w:val="restart"/>
            <w:vAlign w:val="center"/>
          </w:tcPr>
          <w:p>
            <w:pPr>
              <w:autoSpaceDE w:val="0"/>
              <w:autoSpaceDN w:val="0"/>
              <w:snapToGrid w:val="0"/>
              <w:ind w:left="116"/>
              <w:jc w:val="center"/>
              <w:rPr>
                <w:rFonts w:eastAsiaTheme="minorEastAsia"/>
                <w:b/>
                <w:bCs/>
                <w:kern w:val="0"/>
                <w:szCs w:val="21"/>
              </w:rPr>
            </w:pPr>
            <w:r>
              <w:rPr>
                <w:rFonts w:eastAsiaTheme="minorEastAsia"/>
                <w:b/>
                <w:bCs/>
                <w:kern w:val="0"/>
                <w:szCs w:val="21"/>
              </w:rPr>
              <w:t>污染物种类</w:t>
            </w:r>
          </w:p>
        </w:tc>
        <w:tc>
          <w:tcPr>
            <w:tcW w:w="365" w:type="pct"/>
            <w:vMerge w:val="restart"/>
            <w:vAlign w:val="center"/>
          </w:tcPr>
          <w:p>
            <w:pPr>
              <w:autoSpaceDE w:val="0"/>
              <w:autoSpaceDN w:val="0"/>
              <w:snapToGrid w:val="0"/>
              <w:ind w:left="6"/>
              <w:jc w:val="center"/>
              <w:rPr>
                <w:rFonts w:eastAsiaTheme="minorEastAsia"/>
                <w:b/>
                <w:bCs/>
                <w:kern w:val="0"/>
                <w:szCs w:val="21"/>
              </w:rPr>
            </w:pPr>
            <w:r>
              <w:rPr>
                <w:rFonts w:eastAsiaTheme="minorEastAsia"/>
                <w:b/>
                <w:bCs/>
                <w:kern w:val="0"/>
                <w:szCs w:val="21"/>
              </w:rPr>
              <w:t>排放去向</w:t>
            </w:r>
          </w:p>
        </w:tc>
        <w:tc>
          <w:tcPr>
            <w:tcW w:w="312" w:type="pct"/>
            <w:vMerge w:val="restart"/>
            <w:vAlign w:val="center"/>
          </w:tcPr>
          <w:p>
            <w:pPr>
              <w:autoSpaceDE w:val="0"/>
              <w:autoSpaceDN w:val="0"/>
              <w:snapToGrid w:val="0"/>
              <w:jc w:val="center"/>
              <w:rPr>
                <w:rFonts w:eastAsiaTheme="minorEastAsia"/>
                <w:b/>
                <w:bCs/>
                <w:kern w:val="0"/>
                <w:szCs w:val="21"/>
              </w:rPr>
            </w:pPr>
            <w:r>
              <w:rPr>
                <w:rFonts w:eastAsiaTheme="minorEastAsia"/>
                <w:b/>
                <w:bCs/>
                <w:kern w:val="0"/>
                <w:szCs w:val="21"/>
              </w:rPr>
              <w:t>排放规律</w:t>
            </w:r>
          </w:p>
        </w:tc>
        <w:tc>
          <w:tcPr>
            <w:tcW w:w="1554" w:type="pct"/>
            <w:gridSpan w:val="3"/>
            <w:vAlign w:val="center"/>
          </w:tcPr>
          <w:p>
            <w:pPr>
              <w:autoSpaceDE w:val="0"/>
              <w:autoSpaceDN w:val="0"/>
              <w:snapToGrid w:val="0"/>
              <w:spacing w:before="93"/>
              <w:jc w:val="center"/>
              <w:rPr>
                <w:rFonts w:eastAsiaTheme="minorEastAsia"/>
                <w:b/>
                <w:bCs/>
                <w:kern w:val="0"/>
                <w:szCs w:val="21"/>
              </w:rPr>
            </w:pPr>
            <w:r>
              <w:rPr>
                <w:rFonts w:eastAsiaTheme="minorEastAsia"/>
                <w:b/>
                <w:bCs/>
                <w:kern w:val="0"/>
                <w:szCs w:val="21"/>
              </w:rPr>
              <w:t>污染治理设施</w:t>
            </w:r>
          </w:p>
        </w:tc>
        <w:tc>
          <w:tcPr>
            <w:tcW w:w="340" w:type="pct"/>
            <w:vMerge w:val="restart"/>
            <w:vAlign w:val="center"/>
          </w:tcPr>
          <w:p>
            <w:pPr>
              <w:autoSpaceDE w:val="0"/>
              <w:autoSpaceDN w:val="0"/>
              <w:snapToGrid w:val="0"/>
              <w:jc w:val="center"/>
              <w:rPr>
                <w:rFonts w:eastAsiaTheme="minorEastAsia"/>
                <w:b/>
                <w:bCs/>
                <w:kern w:val="0"/>
                <w:szCs w:val="21"/>
              </w:rPr>
            </w:pPr>
            <w:r>
              <w:rPr>
                <w:rFonts w:eastAsiaTheme="minorEastAsia"/>
                <w:b/>
                <w:bCs/>
                <w:kern w:val="0"/>
                <w:szCs w:val="21"/>
              </w:rPr>
              <w:t>排放口编号</w:t>
            </w:r>
          </w:p>
        </w:tc>
        <w:tc>
          <w:tcPr>
            <w:tcW w:w="399" w:type="pct"/>
            <w:vMerge w:val="restart"/>
            <w:vAlign w:val="center"/>
          </w:tcPr>
          <w:p>
            <w:pPr>
              <w:autoSpaceDE w:val="0"/>
              <w:autoSpaceDN w:val="0"/>
              <w:snapToGrid w:val="0"/>
              <w:spacing w:before="101"/>
              <w:ind w:left="121" w:right="73"/>
              <w:jc w:val="center"/>
              <w:rPr>
                <w:rFonts w:eastAsiaTheme="minorEastAsia"/>
                <w:b/>
                <w:bCs/>
                <w:kern w:val="0"/>
                <w:szCs w:val="21"/>
              </w:rPr>
            </w:pPr>
            <w:r>
              <w:rPr>
                <w:rFonts w:eastAsiaTheme="minorEastAsia"/>
                <w:b/>
                <w:bCs/>
                <w:kern w:val="0"/>
                <w:szCs w:val="21"/>
              </w:rPr>
              <w:t>排放口设置是否符合要求</w:t>
            </w:r>
          </w:p>
        </w:tc>
        <w:tc>
          <w:tcPr>
            <w:tcW w:w="863" w:type="pct"/>
            <w:vMerge w:val="restart"/>
            <w:vAlign w:val="center"/>
          </w:tcPr>
          <w:p>
            <w:pPr>
              <w:autoSpaceDE w:val="0"/>
              <w:autoSpaceDN w:val="0"/>
              <w:snapToGrid w:val="0"/>
              <w:ind w:left="122"/>
              <w:jc w:val="center"/>
              <w:rPr>
                <w:rFonts w:eastAsiaTheme="minorEastAsia"/>
                <w:b/>
                <w:bCs/>
                <w:kern w:val="0"/>
                <w:szCs w:val="21"/>
              </w:rPr>
            </w:pPr>
            <w:r>
              <w:rPr>
                <w:rFonts w:eastAsiaTheme="minorEastAsia"/>
                <w:b/>
                <w:bCs/>
                <w:kern w:val="0"/>
                <w:szCs w:val="21"/>
              </w:rPr>
              <w:t>排放口类型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36" w:type="pct"/>
            <w:vMerge w:val="continue"/>
            <w:vAlign w:val="center"/>
          </w:tcPr>
          <w:p>
            <w:pPr>
              <w:widowControl/>
              <w:snapToGrid w:val="0"/>
              <w:jc w:val="center"/>
              <w:rPr>
                <w:rFonts w:eastAsiaTheme="minorEastAsia"/>
                <w:szCs w:val="21"/>
              </w:rPr>
            </w:pPr>
          </w:p>
        </w:tc>
        <w:tc>
          <w:tcPr>
            <w:tcW w:w="254" w:type="pct"/>
            <w:vMerge w:val="continue"/>
            <w:vAlign w:val="center"/>
          </w:tcPr>
          <w:p>
            <w:pPr>
              <w:widowControl/>
              <w:snapToGrid w:val="0"/>
              <w:jc w:val="center"/>
              <w:rPr>
                <w:rFonts w:eastAsiaTheme="minorEastAsia"/>
                <w:szCs w:val="21"/>
              </w:rPr>
            </w:pPr>
          </w:p>
        </w:tc>
        <w:tc>
          <w:tcPr>
            <w:tcW w:w="677" w:type="pct"/>
            <w:vMerge w:val="continue"/>
            <w:vAlign w:val="center"/>
          </w:tcPr>
          <w:p>
            <w:pPr>
              <w:widowControl/>
              <w:snapToGrid w:val="0"/>
              <w:jc w:val="center"/>
              <w:rPr>
                <w:rFonts w:eastAsiaTheme="minorEastAsia"/>
                <w:szCs w:val="21"/>
              </w:rPr>
            </w:pPr>
          </w:p>
        </w:tc>
        <w:tc>
          <w:tcPr>
            <w:tcW w:w="365" w:type="pct"/>
            <w:vMerge w:val="continue"/>
            <w:vAlign w:val="center"/>
          </w:tcPr>
          <w:p>
            <w:pPr>
              <w:widowControl/>
              <w:snapToGrid w:val="0"/>
              <w:jc w:val="center"/>
              <w:rPr>
                <w:rFonts w:eastAsiaTheme="minorEastAsia"/>
                <w:szCs w:val="21"/>
              </w:rPr>
            </w:pPr>
          </w:p>
        </w:tc>
        <w:tc>
          <w:tcPr>
            <w:tcW w:w="312" w:type="pct"/>
            <w:vMerge w:val="continue"/>
            <w:vAlign w:val="center"/>
          </w:tcPr>
          <w:p>
            <w:pPr>
              <w:widowControl/>
              <w:snapToGrid w:val="0"/>
              <w:jc w:val="center"/>
              <w:rPr>
                <w:rFonts w:eastAsiaTheme="minorEastAsia"/>
                <w:szCs w:val="21"/>
              </w:rPr>
            </w:pPr>
          </w:p>
        </w:tc>
        <w:tc>
          <w:tcPr>
            <w:tcW w:w="417" w:type="pct"/>
            <w:vAlign w:val="center"/>
          </w:tcPr>
          <w:p>
            <w:pPr>
              <w:autoSpaceDE w:val="0"/>
              <w:autoSpaceDN w:val="0"/>
              <w:snapToGrid w:val="0"/>
              <w:ind w:left="118"/>
              <w:jc w:val="center"/>
              <w:rPr>
                <w:rFonts w:eastAsiaTheme="minorEastAsia"/>
                <w:b/>
                <w:bCs/>
                <w:kern w:val="0"/>
                <w:szCs w:val="21"/>
              </w:rPr>
            </w:pPr>
            <w:r>
              <w:rPr>
                <w:rFonts w:eastAsiaTheme="minorEastAsia"/>
                <w:b/>
                <w:bCs/>
                <w:kern w:val="0"/>
                <w:szCs w:val="21"/>
              </w:rPr>
              <w:t>污染治理</w:t>
            </w:r>
          </w:p>
          <w:p>
            <w:pPr>
              <w:autoSpaceDE w:val="0"/>
              <w:autoSpaceDN w:val="0"/>
              <w:snapToGrid w:val="0"/>
              <w:spacing w:before="7"/>
              <w:ind w:left="118"/>
              <w:jc w:val="center"/>
              <w:rPr>
                <w:rFonts w:eastAsiaTheme="minorEastAsia"/>
                <w:b/>
                <w:bCs/>
                <w:kern w:val="0"/>
                <w:szCs w:val="21"/>
              </w:rPr>
            </w:pPr>
            <w:r>
              <w:rPr>
                <w:rFonts w:eastAsiaTheme="minorEastAsia"/>
                <w:b/>
                <w:bCs/>
                <w:kern w:val="0"/>
                <w:szCs w:val="21"/>
              </w:rPr>
              <w:t>设施编号</w:t>
            </w:r>
          </w:p>
        </w:tc>
        <w:tc>
          <w:tcPr>
            <w:tcW w:w="435" w:type="pct"/>
            <w:vAlign w:val="center"/>
          </w:tcPr>
          <w:p>
            <w:pPr>
              <w:autoSpaceDE w:val="0"/>
              <w:autoSpaceDN w:val="0"/>
              <w:snapToGrid w:val="0"/>
              <w:ind w:left="118"/>
              <w:jc w:val="center"/>
              <w:rPr>
                <w:rFonts w:eastAsiaTheme="minorEastAsia"/>
                <w:b/>
                <w:bCs/>
                <w:kern w:val="0"/>
                <w:szCs w:val="21"/>
              </w:rPr>
            </w:pPr>
            <w:r>
              <w:rPr>
                <w:rFonts w:eastAsiaTheme="minorEastAsia"/>
                <w:b/>
                <w:bCs/>
                <w:kern w:val="0"/>
                <w:szCs w:val="21"/>
              </w:rPr>
              <w:t>污染治理</w:t>
            </w:r>
          </w:p>
          <w:p>
            <w:pPr>
              <w:autoSpaceDE w:val="0"/>
              <w:autoSpaceDN w:val="0"/>
              <w:snapToGrid w:val="0"/>
              <w:spacing w:before="7"/>
              <w:ind w:left="118"/>
              <w:jc w:val="center"/>
              <w:rPr>
                <w:rFonts w:eastAsiaTheme="minorEastAsia"/>
                <w:b/>
                <w:bCs/>
                <w:kern w:val="0"/>
                <w:szCs w:val="21"/>
              </w:rPr>
            </w:pPr>
            <w:r>
              <w:rPr>
                <w:rFonts w:eastAsiaTheme="minorEastAsia"/>
                <w:b/>
                <w:bCs/>
                <w:kern w:val="0"/>
                <w:szCs w:val="21"/>
              </w:rPr>
              <w:t>设施名称</w:t>
            </w:r>
          </w:p>
        </w:tc>
        <w:tc>
          <w:tcPr>
            <w:tcW w:w="701" w:type="pct"/>
            <w:vAlign w:val="center"/>
          </w:tcPr>
          <w:p>
            <w:pPr>
              <w:autoSpaceDE w:val="0"/>
              <w:autoSpaceDN w:val="0"/>
              <w:snapToGrid w:val="0"/>
              <w:ind w:left="119"/>
              <w:jc w:val="center"/>
              <w:rPr>
                <w:rFonts w:eastAsiaTheme="minorEastAsia"/>
                <w:b/>
                <w:bCs/>
                <w:kern w:val="0"/>
                <w:szCs w:val="21"/>
              </w:rPr>
            </w:pPr>
            <w:r>
              <w:rPr>
                <w:rFonts w:eastAsiaTheme="minorEastAsia"/>
                <w:b/>
                <w:bCs/>
                <w:kern w:val="0"/>
                <w:szCs w:val="21"/>
              </w:rPr>
              <w:t>污染治理设</w:t>
            </w:r>
          </w:p>
          <w:p>
            <w:pPr>
              <w:autoSpaceDE w:val="0"/>
              <w:autoSpaceDN w:val="0"/>
              <w:snapToGrid w:val="0"/>
              <w:spacing w:before="7"/>
              <w:ind w:left="119"/>
              <w:jc w:val="center"/>
              <w:rPr>
                <w:rFonts w:eastAsiaTheme="minorEastAsia"/>
                <w:b/>
                <w:bCs/>
                <w:kern w:val="0"/>
                <w:szCs w:val="21"/>
              </w:rPr>
            </w:pPr>
            <w:r>
              <w:rPr>
                <w:rFonts w:eastAsiaTheme="minorEastAsia"/>
                <w:b/>
                <w:bCs/>
                <w:kern w:val="0"/>
                <w:szCs w:val="21"/>
              </w:rPr>
              <w:t>施工艺</w:t>
            </w:r>
          </w:p>
        </w:tc>
        <w:tc>
          <w:tcPr>
            <w:tcW w:w="340" w:type="pct"/>
            <w:vMerge w:val="continue"/>
            <w:vAlign w:val="center"/>
          </w:tcPr>
          <w:p>
            <w:pPr>
              <w:widowControl/>
              <w:snapToGrid w:val="0"/>
              <w:jc w:val="center"/>
              <w:rPr>
                <w:rFonts w:eastAsiaTheme="minorEastAsia"/>
                <w:szCs w:val="21"/>
              </w:rPr>
            </w:pPr>
          </w:p>
        </w:tc>
        <w:tc>
          <w:tcPr>
            <w:tcW w:w="399" w:type="pct"/>
            <w:vMerge w:val="continue"/>
            <w:vAlign w:val="center"/>
          </w:tcPr>
          <w:p>
            <w:pPr>
              <w:widowControl/>
              <w:snapToGrid w:val="0"/>
              <w:jc w:val="center"/>
              <w:rPr>
                <w:rFonts w:eastAsiaTheme="minorEastAsia"/>
                <w:szCs w:val="21"/>
              </w:rPr>
            </w:pPr>
          </w:p>
        </w:tc>
        <w:tc>
          <w:tcPr>
            <w:tcW w:w="863" w:type="pct"/>
            <w:vMerge w:val="continue"/>
            <w:vAlign w:val="center"/>
          </w:tcPr>
          <w:p>
            <w:pPr>
              <w:widowControl/>
              <w:snapToGrid w:val="0"/>
              <w:jc w:val="center"/>
              <w:rPr>
                <w:rFonts w:eastAsiaTheme="minorEastAsia"/>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36" w:type="pct"/>
            <w:vAlign w:val="center"/>
          </w:tcPr>
          <w:p>
            <w:pPr>
              <w:autoSpaceDE w:val="0"/>
              <w:autoSpaceDN w:val="0"/>
              <w:snapToGrid w:val="0"/>
              <w:spacing w:before="143"/>
              <w:ind w:left="109"/>
              <w:jc w:val="center"/>
              <w:rPr>
                <w:rFonts w:eastAsiaTheme="minorEastAsia"/>
                <w:kern w:val="0"/>
                <w:szCs w:val="21"/>
              </w:rPr>
            </w:pPr>
            <w:r>
              <w:rPr>
                <w:rFonts w:eastAsiaTheme="minorEastAsia"/>
                <w:kern w:val="0"/>
                <w:szCs w:val="21"/>
              </w:rPr>
              <w:t>1</w:t>
            </w:r>
          </w:p>
        </w:tc>
        <w:tc>
          <w:tcPr>
            <w:tcW w:w="254" w:type="pct"/>
            <w:vAlign w:val="center"/>
          </w:tcPr>
          <w:p>
            <w:pPr>
              <w:autoSpaceDE w:val="0"/>
              <w:autoSpaceDN w:val="0"/>
              <w:snapToGrid w:val="0"/>
              <w:spacing w:before="137"/>
              <w:ind w:left="116"/>
              <w:jc w:val="center"/>
              <w:rPr>
                <w:rFonts w:eastAsiaTheme="minorEastAsia"/>
                <w:kern w:val="0"/>
                <w:szCs w:val="21"/>
              </w:rPr>
            </w:pPr>
            <w:r>
              <w:rPr>
                <w:rFonts w:eastAsiaTheme="minorEastAsia"/>
                <w:kern w:val="0"/>
                <w:szCs w:val="21"/>
              </w:rPr>
              <w:t>医疗废水</w:t>
            </w:r>
          </w:p>
        </w:tc>
        <w:tc>
          <w:tcPr>
            <w:tcW w:w="677" w:type="pct"/>
            <w:vAlign w:val="center"/>
          </w:tcPr>
          <w:p>
            <w:pPr>
              <w:autoSpaceDE w:val="0"/>
              <w:autoSpaceDN w:val="0"/>
              <w:snapToGrid w:val="0"/>
              <w:spacing w:before="4"/>
              <w:ind w:left="116"/>
              <w:jc w:val="center"/>
              <w:rPr>
                <w:kern w:val="0"/>
                <w:szCs w:val="21"/>
              </w:rPr>
            </w:pPr>
            <w:r>
              <w:rPr>
                <w:rFonts w:eastAsiaTheme="minorEastAsia"/>
                <w:kern w:val="0"/>
                <w:szCs w:val="21"/>
              </w:rPr>
              <w:t>COD、BOD</w:t>
            </w:r>
            <w:r>
              <w:rPr>
                <w:rFonts w:eastAsiaTheme="minorEastAsia"/>
                <w:kern w:val="0"/>
                <w:szCs w:val="21"/>
                <w:vertAlign w:val="subscript"/>
              </w:rPr>
              <w:t>5</w:t>
            </w:r>
            <w:r>
              <w:rPr>
                <w:rFonts w:eastAsiaTheme="minorEastAsia"/>
                <w:kern w:val="0"/>
                <w:szCs w:val="21"/>
              </w:rPr>
              <w:t>、</w:t>
            </w:r>
            <w:r>
              <w:rPr>
                <w:rFonts w:eastAsiaTheme="minorEastAsia"/>
                <w:kern w:val="0"/>
                <w:sz w:val="24"/>
              </w:rPr>
              <w:t>SS、</w:t>
            </w:r>
            <w:r>
              <w:rPr>
                <w:kern w:val="0"/>
                <w:szCs w:val="22"/>
              </w:rPr>
              <w:t>氨氮、粪大肠杆菌、总氮、总磷、阴离子表面活性剂、总余氯</w:t>
            </w:r>
          </w:p>
        </w:tc>
        <w:tc>
          <w:tcPr>
            <w:tcW w:w="365" w:type="pct"/>
            <w:vAlign w:val="center"/>
          </w:tcPr>
          <w:p>
            <w:pPr>
              <w:autoSpaceDE w:val="0"/>
              <w:autoSpaceDN w:val="0"/>
              <w:snapToGrid w:val="0"/>
              <w:spacing w:before="8"/>
              <w:jc w:val="center"/>
              <w:rPr>
                <w:rFonts w:eastAsiaTheme="minorEastAsia"/>
                <w:kern w:val="0"/>
                <w:szCs w:val="21"/>
              </w:rPr>
            </w:pPr>
            <w:r>
              <w:rPr>
                <w:rFonts w:eastAsiaTheme="minorEastAsia"/>
                <w:kern w:val="0"/>
                <w:szCs w:val="21"/>
              </w:rPr>
              <w:t>医院废水处理站</w:t>
            </w:r>
          </w:p>
        </w:tc>
        <w:tc>
          <w:tcPr>
            <w:tcW w:w="312" w:type="pct"/>
            <w:vAlign w:val="center"/>
          </w:tcPr>
          <w:p>
            <w:pPr>
              <w:autoSpaceDE w:val="0"/>
              <w:autoSpaceDN w:val="0"/>
              <w:snapToGrid w:val="0"/>
              <w:ind w:right="52"/>
              <w:jc w:val="center"/>
              <w:rPr>
                <w:rFonts w:eastAsiaTheme="minorEastAsia"/>
                <w:kern w:val="0"/>
                <w:szCs w:val="21"/>
              </w:rPr>
            </w:pPr>
            <w:r>
              <w:rPr>
                <w:rFonts w:eastAsiaTheme="minorEastAsia"/>
                <w:kern w:val="0"/>
                <w:szCs w:val="21"/>
              </w:rPr>
              <w:t>连续排放，流量稳定</w:t>
            </w:r>
          </w:p>
        </w:tc>
        <w:tc>
          <w:tcPr>
            <w:tcW w:w="417" w:type="pct"/>
            <w:vAlign w:val="center"/>
          </w:tcPr>
          <w:p>
            <w:pPr>
              <w:autoSpaceDE w:val="0"/>
              <w:autoSpaceDN w:val="0"/>
              <w:snapToGrid w:val="0"/>
              <w:ind w:left="118"/>
              <w:jc w:val="center"/>
              <w:rPr>
                <w:rFonts w:eastAsiaTheme="minorEastAsia"/>
                <w:kern w:val="0"/>
                <w:szCs w:val="21"/>
              </w:rPr>
            </w:pPr>
            <w:r>
              <w:rPr>
                <w:rFonts w:eastAsiaTheme="minorEastAsia"/>
                <w:kern w:val="0"/>
                <w:szCs w:val="21"/>
              </w:rPr>
              <w:t>TW001</w:t>
            </w:r>
          </w:p>
        </w:tc>
        <w:tc>
          <w:tcPr>
            <w:tcW w:w="435" w:type="pct"/>
            <w:vAlign w:val="center"/>
          </w:tcPr>
          <w:p>
            <w:pPr>
              <w:autoSpaceDE w:val="0"/>
              <w:autoSpaceDN w:val="0"/>
              <w:snapToGrid w:val="0"/>
              <w:ind w:right="75"/>
              <w:jc w:val="center"/>
              <w:rPr>
                <w:rFonts w:eastAsiaTheme="minorEastAsia"/>
                <w:kern w:val="0"/>
                <w:szCs w:val="21"/>
              </w:rPr>
            </w:pPr>
            <w:r>
              <w:rPr>
                <w:rFonts w:eastAsiaTheme="minorEastAsia"/>
                <w:kern w:val="0"/>
                <w:szCs w:val="21"/>
              </w:rPr>
              <w:t>医院医疗废水处理站</w:t>
            </w:r>
          </w:p>
        </w:tc>
        <w:tc>
          <w:tcPr>
            <w:tcW w:w="701" w:type="pct"/>
            <w:vAlign w:val="center"/>
          </w:tcPr>
          <w:p>
            <w:pPr>
              <w:autoSpaceDE w:val="0"/>
              <w:autoSpaceDN w:val="0"/>
              <w:snapToGrid w:val="0"/>
              <w:ind w:left="119" w:right="78"/>
              <w:jc w:val="center"/>
              <w:rPr>
                <w:rFonts w:eastAsiaTheme="minorEastAsia"/>
                <w:kern w:val="0"/>
                <w:szCs w:val="21"/>
              </w:rPr>
            </w:pPr>
            <w:r>
              <w:rPr>
                <w:rFonts w:eastAsiaTheme="minorEastAsia"/>
                <w:spacing w:val="23"/>
                <w:kern w:val="0"/>
                <w:szCs w:val="21"/>
              </w:rPr>
              <w:t>调节+水解酸化+生物接触氧化+斜管沉淀池+接触消毒</w:t>
            </w:r>
          </w:p>
        </w:tc>
        <w:tc>
          <w:tcPr>
            <w:tcW w:w="340" w:type="pct"/>
            <w:vMerge w:val="restart"/>
            <w:vAlign w:val="center"/>
          </w:tcPr>
          <w:p>
            <w:pPr>
              <w:autoSpaceDE w:val="0"/>
              <w:autoSpaceDN w:val="0"/>
              <w:snapToGrid w:val="0"/>
              <w:ind w:left="120"/>
              <w:jc w:val="center"/>
              <w:rPr>
                <w:rFonts w:eastAsiaTheme="minorEastAsia"/>
                <w:kern w:val="0"/>
                <w:szCs w:val="21"/>
              </w:rPr>
            </w:pPr>
            <w:r>
              <w:rPr>
                <w:rFonts w:eastAsiaTheme="minorEastAsia"/>
                <w:kern w:val="0"/>
                <w:szCs w:val="21"/>
              </w:rPr>
              <w:t>DW001</w:t>
            </w:r>
          </w:p>
        </w:tc>
        <w:tc>
          <w:tcPr>
            <w:tcW w:w="399" w:type="pct"/>
            <w:vMerge w:val="restart"/>
            <w:vAlign w:val="center"/>
          </w:tcPr>
          <w:p>
            <w:pPr>
              <w:autoSpaceDE w:val="0"/>
              <w:autoSpaceDN w:val="0"/>
              <w:snapToGrid w:val="0"/>
              <w:ind w:left="121"/>
              <w:jc w:val="center"/>
              <w:rPr>
                <w:rFonts w:eastAsiaTheme="minorEastAsia"/>
                <w:kern w:val="0"/>
                <w:szCs w:val="21"/>
              </w:rPr>
            </w:pPr>
            <w:r>
              <w:rPr>
                <w:rFonts w:eastAsiaTheme="minorEastAsia"/>
                <w:kern w:val="0"/>
                <w:szCs w:val="21"/>
              </w:rPr>
              <w:sym w:font="Wingdings 2" w:char="0052"/>
            </w:r>
            <w:r>
              <w:rPr>
                <w:rFonts w:eastAsiaTheme="minorEastAsia"/>
                <w:spacing w:val="-1"/>
                <w:kern w:val="0"/>
                <w:szCs w:val="21"/>
              </w:rPr>
              <w:t>是</w:t>
            </w:r>
          </w:p>
          <w:p>
            <w:pPr>
              <w:autoSpaceDE w:val="0"/>
              <w:autoSpaceDN w:val="0"/>
              <w:snapToGrid w:val="0"/>
              <w:spacing w:before="3"/>
              <w:ind w:left="121"/>
              <w:jc w:val="center"/>
              <w:rPr>
                <w:rFonts w:eastAsiaTheme="minorEastAsia"/>
                <w:kern w:val="0"/>
                <w:szCs w:val="21"/>
              </w:rPr>
            </w:pPr>
            <w:r>
              <w:rPr>
                <w:rFonts w:eastAsiaTheme="minorEastAsia"/>
                <w:kern w:val="0"/>
                <w:szCs w:val="21"/>
              </w:rPr>
              <w:t>□否</w:t>
            </w:r>
          </w:p>
        </w:tc>
        <w:tc>
          <w:tcPr>
            <w:tcW w:w="863" w:type="pct"/>
            <w:vMerge w:val="restart"/>
            <w:vAlign w:val="center"/>
          </w:tcPr>
          <w:p>
            <w:pPr>
              <w:autoSpaceDE w:val="0"/>
              <w:autoSpaceDN w:val="0"/>
              <w:snapToGrid w:val="0"/>
              <w:spacing w:before="151"/>
              <w:ind w:left="122"/>
              <w:jc w:val="center"/>
              <w:rPr>
                <w:rFonts w:eastAsiaTheme="minorEastAsia"/>
                <w:kern w:val="0"/>
                <w:szCs w:val="21"/>
              </w:rPr>
            </w:pPr>
            <w:r>
              <w:rPr>
                <w:rFonts w:eastAsiaTheme="minorEastAsia"/>
                <w:kern w:val="0"/>
                <w:szCs w:val="21"/>
              </w:rPr>
              <w:sym w:font="Wingdings 2" w:char="0052"/>
            </w:r>
            <w:r>
              <w:rPr>
                <w:rFonts w:eastAsiaTheme="minorEastAsia"/>
                <w:spacing w:val="-2"/>
                <w:kern w:val="0"/>
                <w:szCs w:val="21"/>
              </w:rPr>
              <w:t>企业总排</w:t>
            </w:r>
          </w:p>
          <w:p>
            <w:pPr>
              <w:autoSpaceDE w:val="0"/>
              <w:autoSpaceDN w:val="0"/>
              <w:snapToGrid w:val="0"/>
              <w:spacing w:before="3"/>
              <w:ind w:left="122"/>
              <w:jc w:val="center"/>
              <w:rPr>
                <w:rFonts w:eastAsiaTheme="minorEastAsia"/>
                <w:kern w:val="0"/>
                <w:szCs w:val="21"/>
              </w:rPr>
            </w:pPr>
            <w:r>
              <w:rPr>
                <w:rFonts w:eastAsiaTheme="minorEastAsia"/>
                <w:spacing w:val="-2"/>
                <w:kern w:val="0"/>
                <w:szCs w:val="21"/>
              </w:rPr>
              <w:t>□雨水排放</w:t>
            </w:r>
          </w:p>
          <w:p>
            <w:pPr>
              <w:autoSpaceDE w:val="0"/>
              <w:autoSpaceDN w:val="0"/>
              <w:snapToGrid w:val="0"/>
              <w:spacing w:before="3"/>
              <w:ind w:left="122"/>
              <w:jc w:val="center"/>
              <w:rPr>
                <w:rFonts w:eastAsiaTheme="minorEastAsia"/>
                <w:kern w:val="0"/>
                <w:szCs w:val="21"/>
              </w:rPr>
            </w:pPr>
            <w:r>
              <w:rPr>
                <w:rFonts w:eastAsiaTheme="minorEastAsia"/>
                <w:kern w:val="0"/>
                <w:szCs w:val="21"/>
              </w:rPr>
              <w:t>□清净下水排放</w:t>
            </w:r>
          </w:p>
          <w:p>
            <w:pPr>
              <w:autoSpaceDE w:val="0"/>
              <w:autoSpaceDN w:val="0"/>
              <w:snapToGrid w:val="0"/>
              <w:spacing w:before="3"/>
              <w:ind w:left="122"/>
              <w:jc w:val="center"/>
              <w:rPr>
                <w:rFonts w:eastAsiaTheme="minorEastAsia"/>
                <w:kern w:val="0"/>
                <w:szCs w:val="21"/>
              </w:rPr>
            </w:pPr>
            <w:r>
              <w:rPr>
                <w:rFonts w:eastAsiaTheme="minorEastAsia"/>
                <w:kern w:val="0"/>
                <w:szCs w:val="21"/>
              </w:rPr>
              <w:t>□温排水排放</w:t>
            </w:r>
          </w:p>
          <w:p>
            <w:pPr>
              <w:autoSpaceDE w:val="0"/>
              <w:autoSpaceDN w:val="0"/>
              <w:snapToGrid w:val="0"/>
              <w:spacing w:before="2"/>
              <w:ind w:left="122" w:right="55"/>
              <w:jc w:val="center"/>
              <w:rPr>
                <w:rFonts w:eastAsiaTheme="minorEastAsia"/>
                <w:kern w:val="0"/>
                <w:szCs w:val="21"/>
              </w:rPr>
            </w:pPr>
            <w:r>
              <w:rPr>
                <w:rFonts w:eastAsiaTheme="minorEastAsia"/>
                <w:kern w:val="0"/>
                <w:szCs w:val="21"/>
              </w:rPr>
              <w:t>□车间或车间处理设施排放口</w:t>
            </w:r>
          </w:p>
          <w:p>
            <w:pPr>
              <w:autoSpaceDE w:val="0"/>
              <w:autoSpaceDN w:val="0"/>
              <w:snapToGrid w:val="0"/>
              <w:spacing w:before="2"/>
              <w:ind w:left="122" w:right="55"/>
              <w:jc w:val="center"/>
              <w:rPr>
                <w:rFonts w:eastAsiaTheme="minorEastAsia"/>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36" w:type="pct"/>
            <w:vAlign w:val="center"/>
          </w:tcPr>
          <w:p>
            <w:pPr>
              <w:autoSpaceDE w:val="0"/>
              <w:autoSpaceDN w:val="0"/>
              <w:snapToGrid w:val="0"/>
              <w:spacing w:before="143"/>
              <w:ind w:left="109"/>
              <w:jc w:val="center"/>
              <w:rPr>
                <w:rFonts w:eastAsiaTheme="minorEastAsia"/>
                <w:kern w:val="0"/>
                <w:szCs w:val="21"/>
              </w:rPr>
            </w:pPr>
            <w:r>
              <w:rPr>
                <w:rFonts w:eastAsiaTheme="minorEastAsia"/>
                <w:kern w:val="0"/>
                <w:szCs w:val="21"/>
              </w:rPr>
              <w:t>2</w:t>
            </w:r>
          </w:p>
        </w:tc>
        <w:tc>
          <w:tcPr>
            <w:tcW w:w="254" w:type="pct"/>
            <w:vAlign w:val="center"/>
          </w:tcPr>
          <w:p>
            <w:pPr>
              <w:autoSpaceDE w:val="0"/>
              <w:autoSpaceDN w:val="0"/>
              <w:snapToGrid w:val="0"/>
              <w:spacing w:before="137"/>
              <w:ind w:left="116"/>
              <w:jc w:val="center"/>
              <w:rPr>
                <w:rFonts w:eastAsiaTheme="minorEastAsia"/>
                <w:kern w:val="0"/>
                <w:szCs w:val="21"/>
              </w:rPr>
            </w:pPr>
            <w:r>
              <w:rPr>
                <w:rFonts w:eastAsiaTheme="minorEastAsia"/>
                <w:kern w:val="0"/>
                <w:szCs w:val="21"/>
              </w:rPr>
              <w:t>医护人员生活污水</w:t>
            </w:r>
          </w:p>
        </w:tc>
        <w:tc>
          <w:tcPr>
            <w:tcW w:w="677" w:type="pct"/>
            <w:vAlign w:val="center"/>
          </w:tcPr>
          <w:p>
            <w:pPr>
              <w:autoSpaceDE w:val="0"/>
              <w:autoSpaceDN w:val="0"/>
              <w:snapToGrid w:val="0"/>
              <w:spacing w:before="4"/>
              <w:ind w:left="116"/>
              <w:jc w:val="center"/>
              <w:rPr>
                <w:kern w:val="0"/>
                <w:szCs w:val="21"/>
              </w:rPr>
            </w:pPr>
            <w:r>
              <w:rPr>
                <w:rFonts w:eastAsiaTheme="minorEastAsia"/>
                <w:kern w:val="0"/>
                <w:szCs w:val="21"/>
              </w:rPr>
              <w:t>COD、BOD</w:t>
            </w:r>
            <w:r>
              <w:rPr>
                <w:rFonts w:eastAsiaTheme="minorEastAsia"/>
                <w:kern w:val="0"/>
                <w:szCs w:val="21"/>
                <w:vertAlign w:val="subscript"/>
              </w:rPr>
              <w:t>5</w:t>
            </w:r>
            <w:r>
              <w:rPr>
                <w:rFonts w:eastAsiaTheme="minorEastAsia"/>
                <w:kern w:val="0"/>
                <w:szCs w:val="21"/>
              </w:rPr>
              <w:t>、</w:t>
            </w:r>
            <w:r>
              <w:rPr>
                <w:rFonts w:eastAsiaTheme="minorEastAsia"/>
                <w:kern w:val="0"/>
                <w:sz w:val="24"/>
              </w:rPr>
              <w:t>SS、</w:t>
            </w:r>
            <w:r>
              <w:rPr>
                <w:kern w:val="0"/>
                <w:szCs w:val="22"/>
              </w:rPr>
              <w:t>氨氮、总磷</w:t>
            </w:r>
          </w:p>
        </w:tc>
        <w:tc>
          <w:tcPr>
            <w:tcW w:w="365" w:type="pct"/>
            <w:vAlign w:val="center"/>
          </w:tcPr>
          <w:p>
            <w:pPr>
              <w:autoSpaceDE w:val="0"/>
              <w:autoSpaceDN w:val="0"/>
              <w:snapToGrid w:val="0"/>
              <w:ind w:left="116" w:right="74"/>
              <w:jc w:val="center"/>
              <w:rPr>
                <w:rFonts w:eastAsiaTheme="minorEastAsia"/>
                <w:kern w:val="0"/>
                <w:szCs w:val="21"/>
              </w:rPr>
            </w:pPr>
            <w:r>
              <w:rPr>
                <w:rFonts w:eastAsiaTheme="minorEastAsia"/>
                <w:kern w:val="0"/>
                <w:szCs w:val="21"/>
              </w:rPr>
              <w:t>化粪池</w:t>
            </w:r>
          </w:p>
        </w:tc>
        <w:tc>
          <w:tcPr>
            <w:tcW w:w="312" w:type="pct"/>
            <w:vAlign w:val="center"/>
          </w:tcPr>
          <w:p>
            <w:pPr>
              <w:autoSpaceDE w:val="0"/>
              <w:autoSpaceDN w:val="0"/>
              <w:snapToGrid w:val="0"/>
              <w:ind w:right="52"/>
              <w:jc w:val="center"/>
              <w:rPr>
                <w:rFonts w:eastAsiaTheme="minorEastAsia"/>
                <w:kern w:val="0"/>
                <w:szCs w:val="21"/>
              </w:rPr>
            </w:pPr>
            <w:r>
              <w:rPr>
                <w:rFonts w:eastAsiaTheme="minorEastAsia"/>
                <w:kern w:val="0"/>
                <w:szCs w:val="21"/>
              </w:rPr>
              <w:t>连续排放，流量稳定</w:t>
            </w:r>
          </w:p>
        </w:tc>
        <w:tc>
          <w:tcPr>
            <w:tcW w:w="417" w:type="pct"/>
            <w:vAlign w:val="center"/>
          </w:tcPr>
          <w:p>
            <w:pPr>
              <w:autoSpaceDE w:val="0"/>
              <w:autoSpaceDN w:val="0"/>
              <w:snapToGrid w:val="0"/>
              <w:ind w:left="118"/>
              <w:jc w:val="center"/>
              <w:rPr>
                <w:rFonts w:eastAsiaTheme="minorEastAsia"/>
                <w:kern w:val="0"/>
                <w:szCs w:val="21"/>
              </w:rPr>
            </w:pPr>
            <w:r>
              <w:rPr>
                <w:rFonts w:eastAsiaTheme="minorEastAsia"/>
                <w:kern w:val="0"/>
                <w:szCs w:val="21"/>
              </w:rPr>
              <w:t>TW002</w:t>
            </w:r>
          </w:p>
        </w:tc>
        <w:tc>
          <w:tcPr>
            <w:tcW w:w="435" w:type="pct"/>
            <w:vAlign w:val="center"/>
          </w:tcPr>
          <w:p>
            <w:pPr>
              <w:autoSpaceDE w:val="0"/>
              <w:autoSpaceDN w:val="0"/>
              <w:snapToGrid w:val="0"/>
              <w:ind w:right="75"/>
              <w:jc w:val="center"/>
              <w:rPr>
                <w:rFonts w:eastAsiaTheme="minorEastAsia"/>
                <w:kern w:val="0"/>
                <w:szCs w:val="21"/>
              </w:rPr>
            </w:pPr>
            <w:r>
              <w:rPr>
                <w:rFonts w:eastAsiaTheme="minorEastAsia"/>
                <w:kern w:val="0"/>
                <w:szCs w:val="21"/>
              </w:rPr>
              <w:t>职工宿舍化粪池</w:t>
            </w:r>
          </w:p>
        </w:tc>
        <w:tc>
          <w:tcPr>
            <w:tcW w:w="701" w:type="pct"/>
            <w:vAlign w:val="center"/>
          </w:tcPr>
          <w:p>
            <w:pPr>
              <w:autoSpaceDE w:val="0"/>
              <w:autoSpaceDN w:val="0"/>
              <w:snapToGrid w:val="0"/>
              <w:ind w:left="119" w:right="78"/>
              <w:jc w:val="center"/>
              <w:rPr>
                <w:rFonts w:eastAsiaTheme="minorEastAsia"/>
                <w:spacing w:val="23"/>
                <w:kern w:val="0"/>
                <w:szCs w:val="21"/>
              </w:rPr>
            </w:pPr>
            <w:r>
              <w:rPr>
                <w:rFonts w:eastAsiaTheme="minorEastAsia"/>
                <w:spacing w:val="23"/>
                <w:kern w:val="0"/>
                <w:szCs w:val="21"/>
              </w:rPr>
              <w:t>化粪池+“调节+水解酸化+生物接触氧化+斜管沉淀池+接触消毒”</w:t>
            </w:r>
          </w:p>
        </w:tc>
        <w:tc>
          <w:tcPr>
            <w:tcW w:w="340" w:type="pct"/>
            <w:vMerge w:val="continue"/>
            <w:vAlign w:val="center"/>
          </w:tcPr>
          <w:p>
            <w:pPr>
              <w:autoSpaceDE w:val="0"/>
              <w:autoSpaceDN w:val="0"/>
              <w:snapToGrid w:val="0"/>
              <w:ind w:left="120"/>
              <w:jc w:val="center"/>
              <w:rPr>
                <w:rFonts w:eastAsiaTheme="minorEastAsia"/>
                <w:kern w:val="0"/>
                <w:szCs w:val="21"/>
              </w:rPr>
            </w:pPr>
          </w:p>
        </w:tc>
        <w:tc>
          <w:tcPr>
            <w:tcW w:w="399" w:type="pct"/>
            <w:vMerge w:val="continue"/>
            <w:vAlign w:val="center"/>
          </w:tcPr>
          <w:p>
            <w:pPr>
              <w:autoSpaceDE w:val="0"/>
              <w:autoSpaceDN w:val="0"/>
              <w:snapToGrid w:val="0"/>
              <w:spacing w:before="3"/>
              <w:ind w:left="121"/>
              <w:jc w:val="center"/>
              <w:rPr>
                <w:rFonts w:eastAsiaTheme="minorEastAsia"/>
                <w:kern w:val="0"/>
                <w:szCs w:val="21"/>
              </w:rPr>
            </w:pPr>
          </w:p>
        </w:tc>
        <w:tc>
          <w:tcPr>
            <w:tcW w:w="863" w:type="pct"/>
            <w:vMerge w:val="continue"/>
            <w:vAlign w:val="center"/>
          </w:tcPr>
          <w:p>
            <w:pPr>
              <w:autoSpaceDE w:val="0"/>
              <w:autoSpaceDN w:val="0"/>
              <w:snapToGrid w:val="0"/>
              <w:spacing w:before="2"/>
              <w:ind w:left="122" w:right="55"/>
              <w:jc w:val="center"/>
              <w:rPr>
                <w:rFonts w:eastAsiaTheme="minorEastAsia"/>
                <w:kern w:val="0"/>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236" w:type="pct"/>
            <w:vAlign w:val="center"/>
          </w:tcPr>
          <w:p>
            <w:pPr>
              <w:autoSpaceDE w:val="0"/>
              <w:autoSpaceDN w:val="0"/>
              <w:snapToGrid w:val="0"/>
              <w:spacing w:before="143"/>
              <w:ind w:left="109"/>
              <w:jc w:val="center"/>
              <w:rPr>
                <w:rFonts w:eastAsiaTheme="minorEastAsia"/>
                <w:kern w:val="0"/>
                <w:szCs w:val="21"/>
              </w:rPr>
            </w:pPr>
            <w:r>
              <w:rPr>
                <w:rFonts w:eastAsiaTheme="minorEastAsia"/>
                <w:kern w:val="0"/>
                <w:szCs w:val="21"/>
              </w:rPr>
              <w:t>3</w:t>
            </w:r>
          </w:p>
        </w:tc>
        <w:tc>
          <w:tcPr>
            <w:tcW w:w="254" w:type="pct"/>
            <w:vAlign w:val="center"/>
          </w:tcPr>
          <w:p>
            <w:pPr>
              <w:autoSpaceDE w:val="0"/>
              <w:autoSpaceDN w:val="0"/>
              <w:snapToGrid w:val="0"/>
              <w:spacing w:before="137"/>
              <w:ind w:left="116"/>
              <w:jc w:val="center"/>
              <w:rPr>
                <w:rFonts w:eastAsiaTheme="minorEastAsia"/>
                <w:kern w:val="0"/>
                <w:szCs w:val="21"/>
              </w:rPr>
            </w:pPr>
            <w:r>
              <w:rPr>
                <w:rFonts w:eastAsiaTheme="minorEastAsia"/>
                <w:kern w:val="0"/>
                <w:szCs w:val="21"/>
              </w:rPr>
              <w:t>厨房废水</w:t>
            </w:r>
          </w:p>
        </w:tc>
        <w:tc>
          <w:tcPr>
            <w:tcW w:w="677" w:type="pct"/>
            <w:vAlign w:val="center"/>
          </w:tcPr>
          <w:p>
            <w:pPr>
              <w:autoSpaceDE w:val="0"/>
              <w:autoSpaceDN w:val="0"/>
              <w:snapToGrid w:val="0"/>
              <w:spacing w:before="4"/>
              <w:ind w:left="116"/>
              <w:jc w:val="center"/>
              <w:rPr>
                <w:rFonts w:eastAsiaTheme="minorEastAsia"/>
                <w:kern w:val="0"/>
                <w:szCs w:val="21"/>
              </w:rPr>
            </w:pPr>
            <w:r>
              <w:rPr>
                <w:rFonts w:eastAsiaTheme="minorEastAsia"/>
                <w:kern w:val="0"/>
                <w:szCs w:val="21"/>
              </w:rPr>
              <w:t>COD、BOD</w:t>
            </w:r>
            <w:r>
              <w:rPr>
                <w:rFonts w:eastAsiaTheme="minorEastAsia"/>
                <w:kern w:val="0"/>
                <w:szCs w:val="21"/>
                <w:vertAlign w:val="subscript"/>
              </w:rPr>
              <w:t>5、</w:t>
            </w:r>
            <w:r>
              <w:rPr>
                <w:rFonts w:eastAsiaTheme="minorEastAsia"/>
                <w:kern w:val="0"/>
                <w:sz w:val="24"/>
              </w:rPr>
              <w:t>SS、</w:t>
            </w:r>
            <w:r>
              <w:rPr>
                <w:kern w:val="0"/>
                <w:szCs w:val="22"/>
              </w:rPr>
              <w:t>氨氮、动植物油</w:t>
            </w:r>
          </w:p>
        </w:tc>
        <w:tc>
          <w:tcPr>
            <w:tcW w:w="365" w:type="pct"/>
            <w:vAlign w:val="center"/>
          </w:tcPr>
          <w:p>
            <w:pPr>
              <w:autoSpaceDE w:val="0"/>
              <w:autoSpaceDN w:val="0"/>
              <w:snapToGrid w:val="0"/>
              <w:ind w:left="116" w:right="74"/>
              <w:jc w:val="center"/>
              <w:rPr>
                <w:rFonts w:eastAsiaTheme="minorEastAsia"/>
                <w:kern w:val="0"/>
                <w:szCs w:val="21"/>
              </w:rPr>
            </w:pPr>
            <w:r>
              <w:rPr>
                <w:rFonts w:eastAsiaTheme="minorEastAsia"/>
                <w:kern w:val="0"/>
                <w:szCs w:val="21"/>
              </w:rPr>
              <w:t>隔油沉淀池+化粪池</w:t>
            </w:r>
          </w:p>
        </w:tc>
        <w:tc>
          <w:tcPr>
            <w:tcW w:w="312" w:type="pct"/>
            <w:vAlign w:val="center"/>
          </w:tcPr>
          <w:p>
            <w:pPr>
              <w:autoSpaceDE w:val="0"/>
              <w:autoSpaceDN w:val="0"/>
              <w:snapToGrid w:val="0"/>
              <w:ind w:right="52"/>
              <w:jc w:val="center"/>
              <w:rPr>
                <w:rFonts w:eastAsiaTheme="minorEastAsia"/>
                <w:kern w:val="0"/>
                <w:szCs w:val="21"/>
              </w:rPr>
            </w:pPr>
            <w:r>
              <w:rPr>
                <w:rFonts w:eastAsiaTheme="minorEastAsia"/>
                <w:kern w:val="0"/>
                <w:szCs w:val="21"/>
              </w:rPr>
              <w:t>间接排放，不稳定有周期性</w:t>
            </w:r>
          </w:p>
        </w:tc>
        <w:tc>
          <w:tcPr>
            <w:tcW w:w="417" w:type="pct"/>
            <w:vAlign w:val="center"/>
          </w:tcPr>
          <w:p>
            <w:pPr>
              <w:autoSpaceDE w:val="0"/>
              <w:autoSpaceDN w:val="0"/>
              <w:snapToGrid w:val="0"/>
              <w:ind w:left="118"/>
              <w:jc w:val="center"/>
              <w:rPr>
                <w:rFonts w:eastAsiaTheme="minorEastAsia"/>
                <w:kern w:val="0"/>
                <w:szCs w:val="21"/>
              </w:rPr>
            </w:pPr>
            <w:r>
              <w:rPr>
                <w:rFonts w:eastAsiaTheme="minorEastAsia"/>
                <w:kern w:val="0"/>
                <w:szCs w:val="21"/>
              </w:rPr>
              <w:t>TW003</w:t>
            </w:r>
          </w:p>
        </w:tc>
        <w:tc>
          <w:tcPr>
            <w:tcW w:w="435" w:type="pct"/>
            <w:vAlign w:val="center"/>
          </w:tcPr>
          <w:p>
            <w:pPr>
              <w:autoSpaceDE w:val="0"/>
              <w:autoSpaceDN w:val="0"/>
              <w:snapToGrid w:val="0"/>
              <w:ind w:right="75"/>
              <w:jc w:val="center"/>
              <w:rPr>
                <w:rFonts w:eastAsiaTheme="minorEastAsia"/>
                <w:kern w:val="0"/>
                <w:szCs w:val="21"/>
              </w:rPr>
            </w:pPr>
            <w:r>
              <w:rPr>
                <w:rFonts w:eastAsiaTheme="minorEastAsia"/>
                <w:kern w:val="0"/>
                <w:szCs w:val="21"/>
              </w:rPr>
              <w:t>医院食堂废水处理</w:t>
            </w:r>
          </w:p>
        </w:tc>
        <w:tc>
          <w:tcPr>
            <w:tcW w:w="701" w:type="pct"/>
            <w:vAlign w:val="center"/>
          </w:tcPr>
          <w:p>
            <w:pPr>
              <w:autoSpaceDE w:val="0"/>
              <w:autoSpaceDN w:val="0"/>
              <w:snapToGrid w:val="0"/>
              <w:ind w:right="78"/>
              <w:jc w:val="center"/>
              <w:rPr>
                <w:rFonts w:eastAsiaTheme="minorEastAsia"/>
                <w:spacing w:val="23"/>
                <w:kern w:val="0"/>
                <w:szCs w:val="21"/>
              </w:rPr>
            </w:pPr>
            <w:r>
              <w:rPr>
                <w:rFonts w:eastAsiaTheme="minorEastAsia"/>
                <w:spacing w:val="23"/>
                <w:kern w:val="0"/>
                <w:szCs w:val="21"/>
              </w:rPr>
              <w:t>隔油沉淀池+化粪池+“调节+水解酸化+生物接触氧化+斜管沉淀池+接触消毒”</w:t>
            </w:r>
          </w:p>
        </w:tc>
        <w:tc>
          <w:tcPr>
            <w:tcW w:w="340" w:type="pct"/>
            <w:vMerge w:val="continue"/>
            <w:vAlign w:val="center"/>
          </w:tcPr>
          <w:p>
            <w:pPr>
              <w:autoSpaceDE w:val="0"/>
              <w:autoSpaceDN w:val="0"/>
              <w:snapToGrid w:val="0"/>
              <w:ind w:left="120"/>
              <w:jc w:val="center"/>
              <w:rPr>
                <w:rFonts w:eastAsiaTheme="minorEastAsia"/>
                <w:kern w:val="0"/>
                <w:szCs w:val="21"/>
              </w:rPr>
            </w:pPr>
          </w:p>
        </w:tc>
        <w:tc>
          <w:tcPr>
            <w:tcW w:w="399" w:type="pct"/>
            <w:vMerge w:val="continue"/>
            <w:vAlign w:val="center"/>
          </w:tcPr>
          <w:p>
            <w:pPr>
              <w:autoSpaceDE w:val="0"/>
              <w:autoSpaceDN w:val="0"/>
              <w:snapToGrid w:val="0"/>
              <w:spacing w:before="3"/>
              <w:ind w:left="121"/>
              <w:jc w:val="center"/>
              <w:rPr>
                <w:rFonts w:eastAsiaTheme="minorEastAsia"/>
                <w:kern w:val="0"/>
                <w:szCs w:val="21"/>
              </w:rPr>
            </w:pPr>
          </w:p>
        </w:tc>
        <w:tc>
          <w:tcPr>
            <w:tcW w:w="863" w:type="pct"/>
            <w:vMerge w:val="continue"/>
            <w:vAlign w:val="center"/>
          </w:tcPr>
          <w:p>
            <w:pPr>
              <w:autoSpaceDE w:val="0"/>
              <w:autoSpaceDN w:val="0"/>
              <w:snapToGrid w:val="0"/>
              <w:spacing w:before="2"/>
              <w:ind w:left="122" w:right="55"/>
              <w:jc w:val="center"/>
              <w:rPr>
                <w:rFonts w:eastAsiaTheme="minorEastAsia"/>
                <w:kern w:val="0"/>
                <w:szCs w:val="21"/>
              </w:rPr>
            </w:pPr>
          </w:p>
        </w:tc>
      </w:tr>
    </w:tbl>
    <w:p>
      <w:pPr>
        <w:snapToGrid w:val="0"/>
        <w:spacing w:line="360" w:lineRule="auto"/>
        <w:jc w:val="center"/>
        <w:rPr>
          <w:rFonts w:eastAsiaTheme="minorEastAsia"/>
          <w:b/>
          <w:bCs/>
          <w:sz w:val="24"/>
        </w:rPr>
      </w:pPr>
    </w:p>
    <w:p>
      <w:pPr>
        <w:snapToGrid w:val="0"/>
        <w:spacing w:line="360" w:lineRule="auto"/>
        <w:jc w:val="center"/>
        <w:rPr>
          <w:rFonts w:eastAsiaTheme="minorEastAsia"/>
          <w:b/>
          <w:bCs/>
          <w:sz w:val="24"/>
        </w:rPr>
      </w:pPr>
      <w:r>
        <w:rPr>
          <w:rFonts w:eastAsiaTheme="minorEastAsia"/>
          <w:b/>
          <w:bCs/>
          <w:sz w:val="24"/>
        </w:rPr>
        <w:t>表6.3-4  废水间接排放口基本情况表</w:t>
      </w:r>
    </w:p>
    <w:tbl>
      <w:tblPr>
        <w:tblStyle w:val="79"/>
        <w:tblW w:w="1360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385"/>
        <w:gridCol w:w="850"/>
        <w:gridCol w:w="1447"/>
        <w:gridCol w:w="1593"/>
        <w:gridCol w:w="1386"/>
        <w:gridCol w:w="652"/>
        <w:gridCol w:w="1007"/>
        <w:gridCol w:w="659"/>
        <w:gridCol w:w="837"/>
        <w:gridCol w:w="2696"/>
        <w:gridCol w:w="209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0" w:type="auto"/>
            <w:vMerge w:val="restart"/>
            <w:vAlign w:val="center"/>
          </w:tcPr>
          <w:p>
            <w:pPr>
              <w:autoSpaceDE w:val="0"/>
              <w:autoSpaceDN w:val="0"/>
              <w:ind w:left="94"/>
              <w:jc w:val="center"/>
              <w:rPr>
                <w:rFonts w:eastAsiaTheme="majorEastAsia"/>
                <w:b/>
                <w:bCs/>
                <w:kern w:val="0"/>
                <w:szCs w:val="21"/>
              </w:rPr>
            </w:pPr>
            <w:r>
              <w:rPr>
                <w:rFonts w:eastAsiaTheme="majorEastAsia"/>
                <w:b/>
                <w:bCs/>
                <w:kern w:val="0"/>
                <w:szCs w:val="21"/>
              </w:rPr>
              <w:t>序号</w:t>
            </w:r>
          </w:p>
        </w:tc>
        <w:tc>
          <w:tcPr>
            <w:tcW w:w="0" w:type="auto"/>
            <w:vMerge w:val="restart"/>
            <w:vAlign w:val="center"/>
          </w:tcPr>
          <w:p>
            <w:pPr>
              <w:autoSpaceDE w:val="0"/>
              <w:autoSpaceDN w:val="0"/>
              <w:spacing w:before="1"/>
              <w:ind w:left="94" w:right="83"/>
              <w:jc w:val="center"/>
              <w:rPr>
                <w:rFonts w:eastAsiaTheme="majorEastAsia"/>
                <w:b/>
                <w:bCs/>
                <w:kern w:val="0"/>
                <w:szCs w:val="21"/>
              </w:rPr>
            </w:pPr>
            <w:r>
              <w:rPr>
                <w:rFonts w:eastAsiaTheme="majorEastAsia"/>
                <w:b/>
                <w:bCs/>
                <w:spacing w:val="-20"/>
                <w:kern w:val="0"/>
                <w:szCs w:val="21"/>
              </w:rPr>
              <w:t>排放口编号</w:t>
            </w:r>
          </w:p>
        </w:tc>
        <w:tc>
          <w:tcPr>
            <w:tcW w:w="0" w:type="auto"/>
            <w:gridSpan w:val="2"/>
            <w:vAlign w:val="center"/>
          </w:tcPr>
          <w:p>
            <w:pPr>
              <w:autoSpaceDE w:val="0"/>
              <w:autoSpaceDN w:val="0"/>
              <w:spacing w:before="93"/>
              <w:ind w:left="94"/>
              <w:jc w:val="center"/>
              <w:rPr>
                <w:rFonts w:eastAsiaTheme="majorEastAsia"/>
                <w:b/>
                <w:bCs/>
                <w:kern w:val="0"/>
                <w:szCs w:val="21"/>
              </w:rPr>
            </w:pPr>
            <w:r>
              <w:rPr>
                <w:rFonts w:eastAsiaTheme="majorEastAsia"/>
                <w:b/>
                <w:bCs/>
                <w:kern w:val="0"/>
                <w:szCs w:val="21"/>
              </w:rPr>
              <w:t>排放口地理坐标</w:t>
            </w:r>
          </w:p>
        </w:tc>
        <w:tc>
          <w:tcPr>
            <w:tcW w:w="0" w:type="auto"/>
            <w:vMerge w:val="restart"/>
            <w:vAlign w:val="center"/>
          </w:tcPr>
          <w:p>
            <w:pPr>
              <w:autoSpaceDE w:val="0"/>
              <w:autoSpaceDN w:val="0"/>
              <w:spacing w:before="1"/>
              <w:ind w:left="94"/>
              <w:jc w:val="center"/>
              <w:rPr>
                <w:rFonts w:eastAsiaTheme="majorEastAsia"/>
                <w:b/>
                <w:bCs/>
                <w:kern w:val="0"/>
                <w:szCs w:val="21"/>
              </w:rPr>
            </w:pPr>
            <w:r>
              <w:rPr>
                <w:rFonts w:eastAsiaTheme="majorEastAsia"/>
                <w:b/>
                <w:bCs/>
                <w:kern w:val="0"/>
                <w:szCs w:val="21"/>
              </w:rPr>
              <w:t>废水排放量</w:t>
            </w:r>
          </w:p>
          <w:p>
            <w:pPr>
              <w:autoSpaceDE w:val="0"/>
              <w:autoSpaceDN w:val="0"/>
              <w:spacing w:before="2"/>
              <w:ind w:left="94"/>
              <w:jc w:val="center"/>
              <w:rPr>
                <w:rFonts w:eastAsiaTheme="majorEastAsia"/>
                <w:b/>
                <w:bCs/>
                <w:kern w:val="0"/>
                <w:szCs w:val="21"/>
              </w:rPr>
            </w:pPr>
            <w:r>
              <w:rPr>
                <w:rFonts w:eastAsiaTheme="majorEastAsia"/>
                <w:b/>
                <w:bCs/>
                <w:kern w:val="0"/>
                <w:szCs w:val="21"/>
              </w:rPr>
              <w:t>/（</w:t>
            </w:r>
            <w:r>
              <w:rPr>
                <w:rFonts w:eastAsiaTheme="majorEastAsia"/>
                <w:b/>
                <w:bCs/>
                <w:spacing w:val="52"/>
                <w:kern w:val="0"/>
                <w:szCs w:val="21"/>
              </w:rPr>
              <w:t>万</w:t>
            </w:r>
            <w:r>
              <w:rPr>
                <w:rFonts w:eastAsiaTheme="majorEastAsia"/>
                <w:b/>
                <w:bCs/>
                <w:kern w:val="0"/>
                <w:szCs w:val="21"/>
              </w:rPr>
              <w:t>t/a）</w:t>
            </w:r>
          </w:p>
        </w:tc>
        <w:tc>
          <w:tcPr>
            <w:tcW w:w="0" w:type="auto"/>
            <w:vMerge w:val="restart"/>
            <w:vAlign w:val="center"/>
          </w:tcPr>
          <w:p>
            <w:pPr>
              <w:autoSpaceDE w:val="0"/>
              <w:autoSpaceDN w:val="0"/>
              <w:ind w:left="94"/>
              <w:jc w:val="center"/>
              <w:rPr>
                <w:rFonts w:eastAsiaTheme="majorEastAsia"/>
                <w:b/>
                <w:bCs/>
                <w:kern w:val="0"/>
                <w:szCs w:val="21"/>
              </w:rPr>
            </w:pPr>
            <w:r>
              <w:rPr>
                <w:rFonts w:eastAsiaTheme="majorEastAsia"/>
                <w:b/>
                <w:bCs/>
                <w:kern w:val="0"/>
                <w:szCs w:val="21"/>
              </w:rPr>
              <w:t>排放去向</w:t>
            </w:r>
          </w:p>
        </w:tc>
        <w:tc>
          <w:tcPr>
            <w:tcW w:w="0" w:type="auto"/>
            <w:vMerge w:val="restart"/>
            <w:vAlign w:val="center"/>
          </w:tcPr>
          <w:p>
            <w:pPr>
              <w:autoSpaceDE w:val="0"/>
              <w:autoSpaceDN w:val="0"/>
              <w:ind w:left="94"/>
              <w:jc w:val="center"/>
              <w:rPr>
                <w:rFonts w:eastAsiaTheme="majorEastAsia"/>
                <w:b/>
                <w:bCs/>
                <w:kern w:val="0"/>
                <w:szCs w:val="21"/>
              </w:rPr>
            </w:pPr>
            <w:r>
              <w:rPr>
                <w:rFonts w:eastAsiaTheme="majorEastAsia"/>
                <w:b/>
                <w:bCs/>
                <w:kern w:val="0"/>
                <w:szCs w:val="21"/>
              </w:rPr>
              <w:t>排放规律</w:t>
            </w:r>
          </w:p>
        </w:tc>
        <w:tc>
          <w:tcPr>
            <w:tcW w:w="0" w:type="auto"/>
            <w:vMerge w:val="restart"/>
            <w:vAlign w:val="center"/>
          </w:tcPr>
          <w:p>
            <w:pPr>
              <w:autoSpaceDE w:val="0"/>
              <w:autoSpaceDN w:val="0"/>
              <w:spacing w:before="1"/>
              <w:ind w:left="94" w:right="74"/>
              <w:jc w:val="center"/>
              <w:rPr>
                <w:rFonts w:eastAsiaTheme="majorEastAsia"/>
                <w:b/>
                <w:bCs/>
                <w:kern w:val="0"/>
                <w:szCs w:val="21"/>
              </w:rPr>
            </w:pPr>
            <w:r>
              <w:rPr>
                <w:rFonts w:eastAsiaTheme="majorEastAsia"/>
                <w:b/>
                <w:bCs/>
                <w:spacing w:val="-5"/>
                <w:kern w:val="0"/>
                <w:szCs w:val="21"/>
              </w:rPr>
              <w:t>间歇排放时段</w:t>
            </w:r>
          </w:p>
        </w:tc>
        <w:tc>
          <w:tcPr>
            <w:tcW w:w="0" w:type="auto"/>
            <w:gridSpan w:val="3"/>
            <w:vAlign w:val="center"/>
          </w:tcPr>
          <w:p>
            <w:pPr>
              <w:autoSpaceDE w:val="0"/>
              <w:autoSpaceDN w:val="0"/>
              <w:spacing w:before="93"/>
              <w:ind w:left="94"/>
              <w:jc w:val="center"/>
              <w:rPr>
                <w:rFonts w:eastAsiaTheme="majorEastAsia"/>
                <w:b/>
                <w:bCs/>
                <w:kern w:val="0"/>
                <w:szCs w:val="21"/>
              </w:rPr>
            </w:pPr>
            <w:r>
              <w:rPr>
                <w:rFonts w:eastAsiaTheme="majorEastAsia"/>
                <w:b/>
                <w:bCs/>
                <w:kern w:val="0"/>
                <w:szCs w:val="21"/>
              </w:rPr>
              <w:t>受纳污水处理厂信息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0" w:type="auto"/>
            <w:vMerge w:val="continue"/>
            <w:vAlign w:val="center"/>
          </w:tcPr>
          <w:p>
            <w:pPr>
              <w:widowControl/>
              <w:ind w:left="94"/>
              <w:jc w:val="center"/>
              <w:rPr>
                <w:rFonts w:eastAsiaTheme="majorEastAsia"/>
                <w:b/>
                <w:bCs/>
                <w:szCs w:val="21"/>
              </w:rPr>
            </w:pPr>
          </w:p>
        </w:tc>
        <w:tc>
          <w:tcPr>
            <w:tcW w:w="0" w:type="auto"/>
            <w:vMerge w:val="continue"/>
            <w:vAlign w:val="center"/>
          </w:tcPr>
          <w:p>
            <w:pPr>
              <w:widowControl/>
              <w:ind w:left="94"/>
              <w:jc w:val="center"/>
              <w:rPr>
                <w:rFonts w:eastAsiaTheme="majorEastAsia"/>
                <w:b/>
                <w:bCs/>
                <w:szCs w:val="21"/>
              </w:rPr>
            </w:pPr>
          </w:p>
        </w:tc>
        <w:tc>
          <w:tcPr>
            <w:tcW w:w="0" w:type="auto"/>
            <w:vAlign w:val="center"/>
          </w:tcPr>
          <w:p>
            <w:pPr>
              <w:autoSpaceDE w:val="0"/>
              <w:autoSpaceDN w:val="0"/>
              <w:ind w:left="94"/>
              <w:jc w:val="center"/>
              <w:rPr>
                <w:rFonts w:eastAsiaTheme="majorEastAsia"/>
                <w:b/>
                <w:bCs/>
                <w:kern w:val="0"/>
                <w:szCs w:val="21"/>
              </w:rPr>
            </w:pPr>
            <w:r>
              <w:rPr>
                <w:rFonts w:eastAsiaTheme="majorEastAsia"/>
                <w:b/>
                <w:bCs/>
                <w:kern w:val="0"/>
                <w:szCs w:val="21"/>
              </w:rPr>
              <w:t>经度</w:t>
            </w:r>
          </w:p>
        </w:tc>
        <w:tc>
          <w:tcPr>
            <w:tcW w:w="0" w:type="auto"/>
            <w:vAlign w:val="center"/>
          </w:tcPr>
          <w:p>
            <w:pPr>
              <w:autoSpaceDE w:val="0"/>
              <w:autoSpaceDN w:val="0"/>
              <w:ind w:left="94"/>
              <w:jc w:val="center"/>
              <w:rPr>
                <w:rFonts w:eastAsiaTheme="majorEastAsia"/>
                <w:b/>
                <w:bCs/>
                <w:kern w:val="0"/>
                <w:szCs w:val="21"/>
              </w:rPr>
            </w:pPr>
            <w:r>
              <w:rPr>
                <w:rFonts w:eastAsiaTheme="majorEastAsia"/>
                <w:b/>
                <w:bCs/>
                <w:kern w:val="0"/>
                <w:szCs w:val="21"/>
              </w:rPr>
              <w:t>纬度</w:t>
            </w:r>
          </w:p>
        </w:tc>
        <w:tc>
          <w:tcPr>
            <w:tcW w:w="0" w:type="auto"/>
            <w:vMerge w:val="continue"/>
            <w:vAlign w:val="center"/>
          </w:tcPr>
          <w:p>
            <w:pPr>
              <w:widowControl/>
              <w:ind w:left="94"/>
              <w:jc w:val="center"/>
              <w:rPr>
                <w:rFonts w:eastAsiaTheme="majorEastAsia"/>
                <w:b/>
                <w:bCs/>
                <w:szCs w:val="21"/>
              </w:rPr>
            </w:pPr>
          </w:p>
        </w:tc>
        <w:tc>
          <w:tcPr>
            <w:tcW w:w="0" w:type="auto"/>
            <w:vMerge w:val="continue"/>
            <w:vAlign w:val="center"/>
          </w:tcPr>
          <w:p>
            <w:pPr>
              <w:widowControl/>
              <w:ind w:left="94"/>
              <w:jc w:val="center"/>
              <w:rPr>
                <w:rFonts w:eastAsiaTheme="majorEastAsia"/>
                <w:b/>
                <w:bCs/>
                <w:szCs w:val="21"/>
              </w:rPr>
            </w:pPr>
          </w:p>
        </w:tc>
        <w:tc>
          <w:tcPr>
            <w:tcW w:w="0" w:type="auto"/>
            <w:vMerge w:val="continue"/>
            <w:vAlign w:val="center"/>
          </w:tcPr>
          <w:p>
            <w:pPr>
              <w:widowControl/>
              <w:ind w:left="94"/>
              <w:jc w:val="center"/>
              <w:rPr>
                <w:rFonts w:eastAsiaTheme="majorEastAsia"/>
                <w:b/>
                <w:bCs/>
                <w:szCs w:val="21"/>
              </w:rPr>
            </w:pPr>
          </w:p>
        </w:tc>
        <w:tc>
          <w:tcPr>
            <w:tcW w:w="0" w:type="auto"/>
            <w:vMerge w:val="continue"/>
            <w:vAlign w:val="center"/>
          </w:tcPr>
          <w:p>
            <w:pPr>
              <w:widowControl/>
              <w:ind w:left="94"/>
              <w:jc w:val="center"/>
              <w:rPr>
                <w:rFonts w:eastAsiaTheme="majorEastAsia"/>
                <w:b/>
                <w:bCs/>
                <w:szCs w:val="21"/>
              </w:rPr>
            </w:pPr>
          </w:p>
        </w:tc>
        <w:tc>
          <w:tcPr>
            <w:tcW w:w="0" w:type="auto"/>
            <w:vAlign w:val="center"/>
          </w:tcPr>
          <w:p>
            <w:pPr>
              <w:autoSpaceDE w:val="0"/>
              <w:autoSpaceDN w:val="0"/>
              <w:ind w:left="94"/>
              <w:jc w:val="center"/>
              <w:rPr>
                <w:rFonts w:eastAsiaTheme="majorEastAsia"/>
                <w:b/>
                <w:bCs/>
                <w:kern w:val="0"/>
                <w:szCs w:val="21"/>
              </w:rPr>
            </w:pPr>
            <w:r>
              <w:rPr>
                <w:rFonts w:eastAsiaTheme="majorEastAsia"/>
                <w:b/>
                <w:bCs/>
                <w:kern w:val="0"/>
                <w:szCs w:val="21"/>
              </w:rPr>
              <w:t>名称</w:t>
            </w:r>
          </w:p>
        </w:tc>
        <w:tc>
          <w:tcPr>
            <w:tcW w:w="0" w:type="auto"/>
            <w:vAlign w:val="center"/>
          </w:tcPr>
          <w:p>
            <w:pPr>
              <w:autoSpaceDE w:val="0"/>
              <w:autoSpaceDN w:val="0"/>
              <w:ind w:left="94"/>
              <w:jc w:val="center"/>
              <w:rPr>
                <w:rFonts w:eastAsiaTheme="majorEastAsia"/>
                <w:b/>
                <w:bCs/>
                <w:kern w:val="0"/>
                <w:szCs w:val="21"/>
              </w:rPr>
            </w:pPr>
            <w:r>
              <w:rPr>
                <w:rFonts w:eastAsiaTheme="majorEastAsia"/>
                <w:b/>
                <w:bCs/>
                <w:kern w:val="0"/>
                <w:szCs w:val="21"/>
              </w:rPr>
              <w:t>污染物种类</w:t>
            </w:r>
          </w:p>
        </w:tc>
        <w:tc>
          <w:tcPr>
            <w:tcW w:w="0" w:type="auto"/>
            <w:vAlign w:val="center"/>
          </w:tcPr>
          <w:p>
            <w:pPr>
              <w:autoSpaceDE w:val="0"/>
              <w:autoSpaceDN w:val="0"/>
              <w:spacing w:before="4"/>
              <w:ind w:left="94" w:right="65"/>
              <w:jc w:val="center"/>
              <w:rPr>
                <w:rFonts w:eastAsiaTheme="majorEastAsia"/>
                <w:b/>
                <w:bCs/>
                <w:kern w:val="0"/>
                <w:szCs w:val="21"/>
              </w:rPr>
            </w:pPr>
            <w:r>
              <w:rPr>
                <w:rFonts w:eastAsiaTheme="majorEastAsia"/>
                <w:b/>
                <w:bCs/>
                <w:spacing w:val="10"/>
                <w:kern w:val="0"/>
                <w:szCs w:val="21"/>
              </w:rPr>
              <w:t>国家或地方污染物</w:t>
            </w:r>
            <w:r>
              <w:rPr>
                <w:rFonts w:eastAsiaTheme="majorEastAsia"/>
                <w:b/>
                <w:bCs/>
                <w:spacing w:val="-192"/>
                <w:kern w:val="0"/>
                <w:szCs w:val="21"/>
              </w:rPr>
              <w:t>排</w:t>
            </w:r>
            <w:r>
              <w:rPr>
                <w:rFonts w:eastAsiaTheme="majorEastAsia"/>
                <w:b/>
                <w:bCs/>
                <w:spacing w:val="3"/>
                <w:kern w:val="0"/>
                <w:szCs w:val="21"/>
              </w:rPr>
              <w:t>放标准浓度限值</w:t>
            </w:r>
            <w:r>
              <w:rPr>
                <w:rFonts w:eastAsiaTheme="majorEastAsia"/>
                <w:b/>
                <w:bCs/>
                <w:kern w:val="0"/>
                <w:szCs w:val="21"/>
              </w:rPr>
              <w:t>/</w:t>
            </w:r>
          </w:p>
          <w:p>
            <w:pPr>
              <w:autoSpaceDE w:val="0"/>
              <w:autoSpaceDN w:val="0"/>
              <w:spacing w:before="1" w:line="249" w:lineRule="exact"/>
              <w:ind w:left="94"/>
              <w:jc w:val="center"/>
              <w:rPr>
                <w:rFonts w:eastAsiaTheme="majorEastAsia"/>
                <w:b/>
                <w:bCs/>
                <w:kern w:val="0"/>
                <w:szCs w:val="21"/>
              </w:rPr>
            </w:pPr>
            <w:r>
              <w:rPr>
                <w:rFonts w:eastAsiaTheme="majorEastAsia"/>
                <w:b/>
                <w:bCs/>
                <w:kern w:val="0"/>
                <w:szCs w:val="21"/>
              </w:rPr>
              <w:t>（mg/L）</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0" w:type="auto"/>
            <w:vAlign w:val="center"/>
          </w:tcPr>
          <w:p>
            <w:pPr>
              <w:autoSpaceDE w:val="0"/>
              <w:autoSpaceDN w:val="0"/>
              <w:ind w:left="94"/>
              <w:jc w:val="center"/>
              <w:rPr>
                <w:rFonts w:eastAsiaTheme="majorEastAsia"/>
                <w:kern w:val="0"/>
                <w:szCs w:val="21"/>
              </w:rPr>
            </w:pPr>
            <w:r>
              <w:rPr>
                <w:rFonts w:eastAsiaTheme="majorEastAsia"/>
                <w:kern w:val="0"/>
                <w:szCs w:val="21"/>
              </w:rPr>
              <w:t>1</w:t>
            </w:r>
          </w:p>
        </w:tc>
        <w:tc>
          <w:tcPr>
            <w:tcW w:w="0" w:type="auto"/>
            <w:vAlign w:val="center"/>
          </w:tcPr>
          <w:p>
            <w:pPr>
              <w:autoSpaceDE w:val="0"/>
              <w:autoSpaceDN w:val="0"/>
              <w:ind w:left="94"/>
              <w:jc w:val="center"/>
              <w:rPr>
                <w:rFonts w:eastAsiaTheme="majorEastAsia"/>
                <w:kern w:val="0"/>
                <w:szCs w:val="21"/>
              </w:rPr>
            </w:pPr>
            <w:r>
              <w:rPr>
                <w:rFonts w:eastAsiaTheme="majorEastAsia"/>
                <w:kern w:val="0"/>
                <w:szCs w:val="21"/>
              </w:rPr>
              <w:t>DW001</w:t>
            </w:r>
          </w:p>
        </w:tc>
        <w:tc>
          <w:tcPr>
            <w:tcW w:w="0" w:type="auto"/>
            <w:vAlign w:val="center"/>
          </w:tcPr>
          <w:p>
            <w:pPr>
              <w:autoSpaceDE w:val="0"/>
              <w:autoSpaceDN w:val="0"/>
              <w:ind w:left="94" w:right="211"/>
              <w:jc w:val="center"/>
              <w:rPr>
                <w:rFonts w:eastAsiaTheme="minorEastAsia"/>
                <w:kern w:val="0"/>
                <w:szCs w:val="21"/>
              </w:rPr>
            </w:pPr>
            <w:r>
              <w:rPr>
                <w:rFonts w:eastAsiaTheme="minorEastAsia"/>
                <w:kern w:val="0"/>
                <w:szCs w:val="21"/>
              </w:rPr>
              <w:t>E112.887060</w:t>
            </w:r>
          </w:p>
          <w:p>
            <w:pPr>
              <w:autoSpaceDE w:val="0"/>
              <w:autoSpaceDN w:val="0"/>
              <w:ind w:left="94" w:right="211"/>
              <w:jc w:val="center"/>
              <w:rPr>
                <w:rFonts w:eastAsiaTheme="majorEastAsia"/>
                <w:kern w:val="0"/>
                <w:szCs w:val="21"/>
              </w:rPr>
            </w:pPr>
            <w:r>
              <w:rPr>
                <w:rFonts w:eastAsiaTheme="minorEastAsia"/>
                <w:kern w:val="0"/>
                <w:szCs w:val="21"/>
              </w:rPr>
              <w:t>53707884</w:t>
            </w:r>
          </w:p>
        </w:tc>
        <w:tc>
          <w:tcPr>
            <w:tcW w:w="0" w:type="auto"/>
            <w:vAlign w:val="center"/>
          </w:tcPr>
          <w:p>
            <w:pPr>
              <w:autoSpaceDE w:val="0"/>
              <w:autoSpaceDN w:val="0"/>
              <w:ind w:left="94" w:right="333"/>
              <w:jc w:val="center"/>
              <w:rPr>
                <w:rFonts w:eastAsiaTheme="minorEastAsia"/>
                <w:kern w:val="0"/>
                <w:szCs w:val="21"/>
              </w:rPr>
            </w:pPr>
            <w:r>
              <w:rPr>
                <w:rFonts w:eastAsiaTheme="minorEastAsia"/>
                <w:kern w:val="0"/>
                <w:szCs w:val="21"/>
              </w:rPr>
              <w:t>N28.6815822</w:t>
            </w:r>
          </w:p>
          <w:p>
            <w:pPr>
              <w:autoSpaceDE w:val="0"/>
              <w:autoSpaceDN w:val="0"/>
              <w:ind w:left="94" w:right="333"/>
              <w:jc w:val="center"/>
              <w:rPr>
                <w:rFonts w:eastAsiaTheme="majorEastAsia"/>
                <w:kern w:val="0"/>
                <w:szCs w:val="21"/>
              </w:rPr>
            </w:pPr>
            <w:r>
              <w:rPr>
                <w:rFonts w:eastAsiaTheme="minorEastAsia"/>
                <w:kern w:val="0"/>
                <w:szCs w:val="21"/>
              </w:rPr>
              <w:t>67530672</w:t>
            </w:r>
          </w:p>
        </w:tc>
        <w:tc>
          <w:tcPr>
            <w:tcW w:w="0" w:type="auto"/>
            <w:vAlign w:val="center"/>
          </w:tcPr>
          <w:p>
            <w:pPr>
              <w:autoSpaceDE w:val="0"/>
              <w:autoSpaceDN w:val="0"/>
              <w:ind w:left="94"/>
              <w:jc w:val="center"/>
              <w:rPr>
                <w:rFonts w:eastAsiaTheme="majorEastAsia"/>
                <w:color w:val="000000" w:themeColor="text1"/>
                <w:kern w:val="0"/>
                <w:szCs w:val="21"/>
              </w:rPr>
            </w:pPr>
            <w:r>
              <w:rPr>
                <w:rFonts w:eastAsiaTheme="majorEastAsia"/>
                <w:color w:val="000000" w:themeColor="text1"/>
                <w:kern w:val="0"/>
                <w:szCs w:val="21"/>
              </w:rPr>
              <w:t>104636.47m</w:t>
            </w:r>
            <w:r>
              <w:rPr>
                <w:rFonts w:eastAsiaTheme="majorEastAsia"/>
                <w:color w:val="000000" w:themeColor="text1"/>
                <w:kern w:val="0"/>
                <w:szCs w:val="21"/>
                <w:vertAlign w:val="superscript"/>
              </w:rPr>
              <w:t>3</w:t>
            </w:r>
            <w:r>
              <w:rPr>
                <w:rFonts w:eastAsiaTheme="majorEastAsia"/>
                <w:color w:val="000000" w:themeColor="text1"/>
                <w:kern w:val="0"/>
                <w:szCs w:val="21"/>
              </w:rPr>
              <w:t>/a</w:t>
            </w:r>
          </w:p>
        </w:tc>
        <w:tc>
          <w:tcPr>
            <w:tcW w:w="0" w:type="auto"/>
            <w:vAlign w:val="center"/>
          </w:tcPr>
          <w:p>
            <w:pPr>
              <w:autoSpaceDE w:val="0"/>
              <w:autoSpaceDN w:val="0"/>
              <w:ind w:left="94" w:right="45"/>
              <w:jc w:val="center"/>
              <w:rPr>
                <w:rFonts w:eastAsiaTheme="majorEastAsia"/>
                <w:kern w:val="0"/>
                <w:szCs w:val="21"/>
              </w:rPr>
            </w:pPr>
            <w:r>
              <w:rPr>
                <w:rFonts w:eastAsiaTheme="majorEastAsia"/>
                <w:kern w:val="0"/>
                <w:szCs w:val="21"/>
              </w:rPr>
              <w:t>市政污水管网</w:t>
            </w:r>
          </w:p>
        </w:tc>
        <w:tc>
          <w:tcPr>
            <w:tcW w:w="0" w:type="auto"/>
            <w:vAlign w:val="center"/>
          </w:tcPr>
          <w:p>
            <w:pPr>
              <w:autoSpaceDE w:val="0"/>
              <w:autoSpaceDN w:val="0"/>
              <w:ind w:left="94" w:right="76"/>
              <w:jc w:val="center"/>
              <w:rPr>
                <w:rFonts w:eastAsiaTheme="majorEastAsia"/>
                <w:kern w:val="0"/>
                <w:szCs w:val="21"/>
              </w:rPr>
            </w:pPr>
            <w:r>
              <w:rPr>
                <w:rFonts w:eastAsiaTheme="minorEastAsia"/>
                <w:kern w:val="0"/>
                <w:szCs w:val="21"/>
              </w:rPr>
              <w:t>连续排放，流量稳定</w:t>
            </w:r>
          </w:p>
        </w:tc>
        <w:tc>
          <w:tcPr>
            <w:tcW w:w="0" w:type="auto"/>
            <w:vAlign w:val="center"/>
          </w:tcPr>
          <w:p>
            <w:pPr>
              <w:autoSpaceDE w:val="0"/>
              <w:autoSpaceDN w:val="0"/>
              <w:ind w:left="94"/>
              <w:jc w:val="center"/>
              <w:rPr>
                <w:rFonts w:eastAsiaTheme="majorEastAsia"/>
                <w:kern w:val="0"/>
                <w:szCs w:val="21"/>
              </w:rPr>
            </w:pPr>
            <w:r>
              <w:rPr>
                <w:rFonts w:eastAsiaTheme="majorEastAsia"/>
                <w:kern w:val="0"/>
                <w:szCs w:val="21"/>
              </w:rPr>
              <w:t>/</w:t>
            </w:r>
          </w:p>
        </w:tc>
        <w:tc>
          <w:tcPr>
            <w:tcW w:w="0" w:type="auto"/>
            <w:vAlign w:val="center"/>
          </w:tcPr>
          <w:p>
            <w:pPr>
              <w:autoSpaceDE w:val="0"/>
              <w:autoSpaceDN w:val="0"/>
              <w:spacing w:before="2" w:line="249" w:lineRule="exact"/>
              <w:ind w:left="94"/>
              <w:jc w:val="center"/>
              <w:rPr>
                <w:rFonts w:eastAsiaTheme="majorEastAsia"/>
                <w:kern w:val="0"/>
                <w:szCs w:val="21"/>
              </w:rPr>
            </w:pPr>
            <w:r>
              <w:rPr>
                <w:rFonts w:eastAsiaTheme="majorEastAsia"/>
                <w:kern w:val="0"/>
                <w:szCs w:val="21"/>
              </w:rPr>
              <w:t>湘阴县第一污水处理厂</w:t>
            </w:r>
          </w:p>
        </w:tc>
        <w:tc>
          <w:tcPr>
            <w:tcW w:w="0" w:type="auto"/>
            <w:vAlign w:val="center"/>
          </w:tcPr>
          <w:p>
            <w:pPr>
              <w:autoSpaceDE w:val="0"/>
              <w:autoSpaceDN w:val="0"/>
              <w:spacing w:before="4" w:line="245" w:lineRule="exact"/>
              <w:ind w:left="94"/>
              <w:jc w:val="center"/>
              <w:rPr>
                <w:rFonts w:eastAsiaTheme="majorEastAsia"/>
                <w:kern w:val="0"/>
                <w:szCs w:val="21"/>
              </w:rPr>
            </w:pPr>
            <w:r>
              <w:rPr>
                <w:rFonts w:eastAsiaTheme="minorEastAsia"/>
                <w:kern w:val="0"/>
                <w:szCs w:val="21"/>
              </w:rPr>
              <w:t>COD、BOD</w:t>
            </w:r>
            <w:r>
              <w:rPr>
                <w:rFonts w:eastAsiaTheme="minorEastAsia"/>
                <w:kern w:val="0"/>
                <w:szCs w:val="21"/>
                <w:vertAlign w:val="subscript"/>
              </w:rPr>
              <w:t>5</w:t>
            </w:r>
            <w:r>
              <w:rPr>
                <w:rFonts w:eastAsiaTheme="minorEastAsia"/>
                <w:kern w:val="0"/>
                <w:szCs w:val="21"/>
              </w:rPr>
              <w:t>、</w:t>
            </w:r>
            <w:r>
              <w:rPr>
                <w:rFonts w:eastAsiaTheme="minorEastAsia"/>
                <w:kern w:val="0"/>
                <w:sz w:val="24"/>
              </w:rPr>
              <w:t>SS、</w:t>
            </w:r>
            <w:r>
              <w:rPr>
                <w:kern w:val="0"/>
                <w:szCs w:val="22"/>
              </w:rPr>
              <w:t>氨氮、粪大肠杆菌、总氮、总磷、阴离子表面活性剂、总余氯</w:t>
            </w:r>
          </w:p>
        </w:tc>
        <w:tc>
          <w:tcPr>
            <w:tcW w:w="0" w:type="auto"/>
            <w:vAlign w:val="center"/>
          </w:tcPr>
          <w:p>
            <w:pPr>
              <w:autoSpaceDE w:val="0"/>
              <w:autoSpaceDN w:val="0"/>
              <w:spacing w:before="157"/>
              <w:ind w:left="94" w:right="62"/>
              <w:jc w:val="center"/>
              <w:rPr>
                <w:rFonts w:eastAsiaTheme="majorEastAsia"/>
                <w:kern w:val="0"/>
                <w:szCs w:val="21"/>
              </w:rPr>
            </w:pPr>
            <w:r>
              <w:rPr>
                <w:rFonts w:eastAsiaTheme="majorEastAsia"/>
                <w:kern w:val="0"/>
                <w:szCs w:val="21"/>
              </w:rPr>
              <w:t>一级A</w:t>
            </w:r>
            <w:r>
              <w:rPr>
                <w:rFonts w:eastAsiaTheme="majorEastAsia"/>
                <w:spacing w:val="-13"/>
                <w:kern w:val="0"/>
                <w:szCs w:val="21"/>
              </w:rPr>
              <w:t>：</w:t>
            </w:r>
            <w:r>
              <w:rPr>
                <w:rFonts w:eastAsiaTheme="majorEastAsia"/>
                <w:spacing w:val="-7"/>
                <w:kern w:val="0"/>
                <w:szCs w:val="21"/>
              </w:rPr>
              <w:t>COD≤50mg/L，</w:t>
            </w:r>
            <w:r>
              <w:rPr>
                <w:rFonts w:eastAsiaTheme="majorEastAsia"/>
                <w:spacing w:val="-5"/>
                <w:kern w:val="0"/>
                <w:szCs w:val="21"/>
              </w:rPr>
              <w:t>氨</w:t>
            </w:r>
            <w:r>
              <w:rPr>
                <w:rFonts w:eastAsiaTheme="majorEastAsia"/>
                <w:kern w:val="0"/>
                <w:szCs w:val="21"/>
              </w:rPr>
              <w:t>氮≤5mg/L、</w:t>
            </w:r>
          </w:p>
        </w:tc>
      </w:tr>
    </w:tbl>
    <w:p>
      <w:pPr>
        <w:snapToGrid w:val="0"/>
        <w:spacing w:line="276" w:lineRule="auto"/>
        <w:jc w:val="center"/>
        <w:rPr>
          <w:rFonts w:eastAsiaTheme="minorEastAsia"/>
          <w:b/>
          <w:bCs/>
          <w:sz w:val="24"/>
        </w:rPr>
      </w:pPr>
      <w:r>
        <w:rPr>
          <w:rFonts w:eastAsiaTheme="minorEastAsia"/>
          <w:b/>
          <w:bCs/>
          <w:sz w:val="24"/>
        </w:rPr>
        <w:t>表6.3-5 废水污染物排放执行标准表</w:t>
      </w:r>
    </w:p>
    <w:tbl>
      <w:tblPr>
        <w:tblStyle w:val="79"/>
        <w:tblW w:w="1360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01"/>
        <w:gridCol w:w="1214"/>
        <w:gridCol w:w="1921"/>
        <w:gridCol w:w="5636"/>
        <w:gridCol w:w="43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restart"/>
            <w:vAlign w:val="center"/>
          </w:tcPr>
          <w:p>
            <w:pPr>
              <w:autoSpaceDE w:val="0"/>
              <w:autoSpaceDN w:val="0"/>
              <w:snapToGrid w:val="0"/>
              <w:ind w:left="22"/>
              <w:jc w:val="center"/>
              <w:rPr>
                <w:rFonts w:eastAsiaTheme="majorEastAsia"/>
                <w:b/>
                <w:bCs/>
                <w:kern w:val="0"/>
                <w:szCs w:val="21"/>
              </w:rPr>
            </w:pPr>
            <w:r>
              <w:rPr>
                <w:rFonts w:eastAsiaTheme="majorEastAsia"/>
                <w:b/>
                <w:bCs/>
                <w:kern w:val="0"/>
                <w:szCs w:val="21"/>
              </w:rPr>
              <w:t>序号</w:t>
            </w:r>
          </w:p>
        </w:tc>
        <w:tc>
          <w:tcPr>
            <w:tcW w:w="446" w:type="pct"/>
            <w:vMerge w:val="restart"/>
            <w:vAlign w:val="center"/>
          </w:tcPr>
          <w:p>
            <w:pPr>
              <w:autoSpaceDE w:val="0"/>
              <w:autoSpaceDN w:val="0"/>
              <w:snapToGrid w:val="0"/>
              <w:ind w:left="22"/>
              <w:jc w:val="center"/>
              <w:rPr>
                <w:rFonts w:eastAsiaTheme="majorEastAsia"/>
                <w:b/>
                <w:bCs/>
                <w:kern w:val="0"/>
                <w:szCs w:val="21"/>
              </w:rPr>
            </w:pPr>
            <w:r>
              <w:rPr>
                <w:rFonts w:eastAsiaTheme="majorEastAsia"/>
                <w:b/>
                <w:bCs/>
                <w:kern w:val="0"/>
                <w:szCs w:val="21"/>
              </w:rPr>
              <w:t>排放口编号</w:t>
            </w:r>
          </w:p>
        </w:tc>
        <w:tc>
          <w:tcPr>
            <w:tcW w:w="706" w:type="pct"/>
            <w:vMerge w:val="restart"/>
            <w:vAlign w:val="center"/>
          </w:tcPr>
          <w:p>
            <w:pPr>
              <w:autoSpaceDE w:val="0"/>
              <w:autoSpaceDN w:val="0"/>
              <w:snapToGrid w:val="0"/>
              <w:ind w:left="22"/>
              <w:jc w:val="center"/>
              <w:rPr>
                <w:rFonts w:eastAsiaTheme="majorEastAsia"/>
                <w:b/>
                <w:bCs/>
                <w:kern w:val="0"/>
                <w:szCs w:val="21"/>
              </w:rPr>
            </w:pPr>
            <w:r>
              <w:rPr>
                <w:rFonts w:eastAsiaTheme="majorEastAsia"/>
                <w:b/>
                <w:bCs/>
                <w:kern w:val="0"/>
                <w:szCs w:val="21"/>
              </w:rPr>
              <w:t>污染物种类</w:t>
            </w:r>
          </w:p>
        </w:tc>
        <w:tc>
          <w:tcPr>
            <w:tcW w:w="3664" w:type="pct"/>
            <w:gridSpan w:val="2"/>
            <w:vAlign w:val="center"/>
          </w:tcPr>
          <w:p>
            <w:pPr>
              <w:autoSpaceDE w:val="0"/>
              <w:autoSpaceDN w:val="0"/>
              <w:snapToGrid w:val="0"/>
              <w:spacing w:before="93"/>
              <w:ind w:left="1418" w:right="1388"/>
              <w:jc w:val="center"/>
              <w:rPr>
                <w:rFonts w:eastAsiaTheme="majorEastAsia"/>
                <w:b/>
                <w:bCs/>
                <w:kern w:val="0"/>
                <w:szCs w:val="21"/>
              </w:rPr>
            </w:pPr>
            <w:r>
              <w:rPr>
                <w:rFonts w:eastAsiaTheme="majorEastAsia"/>
                <w:b/>
                <w:bCs/>
                <w:kern w:val="0"/>
                <w:szCs w:val="21"/>
              </w:rPr>
              <w:t>国家或地方污染物排放标准及其他按规定商定的排放协议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continue"/>
            <w:vAlign w:val="center"/>
          </w:tcPr>
          <w:p>
            <w:pPr>
              <w:widowControl/>
              <w:snapToGrid w:val="0"/>
              <w:jc w:val="center"/>
              <w:rPr>
                <w:rFonts w:eastAsiaTheme="majorEastAsia"/>
                <w:b/>
                <w:bCs/>
                <w:szCs w:val="21"/>
              </w:rPr>
            </w:pPr>
          </w:p>
        </w:tc>
        <w:tc>
          <w:tcPr>
            <w:tcW w:w="446" w:type="pct"/>
            <w:vMerge w:val="continue"/>
            <w:vAlign w:val="center"/>
          </w:tcPr>
          <w:p>
            <w:pPr>
              <w:widowControl/>
              <w:snapToGrid w:val="0"/>
              <w:jc w:val="center"/>
              <w:rPr>
                <w:rFonts w:eastAsiaTheme="majorEastAsia"/>
                <w:b/>
                <w:bCs/>
                <w:szCs w:val="21"/>
              </w:rPr>
            </w:pPr>
          </w:p>
        </w:tc>
        <w:tc>
          <w:tcPr>
            <w:tcW w:w="706" w:type="pct"/>
            <w:vMerge w:val="continue"/>
            <w:vAlign w:val="center"/>
          </w:tcPr>
          <w:p>
            <w:pPr>
              <w:autoSpaceDE w:val="0"/>
              <w:autoSpaceDN w:val="0"/>
              <w:snapToGrid w:val="0"/>
              <w:ind w:left="22"/>
              <w:jc w:val="center"/>
              <w:rPr>
                <w:rFonts w:eastAsiaTheme="majorEastAsia"/>
                <w:b/>
                <w:bCs/>
                <w:kern w:val="0"/>
                <w:szCs w:val="21"/>
              </w:rPr>
            </w:pPr>
          </w:p>
        </w:tc>
        <w:tc>
          <w:tcPr>
            <w:tcW w:w="2071" w:type="pct"/>
            <w:vAlign w:val="center"/>
          </w:tcPr>
          <w:p>
            <w:pPr>
              <w:autoSpaceDE w:val="0"/>
              <w:autoSpaceDN w:val="0"/>
              <w:snapToGrid w:val="0"/>
              <w:spacing w:before="91"/>
              <w:ind w:left="1972" w:right="1940"/>
              <w:jc w:val="center"/>
              <w:rPr>
                <w:rFonts w:eastAsiaTheme="majorEastAsia"/>
                <w:b/>
                <w:bCs/>
                <w:kern w:val="0"/>
                <w:szCs w:val="21"/>
              </w:rPr>
            </w:pPr>
            <w:r>
              <w:rPr>
                <w:rFonts w:eastAsiaTheme="majorEastAsia"/>
                <w:b/>
                <w:bCs/>
                <w:kern w:val="0"/>
                <w:szCs w:val="21"/>
              </w:rPr>
              <w:t>名称</w:t>
            </w:r>
          </w:p>
        </w:tc>
        <w:tc>
          <w:tcPr>
            <w:tcW w:w="1593" w:type="pct"/>
            <w:vAlign w:val="center"/>
          </w:tcPr>
          <w:p>
            <w:pPr>
              <w:autoSpaceDE w:val="0"/>
              <w:autoSpaceDN w:val="0"/>
              <w:snapToGrid w:val="0"/>
              <w:spacing w:before="91"/>
              <w:ind w:left="1" w:leftChars="-24" w:right="67" w:hanging="51" w:hangingChars="24"/>
              <w:jc w:val="center"/>
              <w:rPr>
                <w:rFonts w:eastAsiaTheme="majorEastAsia"/>
                <w:b/>
                <w:bCs/>
                <w:kern w:val="0"/>
                <w:szCs w:val="21"/>
              </w:rPr>
            </w:pPr>
            <w:r>
              <w:rPr>
                <w:rFonts w:eastAsiaTheme="majorEastAsia"/>
                <w:b/>
                <w:bCs/>
                <w:kern w:val="0"/>
                <w:szCs w:val="21"/>
              </w:rPr>
              <w:t>浓度限值/（mg/L）</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restart"/>
            <w:vAlign w:val="center"/>
          </w:tcPr>
          <w:p>
            <w:pPr>
              <w:autoSpaceDE w:val="0"/>
              <w:autoSpaceDN w:val="0"/>
              <w:snapToGrid w:val="0"/>
              <w:ind w:left="22"/>
              <w:jc w:val="center"/>
              <w:rPr>
                <w:rFonts w:eastAsiaTheme="majorEastAsia"/>
                <w:kern w:val="0"/>
                <w:szCs w:val="21"/>
              </w:rPr>
            </w:pPr>
            <w:r>
              <w:rPr>
                <w:rFonts w:eastAsiaTheme="majorEastAsia"/>
                <w:kern w:val="0"/>
                <w:szCs w:val="21"/>
              </w:rPr>
              <w:t>1</w:t>
            </w:r>
          </w:p>
        </w:tc>
        <w:tc>
          <w:tcPr>
            <w:tcW w:w="446" w:type="pct"/>
            <w:vMerge w:val="restart"/>
            <w:vAlign w:val="center"/>
          </w:tcPr>
          <w:p>
            <w:pPr>
              <w:autoSpaceDE w:val="0"/>
              <w:autoSpaceDN w:val="0"/>
              <w:snapToGrid w:val="0"/>
              <w:ind w:left="22"/>
              <w:jc w:val="center"/>
              <w:rPr>
                <w:rFonts w:eastAsiaTheme="majorEastAsia"/>
                <w:kern w:val="0"/>
                <w:szCs w:val="21"/>
              </w:rPr>
            </w:pPr>
            <w:r>
              <w:rPr>
                <w:rFonts w:eastAsiaTheme="majorEastAsia"/>
                <w:kern w:val="0"/>
                <w:szCs w:val="21"/>
              </w:rPr>
              <w:t>DW001</w:t>
            </w:r>
          </w:p>
        </w:tc>
        <w:tc>
          <w:tcPr>
            <w:tcW w:w="706" w:type="pct"/>
            <w:vAlign w:val="center"/>
          </w:tcPr>
          <w:p>
            <w:pPr>
              <w:autoSpaceDE w:val="0"/>
              <w:autoSpaceDN w:val="0"/>
              <w:snapToGrid w:val="0"/>
              <w:ind w:left="22"/>
              <w:jc w:val="center"/>
              <w:rPr>
                <w:rFonts w:eastAsiaTheme="majorEastAsia"/>
                <w:kern w:val="0"/>
                <w:szCs w:val="21"/>
              </w:rPr>
            </w:pPr>
            <w:r>
              <w:rPr>
                <w:rFonts w:eastAsiaTheme="majorEastAsia"/>
                <w:kern w:val="0"/>
                <w:szCs w:val="21"/>
              </w:rPr>
              <w:t>COD</w:t>
            </w:r>
          </w:p>
        </w:tc>
        <w:tc>
          <w:tcPr>
            <w:tcW w:w="2071" w:type="pct"/>
            <w:vMerge w:val="restart"/>
            <w:vAlign w:val="center"/>
          </w:tcPr>
          <w:p>
            <w:pPr>
              <w:autoSpaceDE w:val="0"/>
              <w:autoSpaceDN w:val="0"/>
              <w:snapToGrid w:val="0"/>
              <w:ind w:left="22"/>
              <w:jc w:val="center"/>
              <w:rPr>
                <w:rFonts w:eastAsiaTheme="majorEastAsia"/>
                <w:kern w:val="0"/>
                <w:szCs w:val="21"/>
              </w:rPr>
            </w:pPr>
            <w:r>
              <w:rPr>
                <w:rFonts w:eastAsiaTheme="majorEastAsia"/>
                <w:kern w:val="0"/>
                <w:szCs w:val="21"/>
              </w:rPr>
              <w:t>《医疗机构水污染排放标准》表2预处理标准限值</w:t>
            </w:r>
          </w:p>
        </w:tc>
        <w:tc>
          <w:tcPr>
            <w:tcW w:w="1593" w:type="pct"/>
            <w:vAlign w:val="center"/>
          </w:tcPr>
          <w:p>
            <w:pPr>
              <w:autoSpaceDE w:val="0"/>
              <w:autoSpaceDN w:val="0"/>
              <w:snapToGrid w:val="0"/>
              <w:spacing w:before="102"/>
              <w:ind w:left="1972" w:right="1940"/>
              <w:jc w:val="center"/>
              <w:rPr>
                <w:rFonts w:eastAsiaTheme="majorEastAsia"/>
                <w:kern w:val="0"/>
                <w:szCs w:val="21"/>
              </w:rPr>
            </w:pPr>
            <w:r>
              <w:rPr>
                <w:rFonts w:eastAsiaTheme="majorEastAsia"/>
                <w:kern w:val="0"/>
                <w:szCs w:val="21"/>
              </w:rPr>
              <w:t>250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continue"/>
            <w:vAlign w:val="center"/>
          </w:tcPr>
          <w:p>
            <w:pPr>
              <w:widowControl/>
              <w:snapToGrid w:val="0"/>
              <w:jc w:val="center"/>
              <w:rPr>
                <w:rFonts w:eastAsiaTheme="majorEastAsia"/>
                <w:szCs w:val="21"/>
              </w:rPr>
            </w:pPr>
          </w:p>
        </w:tc>
        <w:tc>
          <w:tcPr>
            <w:tcW w:w="446" w:type="pct"/>
            <w:vMerge w:val="continue"/>
            <w:vAlign w:val="center"/>
          </w:tcPr>
          <w:p>
            <w:pPr>
              <w:widowControl/>
              <w:snapToGrid w:val="0"/>
              <w:jc w:val="center"/>
              <w:rPr>
                <w:rFonts w:eastAsiaTheme="majorEastAsia"/>
                <w:szCs w:val="21"/>
              </w:rPr>
            </w:pPr>
          </w:p>
        </w:tc>
        <w:tc>
          <w:tcPr>
            <w:tcW w:w="706" w:type="pct"/>
            <w:vAlign w:val="center"/>
          </w:tcPr>
          <w:p>
            <w:pPr>
              <w:autoSpaceDE w:val="0"/>
              <w:autoSpaceDN w:val="0"/>
              <w:snapToGrid w:val="0"/>
              <w:ind w:left="22"/>
              <w:jc w:val="center"/>
              <w:rPr>
                <w:rFonts w:eastAsiaTheme="majorEastAsia"/>
                <w:kern w:val="0"/>
                <w:szCs w:val="21"/>
              </w:rPr>
            </w:pPr>
            <w:r>
              <w:rPr>
                <w:rFonts w:eastAsiaTheme="majorEastAsia"/>
                <w:kern w:val="0"/>
                <w:szCs w:val="21"/>
              </w:rPr>
              <w:t>BOD</w:t>
            </w:r>
            <w:r>
              <w:rPr>
                <w:rFonts w:eastAsiaTheme="majorEastAsia"/>
                <w:kern w:val="0"/>
                <w:szCs w:val="21"/>
                <w:vertAlign w:val="subscript"/>
              </w:rPr>
              <w:t>5</w:t>
            </w:r>
          </w:p>
        </w:tc>
        <w:tc>
          <w:tcPr>
            <w:tcW w:w="2071" w:type="pct"/>
            <w:vMerge w:val="continue"/>
            <w:vAlign w:val="center"/>
          </w:tcPr>
          <w:p>
            <w:pPr>
              <w:widowControl/>
              <w:snapToGrid w:val="0"/>
              <w:jc w:val="center"/>
              <w:rPr>
                <w:rFonts w:eastAsiaTheme="majorEastAsia"/>
                <w:szCs w:val="21"/>
              </w:rPr>
            </w:pPr>
          </w:p>
        </w:tc>
        <w:tc>
          <w:tcPr>
            <w:tcW w:w="1593" w:type="pct"/>
            <w:vAlign w:val="center"/>
          </w:tcPr>
          <w:p>
            <w:pPr>
              <w:autoSpaceDE w:val="0"/>
              <w:autoSpaceDN w:val="0"/>
              <w:snapToGrid w:val="0"/>
              <w:spacing w:before="91"/>
              <w:ind w:left="1972" w:right="1940"/>
              <w:jc w:val="center"/>
              <w:rPr>
                <w:rFonts w:eastAsiaTheme="majorEastAsia"/>
                <w:kern w:val="0"/>
                <w:szCs w:val="21"/>
              </w:rPr>
            </w:pPr>
            <w:r>
              <w:rPr>
                <w:rFonts w:eastAsiaTheme="majorEastAsia"/>
                <w:kern w:val="0"/>
                <w:szCs w:val="21"/>
              </w:rPr>
              <w:t>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continue"/>
            <w:vAlign w:val="center"/>
          </w:tcPr>
          <w:p>
            <w:pPr>
              <w:widowControl/>
              <w:snapToGrid w:val="0"/>
              <w:jc w:val="center"/>
              <w:rPr>
                <w:rFonts w:eastAsiaTheme="majorEastAsia"/>
                <w:szCs w:val="21"/>
              </w:rPr>
            </w:pPr>
          </w:p>
        </w:tc>
        <w:tc>
          <w:tcPr>
            <w:tcW w:w="446" w:type="pct"/>
            <w:vMerge w:val="continue"/>
            <w:vAlign w:val="center"/>
          </w:tcPr>
          <w:p>
            <w:pPr>
              <w:widowControl/>
              <w:snapToGrid w:val="0"/>
              <w:jc w:val="center"/>
              <w:rPr>
                <w:rFonts w:eastAsiaTheme="majorEastAsia"/>
                <w:szCs w:val="21"/>
              </w:rPr>
            </w:pPr>
          </w:p>
        </w:tc>
        <w:tc>
          <w:tcPr>
            <w:tcW w:w="706" w:type="pct"/>
            <w:vAlign w:val="center"/>
          </w:tcPr>
          <w:p>
            <w:pPr>
              <w:autoSpaceDE w:val="0"/>
              <w:autoSpaceDN w:val="0"/>
              <w:snapToGrid w:val="0"/>
              <w:ind w:left="22"/>
              <w:jc w:val="center"/>
              <w:rPr>
                <w:rFonts w:eastAsiaTheme="majorEastAsia"/>
                <w:kern w:val="0"/>
                <w:szCs w:val="21"/>
              </w:rPr>
            </w:pPr>
            <w:r>
              <w:rPr>
                <w:rFonts w:eastAsiaTheme="majorEastAsia"/>
                <w:kern w:val="0"/>
                <w:szCs w:val="21"/>
              </w:rPr>
              <w:t>SS</w:t>
            </w:r>
          </w:p>
        </w:tc>
        <w:tc>
          <w:tcPr>
            <w:tcW w:w="2071" w:type="pct"/>
            <w:vMerge w:val="continue"/>
            <w:vAlign w:val="center"/>
          </w:tcPr>
          <w:p>
            <w:pPr>
              <w:widowControl/>
              <w:snapToGrid w:val="0"/>
              <w:jc w:val="center"/>
              <w:rPr>
                <w:rFonts w:eastAsiaTheme="majorEastAsia"/>
                <w:szCs w:val="21"/>
              </w:rPr>
            </w:pPr>
          </w:p>
        </w:tc>
        <w:tc>
          <w:tcPr>
            <w:tcW w:w="1593" w:type="pct"/>
            <w:vAlign w:val="center"/>
          </w:tcPr>
          <w:p>
            <w:pPr>
              <w:autoSpaceDE w:val="0"/>
              <w:autoSpaceDN w:val="0"/>
              <w:snapToGrid w:val="0"/>
              <w:spacing w:before="91"/>
              <w:ind w:left="1972" w:right="1938"/>
              <w:jc w:val="center"/>
              <w:rPr>
                <w:rFonts w:eastAsiaTheme="majorEastAsia"/>
                <w:kern w:val="0"/>
                <w:szCs w:val="21"/>
              </w:rPr>
            </w:pPr>
            <w:r>
              <w:rPr>
                <w:rFonts w:eastAsiaTheme="majorEastAsia"/>
                <w:kern w:val="0"/>
                <w:szCs w:val="21"/>
              </w:rPr>
              <w:t>60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continue"/>
            <w:vAlign w:val="center"/>
          </w:tcPr>
          <w:p>
            <w:pPr>
              <w:widowControl/>
              <w:snapToGrid w:val="0"/>
              <w:jc w:val="center"/>
              <w:rPr>
                <w:rFonts w:eastAsiaTheme="majorEastAsia"/>
                <w:szCs w:val="21"/>
              </w:rPr>
            </w:pPr>
          </w:p>
        </w:tc>
        <w:tc>
          <w:tcPr>
            <w:tcW w:w="446" w:type="pct"/>
            <w:vMerge w:val="continue"/>
            <w:vAlign w:val="center"/>
          </w:tcPr>
          <w:p>
            <w:pPr>
              <w:widowControl/>
              <w:snapToGrid w:val="0"/>
              <w:jc w:val="center"/>
              <w:rPr>
                <w:rFonts w:eastAsiaTheme="majorEastAsia"/>
                <w:szCs w:val="21"/>
              </w:rPr>
            </w:pPr>
          </w:p>
        </w:tc>
        <w:tc>
          <w:tcPr>
            <w:tcW w:w="706" w:type="pct"/>
            <w:vAlign w:val="center"/>
          </w:tcPr>
          <w:p>
            <w:pPr>
              <w:autoSpaceDE w:val="0"/>
              <w:autoSpaceDN w:val="0"/>
              <w:snapToGrid w:val="0"/>
              <w:ind w:left="22"/>
              <w:jc w:val="center"/>
              <w:rPr>
                <w:rFonts w:eastAsiaTheme="majorEastAsia"/>
                <w:kern w:val="0"/>
                <w:szCs w:val="21"/>
              </w:rPr>
            </w:pPr>
            <w:r>
              <w:rPr>
                <w:rFonts w:eastAsiaTheme="majorEastAsia"/>
                <w:kern w:val="0"/>
                <w:szCs w:val="21"/>
              </w:rPr>
              <w:t>氨氮</w:t>
            </w:r>
          </w:p>
        </w:tc>
        <w:tc>
          <w:tcPr>
            <w:tcW w:w="2071" w:type="pct"/>
            <w:vMerge w:val="continue"/>
            <w:vAlign w:val="center"/>
          </w:tcPr>
          <w:p>
            <w:pPr>
              <w:widowControl/>
              <w:snapToGrid w:val="0"/>
              <w:jc w:val="center"/>
              <w:rPr>
                <w:rFonts w:eastAsiaTheme="majorEastAsia"/>
                <w:szCs w:val="21"/>
              </w:rPr>
            </w:pPr>
          </w:p>
        </w:tc>
        <w:tc>
          <w:tcPr>
            <w:tcW w:w="1593" w:type="pct"/>
            <w:vAlign w:val="center"/>
          </w:tcPr>
          <w:p>
            <w:pPr>
              <w:autoSpaceDE w:val="0"/>
              <w:autoSpaceDN w:val="0"/>
              <w:snapToGrid w:val="0"/>
              <w:spacing w:before="95"/>
              <w:ind w:left="29"/>
              <w:jc w:val="center"/>
              <w:rPr>
                <w:rFonts w:eastAsiaTheme="majorEastAsia"/>
                <w:kern w:val="0"/>
                <w:szCs w:val="21"/>
              </w:rPr>
            </w:pPr>
            <w:r>
              <w:rPr>
                <w:rFonts w:eastAsiaTheme="majorEastAsia"/>
                <w:kern w:val="0"/>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continue"/>
            <w:vAlign w:val="center"/>
          </w:tcPr>
          <w:p>
            <w:pPr>
              <w:widowControl/>
              <w:snapToGrid w:val="0"/>
              <w:jc w:val="center"/>
              <w:rPr>
                <w:rFonts w:eastAsiaTheme="majorEastAsia"/>
                <w:szCs w:val="21"/>
              </w:rPr>
            </w:pPr>
          </w:p>
        </w:tc>
        <w:tc>
          <w:tcPr>
            <w:tcW w:w="446" w:type="pct"/>
            <w:vMerge w:val="continue"/>
            <w:vAlign w:val="center"/>
          </w:tcPr>
          <w:p>
            <w:pPr>
              <w:widowControl/>
              <w:snapToGrid w:val="0"/>
              <w:jc w:val="center"/>
              <w:rPr>
                <w:rFonts w:eastAsiaTheme="majorEastAsia"/>
                <w:szCs w:val="21"/>
              </w:rPr>
            </w:pPr>
          </w:p>
        </w:tc>
        <w:tc>
          <w:tcPr>
            <w:tcW w:w="706" w:type="pct"/>
            <w:vAlign w:val="center"/>
          </w:tcPr>
          <w:p>
            <w:pPr>
              <w:autoSpaceDE w:val="0"/>
              <w:autoSpaceDN w:val="0"/>
              <w:snapToGrid w:val="0"/>
              <w:ind w:left="22"/>
              <w:jc w:val="center"/>
              <w:rPr>
                <w:rFonts w:eastAsiaTheme="majorEastAsia"/>
                <w:kern w:val="0"/>
                <w:szCs w:val="21"/>
              </w:rPr>
            </w:pPr>
            <w:r>
              <w:rPr>
                <w:rFonts w:eastAsiaTheme="majorEastAsia"/>
                <w:kern w:val="0"/>
                <w:szCs w:val="21"/>
              </w:rPr>
              <w:t>粪大肠杆菌</w:t>
            </w:r>
          </w:p>
        </w:tc>
        <w:tc>
          <w:tcPr>
            <w:tcW w:w="2071" w:type="pct"/>
            <w:vMerge w:val="continue"/>
            <w:vAlign w:val="center"/>
          </w:tcPr>
          <w:p>
            <w:pPr>
              <w:widowControl/>
              <w:snapToGrid w:val="0"/>
              <w:jc w:val="center"/>
              <w:rPr>
                <w:rFonts w:eastAsiaTheme="majorEastAsia"/>
                <w:szCs w:val="21"/>
              </w:rPr>
            </w:pPr>
          </w:p>
        </w:tc>
        <w:tc>
          <w:tcPr>
            <w:tcW w:w="1593" w:type="pct"/>
            <w:vAlign w:val="center"/>
          </w:tcPr>
          <w:p>
            <w:pPr>
              <w:autoSpaceDE w:val="0"/>
              <w:autoSpaceDN w:val="0"/>
              <w:snapToGrid w:val="0"/>
              <w:spacing w:before="95"/>
              <w:ind w:left="29"/>
              <w:jc w:val="center"/>
              <w:rPr>
                <w:rFonts w:eastAsiaTheme="majorEastAsia"/>
                <w:kern w:val="0"/>
                <w:szCs w:val="21"/>
              </w:rPr>
            </w:pPr>
            <w:r>
              <w:rPr>
                <w:rFonts w:eastAsiaTheme="majorEastAsia"/>
                <w:kern w:val="0"/>
                <w:szCs w:val="21"/>
              </w:rPr>
              <w:t>5000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9" w:hRule="atLeast"/>
          <w:jc w:val="center"/>
        </w:trPr>
        <w:tc>
          <w:tcPr>
            <w:tcW w:w="184" w:type="pct"/>
            <w:vMerge w:val="continue"/>
            <w:vAlign w:val="center"/>
          </w:tcPr>
          <w:p>
            <w:pPr>
              <w:widowControl/>
              <w:snapToGrid w:val="0"/>
              <w:jc w:val="center"/>
              <w:rPr>
                <w:rFonts w:eastAsiaTheme="majorEastAsia"/>
                <w:szCs w:val="21"/>
              </w:rPr>
            </w:pPr>
          </w:p>
        </w:tc>
        <w:tc>
          <w:tcPr>
            <w:tcW w:w="446" w:type="pct"/>
            <w:vMerge w:val="continue"/>
            <w:vAlign w:val="center"/>
          </w:tcPr>
          <w:p>
            <w:pPr>
              <w:widowControl/>
              <w:snapToGrid w:val="0"/>
              <w:jc w:val="center"/>
              <w:rPr>
                <w:rFonts w:eastAsiaTheme="majorEastAsia"/>
                <w:szCs w:val="21"/>
              </w:rPr>
            </w:pPr>
          </w:p>
        </w:tc>
        <w:tc>
          <w:tcPr>
            <w:tcW w:w="706" w:type="pct"/>
            <w:vAlign w:val="center"/>
          </w:tcPr>
          <w:p>
            <w:pPr>
              <w:autoSpaceDE w:val="0"/>
              <w:autoSpaceDN w:val="0"/>
              <w:snapToGrid w:val="0"/>
              <w:ind w:left="22"/>
              <w:jc w:val="center"/>
              <w:rPr>
                <w:rFonts w:eastAsiaTheme="majorEastAsia"/>
                <w:kern w:val="0"/>
                <w:szCs w:val="21"/>
              </w:rPr>
            </w:pPr>
            <w:r>
              <w:rPr>
                <w:rFonts w:eastAsiaTheme="majorEastAsia"/>
                <w:kern w:val="0"/>
                <w:szCs w:val="21"/>
              </w:rPr>
              <w:t>总磷</w:t>
            </w:r>
          </w:p>
        </w:tc>
        <w:tc>
          <w:tcPr>
            <w:tcW w:w="2071" w:type="pct"/>
            <w:vMerge w:val="continue"/>
            <w:vAlign w:val="center"/>
          </w:tcPr>
          <w:p>
            <w:pPr>
              <w:widowControl/>
              <w:snapToGrid w:val="0"/>
              <w:jc w:val="center"/>
              <w:rPr>
                <w:rFonts w:eastAsiaTheme="majorEastAsia"/>
                <w:szCs w:val="21"/>
              </w:rPr>
            </w:pPr>
          </w:p>
        </w:tc>
        <w:tc>
          <w:tcPr>
            <w:tcW w:w="1593" w:type="pct"/>
            <w:vAlign w:val="center"/>
          </w:tcPr>
          <w:p>
            <w:pPr>
              <w:snapToGrid w:val="0"/>
              <w:spacing w:before="95"/>
              <w:ind w:left="29"/>
              <w:jc w:val="center"/>
              <w:rPr>
                <w:rFonts w:eastAsiaTheme="majorEastAsia"/>
                <w:szCs w:val="21"/>
              </w:rPr>
            </w:pPr>
            <w:r>
              <w:rPr>
                <w:rFonts w:eastAsiaTheme="majorEastAsia"/>
                <w:szCs w:val="21"/>
              </w:rPr>
              <w:t>/</w:t>
            </w:r>
          </w:p>
        </w:tc>
      </w:tr>
    </w:tbl>
    <w:p>
      <w:pPr>
        <w:snapToGrid w:val="0"/>
        <w:spacing w:line="276" w:lineRule="auto"/>
        <w:jc w:val="center"/>
        <w:rPr>
          <w:rFonts w:eastAsiaTheme="minorEastAsia"/>
          <w:b/>
          <w:bCs/>
          <w:sz w:val="24"/>
        </w:rPr>
      </w:pPr>
      <w:r>
        <w:rPr>
          <w:rFonts w:eastAsiaTheme="minorEastAsia"/>
          <w:b/>
          <w:bCs/>
          <w:sz w:val="24"/>
        </w:rPr>
        <w:t>表6.3-6  废水污染物排放信息表</w:t>
      </w:r>
    </w:p>
    <w:tbl>
      <w:tblPr>
        <w:tblStyle w:val="859"/>
        <w:tblW w:w="1360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98"/>
        <w:gridCol w:w="1892"/>
        <w:gridCol w:w="2648"/>
        <w:gridCol w:w="2147"/>
        <w:gridCol w:w="3840"/>
        <w:gridCol w:w="18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0" w:type="pct"/>
            <w:vAlign w:val="center"/>
          </w:tcPr>
          <w:p>
            <w:pPr>
              <w:widowControl/>
              <w:adjustRightInd w:val="0"/>
              <w:snapToGrid w:val="0"/>
              <w:jc w:val="center"/>
              <w:rPr>
                <w:rFonts w:ascii="Times New Roman" w:hAnsi="Times New Roman" w:eastAsiaTheme="minorEastAsia"/>
                <w:b/>
                <w:bCs/>
                <w:color w:val="000000" w:themeColor="text1"/>
                <w:kern w:val="0"/>
                <w:szCs w:val="21"/>
              </w:rPr>
            </w:pPr>
            <w:r>
              <w:rPr>
                <w:rFonts w:ascii="Times New Roman" w:hAnsi="Times New Roman" w:eastAsiaTheme="minorEastAsia"/>
                <w:b/>
                <w:bCs/>
                <w:color w:val="000000" w:themeColor="text1"/>
                <w:kern w:val="0"/>
                <w:szCs w:val="21"/>
              </w:rPr>
              <w:t>序号</w:t>
            </w:r>
          </w:p>
        </w:tc>
        <w:tc>
          <w:tcPr>
            <w:tcW w:w="695" w:type="pct"/>
            <w:vAlign w:val="center"/>
          </w:tcPr>
          <w:p>
            <w:pPr>
              <w:widowControl/>
              <w:adjustRightInd w:val="0"/>
              <w:snapToGrid w:val="0"/>
              <w:jc w:val="center"/>
              <w:rPr>
                <w:rFonts w:ascii="Times New Roman" w:hAnsi="Times New Roman" w:eastAsiaTheme="minorEastAsia"/>
                <w:b/>
                <w:bCs/>
                <w:color w:val="000000" w:themeColor="text1"/>
                <w:kern w:val="0"/>
                <w:szCs w:val="21"/>
              </w:rPr>
            </w:pPr>
            <w:r>
              <w:rPr>
                <w:rFonts w:ascii="Times New Roman" w:hAnsi="Times New Roman" w:eastAsiaTheme="minorEastAsia"/>
                <w:b/>
                <w:bCs/>
                <w:color w:val="000000" w:themeColor="text1"/>
                <w:kern w:val="0"/>
                <w:szCs w:val="21"/>
              </w:rPr>
              <w:t>排放口编号</w:t>
            </w:r>
          </w:p>
        </w:tc>
        <w:tc>
          <w:tcPr>
            <w:tcW w:w="973" w:type="pct"/>
            <w:vAlign w:val="center"/>
          </w:tcPr>
          <w:p>
            <w:pPr>
              <w:autoSpaceDE w:val="0"/>
              <w:autoSpaceDN w:val="0"/>
              <w:adjustRightInd w:val="0"/>
              <w:snapToGrid w:val="0"/>
              <w:spacing w:before="93"/>
              <w:jc w:val="center"/>
              <w:rPr>
                <w:rFonts w:ascii="Times New Roman" w:hAnsi="Times New Roman" w:eastAsiaTheme="majorEastAsia"/>
                <w:b/>
                <w:bCs/>
                <w:kern w:val="0"/>
                <w:szCs w:val="21"/>
              </w:rPr>
            </w:pPr>
            <w:r>
              <w:rPr>
                <w:rFonts w:ascii="Times New Roman" w:hAnsi="Times New Roman" w:eastAsiaTheme="majorEastAsia"/>
                <w:b/>
                <w:bCs/>
                <w:kern w:val="0"/>
                <w:szCs w:val="21"/>
              </w:rPr>
              <w:t>污染物种类</w:t>
            </w:r>
          </w:p>
        </w:tc>
        <w:tc>
          <w:tcPr>
            <w:tcW w:w="789" w:type="pct"/>
            <w:vAlign w:val="center"/>
          </w:tcPr>
          <w:p>
            <w:pPr>
              <w:autoSpaceDE w:val="0"/>
              <w:autoSpaceDN w:val="0"/>
              <w:adjustRightInd w:val="0"/>
              <w:snapToGrid w:val="0"/>
              <w:spacing w:before="93"/>
              <w:jc w:val="center"/>
              <w:rPr>
                <w:rFonts w:ascii="Times New Roman" w:hAnsi="Times New Roman" w:eastAsiaTheme="majorEastAsia"/>
                <w:b/>
                <w:bCs/>
                <w:kern w:val="0"/>
                <w:szCs w:val="21"/>
              </w:rPr>
            </w:pPr>
            <w:r>
              <w:rPr>
                <w:rFonts w:ascii="Times New Roman" w:hAnsi="Times New Roman" w:eastAsiaTheme="majorEastAsia"/>
                <w:b/>
                <w:bCs/>
                <w:kern w:val="0"/>
                <w:szCs w:val="21"/>
              </w:rPr>
              <w:t>排放浓度/（mg/L）</w:t>
            </w:r>
          </w:p>
        </w:tc>
        <w:tc>
          <w:tcPr>
            <w:tcW w:w="1411" w:type="pct"/>
            <w:vAlign w:val="center"/>
          </w:tcPr>
          <w:p>
            <w:pPr>
              <w:autoSpaceDE w:val="0"/>
              <w:autoSpaceDN w:val="0"/>
              <w:adjustRightInd w:val="0"/>
              <w:snapToGrid w:val="0"/>
              <w:spacing w:before="93"/>
              <w:jc w:val="center"/>
              <w:rPr>
                <w:rFonts w:ascii="Times New Roman" w:hAnsi="Times New Roman" w:eastAsiaTheme="majorEastAsia"/>
                <w:b/>
                <w:bCs/>
                <w:kern w:val="0"/>
                <w:szCs w:val="21"/>
              </w:rPr>
            </w:pPr>
            <w:r>
              <w:rPr>
                <w:rFonts w:ascii="Times New Roman" w:hAnsi="Times New Roman" w:eastAsiaTheme="majorEastAsia"/>
                <w:b/>
                <w:bCs/>
                <w:kern w:val="0"/>
                <w:szCs w:val="21"/>
              </w:rPr>
              <w:t>日排放量/（t/d）</w:t>
            </w:r>
          </w:p>
        </w:tc>
        <w:tc>
          <w:tcPr>
            <w:tcW w:w="692" w:type="pct"/>
            <w:vAlign w:val="center"/>
          </w:tcPr>
          <w:p>
            <w:pPr>
              <w:autoSpaceDE w:val="0"/>
              <w:autoSpaceDN w:val="0"/>
              <w:adjustRightInd w:val="0"/>
              <w:snapToGrid w:val="0"/>
              <w:spacing w:before="93"/>
              <w:jc w:val="center"/>
              <w:rPr>
                <w:rFonts w:ascii="Times New Roman" w:hAnsi="Times New Roman" w:eastAsiaTheme="majorEastAsia"/>
                <w:b/>
                <w:bCs/>
                <w:kern w:val="0"/>
                <w:szCs w:val="21"/>
              </w:rPr>
            </w:pPr>
            <w:r>
              <w:rPr>
                <w:rFonts w:ascii="Times New Roman" w:hAnsi="Times New Roman" w:eastAsiaTheme="majorEastAsia"/>
                <w:b/>
                <w:bCs/>
                <w:kern w:val="0"/>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0" w:type="pct"/>
            <w:vMerge w:val="restart"/>
            <w:vAlign w:val="center"/>
          </w:tcPr>
          <w:p>
            <w:pPr>
              <w:widowControl/>
              <w:adjustRightInd w:val="0"/>
              <w:snapToGrid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1</w:t>
            </w:r>
          </w:p>
        </w:tc>
        <w:tc>
          <w:tcPr>
            <w:tcW w:w="695" w:type="pct"/>
            <w:vMerge w:val="restart"/>
            <w:vAlign w:val="center"/>
          </w:tcPr>
          <w:p>
            <w:pPr>
              <w:widowControl/>
              <w:adjustRightInd w:val="0"/>
              <w:snapToGrid w:val="0"/>
              <w:jc w:val="center"/>
              <w:rPr>
                <w:rFonts w:ascii="Times New Roman" w:hAnsi="Times New Roman" w:eastAsiaTheme="minorEastAsia"/>
                <w:color w:val="000000" w:themeColor="text1"/>
                <w:kern w:val="0"/>
                <w:szCs w:val="21"/>
              </w:rPr>
            </w:pPr>
            <w:r>
              <w:rPr>
                <w:rFonts w:ascii="Times New Roman" w:hAnsi="Times New Roman" w:eastAsiaTheme="minorEastAsia"/>
                <w:color w:val="000000" w:themeColor="text1"/>
                <w:kern w:val="0"/>
                <w:szCs w:val="21"/>
              </w:rPr>
              <w:t>DW001</w:t>
            </w:r>
          </w:p>
        </w:tc>
        <w:tc>
          <w:tcPr>
            <w:tcW w:w="973"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inorEastAsia"/>
                <w:szCs w:val="21"/>
              </w:rPr>
              <w:t>COD</w:t>
            </w:r>
          </w:p>
        </w:tc>
        <w:tc>
          <w:tcPr>
            <w:tcW w:w="789"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ajorEastAsia"/>
                <w:kern w:val="0"/>
                <w:szCs w:val="21"/>
              </w:rPr>
              <w:t>250mg/L</w:t>
            </w:r>
          </w:p>
        </w:tc>
        <w:tc>
          <w:tcPr>
            <w:tcW w:w="1411" w:type="pct"/>
            <w:vAlign w:val="center"/>
          </w:tcPr>
          <w:p>
            <w:pPr>
              <w:autoSpaceDE w:val="0"/>
              <w:autoSpaceDN w:val="0"/>
              <w:adjustRightInd w:val="0"/>
              <w:snapToGrid w:val="0"/>
              <w:spacing w:before="99"/>
              <w:ind w:left="1085" w:right="1051"/>
              <w:jc w:val="center"/>
              <w:rPr>
                <w:rFonts w:ascii="Times New Roman" w:hAnsi="Times New Roman"/>
                <w:kern w:val="0"/>
                <w:szCs w:val="21"/>
              </w:rPr>
            </w:pPr>
            <w:r>
              <w:rPr>
                <w:rFonts w:ascii="Times New Roman" w:hAnsi="Times New Roman"/>
                <w:kern w:val="0"/>
                <w:szCs w:val="21"/>
              </w:rPr>
              <w:t>0.071</w:t>
            </w:r>
            <w:r>
              <w:rPr>
                <w:rFonts w:ascii="Times New Roman" w:hAnsi="Times New Roman"/>
                <w:color w:val="000000" w:themeColor="text1"/>
                <w:kern w:val="0"/>
                <w:szCs w:val="21"/>
              </w:rPr>
              <w:t>t/a</w:t>
            </w:r>
          </w:p>
        </w:tc>
        <w:tc>
          <w:tcPr>
            <w:tcW w:w="692" w:type="pct"/>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26.16t/a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0"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695"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973"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inorEastAsia"/>
                <w:szCs w:val="21"/>
              </w:rPr>
              <w:t>BOD</w:t>
            </w:r>
            <w:r>
              <w:rPr>
                <w:rFonts w:ascii="Times New Roman" w:hAnsi="Times New Roman" w:eastAsiaTheme="minorEastAsia"/>
                <w:szCs w:val="21"/>
                <w:vertAlign w:val="subscript"/>
              </w:rPr>
              <w:t>5</w:t>
            </w:r>
          </w:p>
        </w:tc>
        <w:tc>
          <w:tcPr>
            <w:tcW w:w="789"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ajorEastAsia"/>
                <w:kern w:val="0"/>
                <w:szCs w:val="21"/>
              </w:rPr>
              <w:t>100mg/L</w:t>
            </w:r>
          </w:p>
        </w:tc>
        <w:tc>
          <w:tcPr>
            <w:tcW w:w="1411" w:type="pct"/>
            <w:vAlign w:val="center"/>
          </w:tcPr>
          <w:p>
            <w:pPr>
              <w:autoSpaceDE w:val="0"/>
              <w:autoSpaceDN w:val="0"/>
              <w:adjustRightInd w:val="0"/>
              <w:snapToGrid w:val="0"/>
              <w:spacing w:before="99"/>
              <w:ind w:left="1085" w:right="1051"/>
              <w:jc w:val="center"/>
              <w:rPr>
                <w:rFonts w:ascii="Times New Roman" w:hAnsi="Times New Roman"/>
                <w:kern w:val="0"/>
                <w:szCs w:val="21"/>
              </w:rPr>
            </w:pPr>
            <w:r>
              <w:rPr>
                <w:rFonts w:ascii="Times New Roman" w:hAnsi="Times New Roman"/>
                <w:kern w:val="0"/>
                <w:szCs w:val="21"/>
              </w:rPr>
              <w:t>0.0283</w:t>
            </w:r>
            <w:r>
              <w:rPr>
                <w:rFonts w:ascii="Times New Roman" w:hAnsi="Times New Roman"/>
                <w:color w:val="000000" w:themeColor="text1"/>
                <w:kern w:val="0"/>
                <w:szCs w:val="21"/>
              </w:rPr>
              <w:t>t/a</w:t>
            </w:r>
          </w:p>
        </w:tc>
        <w:tc>
          <w:tcPr>
            <w:tcW w:w="692" w:type="pct"/>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10.46t/a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0"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695"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973"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inorEastAsia"/>
                <w:szCs w:val="21"/>
              </w:rPr>
              <w:t>氨氮</w:t>
            </w:r>
          </w:p>
        </w:tc>
        <w:tc>
          <w:tcPr>
            <w:tcW w:w="789"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ajorEastAsia"/>
                <w:kern w:val="0"/>
                <w:szCs w:val="21"/>
              </w:rPr>
              <w:t>15mg/L</w:t>
            </w:r>
          </w:p>
        </w:tc>
        <w:tc>
          <w:tcPr>
            <w:tcW w:w="1411" w:type="pct"/>
            <w:vAlign w:val="center"/>
          </w:tcPr>
          <w:p>
            <w:pPr>
              <w:autoSpaceDE w:val="0"/>
              <w:autoSpaceDN w:val="0"/>
              <w:adjustRightInd w:val="0"/>
              <w:snapToGrid w:val="0"/>
              <w:spacing w:before="102"/>
              <w:ind w:left="1085" w:right="1051"/>
              <w:jc w:val="center"/>
              <w:rPr>
                <w:rFonts w:ascii="Times New Roman" w:hAnsi="Times New Roman"/>
                <w:kern w:val="0"/>
                <w:szCs w:val="21"/>
              </w:rPr>
            </w:pPr>
            <w:r>
              <w:rPr>
                <w:rFonts w:ascii="Times New Roman" w:hAnsi="Times New Roman"/>
                <w:kern w:val="0"/>
                <w:szCs w:val="21"/>
              </w:rPr>
              <w:t>0.00424</w:t>
            </w:r>
            <w:r>
              <w:rPr>
                <w:rFonts w:ascii="Times New Roman" w:hAnsi="Times New Roman"/>
                <w:color w:val="000000" w:themeColor="text1"/>
                <w:kern w:val="0"/>
                <w:szCs w:val="21"/>
              </w:rPr>
              <w:t>t/a</w:t>
            </w:r>
          </w:p>
        </w:tc>
        <w:tc>
          <w:tcPr>
            <w:tcW w:w="692" w:type="pct"/>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1.57t/a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0"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695"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973"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inorEastAsia"/>
                <w:szCs w:val="21"/>
              </w:rPr>
              <w:t>SS</w:t>
            </w:r>
          </w:p>
        </w:tc>
        <w:tc>
          <w:tcPr>
            <w:tcW w:w="789"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ajorEastAsia"/>
                <w:kern w:val="0"/>
                <w:szCs w:val="21"/>
              </w:rPr>
              <w:t>60mg/L</w:t>
            </w:r>
          </w:p>
        </w:tc>
        <w:tc>
          <w:tcPr>
            <w:tcW w:w="1411" w:type="pct"/>
            <w:vAlign w:val="center"/>
          </w:tcPr>
          <w:p>
            <w:pPr>
              <w:autoSpaceDE w:val="0"/>
              <w:autoSpaceDN w:val="0"/>
              <w:adjustRightInd w:val="0"/>
              <w:snapToGrid w:val="0"/>
              <w:spacing w:before="10"/>
              <w:ind w:left="1086" w:right="1051"/>
              <w:jc w:val="center"/>
              <w:rPr>
                <w:rFonts w:ascii="Times New Roman" w:hAnsi="Times New Roman"/>
                <w:kern w:val="0"/>
                <w:szCs w:val="21"/>
              </w:rPr>
            </w:pPr>
            <w:r>
              <w:rPr>
                <w:rFonts w:ascii="Times New Roman" w:hAnsi="Times New Roman"/>
                <w:kern w:val="0"/>
                <w:szCs w:val="21"/>
              </w:rPr>
              <w:t>0.017</w:t>
            </w:r>
            <w:r>
              <w:rPr>
                <w:rFonts w:ascii="Times New Roman" w:hAnsi="Times New Roman"/>
                <w:color w:val="000000" w:themeColor="text1"/>
                <w:kern w:val="0"/>
                <w:szCs w:val="21"/>
              </w:rPr>
              <w:t>t/a</w:t>
            </w:r>
          </w:p>
        </w:tc>
        <w:tc>
          <w:tcPr>
            <w:tcW w:w="692" w:type="pct"/>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6.28t/a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0"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695"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973"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kern w:val="0"/>
                <w:szCs w:val="21"/>
                <w:lang w:bidi="en-US"/>
              </w:rPr>
              <w:t>总磷</w:t>
            </w:r>
          </w:p>
        </w:tc>
        <w:tc>
          <w:tcPr>
            <w:tcW w:w="789"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ajorEastAsia"/>
                <w:kern w:val="0"/>
                <w:szCs w:val="21"/>
              </w:rPr>
              <w:t>4mg/L</w:t>
            </w:r>
          </w:p>
        </w:tc>
        <w:tc>
          <w:tcPr>
            <w:tcW w:w="1411" w:type="pct"/>
            <w:vAlign w:val="center"/>
          </w:tcPr>
          <w:p>
            <w:pPr>
              <w:autoSpaceDE w:val="0"/>
              <w:autoSpaceDN w:val="0"/>
              <w:adjustRightInd w:val="0"/>
              <w:snapToGrid w:val="0"/>
              <w:spacing w:before="99"/>
              <w:ind w:left="1085" w:right="1051"/>
              <w:jc w:val="center"/>
              <w:rPr>
                <w:rFonts w:ascii="Times New Roman" w:hAnsi="Times New Roman"/>
                <w:kern w:val="0"/>
                <w:szCs w:val="21"/>
              </w:rPr>
            </w:pPr>
            <w:r>
              <w:rPr>
                <w:rFonts w:ascii="Times New Roman" w:hAnsi="Times New Roman"/>
                <w:kern w:val="0"/>
                <w:szCs w:val="21"/>
              </w:rPr>
              <w:t>0.0011</w:t>
            </w:r>
            <w:r>
              <w:rPr>
                <w:rFonts w:ascii="Times New Roman" w:hAnsi="Times New Roman"/>
                <w:color w:val="000000" w:themeColor="text1"/>
                <w:kern w:val="0"/>
                <w:szCs w:val="21"/>
              </w:rPr>
              <w:t>t/a</w:t>
            </w:r>
          </w:p>
        </w:tc>
        <w:tc>
          <w:tcPr>
            <w:tcW w:w="692" w:type="pct"/>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0.41t/a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0"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695" w:type="pct"/>
            <w:vMerge w:val="continue"/>
            <w:vAlign w:val="center"/>
          </w:tcPr>
          <w:p>
            <w:pPr>
              <w:widowControl/>
              <w:adjustRightInd w:val="0"/>
              <w:snapToGrid w:val="0"/>
              <w:jc w:val="center"/>
              <w:rPr>
                <w:rFonts w:ascii="Times New Roman" w:hAnsi="Times New Roman" w:eastAsiaTheme="minorEastAsia"/>
                <w:color w:val="000000" w:themeColor="text1"/>
                <w:kern w:val="0"/>
                <w:szCs w:val="21"/>
              </w:rPr>
            </w:pPr>
          </w:p>
        </w:tc>
        <w:tc>
          <w:tcPr>
            <w:tcW w:w="973"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inorEastAsia"/>
                <w:szCs w:val="21"/>
              </w:rPr>
              <w:t>粪大肠菌群</w:t>
            </w:r>
          </w:p>
        </w:tc>
        <w:tc>
          <w:tcPr>
            <w:tcW w:w="789" w:type="pct"/>
            <w:vAlign w:val="center"/>
          </w:tcPr>
          <w:p>
            <w:pPr>
              <w:autoSpaceDE w:val="0"/>
              <w:autoSpaceDN w:val="0"/>
              <w:adjustRightInd w:val="0"/>
              <w:snapToGrid w:val="0"/>
              <w:spacing w:before="93"/>
              <w:jc w:val="center"/>
              <w:rPr>
                <w:rFonts w:ascii="Times New Roman" w:hAnsi="Times New Roman" w:eastAsiaTheme="majorEastAsia"/>
                <w:kern w:val="0"/>
                <w:szCs w:val="21"/>
              </w:rPr>
            </w:pPr>
            <w:r>
              <w:rPr>
                <w:rFonts w:ascii="Times New Roman" w:hAnsi="Times New Roman" w:eastAsiaTheme="majorEastAsia"/>
                <w:kern w:val="0"/>
                <w:szCs w:val="21"/>
              </w:rPr>
              <w:t xml:space="preserve">5000个/L </w:t>
            </w:r>
          </w:p>
        </w:tc>
        <w:tc>
          <w:tcPr>
            <w:tcW w:w="1411" w:type="pct"/>
            <w:vAlign w:val="center"/>
          </w:tcPr>
          <w:p>
            <w:pPr>
              <w:autoSpaceDE w:val="0"/>
              <w:autoSpaceDN w:val="0"/>
              <w:adjustRightInd w:val="0"/>
              <w:snapToGrid w:val="0"/>
              <w:spacing w:before="99"/>
              <w:ind w:left="1085" w:right="1051"/>
              <w:jc w:val="center"/>
              <w:rPr>
                <w:rFonts w:ascii="Times New Roman" w:hAnsi="Times New Roman"/>
                <w:kern w:val="0"/>
                <w:szCs w:val="21"/>
              </w:rPr>
            </w:pPr>
            <w:r>
              <w:rPr>
                <w:rFonts w:ascii="Times New Roman" w:hAnsi="Times New Roman" w:eastAsiaTheme="minorEastAsia"/>
                <w:szCs w:val="21"/>
              </w:rPr>
              <w:t>1.42</w:t>
            </w:r>
            <w:r>
              <w:rPr>
                <w:rFonts w:hint="eastAsia" w:ascii="MS Mincho" w:hAnsi="MS Mincho" w:eastAsia="MS Mincho" w:cs="MS Mincho"/>
                <w:szCs w:val="21"/>
              </w:rPr>
              <w:t>✕</w:t>
            </w:r>
            <w:r>
              <w:rPr>
                <w:rFonts w:ascii="Times New Roman" w:hAnsi="Times New Roman" w:eastAsiaTheme="minorEastAsia"/>
                <w:szCs w:val="21"/>
              </w:rPr>
              <w:t>10</w:t>
            </w:r>
            <w:r>
              <w:rPr>
                <w:rFonts w:ascii="Times New Roman" w:hAnsi="Times New Roman" w:eastAsiaTheme="minorEastAsia"/>
                <w:szCs w:val="21"/>
                <w:vertAlign w:val="superscript"/>
              </w:rPr>
              <w:t>6</w:t>
            </w:r>
            <w:r>
              <w:rPr>
                <w:rFonts w:ascii="Times New Roman" w:hAnsi="Times New Roman" w:eastAsiaTheme="minorEastAsia"/>
                <w:szCs w:val="21"/>
              </w:rPr>
              <w:t>MPN/a</w:t>
            </w:r>
          </w:p>
        </w:tc>
        <w:tc>
          <w:tcPr>
            <w:tcW w:w="692" w:type="pct"/>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5.18</w:t>
            </w:r>
            <w:r>
              <w:rPr>
                <w:rFonts w:hint="eastAsia" w:ascii="MS Mincho" w:hAnsi="MS Mincho" w:eastAsia="MS Mincho" w:cs="MS Mincho"/>
                <w:szCs w:val="21"/>
              </w:rPr>
              <w:t>✕</w:t>
            </w:r>
            <w:r>
              <w:rPr>
                <w:rFonts w:ascii="Times New Roman" w:hAnsi="Times New Roman" w:eastAsiaTheme="minorEastAsia"/>
                <w:szCs w:val="21"/>
              </w:rPr>
              <w:t>10</w:t>
            </w:r>
            <w:r>
              <w:rPr>
                <w:rFonts w:ascii="Times New Roman" w:hAnsi="Times New Roman" w:eastAsiaTheme="minorEastAsia"/>
                <w:szCs w:val="21"/>
                <w:vertAlign w:val="superscript"/>
              </w:rPr>
              <w:t>8</w:t>
            </w:r>
            <w:r>
              <w:rPr>
                <w:rFonts w:ascii="Times New Roman" w:hAnsi="Times New Roman" w:eastAsiaTheme="minorEastAsia"/>
                <w:szCs w:val="21"/>
              </w:rPr>
              <w:t>MPN/a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35" w:type="pct"/>
            <w:gridSpan w:val="2"/>
            <w:vMerge w:val="restart"/>
            <w:vAlign w:val="center"/>
          </w:tcPr>
          <w:p>
            <w:pPr>
              <w:spacing w:line="360" w:lineRule="auto"/>
              <w:jc w:val="center"/>
              <w:rPr>
                <w:rFonts w:ascii="Times New Roman" w:hAnsi="Times New Roman"/>
                <w:b/>
                <w:szCs w:val="21"/>
              </w:rPr>
            </w:pPr>
            <w:r>
              <w:rPr>
                <w:rFonts w:ascii="Times New Roman" w:hAnsi="Times New Roman"/>
                <w:b/>
                <w:szCs w:val="21"/>
              </w:rPr>
              <w:t>全厂排放口合计</w:t>
            </w:r>
          </w:p>
        </w:tc>
        <w:tc>
          <w:tcPr>
            <w:tcW w:w="1762"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COD</w:t>
            </w:r>
          </w:p>
        </w:tc>
        <w:tc>
          <w:tcPr>
            <w:tcW w:w="2103"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color w:val="000000" w:themeColor="text1"/>
                <w:szCs w:val="21"/>
              </w:rPr>
              <w:t>21.57t/a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35" w:type="pct"/>
            <w:gridSpan w:val="2"/>
            <w:vMerge w:val="continue"/>
            <w:vAlign w:val="center"/>
          </w:tcPr>
          <w:p>
            <w:pPr>
              <w:spacing w:line="360" w:lineRule="auto"/>
              <w:jc w:val="center"/>
              <w:rPr>
                <w:rFonts w:ascii="Times New Roman" w:hAnsi="Times New Roman"/>
                <w:b/>
                <w:szCs w:val="21"/>
              </w:rPr>
            </w:pPr>
          </w:p>
        </w:tc>
        <w:tc>
          <w:tcPr>
            <w:tcW w:w="1762"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BOD</w:t>
            </w:r>
            <w:r>
              <w:rPr>
                <w:rFonts w:ascii="Times New Roman" w:hAnsi="Times New Roman" w:eastAsiaTheme="minorEastAsia"/>
                <w:szCs w:val="21"/>
                <w:vertAlign w:val="subscript"/>
              </w:rPr>
              <w:t>5</w:t>
            </w:r>
          </w:p>
        </w:tc>
        <w:tc>
          <w:tcPr>
            <w:tcW w:w="2103"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color w:val="000000" w:themeColor="text1"/>
                <w:szCs w:val="21"/>
              </w:rPr>
              <w:t>6.97t/a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35" w:type="pct"/>
            <w:gridSpan w:val="2"/>
            <w:vMerge w:val="continue"/>
            <w:vAlign w:val="center"/>
          </w:tcPr>
          <w:p>
            <w:pPr>
              <w:spacing w:line="360" w:lineRule="auto"/>
              <w:jc w:val="center"/>
              <w:rPr>
                <w:rFonts w:ascii="Times New Roman" w:hAnsi="Times New Roman"/>
                <w:b/>
                <w:szCs w:val="21"/>
              </w:rPr>
            </w:pPr>
          </w:p>
        </w:tc>
        <w:tc>
          <w:tcPr>
            <w:tcW w:w="1762"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氨氮</w:t>
            </w:r>
          </w:p>
        </w:tc>
        <w:tc>
          <w:tcPr>
            <w:tcW w:w="2103"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color w:val="000000" w:themeColor="text1"/>
                <w:szCs w:val="21"/>
              </w:rPr>
              <w:t>5.67t/a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35" w:type="pct"/>
            <w:gridSpan w:val="2"/>
            <w:vMerge w:val="continue"/>
            <w:vAlign w:val="center"/>
          </w:tcPr>
          <w:p>
            <w:pPr>
              <w:spacing w:line="360" w:lineRule="auto"/>
              <w:jc w:val="center"/>
              <w:rPr>
                <w:rFonts w:ascii="Times New Roman" w:hAnsi="Times New Roman"/>
                <w:b/>
                <w:szCs w:val="21"/>
              </w:rPr>
            </w:pPr>
          </w:p>
        </w:tc>
        <w:tc>
          <w:tcPr>
            <w:tcW w:w="1762"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SS</w:t>
            </w:r>
          </w:p>
        </w:tc>
        <w:tc>
          <w:tcPr>
            <w:tcW w:w="2103"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color w:val="000000" w:themeColor="text1"/>
                <w:szCs w:val="21"/>
              </w:rPr>
              <w:t>1.89t/a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35" w:type="pct"/>
            <w:gridSpan w:val="2"/>
            <w:vMerge w:val="continue"/>
            <w:vAlign w:val="center"/>
          </w:tcPr>
          <w:p>
            <w:pPr>
              <w:spacing w:line="360" w:lineRule="auto"/>
              <w:jc w:val="center"/>
              <w:rPr>
                <w:rFonts w:ascii="Times New Roman" w:hAnsi="Times New Roman"/>
                <w:b/>
                <w:szCs w:val="21"/>
              </w:rPr>
            </w:pPr>
          </w:p>
        </w:tc>
        <w:tc>
          <w:tcPr>
            <w:tcW w:w="1762"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kern w:val="0"/>
                <w:szCs w:val="21"/>
                <w:lang w:bidi="en-US"/>
              </w:rPr>
              <w:t>总磷</w:t>
            </w:r>
          </w:p>
        </w:tc>
        <w:tc>
          <w:tcPr>
            <w:tcW w:w="2103"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color w:val="000000" w:themeColor="text1"/>
                <w:szCs w:val="21"/>
              </w:rPr>
              <w:t>561.75</w:t>
            </w:r>
            <w:r>
              <w:rPr>
                <w:rFonts w:ascii="Times New Roman" w:hAnsi="Times New Roman" w:eastAsiaTheme="minorEastAsia"/>
                <w:color w:val="000000" w:themeColor="text1"/>
                <w:szCs w:val="21"/>
              </w:rPr>
              <w:t>个/L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135" w:type="pct"/>
            <w:gridSpan w:val="2"/>
            <w:vMerge w:val="continue"/>
            <w:vAlign w:val="center"/>
          </w:tcPr>
          <w:p>
            <w:pPr>
              <w:spacing w:line="360" w:lineRule="auto"/>
              <w:jc w:val="center"/>
              <w:rPr>
                <w:rFonts w:ascii="Times New Roman" w:hAnsi="Times New Roman"/>
                <w:b/>
                <w:szCs w:val="21"/>
              </w:rPr>
            </w:pPr>
          </w:p>
        </w:tc>
        <w:tc>
          <w:tcPr>
            <w:tcW w:w="1762"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eastAsiaTheme="minorEastAsia"/>
                <w:szCs w:val="21"/>
              </w:rPr>
              <w:t>粪大肠菌群</w:t>
            </w:r>
          </w:p>
        </w:tc>
        <w:tc>
          <w:tcPr>
            <w:tcW w:w="2103" w:type="pct"/>
            <w:gridSpan w:val="2"/>
            <w:vAlign w:val="center"/>
          </w:tcPr>
          <w:p>
            <w:pPr>
              <w:adjustRightInd w:val="0"/>
              <w:snapToGrid w:val="0"/>
              <w:jc w:val="center"/>
              <w:rPr>
                <w:rFonts w:ascii="Times New Roman" w:hAnsi="Times New Roman" w:eastAsiaTheme="minorEastAsia"/>
                <w:szCs w:val="21"/>
              </w:rPr>
            </w:pPr>
            <w:r>
              <w:rPr>
                <w:rFonts w:ascii="Times New Roman" w:hAnsi="Times New Roman"/>
                <w:color w:val="000000" w:themeColor="text1"/>
                <w:szCs w:val="21"/>
              </w:rPr>
              <w:t>0.14t/a</w:t>
            </w:r>
          </w:p>
        </w:tc>
      </w:tr>
    </w:tbl>
    <w:p>
      <w:pPr>
        <w:snapToGrid w:val="0"/>
        <w:spacing w:line="360" w:lineRule="auto"/>
        <w:ind w:firstLine="480" w:firstLineChars="200"/>
        <w:rPr>
          <w:rFonts w:eastAsiaTheme="minorEastAsia"/>
          <w:sz w:val="24"/>
        </w:rPr>
        <w:sectPr>
          <w:pgSz w:w="16838" w:h="11906" w:orient="landscape"/>
          <w:pgMar w:top="1418" w:right="1304" w:bottom="1418" w:left="1474" w:header="851" w:footer="680" w:gutter="0"/>
          <w:cols w:space="720" w:num="1"/>
          <w:docGrid w:linePitch="312" w:charSpace="0"/>
        </w:sectPr>
      </w:pPr>
    </w:p>
    <w:p>
      <w:pPr>
        <w:pStyle w:val="3"/>
        <w:snapToGrid w:val="0"/>
        <w:spacing w:before="0" w:after="0" w:line="360" w:lineRule="auto"/>
        <w:rPr>
          <w:rFonts w:ascii="Times New Roman" w:hAnsi="Times New Roman" w:eastAsiaTheme="minorEastAsia"/>
          <w:sz w:val="28"/>
          <w:lang w:val="zh-CN"/>
        </w:rPr>
      </w:pPr>
      <w:bookmarkStart w:id="150" w:name="_Toc61026613"/>
      <w:r>
        <w:rPr>
          <w:rFonts w:ascii="Times New Roman" w:hAnsi="Times New Roman" w:eastAsiaTheme="minorEastAsia"/>
          <w:sz w:val="28"/>
          <w:lang w:val="zh-CN"/>
        </w:rPr>
        <w:t>6.4 营运期地下水环境影响评价</w:t>
      </w:r>
      <w:bookmarkEnd w:id="150"/>
    </w:p>
    <w:p>
      <w:pPr>
        <w:snapToGrid w:val="0"/>
        <w:spacing w:line="360" w:lineRule="auto"/>
        <w:ind w:firstLine="480" w:firstLineChars="200"/>
        <w:rPr>
          <w:rFonts w:eastAsiaTheme="minorEastAsia"/>
          <w:sz w:val="24"/>
        </w:rPr>
      </w:pPr>
      <w:r>
        <w:rPr>
          <w:rFonts w:eastAsiaTheme="minorEastAsia"/>
          <w:sz w:val="24"/>
        </w:rPr>
        <w:t>本项目可能对地下水造成污染的途径的是：（1）污水处理设施、管沟中的污染物质下渗，（2）生活垃圾暂存间和医疗废物暂存间污染物泄露通过地面下渗，进入土壤中，通过包气带进入地下水中而对其造成不利影响。</w:t>
      </w:r>
    </w:p>
    <w:p>
      <w:pPr>
        <w:snapToGrid w:val="0"/>
        <w:spacing w:line="360" w:lineRule="auto"/>
        <w:ind w:firstLine="480" w:firstLineChars="200"/>
        <w:rPr>
          <w:rFonts w:eastAsiaTheme="minorEastAsia"/>
          <w:sz w:val="24"/>
        </w:rPr>
      </w:pPr>
      <w:r>
        <w:rPr>
          <w:rFonts w:eastAsiaTheme="minorEastAsia"/>
          <w:sz w:val="24"/>
        </w:rPr>
        <w:t>本项目生活垃圾暂存间、医疗废物暂存间地面、污水处理站池体均为重点防渗区，满足相关防渗要求，项目废水经收集后进入东北角的污水处理设施处理后排入市政污水管网；各沟渠均为水泥砌筑，泄露可能性不大；因此通过包气带垂直渗透进入地下水的可能性小，对地下水影响很小。</w:t>
      </w:r>
    </w:p>
    <w:p>
      <w:pPr>
        <w:snapToGrid w:val="0"/>
        <w:spacing w:line="360" w:lineRule="auto"/>
        <w:ind w:firstLine="480" w:firstLineChars="200"/>
        <w:rPr>
          <w:rFonts w:eastAsiaTheme="minorEastAsia"/>
          <w:sz w:val="24"/>
        </w:rPr>
      </w:pPr>
      <w:r>
        <w:rPr>
          <w:rFonts w:eastAsiaTheme="minorEastAsia"/>
          <w:sz w:val="24"/>
        </w:rPr>
        <w:t>建设单位严格按照《危险废物贮存污染控制标准》（GB18597-2001）要求建设的危险废物暂存间（医疗废物暂存间位于地下一层可做到防雨、防风、防晒，地面进行防腐、防渗和硬化处理，危险废物采用符合标准的容器盛装，并建设泄漏液体收集装置和堵截泄漏的裙角）。因此，本项目危险废物贮存过程中对地下水环境造成不利影响的可能性很小。</w:t>
      </w:r>
    </w:p>
    <w:p>
      <w:pPr>
        <w:snapToGrid w:val="0"/>
        <w:spacing w:line="360" w:lineRule="auto"/>
        <w:ind w:firstLine="480" w:firstLineChars="200"/>
        <w:rPr>
          <w:rFonts w:eastAsiaTheme="minorEastAsia"/>
          <w:sz w:val="24"/>
        </w:rPr>
      </w:pPr>
      <w:r>
        <w:rPr>
          <w:rFonts w:eastAsiaTheme="minorEastAsia"/>
          <w:sz w:val="24"/>
        </w:rPr>
        <w:t>地下水污染是一个漫长的过程，在污染过程中土壤会截留大部分，并且有部分污染物会在土壤中降解、稀释，而最终进入到地下水含水层中的量较少。综上所述，本项目在落实污水处理站、化学品仓库及危险废物暂存区规范建设，确保重点防渗区地面硬化、防腐及防渗，按要求建设事故池等，加强对污水处理设施防渗设施的建设与监管，确保污水处理设施、医疗废物暂存间、生活垃圾暂存间等的防渗措施安全正常运行，并每年例行检查，加强管理的前提下，本项目对区域地下水环境影响较小。</w:t>
      </w:r>
    </w:p>
    <w:p>
      <w:pPr>
        <w:pStyle w:val="3"/>
        <w:tabs>
          <w:tab w:val="left" w:pos="1418"/>
        </w:tabs>
        <w:snapToGrid w:val="0"/>
        <w:spacing w:before="0" w:after="0" w:line="360" w:lineRule="auto"/>
        <w:rPr>
          <w:rFonts w:ascii="Times New Roman" w:hAnsi="Times New Roman" w:eastAsiaTheme="minorEastAsia"/>
          <w:sz w:val="28"/>
          <w:lang w:val="zh-CN"/>
        </w:rPr>
      </w:pPr>
      <w:bookmarkStart w:id="151" w:name="_Toc61026614"/>
      <w:r>
        <w:rPr>
          <w:rFonts w:ascii="Times New Roman" w:hAnsi="Times New Roman" w:eastAsiaTheme="minorEastAsia"/>
          <w:sz w:val="28"/>
          <w:lang w:val="zh-CN"/>
        </w:rPr>
        <w:t>6.5 营运期固体废物环境影响评价</w:t>
      </w:r>
      <w:bookmarkEnd w:id="151"/>
    </w:p>
    <w:bookmarkEnd w:id="115"/>
    <w:bookmarkEnd w:id="116"/>
    <w:bookmarkEnd w:id="117"/>
    <w:bookmarkEnd w:id="118"/>
    <w:bookmarkEnd w:id="119"/>
    <w:p>
      <w:pPr>
        <w:snapToGrid w:val="0"/>
        <w:spacing w:line="360" w:lineRule="auto"/>
        <w:ind w:firstLine="480" w:firstLineChars="200"/>
        <w:rPr>
          <w:rFonts w:eastAsiaTheme="minorEastAsia"/>
          <w:sz w:val="24"/>
        </w:rPr>
      </w:pPr>
      <w:bookmarkStart w:id="152" w:name="_Toc299451607"/>
      <w:bookmarkStart w:id="153" w:name="_Toc299451037"/>
      <w:bookmarkStart w:id="154" w:name="_Toc299451799"/>
      <w:bookmarkStart w:id="155" w:name="_Toc299450837"/>
      <w:bookmarkStart w:id="156" w:name="_Toc299450937"/>
      <w:r>
        <w:rPr>
          <w:rFonts w:eastAsiaTheme="minorEastAsia"/>
          <w:sz w:val="24"/>
        </w:rPr>
        <w:t>项目产生的固体废物主要包括医疗废物、废水处理污泥、生活垃圾、餐厨垃圾、中药渣等，医疗废物、污水处理站污泥属于危险废物，</w:t>
      </w:r>
      <w:r>
        <w:rPr>
          <w:rFonts w:hint="eastAsia" w:eastAsiaTheme="minorEastAsia"/>
          <w:sz w:val="24"/>
        </w:rPr>
        <w:t>未被污染的输液瓶(袋)、</w:t>
      </w:r>
      <w:r>
        <w:rPr>
          <w:rFonts w:eastAsiaTheme="minorEastAsia"/>
          <w:sz w:val="24"/>
        </w:rPr>
        <w:t>生活垃圾、餐厨垃圾、中药渣为一般固体废物。</w:t>
      </w:r>
    </w:p>
    <w:p>
      <w:pPr>
        <w:pStyle w:val="4"/>
        <w:snapToGrid w:val="0"/>
        <w:spacing w:before="0" w:after="0" w:line="360" w:lineRule="auto"/>
        <w:rPr>
          <w:rFonts w:eastAsiaTheme="minorEastAsia"/>
          <w:kern w:val="0"/>
          <w:sz w:val="24"/>
        </w:rPr>
      </w:pPr>
      <w:r>
        <w:rPr>
          <w:rFonts w:eastAsiaTheme="minorEastAsia"/>
          <w:kern w:val="0"/>
          <w:sz w:val="24"/>
        </w:rPr>
        <w:t>6.5.1 医疗废物影响分析</w:t>
      </w:r>
    </w:p>
    <w:p>
      <w:pPr>
        <w:snapToGrid w:val="0"/>
        <w:spacing w:line="360" w:lineRule="auto"/>
        <w:ind w:firstLine="480" w:firstLineChars="200"/>
        <w:rPr>
          <w:rFonts w:eastAsiaTheme="minorEastAsia"/>
          <w:sz w:val="24"/>
        </w:rPr>
      </w:pPr>
      <w:r>
        <w:rPr>
          <w:rFonts w:eastAsiaTheme="minorEastAsia"/>
          <w:sz w:val="24"/>
        </w:rPr>
        <w:t>（1）医疗废物影响分析</w:t>
      </w:r>
    </w:p>
    <w:p>
      <w:pPr>
        <w:snapToGrid w:val="0"/>
        <w:spacing w:line="360" w:lineRule="auto"/>
        <w:ind w:firstLine="480" w:firstLineChars="200"/>
        <w:rPr>
          <w:rFonts w:eastAsiaTheme="minorEastAsia"/>
          <w:sz w:val="24"/>
        </w:rPr>
      </w:pPr>
      <w:r>
        <w:rPr>
          <w:rFonts w:eastAsiaTheme="minorEastAsia"/>
          <w:sz w:val="24"/>
        </w:rPr>
        <w:t>项目运营期间医疗废物产生量为120.5t/a，建设单位需按照医疗废物分类名录，对医疗废物分类收集后由专用运输通道和工具运往地下室的医疗废物暂存间分类暂存。感染性废物、病理性废物用密封袋包装，检验废液采用防渗漏的废液桶盛装，损伤性废物采用专用的锐器收集筒分类单独存放；暂存于危险废物暂存间内。</w:t>
      </w:r>
    </w:p>
    <w:p>
      <w:pPr>
        <w:snapToGrid w:val="0"/>
        <w:spacing w:line="360" w:lineRule="auto"/>
        <w:ind w:firstLine="480" w:firstLineChars="200"/>
        <w:rPr>
          <w:rFonts w:eastAsiaTheme="minorEastAsia"/>
          <w:sz w:val="24"/>
        </w:rPr>
      </w:pPr>
      <w:r>
        <w:rPr>
          <w:rFonts w:eastAsiaTheme="minorEastAsia"/>
          <w:sz w:val="24"/>
        </w:rPr>
        <w:t>医疗固废暂存间设计必须符合《医疗废物集中处置技术规范（试行）》中要求，医疗废物尽量一日一清，储存时间不得超过48h，同时建议医疗废物暂存间配备低温储存设备，确保特殊条件下医疗废物的安全储存。严格按照《危险废物贮存污染控制标准》（GB18597-2001）及标准修改单中相关要求，建设医疗废物暂存间，并定期交由有资质的处置单位外运并妥善处置，不会对外环境产生明显污染影响。</w:t>
      </w:r>
    </w:p>
    <w:p>
      <w:pPr>
        <w:snapToGrid w:val="0"/>
        <w:spacing w:line="360" w:lineRule="auto"/>
        <w:ind w:firstLine="480" w:firstLineChars="200"/>
        <w:rPr>
          <w:rFonts w:eastAsiaTheme="minorEastAsia"/>
          <w:sz w:val="24"/>
        </w:rPr>
      </w:pPr>
      <w:r>
        <w:rPr>
          <w:rFonts w:eastAsiaTheme="minorEastAsia"/>
          <w:sz w:val="24"/>
        </w:rPr>
        <w:t>（2）废水处理污泥影响分析</w:t>
      </w:r>
    </w:p>
    <w:p>
      <w:pPr>
        <w:snapToGrid w:val="0"/>
        <w:spacing w:line="360" w:lineRule="auto"/>
        <w:ind w:firstLine="480" w:firstLineChars="200"/>
        <w:rPr>
          <w:rFonts w:eastAsiaTheme="minorEastAsia"/>
          <w:sz w:val="24"/>
        </w:rPr>
      </w:pPr>
      <w:r>
        <w:rPr>
          <w:rFonts w:eastAsiaTheme="minorEastAsia"/>
          <w:sz w:val="24"/>
        </w:rPr>
        <w:t>医疗污水处理站格栅渣、污泥和病区化粪池污泥也属于危险固废，产生量约为36.28t/a，由于含水率较高，且含有致病菌等污染物，在污水处理站的污泥贮存池内收集，经石灰消毒和脱水，达到《医疗机构水污染物排放标准》（GB18466-2005）中的医疗机构污泥控制标准，采用防渗漏的危废收集桶密封储存在医疗废物暂存间，储存时间不超过15d，及时交由有资质单位处置，污水处理站污泥采取上述方式处理后可实现无害化处理要求，不会对区域环境产生明显影响。</w:t>
      </w:r>
    </w:p>
    <w:p>
      <w:pPr>
        <w:snapToGrid w:val="0"/>
        <w:spacing w:line="360" w:lineRule="auto"/>
        <w:ind w:firstLine="480" w:firstLineChars="200"/>
        <w:rPr>
          <w:rFonts w:eastAsiaTheme="minorEastAsia"/>
          <w:sz w:val="24"/>
        </w:rPr>
      </w:pPr>
      <w:r>
        <w:rPr>
          <w:rFonts w:eastAsiaTheme="minorEastAsia"/>
          <w:sz w:val="24"/>
        </w:rPr>
        <w:t>根据工程分析，本项目危险废物产生及处置情况见表6.5-1。</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表6.5-1  危险废物处置方法汇总一览表</w:t>
      </w:r>
    </w:p>
    <w:tbl>
      <w:tblPr>
        <w:tblStyle w:val="80"/>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6"/>
        <w:gridCol w:w="700"/>
        <w:gridCol w:w="807"/>
        <w:gridCol w:w="695"/>
        <w:gridCol w:w="1143"/>
        <w:gridCol w:w="1047"/>
        <w:gridCol w:w="855"/>
        <w:gridCol w:w="1004"/>
        <w:gridCol w:w="652"/>
        <w:gridCol w:w="16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Align w:val="center"/>
          </w:tcPr>
          <w:p>
            <w:pPr>
              <w:snapToGrid w:val="0"/>
              <w:jc w:val="center"/>
              <w:rPr>
                <w:rFonts w:eastAsiaTheme="minorEastAsia"/>
                <w:b/>
                <w:szCs w:val="21"/>
              </w:rPr>
            </w:pPr>
            <w:r>
              <w:rPr>
                <w:rFonts w:eastAsiaTheme="minorEastAsia"/>
                <w:b/>
                <w:szCs w:val="21"/>
              </w:rPr>
              <w:t>序号</w:t>
            </w:r>
          </w:p>
        </w:tc>
        <w:tc>
          <w:tcPr>
            <w:tcW w:w="700" w:type="dxa"/>
            <w:vAlign w:val="center"/>
          </w:tcPr>
          <w:p>
            <w:pPr>
              <w:snapToGrid w:val="0"/>
              <w:jc w:val="center"/>
              <w:rPr>
                <w:rFonts w:eastAsiaTheme="minorEastAsia"/>
                <w:b/>
                <w:szCs w:val="21"/>
              </w:rPr>
            </w:pPr>
            <w:r>
              <w:rPr>
                <w:rFonts w:eastAsiaTheme="minorEastAsia"/>
                <w:b/>
                <w:szCs w:val="21"/>
              </w:rPr>
              <w:t>危废名称</w:t>
            </w:r>
          </w:p>
        </w:tc>
        <w:tc>
          <w:tcPr>
            <w:tcW w:w="807" w:type="dxa"/>
            <w:vAlign w:val="center"/>
          </w:tcPr>
          <w:p>
            <w:pPr>
              <w:snapToGrid w:val="0"/>
              <w:jc w:val="center"/>
              <w:rPr>
                <w:rFonts w:eastAsiaTheme="minorEastAsia"/>
                <w:b/>
                <w:szCs w:val="21"/>
              </w:rPr>
            </w:pPr>
            <w:r>
              <w:rPr>
                <w:rFonts w:eastAsiaTheme="minorEastAsia"/>
                <w:b/>
                <w:szCs w:val="21"/>
              </w:rPr>
              <w:t>产生工序</w:t>
            </w:r>
          </w:p>
        </w:tc>
        <w:tc>
          <w:tcPr>
            <w:tcW w:w="695" w:type="dxa"/>
            <w:vAlign w:val="center"/>
          </w:tcPr>
          <w:p>
            <w:pPr>
              <w:snapToGrid w:val="0"/>
              <w:jc w:val="center"/>
              <w:rPr>
                <w:rFonts w:eastAsiaTheme="minorEastAsia"/>
                <w:b/>
                <w:szCs w:val="21"/>
              </w:rPr>
            </w:pPr>
            <w:r>
              <w:rPr>
                <w:rFonts w:eastAsiaTheme="minorEastAsia"/>
                <w:b/>
                <w:szCs w:val="21"/>
              </w:rPr>
              <w:t>形态</w:t>
            </w:r>
          </w:p>
        </w:tc>
        <w:tc>
          <w:tcPr>
            <w:tcW w:w="1143" w:type="dxa"/>
            <w:vAlign w:val="center"/>
          </w:tcPr>
          <w:p>
            <w:pPr>
              <w:snapToGrid w:val="0"/>
              <w:jc w:val="center"/>
              <w:rPr>
                <w:rFonts w:eastAsiaTheme="minorEastAsia"/>
                <w:b/>
                <w:szCs w:val="21"/>
              </w:rPr>
            </w:pPr>
            <w:r>
              <w:rPr>
                <w:rFonts w:eastAsiaTheme="minorEastAsia"/>
                <w:b/>
                <w:szCs w:val="21"/>
              </w:rPr>
              <w:t>主要成分</w:t>
            </w:r>
          </w:p>
        </w:tc>
        <w:tc>
          <w:tcPr>
            <w:tcW w:w="0" w:type="auto"/>
            <w:vAlign w:val="center"/>
          </w:tcPr>
          <w:p>
            <w:pPr>
              <w:snapToGrid w:val="0"/>
              <w:jc w:val="center"/>
              <w:rPr>
                <w:rFonts w:eastAsiaTheme="minorEastAsia"/>
                <w:b/>
                <w:szCs w:val="21"/>
              </w:rPr>
            </w:pPr>
            <w:r>
              <w:rPr>
                <w:rFonts w:eastAsiaTheme="minorEastAsia"/>
                <w:b/>
                <w:szCs w:val="21"/>
              </w:rPr>
              <w:t>有害成分</w:t>
            </w:r>
          </w:p>
        </w:tc>
        <w:tc>
          <w:tcPr>
            <w:tcW w:w="0" w:type="auto"/>
            <w:vAlign w:val="center"/>
          </w:tcPr>
          <w:p>
            <w:pPr>
              <w:snapToGrid w:val="0"/>
              <w:jc w:val="center"/>
              <w:rPr>
                <w:rFonts w:eastAsiaTheme="minorEastAsia"/>
                <w:b/>
                <w:szCs w:val="21"/>
              </w:rPr>
            </w:pPr>
            <w:r>
              <w:rPr>
                <w:rFonts w:eastAsiaTheme="minorEastAsia"/>
                <w:b/>
                <w:szCs w:val="21"/>
              </w:rPr>
              <w:t>危废类别</w:t>
            </w:r>
          </w:p>
        </w:tc>
        <w:tc>
          <w:tcPr>
            <w:tcW w:w="1004" w:type="dxa"/>
            <w:vAlign w:val="center"/>
          </w:tcPr>
          <w:p>
            <w:pPr>
              <w:snapToGrid w:val="0"/>
              <w:jc w:val="center"/>
              <w:rPr>
                <w:rFonts w:eastAsiaTheme="minorEastAsia"/>
                <w:b/>
                <w:szCs w:val="21"/>
              </w:rPr>
            </w:pPr>
            <w:r>
              <w:rPr>
                <w:rFonts w:eastAsiaTheme="minorEastAsia"/>
                <w:b/>
                <w:szCs w:val="21"/>
              </w:rPr>
              <w:t>产生量t/a</w:t>
            </w:r>
          </w:p>
        </w:tc>
        <w:tc>
          <w:tcPr>
            <w:tcW w:w="652" w:type="dxa"/>
            <w:vAlign w:val="center"/>
          </w:tcPr>
          <w:p>
            <w:pPr>
              <w:snapToGrid w:val="0"/>
              <w:jc w:val="center"/>
              <w:rPr>
                <w:rFonts w:eastAsiaTheme="minorEastAsia"/>
                <w:b/>
                <w:szCs w:val="21"/>
              </w:rPr>
            </w:pPr>
            <w:r>
              <w:rPr>
                <w:rFonts w:eastAsiaTheme="minorEastAsia"/>
                <w:b/>
                <w:szCs w:val="21"/>
              </w:rPr>
              <w:t>产生周期</w:t>
            </w:r>
          </w:p>
        </w:tc>
        <w:tc>
          <w:tcPr>
            <w:tcW w:w="1682" w:type="dxa"/>
            <w:vAlign w:val="center"/>
          </w:tcPr>
          <w:p>
            <w:pPr>
              <w:snapToGrid w:val="0"/>
              <w:jc w:val="center"/>
              <w:rPr>
                <w:rFonts w:eastAsiaTheme="minorEastAsia"/>
                <w:b/>
                <w:szCs w:val="21"/>
              </w:rPr>
            </w:pPr>
            <w:r>
              <w:rPr>
                <w:rFonts w:eastAsiaTheme="minorEastAsia"/>
                <w:b/>
                <w:szCs w:val="21"/>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Align w:val="center"/>
          </w:tcPr>
          <w:p>
            <w:pPr>
              <w:snapToGrid w:val="0"/>
              <w:jc w:val="center"/>
              <w:rPr>
                <w:rFonts w:eastAsiaTheme="minorEastAsia"/>
                <w:szCs w:val="21"/>
              </w:rPr>
            </w:pPr>
            <w:r>
              <w:rPr>
                <w:rFonts w:eastAsiaTheme="minorEastAsia"/>
                <w:szCs w:val="21"/>
              </w:rPr>
              <w:t>1</w:t>
            </w:r>
          </w:p>
        </w:tc>
        <w:tc>
          <w:tcPr>
            <w:tcW w:w="700" w:type="dxa"/>
            <w:vAlign w:val="center"/>
          </w:tcPr>
          <w:p>
            <w:pPr>
              <w:snapToGrid w:val="0"/>
              <w:jc w:val="center"/>
              <w:rPr>
                <w:rFonts w:eastAsiaTheme="minorEastAsia"/>
                <w:szCs w:val="21"/>
              </w:rPr>
            </w:pPr>
            <w:r>
              <w:rPr>
                <w:rFonts w:eastAsiaTheme="minorEastAsia"/>
                <w:szCs w:val="21"/>
              </w:rPr>
              <w:t>医疗废物</w:t>
            </w:r>
          </w:p>
        </w:tc>
        <w:tc>
          <w:tcPr>
            <w:tcW w:w="807" w:type="dxa"/>
            <w:vAlign w:val="center"/>
          </w:tcPr>
          <w:p>
            <w:pPr>
              <w:snapToGrid w:val="0"/>
              <w:jc w:val="center"/>
              <w:rPr>
                <w:rFonts w:eastAsiaTheme="minorEastAsia"/>
                <w:szCs w:val="21"/>
              </w:rPr>
            </w:pPr>
            <w:r>
              <w:rPr>
                <w:rFonts w:eastAsiaTheme="minorEastAsia"/>
                <w:szCs w:val="21"/>
              </w:rPr>
              <w:t>诊疗、手术、检验</w:t>
            </w:r>
          </w:p>
        </w:tc>
        <w:tc>
          <w:tcPr>
            <w:tcW w:w="695" w:type="dxa"/>
            <w:vAlign w:val="center"/>
          </w:tcPr>
          <w:p>
            <w:pPr>
              <w:snapToGrid w:val="0"/>
              <w:rPr>
                <w:rFonts w:eastAsiaTheme="minorEastAsia"/>
                <w:szCs w:val="21"/>
              </w:rPr>
            </w:pPr>
            <w:r>
              <w:rPr>
                <w:rFonts w:eastAsiaTheme="minorEastAsia"/>
                <w:szCs w:val="21"/>
              </w:rPr>
              <w:t>固态、液体</w:t>
            </w:r>
          </w:p>
        </w:tc>
        <w:tc>
          <w:tcPr>
            <w:tcW w:w="1143" w:type="dxa"/>
            <w:vAlign w:val="center"/>
          </w:tcPr>
          <w:p>
            <w:pPr>
              <w:snapToGrid w:val="0"/>
              <w:jc w:val="center"/>
              <w:rPr>
                <w:rFonts w:eastAsiaTheme="minorEastAsia"/>
                <w:szCs w:val="21"/>
              </w:rPr>
            </w:pPr>
            <w:r>
              <w:rPr>
                <w:rFonts w:eastAsiaTheme="minorEastAsia"/>
                <w:szCs w:val="21"/>
              </w:rPr>
              <w:t>塑料、玻璃、棉纱、组织、血液、体液等</w:t>
            </w:r>
          </w:p>
        </w:tc>
        <w:tc>
          <w:tcPr>
            <w:tcW w:w="0" w:type="auto"/>
            <w:vAlign w:val="center"/>
          </w:tcPr>
          <w:p>
            <w:pPr>
              <w:snapToGrid w:val="0"/>
              <w:jc w:val="center"/>
              <w:rPr>
                <w:rFonts w:eastAsiaTheme="minorEastAsia"/>
                <w:szCs w:val="21"/>
              </w:rPr>
            </w:pPr>
            <w:r>
              <w:rPr>
                <w:rFonts w:eastAsiaTheme="minorEastAsia"/>
                <w:szCs w:val="21"/>
              </w:rPr>
              <w:t>致病菌、化学试剂等</w:t>
            </w:r>
          </w:p>
        </w:tc>
        <w:tc>
          <w:tcPr>
            <w:tcW w:w="0" w:type="auto"/>
            <w:vAlign w:val="center"/>
          </w:tcPr>
          <w:p>
            <w:pPr>
              <w:snapToGrid w:val="0"/>
              <w:jc w:val="center"/>
              <w:rPr>
                <w:rFonts w:eastAsiaTheme="minorEastAsia"/>
                <w:szCs w:val="21"/>
              </w:rPr>
            </w:pPr>
            <w:r>
              <w:rPr>
                <w:rFonts w:eastAsiaTheme="minorEastAsia"/>
                <w:szCs w:val="21"/>
              </w:rPr>
              <w:t>HW01</w:t>
            </w:r>
          </w:p>
        </w:tc>
        <w:tc>
          <w:tcPr>
            <w:tcW w:w="1004" w:type="dxa"/>
            <w:vAlign w:val="center"/>
          </w:tcPr>
          <w:p>
            <w:pPr>
              <w:snapToGrid w:val="0"/>
              <w:jc w:val="center"/>
              <w:rPr>
                <w:rFonts w:eastAsiaTheme="minorEastAsia"/>
                <w:szCs w:val="21"/>
              </w:rPr>
            </w:pPr>
            <w:r>
              <w:rPr>
                <w:rFonts w:eastAsiaTheme="minorEastAsia"/>
                <w:szCs w:val="21"/>
              </w:rPr>
              <w:t>120.5t/a</w:t>
            </w:r>
          </w:p>
        </w:tc>
        <w:tc>
          <w:tcPr>
            <w:tcW w:w="652" w:type="dxa"/>
            <w:vAlign w:val="center"/>
          </w:tcPr>
          <w:p>
            <w:pPr>
              <w:snapToGrid w:val="0"/>
              <w:jc w:val="center"/>
              <w:rPr>
                <w:rFonts w:eastAsiaTheme="minorEastAsia"/>
                <w:szCs w:val="21"/>
              </w:rPr>
            </w:pPr>
            <w:r>
              <w:rPr>
                <w:rFonts w:eastAsiaTheme="minorEastAsia"/>
                <w:szCs w:val="21"/>
              </w:rPr>
              <w:t>每天</w:t>
            </w:r>
          </w:p>
        </w:tc>
        <w:tc>
          <w:tcPr>
            <w:tcW w:w="1682" w:type="dxa"/>
            <w:vAlign w:val="center"/>
          </w:tcPr>
          <w:p>
            <w:pPr>
              <w:snapToGrid w:val="0"/>
              <w:jc w:val="center"/>
              <w:rPr>
                <w:rFonts w:eastAsiaTheme="minorEastAsia"/>
                <w:szCs w:val="21"/>
              </w:rPr>
            </w:pPr>
            <w:r>
              <w:rPr>
                <w:rFonts w:eastAsiaTheme="minorEastAsia"/>
                <w:szCs w:val="21"/>
              </w:rPr>
              <w:t>分类暂存于医疗垃圾暂存间中，委托岳阳市方向固废安全处置有限公司定期清运。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Align w:val="center"/>
          </w:tcPr>
          <w:p>
            <w:pPr>
              <w:snapToGrid w:val="0"/>
              <w:jc w:val="center"/>
              <w:rPr>
                <w:rFonts w:eastAsiaTheme="minorEastAsia"/>
                <w:szCs w:val="21"/>
              </w:rPr>
            </w:pPr>
            <w:r>
              <w:rPr>
                <w:rFonts w:eastAsiaTheme="minorEastAsia"/>
                <w:szCs w:val="21"/>
              </w:rPr>
              <w:t>2</w:t>
            </w:r>
          </w:p>
        </w:tc>
        <w:tc>
          <w:tcPr>
            <w:tcW w:w="700" w:type="dxa"/>
            <w:vAlign w:val="center"/>
          </w:tcPr>
          <w:p>
            <w:pPr>
              <w:snapToGrid w:val="0"/>
              <w:jc w:val="center"/>
              <w:rPr>
                <w:rFonts w:eastAsiaTheme="minorEastAsia"/>
                <w:szCs w:val="21"/>
              </w:rPr>
            </w:pPr>
            <w:r>
              <w:rPr>
                <w:rFonts w:eastAsiaTheme="minorEastAsia"/>
                <w:szCs w:val="21"/>
              </w:rPr>
              <w:t>污水处理站污泥</w:t>
            </w:r>
          </w:p>
        </w:tc>
        <w:tc>
          <w:tcPr>
            <w:tcW w:w="807" w:type="dxa"/>
            <w:vAlign w:val="center"/>
          </w:tcPr>
          <w:p>
            <w:pPr>
              <w:snapToGrid w:val="0"/>
              <w:jc w:val="center"/>
              <w:rPr>
                <w:rFonts w:eastAsiaTheme="minorEastAsia"/>
                <w:szCs w:val="21"/>
              </w:rPr>
            </w:pPr>
            <w:r>
              <w:rPr>
                <w:rFonts w:eastAsiaTheme="minorEastAsia"/>
                <w:szCs w:val="21"/>
              </w:rPr>
              <w:t>废水处理</w:t>
            </w:r>
          </w:p>
        </w:tc>
        <w:tc>
          <w:tcPr>
            <w:tcW w:w="695" w:type="dxa"/>
            <w:vAlign w:val="center"/>
          </w:tcPr>
          <w:p>
            <w:pPr>
              <w:snapToGrid w:val="0"/>
              <w:jc w:val="center"/>
              <w:rPr>
                <w:rFonts w:eastAsiaTheme="minorEastAsia"/>
                <w:szCs w:val="21"/>
              </w:rPr>
            </w:pPr>
            <w:r>
              <w:rPr>
                <w:rFonts w:eastAsiaTheme="minorEastAsia"/>
                <w:szCs w:val="21"/>
              </w:rPr>
              <w:t>固态</w:t>
            </w:r>
          </w:p>
        </w:tc>
        <w:tc>
          <w:tcPr>
            <w:tcW w:w="1143" w:type="dxa"/>
            <w:vAlign w:val="center"/>
          </w:tcPr>
          <w:p>
            <w:pPr>
              <w:snapToGrid w:val="0"/>
              <w:jc w:val="center"/>
              <w:rPr>
                <w:rFonts w:eastAsiaTheme="minorEastAsia"/>
                <w:szCs w:val="21"/>
              </w:rPr>
            </w:pPr>
            <w:r>
              <w:rPr>
                <w:rFonts w:eastAsiaTheme="minorEastAsia"/>
                <w:szCs w:val="21"/>
              </w:rPr>
              <w:t>有机物质、沙石</w:t>
            </w:r>
          </w:p>
        </w:tc>
        <w:tc>
          <w:tcPr>
            <w:tcW w:w="0" w:type="auto"/>
            <w:vAlign w:val="center"/>
          </w:tcPr>
          <w:p>
            <w:pPr>
              <w:snapToGrid w:val="0"/>
              <w:jc w:val="center"/>
              <w:rPr>
                <w:rFonts w:eastAsiaTheme="minorEastAsia"/>
                <w:szCs w:val="21"/>
              </w:rPr>
            </w:pPr>
            <w:r>
              <w:rPr>
                <w:rFonts w:eastAsiaTheme="minorEastAsia"/>
                <w:szCs w:val="21"/>
              </w:rPr>
              <w:t>致病毒</w:t>
            </w:r>
          </w:p>
        </w:tc>
        <w:tc>
          <w:tcPr>
            <w:tcW w:w="0" w:type="auto"/>
            <w:vAlign w:val="center"/>
          </w:tcPr>
          <w:p>
            <w:pPr>
              <w:snapToGrid w:val="0"/>
              <w:jc w:val="center"/>
              <w:rPr>
                <w:rFonts w:eastAsiaTheme="minorEastAsia"/>
                <w:szCs w:val="21"/>
              </w:rPr>
            </w:pPr>
            <w:r>
              <w:rPr>
                <w:rFonts w:eastAsiaTheme="minorEastAsia"/>
                <w:szCs w:val="21"/>
              </w:rPr>
              <w:t>HW01</w:t>
            </w:r>
          </w:p>
        </w:tc>
        <w:tc>
          <w:tcPr>
            <w:tcW w:w="1004" w:type="dxa"/>
            <w:vAlign w:val="center"/>
          </w:tcPr>
          <w:p>
            <w:pPr>
              <w:snapToGrid w:val="0"/>
              <w:jc w:val="center"/>
              <w:rPr>
                <w:rFonts w:eastAsiaTheme="minorEastAsia"/>
                <w:szCs w:val="21"/>
              </w:rPr>
            </w:pPr>
            <w:r>
              <w:rPr>
                <w:rFonts w:eastAsiaTheme="minorEastAsia"/>
                <w:szCs w:val="21"/>
              </w:rPr>
              <w:t>36.28t/a</w:t>
            </w:r>
          </w:p>
        </w:tc>
        <w:tc>
          <w:tcPr>
            <w:tcW w:w="652" w:type="dxa"/>
            <w:vAlign w:val="center"/>
          </w:tcPr>
          <w:p>
            <w:pPr>
              <w:snapToGrid w:val="0"/>
              <w:jc w:val="center"/>
              <w:rPr>
                <w:rFonts w:eastAsiaTheme="minorEastAsia"/>
                <w:szCs w:val="21"/>
              </w:rPr>
            </w:pPr>
            <w:r>
              <w:rPr>
                <w:rFonts w:eastAsiaTheme="minorEastAsia"/>
                <w:szCs w:val="21"/>
              </w:rPr>
              <w:t>半年一次</w:t>
            </w:r>
          </w:p>
        </w:tc>
        <w:tc>
          <w:tcPr>
            <w:tcW w:w="1682" w:type="dxa"/>
            <w:vAlign w:val="center"/>
          </w:tcPr>
          <w:p>
            <w:pPr>
              <w:snapToGrid w:val="0"/>
              <w:jc w:val="center"/>
              <w:rPr>
                <w:rFonts w:eastAsiaTheme="minorEastAsia"/>
                <w:szCs w:val="21"/>
              </w:rPr>
            </w:pPr>
            <w:r>
              <w:rPr>
                <w:rFonts w:eastAsiaTheme="minorEastAsia"/>
                <w:szCs w:val="21"/>
              </w:rPr>
              <w:t>石灰消毒后交由岳阳市方向固废安全处置有限公司回收处置。</w:t>
            </w:r>
          </w:p>
        </w:tc>
      </w:tr>
    </w:tbl>
    <w:p>
      <w:pPr>
        <w:pStyle w:val="4"/>
        <w:snapToGrid w:val="0"/>
        <w:spacing w:before="0" w:after="0" w:line="360" w:lineRule="auto"/>
        <w:rPr>
          <w:rFonts w:eastAsiaTheme="minorEastAsia"/>
          <w:kern w:val="0"/>
          <w:sz w:val="24"/>
        </w:rPr>
      </w:pPr>
      <w:r>
        <w:rPr>
          <w:rFonts w:eastAsiaTheme="minorEastAsia"/>
          <w:kern w:val="0"/>
          <w:sz w:val="24"/>
        </w:rPr>
        <w:t>6.5.2 一般固体废物影响分析</w:t>
      </w:r>
    </w:p>
    <w:p>
      <w:pPr>
        <w:snapToGrid w:val="0"/>
        <w:spacing w:line="360" w:lineRule="auto"/>
        <w:ind w:firstLine="480" w:firstLineChars="200"/>
        <w:rPr>
          <w:rFonts w:eastAsiaTheme="minorEastAsia"/>
          <w:sz w:val="24"/>
        </w:rPr>
      </w:pPr>
      <w:r>
        <w:rPr>
          <w:rFonts w:eastAsiaTheme="minorEastAsia"/>
          <w:sz w:val="24"/>
        </w:rPr>
        <w:t>（1）生活垃圾影响分析</w:t>
      </w:r>
    </w:p>
    <w:p>
      <w:pPr>
        <w:snapToGrid w:val="0"/>
        <w:spacing w:line="360" w:lineRule="auto"/>
        <w:ind w:firstLine="480" w:firstLineChars="200"/>
        <w:rPr>
          <w:rFonts w:eastAsiaTheme="minorEastAsia"/>
          <w:sz w:val="24"/>
        </w:rPr>
      </w:pPr>
      <w:r>
        <w:rPr>
          <w:rFonts w:eastAsiaTheme="minorEastAsia"/>
          <w:sz w:val="24"/>
        </w:rPr>
        <w:t>本项目生活垃圾产生总量为301.6t/a，生活垃圾暂存于院区生活垃圾收集站，实行日产日清，由环卫部门及时清运处理，不会对区域环境产生明显影响。</w:t>
      </w:r>
    </w:p>
    <w:p>
      <w:pPr>
        <w:snapToGrid w:val="0"/>
        <w:spacing w:line="360" w:lineRule="auto"/>
        <w:ind w:firstLine="480" w:firstLineChars="200"/>
        <w:rPr>
          <w:rFonts w:eastAsiaTheme="minorEastAsia"/>
          <w:sz w:val="24"/>
        </w:rPr>
      </w:pPr>
      <w:r>
        <w:rPr>
          <w:rFonts w:eastAsiaTheme="minorEastAsia"/>
          <w:sz w:val="24"/>
        </w:rPr>
        <w:t>（2）餐厨垃圾</w:t>
      </w:r>
    </w:p>
    <w:p>
      <w:pPr>
        <w:snapToGrid w:val="0"/>
        <w:spacing w:line="360" w:lineRule="auto"/>
        <w:ind w:firstLine="480" w:firstLineChars="200"/>
        <w:rPr>
          <w:rFonts w:eastAsiaTheme="minorEastAsia"/>
          <w:sz w:val="24"/>
        </w:rPr>
      </w:pPr>
      <w:r>
        <w:rPr>
          <w:rFonts w:eastAsiaTheme="minorEastAsia"/>
          <w:sz w:val="24"/>
        </w:rPr>
        <w:t>食堂产生的餐厨垃圾量约为51.1t/a，隔油池油脂约1.69 t/a。项目食堂产生的食物残渣、废弃食用油脂必须用专门容器收集，交有资质单位回收处理，对不能进行资源化利用的餐厨垃圾应当进行无害化处理；严禁将废弃食用油脂加工后作为食用油使用或者销售；严禁将餐厨垃圾排入雨水、污水排水管道等公共设施和河道等天然水体。</w:t>
      </w:r>
    </w:p>
    <w:p>
      <w:pPr>
        <w:snapToGrid w:val="0"/>
        <w:spacing w:line="360" w:lineRule="auto"/>
        <w:ind w:firstLine="480" w:firstLineChars="200"/>
        <w:rPr>
          <w:rFonts w:eastAsiaTheme="minorEastAsia"/>
          <w:sz w:val="24"/>
        </w:rPr>
      </w:pPr>
      <w:r>
        <w:rPr>
          <w:rFonts w:eastAsiaTheme="minorEastAsia"/>
          <w:sz w:val="24"/>
        </w:rPr>
        <w:t>根据岳阳市人民政府于2019年3月1日印发的《岳阳市人民政府关于加强市城区餐厨剩余物监管的通告》（岳政告【2019】1号），通告中要求“餐厨剩余物产生单位要与有关企业签订餐厨剩余物收集、运输协议或直接运送到指定地点，严禁将餐厨剩余物交给生猪养殖场户或个人。餐厨剩余物收集运输单位要建立台账，真实、完整记录收集运输餐厨剩余物的来源、数量、去向等情况。餐厨剩余物处理企业要建立台账，详细记录相关情况，并按照相关技术标准和要求进行处置。”本环评建议用密闭容器、垃圾袋收集后暂存于食堂垃圾储存处，贮存周期不超过1天，委托有相关资质单位处理。</w:t>
      </w:r>
    </w:p>
    <w:p>
      <w:pPr>
        <w:snapToGrid w:val="0"/>
        <w:spacing w:line="360" w:lineRule="auto"/>
        <w:ind w:firstLine="480" w:firstLineChars="200"/>
        <w:rPr>
          <w:rFonts w:eastAsiaTheme="minorEastAsia"/>
          <w:sz w:val="24"/>
        </w:rPr>
      </w:pPr>
      <w:r>
        <w:rPr>
          <w:rFonts w:eastAsiaTheme="minorEastAsia"/>
          <w:sz w:val="24"/>
        </w:rPr>
        <w:t>湘阴县中医院医院需按照上述要求与有关企业签订餐厨剩余物收集、运输协议，按上述要求对餐厨垃圾进行收集并交由专业的餐厨垃圾收集单位运输、处置后，本项目餐厨垃圾对区域环境不产生明显影响。</w:t>
      </w:r>
    </w:p>
    <w:p>
      <w:pPr>
        <w:snapToGrid w:val="0"/>
        <w:spacing w:line="360" w:lineRule="auto"/>
        <w:ind w:firstLine="480" w:firstLineChars="200"/>
        <w:rPr>
          <w:rFonts w:eastAsiaTheme="minorEastAsia"/>
          <w:sz w:val="24"/>
        </w:rPr>
      </w:pPr>
      <w:r>
        <w:rPr>
          <w:rFonts w:hint="eastAsia" w:eastAsiaTheme="minorEastAsia"/>
          <w:sz w:val="24"/>
        </w:rPr>
        <w:t>（3）未被污染的输液瓶(袋)</w:t>
      </w:r>
    </w:p>
    <w:p>
      <w:pPr>
        <w:snapToGrid w:val="0"/>
        <w:spacing w:line="360" w:lineRule="auto"/>
        <w:ind w:firstLine="480" w:firstLineChars="200"/>
        <w:rPr>
          <w:rFonts w:eastAsiaTheme="minorEastAsia"/>
          <w:sz w:val="24"/>
          <w:u w:val="single"/>
        </w:rPr>
      </w:pPr>
      <w:r>
        <w:rPr>
          <w:rFonts w:hint="eastAsia" w:eastAsiaTheme="minorEastAsia"/>
          <w:sz w:val="24"/>
          <w:u w:val="single"/>
        </w:rPr>
        <w:t>根据《关于明确医疗废物分类的有关问题的通知》（卫办医发[2005]292号），本项目产生的各类玻璃（一次性塑料）输液瓶（袋），未被病人血液、体液、排泄物污染物的，不属于医疗废物，不必按照医疗废物进行管理。根据建设单位提供的资料，此类固体废物产生量约为35t/a。未被污染的输液瓶（袋）经收集后，委托湖南宝叶再生资源开发有限公司处置。</w:t>
      </w:r>
    </w:p>
    <w:p>
      <w:pPr>
        <w:pStyle w:val="4"/>
        <w:snapToGrid w:val="0"/>
        <w:spacing w:before="0" w:after="0" w:line="360" w:lineRule="auto"/>
        <w:rPr>
          <w:rFonts w:eastAsiaTheme="minorEastAsia"/>
          <w:kern w:val="0"/>
          <w:sz w:val="24"/>
        </w:rPr>
      </w:pPr>
      <w:r>
        <w:rPr>
          <w:rFonts w:eastAsiaTheme="minorEastAsia"/>
          <w:kern w:val="0"/>
          <w:sz w:val="24"/>
        </w:rPr>
        <w:t xml:space="preserve">6.5.3 </w:t>
      </w:r>
      <w:r>
        <w:rPr>
          <w:rFonts w:eastAsiaTheme="minorEastAsia"/>
          <w:sz w:val="24"/>
        </w:rPr>
        <w:t>危险废物全过程影响分析</w:t>
      </w:r>
    </w:p>
    <w:p>
      <w:pPr>
        <w:snapToGrid w:val="0"/>
        <w:spacing w:line="360" w:lineRule="auto"/>
        <w:ind w:firstLine="480" w:firstLineChars="200"/>
        <w:rPr>
          <w:rFonts w:eastAsiaTheme="minorEastAsia"/>
          <w:sz w:val="24"/>
        </w:rPr>
      </w:pPr>
      <w:r>
        <w:rPr>
          <w:rFonts w:eastAsiaTheme="minorEastAsia"/>
          <w:sz w:val="24"/>
        </w:rPr>
        <w:t>（1）危险固废与生活垃圾混放对环境的影响</w:t>
      </w:r>
    </w:p>
    <w:p>
      <w:pPr>
        <w:snapToGrid w:val="0"/>
        <w:spacing w:line="360" w:lineRule="auto"/>
        <w:ind w:firstLine="480" w:firstLineChars="200"/>
        <w:rPr>
          <w:rFonts w:eastAsiaTheme="minorEastAsia"/>
          <w:sz w:val="24"/>
        </w:rPr>
      </w:pPr>
      <w:r>
        <w:rPr>
          <w:rFonts w:eastAsiaTheme="minorEastAsia"/>
          <w:sz w:val="24"/>
        </w:rPr>
        <w:t>本项目危险废物主要是医疗废物，具有各种毒性、腐蚀性、化学反应性和传染性的废物，会对生态环境和人类健康构成严重危害。将医疗废物与垃圾混合存放可能造成的影响有两类：a若为避免有毒有害物质下渗对地下水及土壤造成影响，</w:t>
      </w:r>
      <w:r>
        <w:rPr>
          <w:rFonts w:eastAsiaTheme="minorEastAsia"/>
          <w:sz w:val="24"/>
          <w:u w:val="single"/>
        </w:rPr>
        <w:t>贮存场所必须按《危险废物贮存污染控制标准》(GB18597-2001)</w:t>
      </w:r>
      <w:r>
        <w:rPr>
          <w:rFonts w:hint="eastAsia" w:eastAsiaTheme="minorEastAsia"/>
          <w:sz w:val="24"/>
          <w:u w:val="single"/>
        </w:rPr>
        <w:t>、《医疗废物集中处置技术规范》（环发〔2003〕206号）中相关要求</w:t>
      </w:r>
      <w:r>
        <w:rPr>
          <w:rFonts w:eastAsiaTheme="minorEastAsia"/>
          <w:sz w:val="24"/>
          <w:u w:val="single"/>
        </w:rPr>
        <w:t>建设</w:t>
      </w:r>
      <w:r>
        <w:rPr>
          <w:rFonts w:eastAsiaTheme="minorEastAsia"/>
          <w:sz w:val="24"/>
        </w:rPr>
        <w:t>，势必增加企业的投资及管理费用；b若贮存场所按《一般工业固体废物贮存、处置场污染控制标准》（GB18599-2001）建设，由于防渗、防漏、防逸散措施不够必将造成土壤及局部空气污染。</w:t>
      </w:r>
    </w:p>
    <w:p>
      <w:pPr>
        <w:snapToGrid w:val="0"/>
        <w:spacing w:line="360" w:lineRule="auto"/>
        <w:ind w:firstLine="480" w:firstLineChars="200"/>
        <w:rPr>
          <w:rFonts w:eastAsiaTheme="minorEastAsia"/>
          <w:sz w:val="24"/>
        </w:rPr>
      </w:pPr>
      <w:r>
        <w:rPr>
          <w:rFonts w:eastAsiaTheme="minorEastAsia"/>
          <w:sz w:val="24"/>
        </w:rPr>
        <w:t>因此，本评价要求建设单位应杜绝医疗废物与生活垃圾混合存放。</w:t>
      </w:r>
    </w:p>
    <w:p>
      <w:pPr>
        <w:snapToGrid w:val="0"/>
        <w:spacing w:line="360" w:lineRule="auto"/>
        <w:ind w:firstLine="480" w:firstLineChars="200"/>
        <w:rPr>
          <w:rFonts w:eastAsiaTheme="minorEastAsia"/>
          <w:sz w:val="24"/>
        </w:rPr>
      </w:pPr>
      <w:r>
        <w:rPr>
          <w:rFonts w:eastAsiaTheme="minorEastAsia"/>
          <w:sz w:val="24"/>
        </w:rPr>
        <w:t>（2）包装、运输过程中散落、泄漏对环境的影响</w:t>
      </w:r>
    </w:p>
    <w:p>
      <w:pPr>
        <w:snapToGrid w:val="0"/>
        <w:spacing w:line="360" w:lineRule="auto"/>
        <w:ind w:firstLine="480" w:firstLineChars="200"/>
        <w:rPr>
          <w:rFonts w:eastAsiaTheme="minorEastAsia"/>
          <w:sz w:val="24"/>
        </w:rPr>
      </w:pPr>
      <w:r>
        <w:rPr>
          <w:rFonts w:eastAsiaTheme="minorEastAsia"/>
          <w:sz w:val="24"/>
        </w:rPr>
        <w:t>危险废物收集、贮存、运输过程中一旦发生意外事故，散落与泄漏必将对地表土壤、附近地表水体、地下水、环境空气等环境介质造成影响。</w:t>
      </w:r>
    </w:p>
    <w:p>
      <w:pPr>
        <w:snapToGrid w:val="0"/>
        <w:spacing w:line="360" w:lineRule="auto"/>
        <w:ind w:firstLine="480" w:firstLineChars="200"/>
        <w:rPr>
          <w:rFonts w:eastAsiaTheme="minorEastAsia"/>
          <w:sz w:val="24"/>
        </w:rPr>
      </w:pPr>
      <w:r>
        <w:rPr>
          <w:rFonts w:eastAsiaTheme="minorEastAsia"/>
          <w:sz w:val="24"/>
        </w:rPr>
        <w:t>各类危险废物必须分别盛装于防渗漏的容器或防漏胶袋中，设专项专用设施分类存贮。建设单位在选择包装材料时，要求危险废物包装应能有效隔断危险废物迁移扩散途径，并达到防渗、防漏要求。包装好的危险废物应设置相应的标签，标签信息应填写完整翔实。盛装过危险废物的包装袋或包装容器破损后应按危险废物进行管理和处置。本评价认为，建设单位在严格执行《危险废物收集贮存运输技术规范》(HJ2025-2012)后对环境的影响较小。</w:t>
      </w:r>
    </w:p>
    <w:p>
      <w:pPr>
        <w:snapToGrid w:val="0"/>
        <w:spacing w:line="360" w:lineRule="auto"/>
        <w:ind w:firstLine="480" w:firstLineChars="200"/>
        <w:rPr>
          <w:rFonts w:eastAsiaTheme="minorEastAsia"/>
          <w:sz w:val="24"/>
        </w:rPr>
      </w:pPr>
      <w:r>
        <w:rPr>
          <w:rFonts w:eastAsiaTheme="minorEastAsia"/>
          <w:sz w:val="24"/>
        </w:rPr>
        <w:t>（3）堆放、贮存场所的环境影响</w:t>
      </w:r>
    </w:p>
    <w:p>
      <w:pPr>
        <w:snapToGrid w:val="0"/>
        <w:spacing w:line="360" w:lineRule="auto"/>
        <w:ind w:firstLine="480" w:firstLineChars="200"/>
        <w:rPr>
          <w:rFonts w:eastAsiaTheme="minorEastAsia"/>
          <w:sz w:val="24"/>
        </w:rPr>
      </w:pPr>
      <w:r>
        <w:rPr>
          <w:rFonts w:eastAsiaTheme="minorEastAsia"/>
          <w:sz w:val="24"/>
        </w:rPr>
        <w:t>建设单位应严格按照《危险废物贮存污染控制标准》（GB18597-2001）要求建设危险固废暂存间，暂存间做到防雨、防风、防晒，地面进行防腐、防渗和硬化处理，危险废物采用符合标准的容器盛装，并建设泄漏液体收集装置和堵截泄漏的裙角。危险废物贮存于防风、防雨、防渗、防漏的专用暂存间内。项目拟在地下室设立危险废物暂存间，面积约300m</w:t>
      </w:r>
      <w:r>
        <w:rPr>
          <w:rFonts w:eastAsiaTheme="minorEastAsia"/>
          <w:sz w:val="24"/>
          <w:vertAlign w:val="superscript"/>
        </w:rPr>
        <w:t>2</w:t>
      </w:r>
      <w:r>
        <w:rPr>
          <w:rFonts w:eastAsiaTheme="minorEastAsia"/>
          <w:sz w:val="24"/>
        </w:rPr>
        <w:t>，本评价认为，只要建设单位严格按照《危险废物贮存污染控制标准》(GB18597-2001)要求对贮存场所进行设计、施工、管理，预计不会对周边环境造成不良影响。</w:t>
      </w:r>
    </w:p>
    <w:p>
      <w:pPr>
        <w:snapToGrid w:val="0"/>
        <w:spacing w:line="360" w:lineRule="auto"/>
        <w:ind w:firstLine="480" w:firstLineChars="200"/>
        <w:rPr>
          <w:rFonts w:eastAsiaTheme="minorEastAsia"/>
          <w:sz w:val="24"/>
        </w:rPr>
      </w:pPr>
      <w:r>
        <w:rPr>
          <w:rFonts w:eastAsiaTheme="minorEastAsia"/>
          <w:sz w:val="24"/>
        </w:rPr>
        <w:t>（4）委托处置的环境影响分析</w:t>
      </w:r>
    </w:p>
    <w:p>
      <w:pPr>
        <w:snapToGrid w:val="0"/>
        <w:spacing w:line="360" w:lineRule="auto"/>
        <w:ind w:firstLine="480" w:firstLineChars="200"/>
        <w:rPr>
          <w:rFonts w:eastAsiaTheme="minorEastAsia"/>
          <w:sz w:val="24"/>
        </w:rPr>
      </w:pPr>
      <w:r>
        <w:rPr>
          <w:rFonts w:eastAsiaTheme="minorEastAsia"/>
          <w:sz w:val="24"/>
        </w:rPr>
        <w:t>本环评要求建设单位与有资质的危废处置单位签订相关处置协议，资质单位将严格按照危险废物运输、处置的要求对项目危险废物进行处置与处置，采用专门的均有冷藏功能的运输车辆，专职人员进行运输，处置，执行危废转运联单制度，本评价认为，只要建设单位严格按照《危险废物贮存污染控制标准》(GB18597-2001)要求对贮存场所进行设计、施工、管理，按照环评要求对各类固废进行处理处置，并将危废交由岳阳市方向固废安全处置中心进行处理，预计不会对周边环境造成明显影响。</w:t>
      </w:r>
    </w:p>
    <w:p>
      <w:pPr>
        <w:snapToGrid w:val="0"/>
        <w:spacing w:line="360" w:lineRule="auto"/>
        <w:ind w:firstLine="480" w:firstLineChars="200"/>
        <w:rPr>
          <w:rFonts w:eastAsiaTheme="minorEastAsia"/>
          <w:sz w:val="24"/>
        </w:rPr>
      </w:pPr>
      <w:r>
        <w:rPr>
          <w:rFonts w:eastAsiaTheme="minorEastAsia"/>
          <w:sz w:val="24"/>
        </w:rPr>
        <w:t>综上所述，本项目固废按要求妥善处置的情况下，不会对周边环境造成明显影响。</w:t>
      </w:r>
    </w:p>
    <w:p>
      <w:pPr>
        <w:pStyle w:val="3"/>
        <w:snapToGrid w:val="0"/>
        <w:spacing w:before="0" w:after="0" w:line="360" w:lineRule="auto"/>
        <w:rPr>
          <w:rFonts w:ascii="Times New Roman" w:hAnsi="Times New Roman" w:eastAsiaTheme="minorEastAsia"/>
          <w:sz w:val="28"/>
          <w:lang w:val="zh-CN"/>
        </w:rPr>
      </w:pPr>
      <w:bookmarkStart w:id="157" w:name="_Toc61026615"/>
      <w:bookmarkStart w:id="158" w:name="_Toc504511785"/>
      <w:bookmarkStart w:id="159" w:name="_Toc299451608"/>
      <w:bookmarkStart w:id="160" w:name="_Toc433376100"/>
      <w:bookmarkStart w:id="161" w:name="_Toc299451038"/>
      <w:bookmarkStart w:id="162" w:name="_Toc299450938"/>
      <w:bookmarkStart w:id="163" w:name="_Toc19278"/>
      <w:bookmarkStart w:id="164" w:name="_Toc299450838"/>
      <w:bookmarkStart w:id="165" w:name="_Toc299451800"/>
      <w:bookmarkStart w:id="166" w:name="_Toc433376087"/>
      <w:bookmarkStart w:id="167" w:name="_Toc4672"/>
      <w:r>
        <w:rPr>
          <w:rFonts w:ascii="Times New Roman" w:hAnsi="Times New Roman" w:eastAsiaTheme="minorEastAsia"/>
          <w:sz w:val="28"/>
          <w:lang w:val="zh-CN"/>
        </w:rPr>
        <w:t>6.6 营运期声环境影响评价</w:t>
      </w:r>
      <w:bookmarkEnd w:id="157"/>
      <w:bookmarkEnd w:id="158"/>
    </w:p>
    <w:p>
      <w:pPr>
        <w:pStyle w:val="4"/>
        <w:snapToGrid w:val="0"/>
        <w:spacing w:before="0" w:after="0" w:line="360" w:lineRule="auto"/>
        <w:rPr>
          <w:rFonts w:eastAsiaTheme="minorEastAsia"/>
          <w:kern w:val="0"/>
          <w:sz w:val="24"/>
        </w:rPr>
      </w:pPr>
      <w:r>
        <w:rPr>
          <w:rFonts w:eastAsiaTheme="minorEastAsia"/>
          <w:kern w:val="0"/>
          <w:sz w:val="24"/>
        </w:rPr>
        <w:t>6.6.1 本项目噪声对外环境的影响</w:t>
      </w:r>
    </w:p>
    <w:p>
      <w:pPr>
        <w:snapToGrid w:val="0"/>
        <w:spacing w:line="480" w:lineRule="exact"/>
        <w:ind w:firstLine="482" w:firstLineChars="200"/>
        <w:rPr>
          <w:rFonts w:eastAsiaTheme="minorEastAsia"/>
          <w:b/>
          <w:sz w:val="24"/>
        </w:rPr>
      </w:pPr>
      <w:r>
        <w:rPr>
          <w:rFonts w:eastAsiaTheme="minorEastAsia"/>
          <w:b/>
          <w:sz w:val="24"/>
        </w:rPr>
        <w:t>（1）停车场的声环境影响分析</w:t>
      </w:r>
    </w:p>
    <w:p>
      <w:pPr>
        <w:snapToGrid w:val="0"/>
        <w:spacing w:line="480" w:lineRule="exact"/>
        <w:ind w:firstLine="480" w:firstLineChars="200"/>
        <w:rPr>
          <w:rFonts w:eastAsiaTheme="minorEastAsia"/>
          <w:sz w:val="24"/>
        </w:rPr>
      </w:pPr>
      <w:r>
        <w:rPr>
          <w:rFonts w:eastAsiaTheme="minorEastAsia"/>
          <w:sz w:val="24"/>
        </w:rPr>
        <w:t>根据工程分析，汽车行驶、启动、鸣笛时的噪声在66.2～85 dB(A)之间。本项目院区道路平整，交通路线设计合理，分别设置主出入口、人行入口、车行出入口以及停车场出入口。</w:t>
      </w:r>
    </w:p>
    <w:p>
      <w:pPr>
        <w:snapToGrid w:val="0"/>
        <w:spacing w:line="480" w:lineRule="exact"/>
        <w:ind w:firstLine="480" w:firstLineChars="200"/>
        <w:rPr>
          <w:rFonts w:eastAsiaTheme="minorEastAsia"/>
          <w:sz w:val="24"/>
        </w:rPr>
      </w:pPr>
      <w:r>
        <w:rPr>
          <w:rFonts w:eastAsiaTheme="minorEastAsia"/>
          <w:sz w:val="24"/>
        </w:rPr>
        <w:t>救护车等急诊车辆直接通过主出入口出入；社会车辆通过主出入口、车行出入口进入地下停车场。因此，只要加强进出车辆的管理，严格执行禁鸣和限速制度（如限速在 20km/h 以内），停车场汽车噪声对项目内部和周边声环境影响不大。</w:t>
      </w:r>
    </w:p>
    <w:p>
      <w:pPr>
        <w:snapToGrid w:val="0"/>
        <w:spacing w:line="480" w:lineRule="exact"/>
        <w:ind w:firstLine="482" w:firstLineChars="200"/>
        <w:rPr>
          <w:rFonts w:eastAsiaTheme="minorEastAsia"/>
          <w:b/>
          <w:sz w:val="24"/>
        </w:rPr>
      </w:pPr>
      <w:r>
        <w:rPr>
          <w:rFonts w:eastAsiaTheme="minorEastAsia"/>
          <w:b/>
          <w:sz w:val="24"/>
        </w:rPr>
        <w:t>（2）高噪声设备的声环境影响分析</w:t>
      </w:r>
    </w:p>
    <w:p>
      <w:pPr>
        <w:snapToGrid w:val="0"/>
        <w:spacing w:line="480" w:lineRule="exact"/>
        <w:ind w:firstLine="480" w:firstLineChars="200"/>
        <w:rPr>
          <w:rFonts w:eastAsiaTheme="minorEastAsia"/>
          <w:sz w:val="24"/>
        </w:rPr>
      </w:pPr>
      <w:r>
        <w:rPr>
          <w:rFonts w:eastAsiaTheme="minorEastAsia"/>
          <w:sz w:val="24"/>
        </w:rPr>
        <w:t>项目营运期产生高噪声设备主要有水泵、空调制冷机组、风机、冷却塔、发电机等运行噪声，各噪声源产生源强及采取隔声消音后的排放源强详见下表</w:t>
      </w:r>
    </w:p>
    <w:p>
      <w:pPr>
        <w:autoSpaceDE w:val="0"/>
        <w:autoSpaceDN w:val="0"/>
        <w:adjustRightInd w:val="0"/>
        <w:snapToGrid w:val="0"/>
        <w:spacing w:line="360" w:lineRule="auto"/>
        <w:jc w:val="center"/>
        <w:rPr>
          <w:rFonts w:eastAsiaTheme="minorEastAsia"/>
          <w:b/>
          <w:bCs/>
          <w:sz w:val="24"/>
        </w:rPr>
      </w:pPr>
      <w:r>
        <w:rPr>
          <w:rFonts w:eastAsiaTheme="minorEastAsia"/>
          <w:b/>
          <w:bCs/>
          <w:sz w:val="24"/>
        </w:rPr>
        <w:t>表6.6-1  拟建项目主要设备及其噪声源强  单位：dB（A）</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4"/>
        <w:gridCol w:w="1148"/>
        <w:gridCol w:w="963"/>
        <w:gridCol w:w="701"/>
        <w:gridCol w:w="904"/>
        <w:gridCol w:w="3760"/>
        <w:gridCol w:w="9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4" w:type="dxa"/>
            <w:vAlign w:val="center"/>
          </w:tcPr>
          <w:p>
            <w:pPr>
              <w:snapToGrid w:val="0"/>
              <w:jc w:val="center"/>
              <w:rPr>
                <w:rFonts w:eastAsiaTheme="minorEastAsia"/>
                <w:b/>
                <w:szCs w:val="21"/>
              </w:rPr>
            </w:pPr>
            <w:r>
              <w:rPr>
                <w:rFonts w:eastAsiaTheme="minorEastAsia"/>
                <w:b/>
                <w:szCs w:val="21"/>
              </w:rPr>
              <w:t>序号</w:t>
            </w:r>
          </w:p>
        </w:tc>
        <w:tc>
          <w:tcPr>
            <w:tcW w:w="1148" w:type="dxa"/>
            <w:vAlign w:val="center"/>
          </w:tcPr>
          <w:p>
            <w:pPr>
              <w:snapToGrid w:val="0"/>
              <w:jc w:val="center"/>
              <w:rPr>
                <w:rFonts w:eastAsiaTheme="minorEastAsia"/>
                <w:b/>
                <w:szCs w:val="21"/>
              </w:rPr>
            </w:pPr>
            <w:r>
              <w:rPr>
                <w:rFonts w:eastAsiaTheme="minorEastAsia"/>
                <w:b/>
                <w:szCs w:val="21"/>
              </w:rPr>
              <w:t>设备名称</w:t>
            </w:r>
          </w:p>
        </w:tc>
        <w:tc>
          <w:tcPr>
            <w:tcW w:w="963" w:type="dxa"/>
            <w:vAlign w:val="center"/>
          </w:tcPr>
          <w:p>
            <w:pPr>
              <w:snapToGrid w:val="0"/>
              <w:jc w:val="center"/>
              <w:rPr>
                <w:rFonts w:eastAsiaTheme="minorEastAsia"/>
                <w:b/>
                <w:szCs w:val="21"/>
              </w:rPr>
            </w:pPr>
            <w:r>
              <w:rPr>
                <w:rFonts w:eastAsiaTheme="minorEastAsia"/>
                <w:b/>
                <w:szCs w:val="21"/>
              </w:rPr>
              <w:t>噪声值范围</w:t>
            </w:r>
          </w:p>
        </w:tc>
        <w:tc>
          <w:tcPr>
            <w:tcW w:w="701" w:type="dxa"/>
            <w:vAlign w:val="center"/>
          </w:tcPr>
          <w:p>
            <w:pPr>
              <w:snapToGrid w:val="0"/>
              <w:jc w:val="center"/>
              <w:rPr>
                <w:rFonts w:eastAsiaTheme="minorEastAsia"/>
                <w:szCs w:val="21"/>
              </w:rPr>
            </w:pPr>
            <w:r>
              <w:rPr>
                <w:rFonts w:eastAsiaTheme="minorEastAsia"/>
                <w:b/>
                <w:szCs w:val="21"/>
              </w:rPr>
              <w:t>数量(台)</w:t>
            </w:r>
          </w:p>
        </w:tc>
        <w:tc>
          <w:tcPr>
            <w:tcW w:w="904" w:type="dxa"/>
            <w:vAlign w:val="center"/>
          </w:tcPr>
          <w:p>
            <w:pPr>
              <w:snapToGrid w:val="0"/>
              <w:jc w:val="center"/>
              <w:rPr>
                <w:rFonts w:eastAsiaTheme="minorEastAsia"/>
                <w:b/>
                <w:szCs w:val="21"/>
              </w:rPr>
            </w:pPr>
            <w:r>
              <w:rPr>
                <w:rFonts w:eastAsiaTheme="minorEastAsia"/>
                <w:b/>
                <w:szCs w:val="21"/>
              </w:rPr>
              <w:t>设备位置</w:t>
            </w:r>
          </w:p>
        </w:tc>
        <w:tc>
          <w:tcPr>
            <w:tcW w:w="3760" w:type="dxa"/>
            <w:vAlign w:val="center"/>
          </w:tcPr>
          <w:p>
            <w:pPr>
              <w:snapToGrid w:val="0"/>
              <w:jc w:val="center"/>
              <w:rPr>
                <w:rFonts w:eastAsiaTheme="minorEastAsia"/>
                <w:b/>
                <w:szCs w:val="21"/>
              </w:rPr>
            </w:pPr>
            <w:r>
              <w:rPr>
                <w:rFonts w:eastAsiaTheme="minorEastAsia"/>
                <w:b/>
                <w:szCs w:val="21"/>
              </w:rPr>
              <w:t>噪声防治措施</w:t>
            </w:r>
          </w:p>
        </w:tc>
        <w:tc>
          <w:tcPr>
            <w:tcW w:w="929" w:type="dxa"/>
            <w:vAlign w:val="center"/>
          </w:tcPr>
          <w:p>
            <w:pPr>
              <w:snapToGrid w:val="0"/>
              <w:jc w:val="center"/>
              <w:rPr>
                <w:rFonts w:eastAsiaTheme="minorEastAsia"/>
                <w:b/>
                <w:szCs w:val="21"/>
              </w:rPr>
            </w:pPr>
            <w:r>
              <w:rPr>
                <w:rFonts w:eastAsiaTheme="minorEastAsia"/>
                <w:b/>
                <w:szCs w:val="21"/>
              </w:rPr>
              <w:t>最大排</w:t>
            </w:r>
          </w:p>
          <w:p>
            <w:pPr>
              <w:snapToGrid w:val="0"/>
              <w:jc w:val="center"/>
              <w:rPr>
                <w:rFonts w:eastAsiaTheme="minorEastAsia"/>
                <w:b/>
                <w:szCs w:val="21"/>
              </w:rPr>
            </w:pPr>
            <w:r>
              <w:rPr>
                <w:rFonts w:eastAsiaTheme="minorEastAsia"/>
                <w:b/>
                <w:szCs w:val="21"/>
              </w:rPr>
              <w:t>放源强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4" w:type="dxa"/>
            <w:vAlign w:val="center"/>
          </w:tcPr>
          <w:p>
            <w:pPr>
              <w:snapToGrid w:val="0"/>
              <w:jc w:val="center"/>
              <w:rPr>
                <w:rFonts w:eastAsiaTheme="minorEastAsia"/>
              </w:rPr>
            </w:pPr>
            <w:r>
              <w:rPr>
                <w:rFonts w:eastAsiaTheme="minorEastAsia"/>
              </w:rPr>
              <w:t>1</w:t>
            </w:r>
          </w:p>
        </w:tc>
        <w:tc>
          <w:tcPr>
            <w:tcW w:w="1148" w:type="dxa"/>
            <w:vAlign w:val="center"/>
          </w:tcPr>
          <w:p>
            <w:pPr>
              <w:snapToGrid w:val="0"/>
              <w:jc w:val="center"/>
              <w:rPr>
                <w:rFonts w:eastAsiaTheme="minorEastAsia"/>
              </w:rPr>
            </w:pPr>
            <w:r>
              <w:rPr>
                <w:rFonts w:eastAsiaTheme="minorEastAsia"/>
              </w:rPr>
              <w:t>锅炉</w:t>
            </w:r>
          </w:p>
        </w:tc>
        <w:tc>
          <w:tcPr>
            <w:tcW w:w="963" w:type="dxa"/>
            <w:vAlign w:val="center"/>
          </w:tcPr>
          <w:p>
            <w:pPr>
              <w:snapToGrid w:val="0"/>
              <w:jc w:val="center"/>
              <w:rPr>
                <w:rFonts w:eastAsiaTheme="minorEastAsia"/>
                <w:szCs w:val="21"/>
              </w:rPr>
            </w:pPr>
            <w:r>
              <w:rPr>
                <w:rFonts w:eastAsiaTheme="minorEastAsia"/>
                <w:szCs w:val="21"/>
              </w:rPr>
              <w:t>80~85</w:t>
            </w:r>
          </w:p>
        </w:tc>
        <w:tc>
          <w:tcPr>
            <w:tcW w:w="701" w:type="dxa"/>
            <w:vAlign w:val="center"/>
          </w:tcPr>
          <w:p>
            <w:pPr>
              <w:snapToGrid w:val="0"/>
              <w:jc w:val="center"/>
              <w:rPr>
                <w:rFonts w:eastAsiaTheme="minorEastAsia"/>
                <w:szCs w:val="21"/>
              </w:rPr>
            </w:pPr>
            <w:r>
              <w:rPr>
                <w:rFonts w:eastAsiaTheme="minorEastAsia"/>
                <w:szCs w:val="21"/>
              </w:rPr>
              <w:t>1</w:t>
            </w:r>
          </w:p>
        </w:tc>
        <w:tc>
          <w:tcPr>
            <w:tcW w:w="904" w:type="dxa"/>
            <w:vAlign w:val="center"/>
          </w:tcPr>
          <w:p>
            <w:pPr>
              <w:snapToGrid w:val="0"/>
              <w:jc w:val="center"/>
              <w:rPr>
                <w:rFonts w:eastAsiaTheme="minorEastAsia"/>
                <w:szCs w:val="21"/>
              </w:rPr>
            </w:pPr>
            <w:r>
              <w:rPr>
                <w:rFonts w:eastAsiaTheme="minorEastAsia"/>
                <w:szCs w:val="21"/>
              </w:rPr>
              <w:t>地下室锅炉房</w:t>
            </w:r>
          </w:p>
        </w:tc>
        <w:tc>
          <w:tcPr>
            <w:tcW w:w="3760" w:type="dxa"/>
            <w:vAlign w:val="center"/>
          </w:tcPr>
          <w:p>
            <w:pPr>
              <w:snapToGrid w:val="0"/>
              <w:jc w:val="center"/>
              <w:rPr>
                <w:rFonts w:eastAsiaTheme="minorEastAsia"/>
                <w:szCs w:val="21"/>
              </w:rPr>
            </w:pPr>
            <w:r>
              <w:rPr>
                <w:rFonts w:eastAsiaTheme="minorEastAsia"/>
                <w:szCs w:val="21"/>
              </w:rPr>
              <w:t>拟选用低噪声设备，安装于地下设备间内，设有减震装置，房间采取密闭隔声、吸声，管道软连接等措施，对有振动设备机组设柔性连接等。</w:t>
            </w:r>
          </w:p>
        </w:tc>
        <w:tc>
          <w:tcPr>
            <w:tcW w:w="929" w:type="dxa"/>
            <w:vAlign w:val="center"/>
          </w:tcPr>
          <w:p>
            <w:pPr>
              <w:snapToGrid w:val="0"/>
              <w:jc w:val="center"/>
              <w:rPr>
                <w:rFonts w:eastAsiaTheme="minorEastAsia"/>
                <w:szCs w:val="21"/>
              </w:rPr>
            </w:pPr>
            <w:r>
              <w:rPr>
                <w:rFonts w:eastAsiaTheme="minorEastAsia"/>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4" w:type="dxa"/>
            <w:vAlign w:val="center"/>
          </w:tcPr>
          <w:p>
            <w:pPr>
              <w:snapToGrid w:val="0"/>
              <w:jc w:val="center"/>
              <w:rPr>
                <w:rFonts w:eastAsiaTheme="minorEastAsia"/>
              </w:rPr>
            </w:pPr>
            <w:r>
              <w:rPr>
                <w:rFonts w:eastAsiaTheme="minorEastAsia"/>
              </w:rPr>
              <w:t>2</w:t>
            </w:r>
          </w:p>
        </w:tc>
        <w:tc>
          <w:tcPr>
            <w:tcW w:w="1148" w:type="dxa"/>
            <w:vAlign w:val="center"/>
          </w:tcPr>
          <w:p>
            <w:pPr>
              <w:snapToGrid w:val="0"/>
              <w:jc w:val="center"/>
              <w:rPr>
                <w:rFonts w:eastAsiaTheme="minorEastAsia"/>
              </w:rPr>
            </w:pPr>
            <w:r>
              <w:rPr>
                <w:rFonts w:eastAsiaTheme="minorEastAsia"/>
              </w:rPr>
              <w:t>备用柴油发电机</w:t>
            </w:r>
          </w:p>
        </w:tc>
        <w:tc>
          <w:tcPr>
            <w:tcW w:w="963" w:type="dxa"/>
            <w:vAlign w:val="center"/>
          </w:tcPr>
          <w:p>
            <w:pPr>
              <w:snapToGrid w:val="0"/>
              <w:jc w:val="center"/>
              <w:rPr>
                <w:rFonts w:eastAsiaTheme="minorEastAsia"/>
                <w:szCs w:val="21"/>
              </w:rPr>
            </w:pPr>
            <w:r>
              <w:rPr>
                <w:rFonts w:eastAsiaTheme="minorEastAsia"/>
                <w:szCs w:val="21"/>
              </w:rPr>
              <w:t>90~95</w:t>
            </w:r>
          </w:p>
        </w:tc>
        <w:tc>
          <w:tcPr>
            <w:tcW w:w="701" w:type="dxa"/>
            <w:vAlign w:val="center"/>
          </w:tcPr>
          <w:p>
            <w:pPr>
              <w:snapToGrid w:val="0"/>
              <w:jc w:val="center"/>
              <w:rPr>
                <w:rFonts w:eastAsiaTheme="minorEastAsia"/>
                <w:szCs w:val="21"/>
              </w:rPr>
            </w:pPr>
            <w:r>
              <w:rPr>
                <w:rFonts w:eastAsiaTheme="minorEastAsia"/>
                <w:szCs w:val="21"/>
              </w:rPr>
              <w:t>1</w:t>
            </w:r>
          </w:p>
        </w:tc>
        <w:tc>
          <w:tcPr>
            <w:tcW w:w="904" w:type="dxa"/>
            <w:vAlign w:val="center"/>
          </w:tcPr>
          <w:p>
            <w:pPr>
              <w:snapToGrid w:val="0"/>
              <w:jc w:val="center"/>
              <w:rPr>
                <w:rFonts w:eastAsiaTheme="minorEastAsia"/>
                <w:szCs w:val="21"/>
              </w:rPr>
            </w:pPr>
            <w:r>
              <w:rPr>
                <w:rFonts w:eastAsiaTheme="minorEastAsia"/>
                <w:szCs w:val="21"/>
              </w:rPr>
              <w:t>地下室柴油发电机房</w:t>
            </w:r>
          </w:p>
        </w:tc>
        <w:tc>
          <w:tcPr>
            <w:tcW w:w="3760" w:type="dxa"/>
            <w:vAlign w:val="center"/>
          </w:tcPr>
          <w:p>
            <w:pPr>
              <w:snapToGrid w:val="0"/>
              <w:jc w:val="center"/>
              <w:rPr>
                <w:rFonts w:eastAsiaTheme="minorEastAsia"/>
                <w:szCs w:val="21"/>
              </w:rPr>
            </w:pPr>
            <w:r>
              <w:rPr>
                <w:rFonts w:eastAsiaTheme="minorEastAsia"/>
                <w:szCs w:val="21"/>
              </w:rPr>
              <w:t>拟选用低噪声设备，安装于地下，设有减震装置，房间采取密闭隔声、吸声材料。</w:t>
            </w:r>
          </w:p>
        </w:tc>
        <w:tc>
          <w:tcPr>
            <w:tcW w:w="929" w:type="dxa"/>
            <w:vAlign w:val="center"/>
          </w:tcPr>
          <w:p>
            <w:pPr>
              <w:snapToGrid w:val="0"/>
              <w:jc w:val="center"/>
              <w:rPr>
                <w:rFonts w:eastAsiaTheme="minorEastAsia"/>
                <w:szCs w:val="21"/>
              </w:rPr>
            </w:pPr>
            <w:r>
              <w:rPr>
                <w:rFonts w:eastAsiaTheme="minorEastAsia"/>
                <w:szCs w:val="21"/>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4" w:type="dxa"/>
            <w:vAlign w:val="center"/>
          </w:tcPr>
          <w:p>
            <w:pPr>
              <w:snapToGrid w:val="0"/>
              <w:jc w:val="center"/>
              <w:rPr>
                <w:rFonts w:eastAsiaTheme="minorEastAsia"/>
              </w:rPr>
            </w:pPr>
            <w:r>
              <w:rPr>
                <w:rFonts w:eastAsiaTheme="minorEastAsia"/>
              </w:rPr>
              <w:t>3</w:t>
            </w:r>
          </w:p>
        </w:tc>
        <w:tc>
          <w:tcPr>
            <w:tcW w:w="1148" w:type="dxa"/>
            <w:vAlign w:val="center"/>
          </w:tcPr>
          <w:p>
            <w:pPr>
              <w:snapToGrid w:val="0"/>
              <w:jc w:val="center"/>
              <w:rPr>
                <w:rFonts w:eastAsiaTheme="minorEastAsia"/>
              </w:rPr>
            </w:pPr>
            <w:r>
              <w:rPr>
                <w:rFonts w:eastAsiaTheme="minorEastAsia"/>
              </w:rPr>
              <w:t>热水泵</w:t>
            </w:r>
          </w:p>
        </w:tc>
        <w:tc>
          <w:tcPr>
            <w:tcW w:w="963" w:type="dxa"/>
            <w:vAlign w:val="center"/>
          </w:tcPr>
          <w:p>
            <w:pPr>
              <w:snapToGrid w:val="0"/>
              <w:jc w:val="center"/>
              <w:rPr>
                <w:rFonts w:eastAsiaTheme="minorEastAsia"/>
                <w:szCs w:val="21"/>
              </w:rPr>
            </w:pPr>
            <w:r>
              <w:rPr>
                <w:rFonts w:eastAsiaTheme="minorEastAsia"/>
                <w:szCs w:val="21"/>
              </w:rPr>
              <w:t>80~90</w:t>
            </w:r>
          </w:p>
        </w:tc>
        <w:tc>
          <w:tcPr>
            <w:tcW w:w="701" w:type="dxa"/>
            <w:vAlign w:val="center"/>
          </w:tcPr>
          <w:p>
            <w:pPr>
              <w:snapToGrid w:val="0"/>
              <w:jc w:val="center"/>
              <w:rPr>
                <w:rFonts w:eastAsiaTheme="minorEastAsia"/>
                <w:szCs w:val="21"/>
              </w:rPr>
            </w:pPr>
            <w:r>
              <w:rPr>
                <w:rFonts w:eastAsiaTheme="minorEastAsia"/>
                <w:szCs w:val="21"/>
              </w:rPr>
              <w:t>2</w:t>
            </w:r>
          </w:p>
        </w:tc>
        <w:tc>
          <w:tcPr>
            <w:tcW w:w="904" w:type="dxa"/>
            <w:vAlign w:val="center"/>
          </w:tcPr>
          <w:p>
            <w:pPr>
              <w:snapToGrid w:val="0"/>
              <w:jc w:val="center"/>
              <w:rPr>
                <w:rFonts w:eastAsiaTheme="minorEastAsia"/>
                <w:szCs w:val="21"/>
              </w:rPr>
            </w:pPr>
            <w:r>
              <w:rPr>
                <w:rFonts w:eastAsiaTheme="minorEastAsia"/>
                <w:szCs w:val="21"/>
              </w:rPr>
              <w:t>地下室锅炉房</w:t>
            </w:r>
          </w:p>
        </w:tc>
        <w:tc>
          <w:tcPr>
            <w:tcW w:w="3760" w:type="dxa"/>
            <w:vAlign w:val="center"/>
          </w:tcPr>
          <w:p>
            <w:pPr>
              <w:snapToGrid w:val="0"/>
              <w:jc w:val="center"/>
              <w:rPr>
                <w:rFonts w:eastAsiaTheme="minorEastAsia"/>
                <w:szCs w:val="21"/>
              </w:rPr>
            </w:pPr>
            <w:r>
              <w:rPr>
                <w:rFonts w:eastAsiaTheme="minorEastAsia"/>
                <w:szCs w:val="21"/>
              </w:rPr>
              <w:t>拟选用低噪声设备，设有减震装置，设置在专用设备间内，房间采取密闭隔声、吸声材料。</w:t>
            </w:r>
          </w:p>
        </w:tc>
        <w:tc>
          <w:tcPr>
            <w:tcW w:w="929" w:type="dxa"/>
            <w:vAlign w:val="center"/>
          </w:tcPr>
          <w:p>
            <w:pPr>
              <w:snapToGrid w:val="0"/>
              <w:jc w:val="center"/>
              <w:rPr>
                <w:rFonts w:eastAsiaTheme="minorEastAsia"/>
                <w:szCs w:val="21"/>
              </w:rPr>
            </w:pPr>
            <w:r>
              <w:rPr>
                <w:rFonts w:eastAsiaTheme="minorEastAsia"/>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4" w:type="dxa"/>
            <w:vAlign w:val="center"/>
          </w:tcPr>
          <w:p>
            <w:pPr>
              <w:snapToGrid w:val="0"/>
              <w:jc w:val="center"/>
              <w:rPr>
                <w:rFonts w:eastAsiaTheme="minorEastAsia"/>
              </w:rPr>
            </w:pPr>
            <w:r>
              <w:rPr>
                <w:rFonts w:eastAsiaTheme="minorEastAsia"/>
              </w:rPr>
              <w:t>4</w:t>
            </w:r>
          </w:p>
        </w:tc>
        <w:tc>
          <w:tcPr>
            <w:tcW w:w="1148" w:type="dxa"/>
            <w:vAlign w:val="center"/>
          </w:tcPr>
          <w:p>
            <w:pPr>
              <w:tabs>
                <w:tab w:val="left" w:pos="1279"/>
              </w:tabs>
              <w:snapToGrid w:val="0"/>
              <w:jc w:val="center"/>
              <w:rPr>
                <w:rFonts w:eastAsiaTheme="minorEastAsia"/>
              </w:rPr>
            </w:pPr>
            <w:r>
              <w:rPr>
                <w:rFonts w:eastAsiaTheme="minorEastAsia"/>
              </w:rPr>
              <w:t>冷却水泵</w:t>
            </w:r>
          </w:p>
        </w:tc>
        <w:tc>
          <w:tcPr>
            <w:tcW w:w="963" w:type="dxa"/>
            <w:vAlign w:val="center"/>
          </w:tcPr>
          <w:p>
            <w:pPr>
              <w:snapToGrid w:val="0"/>
              <w:jc w:val="center"/>
              <w:rPr>
                <w:rFonts w:eastAsiaTheme="minorEastAsia"/>
                <w:szCs w:val="21"/>
              </w:rPr>
            </w:pPr>
            <w:r>
              <w:rPr>
                <w:rFonts w:eastAsiaTheme="minorEastAsia"/>
                <w:szCs w:val="21"/>
              </w:rPr>
              <w:t>80~90</w:t>
            </w:r>
          </w:p>
        </w:tc>
        <w:tc>
          <w:tcPr>
            <w:tcW w:w="701" w:type="dxa"/>
            <w:vAlign w:val="center"/>
          </w:tcPr>
          <w:p>
            <w:pPr>
              <w:snapToGrid w:val="0"/>
              <w:jc w:val="center"/>
              <w:rPr>
                <w:rFonts w:eastAsiaTheme="minorEastAsia"/>
                <w:szCs w:val="21"/>
              </w:rPr>
            </w:pPr>
            <w:r>
              <w:rPr>
                <w:rFonts w:eastAsiaTheme="minorEastAsia"/>
                <w:szCs w:val="21"/>
              </w:rPr>
              <w:t>7</w:t>
            </w:r>
          </w:p>
        </w:tc>
        <w:tc>
          <w:tcPr>
            <w:tcW w:w="904" w:type="dxa"/>
            <w:vAlign w:val="center"/>
          </w:tcPr>
          <w:p>
            <w:pPr>
              <w:snapToGrid w:val="0"/>
              <w:jc w:val="center"/>
              <w:rPr>
                <w:rFonts w:eastAsiaTheme="minorEastAsia"/>
                <w:szCs w:val="21"/>
              </w:rPr>
            </w:pPr>
            <w:r>
              <w:rPr>
                <w:rFonts w:eastAsiaTheme="minorEastAsia"/>
                <w:szCs w:val="21"/>
              </w:rPr>
              <w:t>地下室设备间</w:t>
            </w:r>
          </w:p>
        </w:tc>
        <w:tc>
          <w:tcPr>
            <w:tcW w:w="3760" w:type="dxa"/>
            <w:vAlign w:val="center"/>
          </w:tcPr>
          <w:p>
            <w:pPr>
              <w:snapToGrid w:val="0"/>
              <w:jc w:val="center"/>
              <w:rPr>
                <w:rFonts w:eastAsiaTheme="minorEastAsia"/>
                <w:szCs w:val="21"/>
              </w:rPr>
            </w:pPr>
            <w:r>
              <w:rPr>
                <w:rFonts w:eastAsiaTheme="minorEastAsia"/>
                <w:szCs w:val="21"/>
              </w:rPr>
              <w:t>拟选用低噪声设备，设有减震装置，设置在专用设备间内，房间采取密闭隔声、吸声材料。</w:t>
            </w:r>
          </w:p>
        </w:tc>
        <w:tc>
          <w:tcPr>
            <w:tcW w:w="929" w:type="dxa"/>
            <w:vAlign w:val="center"/>
          </w:tcPr>
          <w:p>
            <w:pPr>
              <w:snapToGrid w:val="0"/>
              <w:jc w:val="center"/>
              <w:rPr>
                <w:rFonts w:eastAsiaTheme="minorEastAsia"/>
                <w:szCs w:val="21"/>
              </w:rPr>
            </w:pPr>
            <w:r>
              <w:rPr>
                <w:rFonts w:eastAsiaTheme="minorEastAsia"/>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4" w:type="dxa"/>
            <w:vAlign w:val="center"/>
          </w:tcPr>
          <w:p>
            <w:pPr>
              <w:snapToGrid w:val="0"/>
              <w:jc w:val="center"/>
              <w:rPr>
                <w:rFonts w:eastAsiaTheme="minorEastAsia"/>
              </w:rPr>
            </w:pPr>
            <w:r>
              <w:rPr>
                <w:rFonts w:eastAsiaTheme="minorEastAsia"/>
              </w:rPr>
              <w:t>5</w:t>
            </w:r>
          </w:p>
        </w:tc>
        <w:tc>
          <w:tcPr>
            <w:tcW w:w="1148" w:type="dxa"/>
            <w:vAlign w:val="center"/>
          </w:tcPr>
          <w:p>
            <w:pPr>
              <w:tabs>
                <w:tab w:val="left" w:pos="1279"/>
              </w:tabs>
              <w:snapToGrid w:val="0"/>
              <w:jc w:val="center"/>
              <w:rPr>
                <w:rFonts w:eastAsiaTheme="minorEastAsia"/>
              </w:rPr>
            </w:pPr>
            <w:r>
              <w:rPr>
                <w:rFonts w:eastAsiaTheme="minorEastAsia"/>
              </w:rPr>
              <w:t>离心式冷水机组</w:t>
            </w:r>
          </w:p>
        </w:tc>
        <w:tc>
          <w:tcPr>
            <w:tcW w:w="963" w:type="dxa"/>
            <w:vAlign w:val="center"/>
          </w:tcPr>
          <w:p>
            <w:pPr>
              <w:snapToGrid w:val="0"/>
              <w:jc w:val="center"/>
              <w:rPr>
                <w:rFonts w:eastAsiaTheme="minorEastAsia"/>
                <w:szCs w:val="21"/>
              </w:rPr>
            </w:pPr>
            <w:r>
              <w:rPr>
                <w:rFonts w:eastAsiaTheme="minorEastAsia"/>
                <w:szCs w:val="21"/>
              </w:rPr>
              <w:t>80~85</w:t>
            </w:r>
          </w:p>
        </w:tc>
        <w:tc>
          <w:tcPr>
            <w:tcW w:w="701" w:type="dxa"/>
            <w:vAlign w:val="center"/>
          </w:tcPr>
          <w:p>
            <w:pPr>
              <w:snapToGrid w:val="0"/>
              <w:jc w:val="center"/>
              <w:rPr>
                <w:rFonts w:eastAsiaTheme="minorEastAsia"/>
                <w:szCs w:val="21"/>
              </w:rPr>
            </w:pPr>
            <w:r>
              <w:rPr>
                <w:rFonts w:eastAsiaTheme="minorEastAsia"/>
                <w:szCs w:val="21"/>
              </w:rPr>
              <w:t>3</w:t>
            </w:r>
          </w:p>
        </w:tc>
        <w:tc>
          <w:tcPr>
            <w:tcW w:w="904" w:type="dxa"/>
            <w:vAlign w:val="center"/>
          </w:tcPr>
          <w:p>
            <w:pPr>
              <w:snapToGrid w:val="0"/>
              <w:jc w:val="center"/>
              <w:rPr>
                <w:rFonts w:eastAsiaTheme="minorEastAsia"/>
                <w:szCs w:val="21"/>
              </w:rPr>
            </w:pPr>
            <w:r>
              <w:rPr>
                <w:rFonts w:eastAsiaTheme="minorEastAsia"/>
                <w:szCs w:val="21"/>
              </w:rPr>
              <w:t>地下室设备间</w:t>
            </w:r>
          </w:p>
        </w:tc>
        <w:tc>
          <w:tcPr>
            <w:tcW w:w="3760" w:type="dxa"/>
            <w:vAlign w:val="center"/>
          </w:tcPr>
          <w:p>
            <w:pPr>
              <w:snapToGrid w:val="0"/>
              <w:jc w:val="center"/>
              <w:rPr>
                <w:rFonts w:eastAsiaTheme="minorEastAsia"/>
                <w:szCs w:val="21"/>
              </w:rPr>
            </w:pPr>
            <w:r>
              <w:rPr>
                <w:rFonts w:eastAsiaTheme="minorEastAsia"/>
                <w:szCs w:val="21"/>
              </w:rPr>
              <w:t>安装于地下，进出口安装消声器，并采取密闭隔声、吸声等措施，设有减震装置，对有振动设备机组设柔性连接等。</w:t>
            </w:r>
          </w:p>
        </w:tc>
        <w:tc>
          <w:tcPr>
            <w:tcW w:w="929" w:type="dxa"/>
            <w:vAlign w:val="center"/>
          </w:tcPr>
          <w:p>
            <w:pPr>
              <w:snapToGrid w:val="0"/>
              <w:jc w:val="center"/>
              <w:rPr>
                <w:rFonts w:eastAsiaTheme="minorEastAsia"/>
                <w:szCs w:val="21"/>
              </w:rPr>
            </w:pPr>
            <w:r>
              <w:rPr>
                <w:rFonts w:eastAsiaTheme="minorEastAsia"/>
                <w:szCs w:val="21"/>
              </w:rPr>
              <w:t>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4" w:type="dxa"/>
            <w:vAlign w:val="center"/>
          </w:tcPr>
          <w:p>
            <w:pPr>
              <w:snapToGrid w:val="0"/>
              <w:jc w:val="center"/>
              <w:rPr>
                <w:rFonts w:eastAsiaTheme="minorEastAsia"/>
              </w:rPr>
            </w:pPr>
            <w:r>
              <w:rPr>
                <w:rFonts w:eastAsiaTheme="minorEastAsia"/>
              </w:rPr>
              <w:t>6</w:t>
            </w:r>
          </w:p>
        </w:tc>
        <w:tc>
          <w:tcPr>
            <w:tcW w:w="1148" w:type="dxa"/>
            <w:vAlign w:val="center"/>
          </w:tcPr>
          <w:p>
            <w:pPr>
              <w:tabs>
                <w:tab w:val="left" w:pos="1279"/>
              </w:tabs>
              <w:snapToGrid w:val="0"/>
              <w:jc w:val="center"/>
              <w:rPr>
                <w:rFonts w:eastAsiaTheme="minorEastAsia"/>
              </w:rPr>
            </w:pPr>
            <w:r>
              <w:rPr>
                <w:rFonts w:eastAsiaTheme="minorEastAsia"/>
              </w:rPr>
              <w:t>螺杆式冷水机组</w:t>
            </w:r>
          </w:p>
        </w:tc>
        <w:tc>
          <w:tcPr>
            <w:tcW w:w="963" w:type="dxa"/>
            <w:vAlign w:val="center"/>
          </w:tcPr>
          <w:p>
            <w:pPr>
              <w:snapToGrid w:val="0"/>
              <w:jc w:val="center"/>
              <w:rPr>
                <w:rFonts w:eastAsiaTheme="minorEastAsia"/>
                <w:szCs w:val="21"/>
              </w:rPr>
            </w:pPr>
            <w:r>
              <w:rPr>
                <w:rFonts w:eastAsiaTheme="minorEastAsia"/>
                <w:szCs w:val="21"/>
              </w:rPr>
              <w:t>80~85</w:t>
            </w:r>
          </w:p>
        </w:tc>
        <w:tc>
          <w:tcPr>
            <w:tcW w:w="701" w:type="dxa"/>
            <w:vAlign w:val="center"/>
          </w:tcPr>
          <w:p>
            <w:pPr>
              <w:snapToGrid w:val="0"/>
              <w:jc w:val="center"/>
              <w:rPr>
                <w:rFonts w:eastAsiaTheme="minorEastAsia"/>
                <w:szCs w:val="21"/>
              </w:rPr>
            </w:pPr>
            <w:r>
              <w:rPr>
                <w:rFonts w:eastAsiaTheme="minorEastAsia"/>
                <w:szCs w:val="21"/>
              </w:rPr>
              <w:t>1</w:t>
            </w:r>
          </w:p>
        </w:tc>
        <w:tc>
          <w:tcPr>
            <w:tcW w:w="904" w:type="dxa"/>
            <w:vAlign w:val="center"/>
          </w:tcPr>
          <w:p>
            <w:pPr>
              <w:snapToGrid w:val="0"/>
              <w:jc w:val="center"/>
              <w:rPr>
                <w:rFonts w:eastAsiaTheme="minorEastAsia"/>
                <w:szCs w:val="21"/>
              </w:rPr>
            </w:pPr>
            <w:r>
              <w:rPr>
                <w:rFonts w:eastAsiaTheme="minorEastAsia"/>
                <w:szCs w:val="21"/>
              </w:rPr>
              <w:t>地下室设备间</w:t>
            </w:r>
          </w:p>
        </w:tc>
        <w:tc>
          <w:tcPr>
            <w:tcW w:w="3760" w:type="dxa"/>
            <w:vAlign w:val="center"/>
          </w:tcPr>
          <w:p>
            <w:pPr>
              <w:snapToGrid w:val="0"/>
              <w:jc w:val="center"/>
              <w:rPr>
                <w:rFonts w:eastAsiaTheme="minorEastAsia"/>
                <w:szCs w:val="21"/>
              </w:rPr>
            </w:pPr>
            <w:r>
              <w:rPr>
                <w:rFonts w:eastAsiaTheme="minorEastAsia"/>
                <w:szCs w:val="21"/>
              </w:rPr>
              <w:t>安装于地下，进出口安装消声器，并采取密闭隔声、吸声等措施，设有减震装置，对有振动设备机组设柔性连接等。</w:t>
            </w:r>
          </w:p>
        </w:tc>
        <w:tc>
          <w:tcPr>
            <w:tcW w:w="929" w:type="dxa"/>
            <w:vAlign w:val="center"/>
          </w:tcPr>
          <w:p>
            <w:pPr>
              <w:snapToGrid w:val="0"/>
              <w:jc w:val="center"/>
              <w:rPr>
                <w:rFonts w:eastAsiaTheme="minorEastAsia"/>
                <w:szCs w:val="21"/>
              </w:rPr>
            </w:pPr>
            <w:r>
              <w:rPr>
                <w:rFonts w:eastAsiaTheme="minorEastAsia"/>
                <w:szCs w:val="21"/>
              </w:rPr>
              <w:t>65</w:t>
            </w:r>
          </w:p>
        </w:tc>
      </w:tr>
    </w:tbl>
    <w:p>
      <w:pPr>
        <w:snapToGrid w:val="0"/>
        <w:spacing w:line="480" w:lineRule="exact"/>
        <w:ind w:firstLine="480" w:firstLineChars="200"/>
        <w:rPr>
          <w:rFonts w:eastAsiaTheme="minorEastAsia"/>
          <w:sz w:val="24"/>
        </w:rPr>
      </w:pPr>
      <w:r>
        <w:rPr>
          <w:rFonts w:eastAsiaTheme="minorEastAsia"/>
          <w:sz w:val="24"/>
        </w:rPr>
        <w:t>本项目制冷机组、水泵、锅炉、备用发电机等均布置在建筑物地下一层，采取隔声、减振、消声等措施，因位于地下一层受构筑物屏蔽，该部分设备噪声对外环境的影响较小。</w:t>
      </w:r>
    </w:p>
    <w:p>
      <w:pPr>
        <w:snapToGrid w:val="0"/>
        <w:spacing w:line="480" w:lineRule="exact"/>
        <w:ind w:firstLine="482" w:firstLineChars="200"/>
        <w:rPr>
          <w:rFonts w:eastAsiaTheme="minorEastAsia"/>
          <w:b/>
          <w:bCs/>
          <w:sz w:val="24"/>
        </w:rPr>
      </w:pPr>
      <w:r>
        <w:rPr>
          <w:rFonts w:eastAsiaTheme="minorEastAsia"/>
          <w:b/>
          <w:bCs/>
          <w:sz w:val="24"/>
        </w:rPr>
        <w:t>（3）室内外噪声影响分析</w:t>
      </w:r>
    </w:p>
    <w:p>
      <w:pPr>
        <w:snapToGrid w:val="0"/>
        <w:spacing w:line="480" w:lineRule="exact"/>
        <w:ind w:firstLine="480" w:firstLineChars="200"/>
        <w:rPr>
          <w:rFonts w:eastAsiaTheme="minorEastAsia"/>
          <w:sz w:val="24"/>
        </w:rPr>
      </w:pPr>
      <w:r>
        <w:rPr>
          <w:rFonts w:eastAsiaTheme="minorEastAsia"/>
          <w:sz w:val="24"/>
        </w:rPr>
        <w:t>根据《环境影响评价技术导则声环境》（HJ2.4-2009）的技术要求，本次评价采取导则上推荐模式。</w:t>
      </w:r>
    </w:p>
    <w:p>
      <w:pPr>
        <w:snapToGrid w:val="0"/>
        <w:spacing w:line="480" w:lineRule="exact"/>
        <w:ind w:firstLine="480" w:firstLineChars="200"/>
        <w:rPr>
          <w:rFonts w:eastAsiaTheme="minorEastAsia"/>
          <w:sz w:val="24"/>
        </w:rPr>
      </w:pPr>
      <w:r>
        <w:rPr>
          <w:rFonts w:eastAsiaTheme="minorEastAsia"/>
          <w:sz w:val="24"/>
        </w:rPr>
        <w:t>1）单个室外的点声源在预测点产生的声级计算基本公式</w:t>
      </w:r>
    </w:p>
    <w:p>
      <w:pPr>
        <w:snapToGrid w:val="0"/>
        <w:spacing w:line="480" w:lineRule="exact"/>
        <w:ind w:firstLine="480" w:firstLineChars="200"/>
        <w:jc w:val="center"/>
        <w:rPr>
          <w:rFonts w:eastAsiaTheme="minorEastAsia"/>
          <w:sz w:val="24"/>
        </w:rPr>
      </w:pPr>
      <w:r>
        <w:rPr>
          <w:rFonts w:eastAsiaTheme="minorEastAsia"/>
          <w:sz w:val="24"/>
        </w:rPr>
        <w:t>Lp(r)=Lw+Dc-A</w:t>
      </w:r>
    </w:p>
    <w:p>
      <w:pPr>
        <w:snapToGrid w:val="0"/>
        <w:spacing w:line="480" w:lineRule="exact"/>
        <w:ind w:firstLine="480" w:firstLineChars="200"/>
        <w:jc w:val="center"/>
        <w:rPr>
          <w:rFonts w:eastAsiaTheme="minorEastAsia"/>
          <w:sz w:val="24"/>
        </w:rPr>
      </w:pPr>
      <w:r>
        <w:rPr>
          <w:rFonts w:eastAsiaTheme="minorEastAsia"/>
          <w:sz w:val="24"/>
        </w:rPr>
        <w:t>A= Adiv+Aatm+Abar+Agr+Amisc</w:t>
      </w:r>
    </w:p>
    <w:p>
      <w:pPr>
        <w:snapToGrid w:val="0"/>
        <w:spacing w:line="480" w:lineRule="exact"/>
        <w:ind w:firstLine="480" w:firstLineChars="200"/>
        <w:rPr>
          <w:rFonts w:eastAsiaTheme="minorEastAsia"/>
          <w:sz w:val="24"/>
        </w:rPr>
      </w:pPr>
      <w:r>
        <w:rPr>
          <w:rFonts w:eastAsiaTheme="minorEastAsia"/>
          <w:sz w:val="24"/>
        </w:rPr>
        <w:t>式中：Lp(r)—预测点位置的倍频带声压级，dB；</w:t>
      </w:r>
    </w:p>
    <w:p>
      <w:pPr>
        <w:snapToGrid w:val="0"/>
        <w:spacing w:line="480" w:lineRule="exact"/>
        <w:ind w:firstLine="480" w:firstLineChars="200"/>
        <w:rPr>
          <w:rFonts w:eastAsiaTheme="minorEastAsia"/>
          <w:sz w:val="24"/>
        </w:rPr>
      </w:pPr>
      <w:r>
        <w:rPr>
          <w:rFonts w:eastAsiaTheme="minorEastAsia"/>
          <w:sz w:val="24"/>
        </w:rPr>
        <w:t xml:space="preserve">      Lw—倍频带声功率级，dB；</w:t>
      </w:r>
    </w:p>
    <w:p>
      <w:pPr>
        <w:snapToGrid w:val="0"/>
        <w:spacing w:line="480" w:lineRule="exact"/>
        <w:ind w:firstLine="480" w:firstLineChars="200"/>
        <w:rPr>
          <w:rFonts w:eastAsiaTheme="minorEastAsia"/>
          <w:sz w:val="24"/>
        </w:rPr>
      </w:pPr>
      <w:r>
        <w:rPr>
          <w:rFonts w:eastAsiaTheme="minorEastAsia"/>
          <w:sz w:val="24"/>
        </w:rPr>
        <w:t xml:space="preserve">      Dc—指向性校正，dB；</w:t>
      </w:r>
    </w:p>
    <w:p>
      <w:pPr>
        <w:snapToGrid w:val="0"/>
        <w:spacing w:line="480" w:lineRule="exact"/>
        <w:ind w:firstLine="480" w:firstLineChars="200"/>
        <w:rPr>
          <w:rFonts w:eastAsiaTheme="minorEastAsia"/>
          <w:sz w:val="24"/>
        </w:rPr>
      </w:pPr>
      <w:r>
        <w:rPr>
          <w:rFonts w:eastAsiaTheme="minorEastAsia"/>
          <w:sz w:val="24"/>
        </w:rPr>
        <w:t xml:space="preserve">      A—倍频带衰减，dB；</w:t>
      </w:r>
    </w:p>
    <w:p>
      <w:pPr>
        <w:snapToGrid w:val="0"/>
        <w:spacing w:line="480" w:lineRule="exact"/>
        <w:ind w:firstLine="480" w:firstLineChars="200"/>
        <w:rPr>
          <w:rFonts w:eastAsiaTheme="minorEastAsia"/>
          <w:sz w:val="24"/>
        </w:rPr>
      </w:pPr>
      <w:r>
        <w:rPr>
          <w:rFonts w:eastAsiaTheme="minorEastAsia"/>
          <w:sz w:val="24"/>
        </w:rPr>
        <w:t xml:space="preserve">      Adiv—几何发散引起的倍频带衰减，dB；</w:t>
      </w:r>
    </w:p>
    <w:p>
      <w:pPr>
        <w:snapToGrid w:val="0"/>
        <w:spacing w:line="480" w:lineRule="exact"/>
        <w:ind w:firstLine="480" w:firstLineChars="200"/>
        <w:rPr>
          <w:rFonts w:eastAsiaTheme="minorEastAsia"/>
          <w:sz w:val="24"/>
        </w:rPr>
      </w:pPr>
      <w:r>
        <w:rPr>
          <w:rFonts w:eastAsiaTheme="minorEastAsia"/>
          <w:sz w:val="24"/>
        </w:rPr>
        <w:t xml:space="preserve">      Aatm—大气吸收引起的倍频带衰减，dB；</w:t>
      </w:r>
    </w:p>
    <w:p>
      <w:pPr>
        <w:snapToGrid w:val="0"/>
        <w:spacing w:line="480" w:lineRule="exact"/>
        <w:ind w:firstLine="480" w:firstLineChars="200"/>
        <w:rPr>
          <w:rFonts w:eastAsiaTheme="minorEastAsia"/>
          <w:sz w:val="24"/>
        </w:rPr>
      </w:pPr>
      <w:r>
        <w:rPr>
          <w:rFonts w:eastAsiaTheme="minorEastAsia"/>
          <w:sz w:val="24"/>
        </w:rPr>
        <w:t xml:space="preserve">      Agr—地面效应引起的倍频带衰减，dB；</w:t>
      </w:r>
    </w:p>
    <w:p>
      <w:pPr>
        <w:snapToGrid w:val="0"/>
        <w:spacing w:line="480" w:lineRule="exact"/>
        <w:ind w:firstLine="480" w:firstLineChars="200"/>
        <w:rPr>
          <w:rFonts w:eastAsiaTheme="minorEastAsia"/>
          <w:sz w:val="24"/>
        </w:rPr>
      </w:pPr>
      <w:r>
        <w:rPr>
          <w:rFonts w:eastAsiaTheme="minorEastAsia"/>
          <w:sz w:val="24"/>
        </w:rPr>
        <w:t xml:space="preserve">      Abar—声屏障引起的倍频带衰减，dB；</w:t>
      </w:r>
    </w:p>
    <w:p>
      <w:pPr>
        <w:snapToGrid w:val="0"/>
        <w:spacing w:line="480" w:lineRule="exact"/>
        <w:ind w:firstLine="480" w:firstLineChars="200"/>
        <w:rPr>
          <w:rFonts w:eastAsiaTheme="minorEastAsia"/>
          <w:sz w:val="24"/>
        </w:rPr>
      </w:pPr>
      <w:r>
        <w:rPr>
          <w:rFonts w:eastAsiaTheme="minorEastAsia"/>
          <w:sz w:val="24"/>
        </w:rPr>
        <w:t xml:space="preserve">      Amisc—其他多方面效应引起的倍频带衰减，dB。</w:t>
      </w:r>
    </w:p>
    <w:p>
      <w:pPr>
        <w:snapToGrid w:val="0"/>
        <w:spacing w:line="480" w:lineRule="exact"/>
        <w:ind w:firstLine="480" w:firstLineChars="200"/>
        <w:rPr>
          <w:rFonts w:eastAsiaTheme="minorEastAsia"/>
          <w:sz w:val="24"/>
        </w:rPr>
      </w:pPr>
      <w:r>
        <w:rPr>
          <w:rFonts w:eastAsiaTheme="minorEastAsia"/>
          <w:sz w:val="24"/>
        </w:rPr>
        <w:t>2）室内声压级计算</w:t>
      </w:r>
    </w:p>
    <w:p>
      <w:pPr>
        <w:snapToGrid w:val="0"/>
        <w:spacing w:line="480" w:lineRule="exact"/>
        <w:ind w:firstLine="480" w:firstLineChars="200"/>
        <w:rPr>
          <w:rFonts w:eastAsiaTheme="minorEastAsia"/>
          <w:sz w:val="24"/>
        </w:rPr>
      </w:pPr>
      <w:r>
        <w:rPr>
          <w:rFonts w:hint="eastAsia" w:ascii="宋体" w:hAnsi="宋体" w:cs="宋体"/>
          <w:sz w:val="24"/>
        </w:rPr>
        <w:t>①</w:t>
      </w:r>
      <w:r>
        <w:rPr>
          <w:rFonts w:eastAsiaTheme="minorEastAsia"/>
          <w:sz w:val="24"/>
        </w:rPr>
        <w:t>某一室内声源靠近围护结构处产生的倍频带声压级的计算</w:t>
      </w:r>
    </w:p>
    <w:p>
      <w:pPr>
        <w:spacing w:line="360" w:lineRule="auto"/>
        <w:jc w:val="center"/>
        <w:rPr>
          <w:color w:val="000000"/>
          <w:sz w:val="24"/>
          <w:szCs w:val="28"/>
        </w:rPr>
      </w:pPr>
      <w:r>
        <w:drawing>
          <wp:inline distT="0" distB="0" distL="0" distR="0">
            <wp:extent cx="1864995" cy="4679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stretch>
                      <a:fillRect/>
                    </a:stretch>
                  </pic:blipFill>
                  <pic:spPr>
                    <a:xfrm>
                      <a:off x="0" y="0"/>
                      <a:ext cx="1865064" cy="468000"/>
                    </a:xfrm>
                    <a:prstGeom prst="rect">
                      <a:avLst/>
                    </a:prstGeom>
                  </pic:spPr>
                </pic:pic>
              </a:graphicData>
            </a:graphic>
          </wp:inline>
        </w:drawing>
      </w:r>
    </w:p>
    <w:p>
      <w:pPr>
        <w:snapToGrid w:val="0"/>
        <w:spacing w:line="480" w:lineRule="exact"/>
        <w:ind w:firstLine="480" w:firstLineChars="200"/>
        <w:jc w:val="left"/>
        <w:rPr>
          <w:rFonts w:eastAsiaTheme="minorEastAsia"/>
          <w:sz w:val="24"/>
        </w:rPr>
      </w:pPr>
      <w:r>
        <w:rPr>
          <w:rFonts w:eastAsiaTheme="minorEastAsia"/>
          <w:sz w:val="24"/>
        </w:rPr>
        <w:t>式中：Q—指向性因素；通常对无指向性声源，当声源放在房间中心时，Q=1；当放在一面墙的中心时，Q=2；当放在两面墙夹角处时，Q=4；当放在三面墙夹角处时，Q=8。</w:t>
      </w:r>
    </w:p>
    <w:p>
      <w:pPr>
        <w:snapToGrid w:val="0"/>
        <w:spacing w:line="480" w:lineRule="exact"/>
        <w:ind w:firstLine="480" w:firstLineChars="200"/>
        <w:jc w:val="left"/>
        <w:rPr>
          <w:rFonts w:eastAsiaTheme="minorEastAsia"/>
          <w:sz w:val="24"/>
        </w:rPr>
      </w:pPr>
      <w:r>
        <w:rPr>
          <w:rFonts w:eastAsiaTheme="minorEastAsia"/>
          <w:sz w:val="24"/>
        </w:rPr>
        <w:t xml:space="preserve">      R—房间常数；R =Sα/(1-α），S为房间内表面面积，m2；α为平均吸声系数。</w:t>
      </w:r>
    </w:p>
    <w:p>
      <w:pPr>
        <w:snapToGrid w:val="0"/>
        <w:spacing w:line="480" w:lineRule="exact"/>
        <w:ind w:firstLine="480" w:firstLineChars="200"/>
        <w:jc w:val="left"/>
        <w:rPr>
          <w:rFonts w:eastAsiaTheme="minorEastAsia"/>
          <w:sz w:val="24"/>
        </w:rPr>
      </w:pPr>
      <w:r>
        <w:rPr>
          <w:rFonts w:eastAsiaTheme="minorEastAsia"/>
          <w:sz w:val="24"/>
        </w:rPr>
        <w:t xml:space="preserve">      r—声源到靠近围护结构某点处的距离，m。</w:t>
      </w:r>
    </w:p>
    <w:p>
      <w:pPr>
        <w:snapToGrid w:val="0"/>
        <w:spacing w:line="480" w:lineRule="exact"/>
        <w:ind w:firstLine="480" w:firstLineChars="200"/>
        <w:rPr>
          <w:rFonts w:eastAsiaTheme="minorEastAsia"/>
          <w:sz w:val="24"/>
        </w:rPr>
      </w:pPr>
      <w:r>
        <w:rPr>
          <w:rFonts w:hint="eastAsia" w:ascii="宋体" w:hAnsi="宋体" w:cs="宋体"/>
          <w:sz w:val="24"/>
        </w:rPr>
        <w:t>②</w:t>
      </w:r>
      <w:r>
        <w:rPr>
          <w:rFonts w:eastAsiaTheme="minorEastAsia"/>
          <w:sz w:val="24"/>
        </w:rPr>
        <w:t>所有室内声源室内i倍频带叠加声压的计算</w:t>
      </w:r>
    </w:p>
    <w:p>
      <w:pPr>
        <w:snapToGrid w:val="0"/>
        <w:spacing w:line="360" w:lineRule="auto"/>
        <w:jc w:val="center"/>
        <w:rPr>
          <w:rFonts w:eastAsiaTheme="minorEastAsia"/>
          <w:sz w:val="24"/>
        </w:rPr>
      </w:pPr>
      <w:r>
        <w:rPr>
          <w:color w:val="000000"/>
          <w:sz w:val="24"/>
          <w:szCs w:val="28"/>
        </w:rPr>
        <w:drawing>
          <wp:inline distT="0" distB="0" distL="0" distR="0">
            <wp:extent cx="1647825" cy="4832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47825" cy="483235"/>
                    </a:xfrm>
                    <a:prstGeom prst="rect">
                      <a:avLst/>
                    </a:prstGeom>
                    <a:noFill/>
                    <a:ln>
                      <a:noFill/>
                    </a:ln>
                  </pic:spPr>
                </pic:pic>
              </a:graphicData>
            </a:graphic>
          </wp:inline>
        </w:drawing>
      </w:r>
    </w:p>
    <w:p>
      <w:pPr>
        <w:snapToGrid w:val="0"/>
        <w:spacing w:line="480" w:lineRule="exact"/>
        <w:ind w:firstLine="480" w:firstLineChars="200"/>
        <w:rPr>
          <w:rFonts w:eastAsiaTheme="minorEastAsia"/>
          <w:sz w:val="24"/>
        </w:rPr>
      </w:pPr>
      <w:r>
        <w:rPr>
          <w:rFonts w:eastAsiaTheme="minorEastAsia"/>
          <w:sz w:val="24"/>
        </w:rPr>
        <w:t>式中：L</w:t>
      </w:r>
      <w:r>
        <w:rPr>
          <w:rFonts w:eastAsiaTheme="minorEastAsia"/>
          <w:sz w:val="24"/>
          <w:vertAlign w:val="subscript"/>
        </w:rPr>
        <w:t>P1i</w:t>
      </w:r>
      <w:r>
        <w:rPr>
          <w:rFonts w:eastAsiaTheme="minorEastAsia"/>
          <w:sz w:val="24"/>
        </w:rPr>
        <w:t>（T)—靠近围护结构处室内N个声源i倍频带的叠加声压级，dB；</w:t>
      </w:r>
    </w:p>
    <w:p>
      <w:pPr>
        <w:snapToGrid w:val="0"/>
        <w:spacing w:line="480" w:lineRule="exact"/>
        <w:ind w:firstLine="480" w:firstLineChars="200"/>
        <w:rPr>
          <w:rFonts w:eastAsiaTheme="minorEastAsia"/>
          <w:sz w:val="24"/>
        </w:rPr>
      </w:pPr>
      <w:r>
        <w:rPr>
          <w:rFonts w:eastAsiaTheme="minorEastAsia"/>
          <w:sz w:val="24"/>
        </w:rPr>
        <w:t xml:space="preserve">      L</w:t>
      </w:r>
      <w:r>
        <w:rPr>
          <w:rFonts w:eastAsiaTheme="minorEastAsia"/>
          <w:sz w:val="24"/>
          <w:vertAlign w:val="subscript"/>
        </w:rPr>
        <w:t>P1ij</w:t>
      </w:r>
      <w:r>
        <w:rPr>
          <w:rFonts w:eastAsiaTheme="minorEastAsia"/>
          <w:sz w:val="24"/>
        </w:rPr>
        <w:t>（T)—室内j声源i倍频带的声压级，dB；</w:t>
      </w:r>
    </w:p>
    <w:p>
      <w:pPr>
        <w:snapToGrid w:val="0"/>
        <w:spacing w:line="480" w:lineRule="exact"/>
        <w:ind w:firstLine="480" w:firstLineChars="200"/>
        <w:rPr>
          <w:rFonts w:eastAsiaTheme="minorEastAsia"/>
          <w:sz w:val="24"/>
        </w:rPr>
      </w:pPr>
      <w:r>
        <w:rPr>
          <w:rFonts w:eastAsiaTheme="minorEastAsia"/>
          <w:sz w:val="24"/>
        </w:rPr>
        <w:t xml:space="preserve">      N—室内声源总数。</w:t>
      </w:r>
    </w:p>
    <w:p>
      <w:pPr>
        <w:snapToGrid w:val="0"/>
        <w:spacing w:line="480" w:lineRule="exact"/>
        <w:ind w:firstLine="480" w:firstLineChars="200"/>
        <w:rPr>
          <w:rFonts w:eastAsiaTheme="minorEastAsia"/>
          <w:sz w:val="24"/>
        </w:rPr>
      </w:pPr>
      <w:r>
        <w:rPr>
          <w:rFonts w:hint="eastAsia" w:ascii="宋体" w:hAnsi="宋体" w:cs="宋体"/>
          <w:sz w:val="24"/>
        </w:rPr>
        <w:t>③</w:t>
      </w:r>
      <w:r>
        <w:rPr>
          <w:rFonts w:eastAsiaTheme="minorEastAsia"/>
          <w:sz w:val="24"/>
        </w:rPr>
        <w:t>靠近室外围护结构处的声压级的计算</w:t>
      </w:r>
    </w:p>
    <w:p>
      <w:pPr>
        <w:snapToGrid w:val="0"/>
        <w:spacing w:line="480" w:lineRule="exact"/>
        <w:ind w:firstLine="480" w:firstLineChars="200"/>
        <w:jc w:val="center"/>
        <w:rPr>
          <w:rFonts w:eastAsiaTheme="minorEastAsia"/>
          <w:sz w:val="24"/>
        </w:rPr>
      </w:pPr>
      <w:r>
        <w:rPr>
          <w:rFonts w:eastAsiaTheme="minorEastAsia"/>
          <w:sz w:val="24"/>
        </w:rPr>
        <w:t>L</w:t>
      </w:r>
      <w:r>
        <w:rPr>
          <w:rFonts w:eastAsiaTheme="minorEastAsia"/>
          <w:sz w:val="24"/>
          <w:vertAlign w:val="subscript"/>
        </w:rPr>
        <w:t>P2i</w:t>
      </w:r>
      <w:r>
        <w:rPr>
          <w:rFonts w:eastAsiaTheme="minorEastAsia"/>
          <w:sz w:val="24"/>
        </w:rPr>
        <w:t>（T)= L</w:t>
      </w:r>
      <w:r>
        <w:rPr>
          <w:rFonts w:eastAsiaTheme="minorEastAsia"/>
          <w:sz w:val="24"/>
          <w:vertAlign w:val="subscript"/>
        </w:rPr>
        <w:t>P1i</w:t>
      </w:r>
      <w:r>
        <w:rPr>
          <w:rFonts w:eastAsiaTheme="minorEastAsia"/>
          <w:sz w:val="24"/>
        </w:rPr>
        <w:t>（T)-（T</w:t>
      </w:r>
      <w:r>
        <w:rPr>
          <w:rFonts w:eastAsiaTheme="minorEastAsia"/>
          <w:sz w:val="24"/>
          <w:vertAlign w:val="subscript"/>
        </w:rPr>
        <w:t>li</w:t>
      </w:r>
      <w:r>
        <w:rPr>
          <w:rFonts w:eastAsiaTheme="minorEastAsia"/>
          <w:sz w:val="24"/>
        </w:rPr>
        <w:t>+6）</w:t>
      </w:r>
    </w:p>
    <w:p>
      <w:pPr>
        <w:snapToGrid w:val="0"/>
        <w:spacing w:line="480" w:lineRule="exact"/>
        <w:ind w:firstLine="480" w:firstLineChars="200"/>
        <w:rPr>
          <w:rFonts w:eastAsiaTheme="minorEastAsia"/>
          <w:sz w:val="24"/>
        </w:rPr>
      </w:pPr>
      <w:r>
        <w:rPr>
          <w:rFonts w:eastAsiaTheme="minorEastAsia"/>
          <w:sz w:val="24"/>
        </w:rPr>
        <w:t>式中：L</w:t>
      </w:r>
      <w:r>
        <w:rPr>
          <w:rFonts w:eastAsiaTheme="minorEastAsia"/>
          <w:sz w:val="24"/>
          <w:vertAlign w:val="subscript"/>
        </w:rPr>
        <w:t>P2i</w:t>
      </w:r>
      <w:r>
        <w:rPr>
          <w:rFonts w:eastAsiaTheme="minorEastAsia"/>
          <w:sz w:val="24"/>
        </w:rPr>
        <w:t>（T)—靠近围护结构处室外N个声源i倍频带的叠加声压级，dB；</w:t>
      </w:r>
    </w:p>
    <w:p>
      <w:pPr>
        <w:snapToGrid w:val="0"/>
        <w:spacing w:line="480" w:lineRule="exact"/>
        <w:ind w:firstLine="480" w:firstLineChars="200"/>
        <w:rPr>
          <w:rFonts w:eastAsiaTheme="minorEastAsia"/>
          <w:sz w:val="24"/>
        </w:rPr>
      </w:pPr>
      <w:r>
        <w:rPr>
          <w:rFonts w:eastAsiaTheme="minorEastAsia"/>
          <w:sz w:val="24"/>
        </w:rPr>
        <w:t xml:space="preserve">      T</w:t>
      </w:r>
      <w:r>
        <w:rPr>
          <w:rFonts w:eastAsiaTheme="minorEastAsia"/>
          <w:sz w:val="24"/>
          <w:vertAlign w:val="subscript"/>
        </w:rPr>
        <w:t>li</w:t>
      </w:r>
      <w:r>
        <w:rPr>
          <w:rFonts w:eastAsiaTheme="minorEastAsia"/>
          <w:sz w:val="24"/>
        </w:rPr>
        <w:t>—围护结构i倍频带的隔声量，dB。</w:t>
      </w:r>
    </w:p>
    <w:p>
      <w:pPr>
        <w:snapToGrid w:val="0"/>
        <w:spacing w:line="480" w:lineRule="exact"/>
        <w:ind w:firstLine="480" w:firstLineChars="200"/>
        <w:rPr>
          <w:rFonts w:eastAsiaTheme="minorEastAsia"/>
          <w:sz w:val="24"/>
        </w:rPr>
      </w:pPr>
      <w:r>
        <w:rPr>
          <w:rFonts w:hint="eastAsia" w:ascii="宋体" w:hAnsi="宋体" w:cs="宋体"/>
          <w:sz w:val="24"/>
        </w:rPr>
        <w:t>④</w:t>
      </w:r>
      <w:r>
        <w:rPr>
          <w:rFonts w:eastAsiaTheme="minorEastAsia"/>
          <w:sz w:val="24"/>
        </w:rPr>
        <w:t>等效的室外声源中心位置位于透声面积（S）处的等效声源的倍频带声功率级的计算</w:t>
      </w:r>
    </w:p>
    <w:p>
      <w:pPr>
        <w:snapToGrid w:val="0"/>
        <w:spacing w:line="480" w:lineRule="exact"/>
        <w:ind w:firstLine="480" w:firstLineChars="200"/>
        <w:rPr>
          <w:rFonts w:eastAsiaTheme="minorEastAsia"/>
          <w:sz w:val="24"/>
        </w:rPr>
      </w:pPr>
      <w:r>
        <w:rPr>
          <w:rFonts w:eastAsiaTheme="minorEastAsia"/>
          <w:sz w:val="24"/>
        </w:rPr>
        <w:t>Lw= LP2i（T) +10lgs</w:t>
      </w:r>
    </w:p>
    <w:p>
      <w:pPr>
        <w:snapToGrid w:val="0"/>
        <w:spacing w:line="480" w:lineRule="exact"/>
        <w:ind w:firstLine="480" w:firstLineChars="200"/>
        <w:rPr>
          <w:rFonts w:eastAsiaTheme="minorEastAsia"/>
          <w:sz w:val="24"/>
        </w:rPr>
      </w:pPr>
      <w:r>
        <w:rPr>
          <w:rFonts w:eastAsiaTheme="minorEastAsia"/>
          <w:sz w:val="24"/>
        </w:rPr>
        <w:t>3）预测点A 声级的计算</w:t>
      </w:r>
    </w:p>
    <w:p>
      <w:pPr>
        <w:snapToGrid w:val="0"/>
        <w:spacing w:line="360" w:lineRule="auto"/>
        <w:ind w:firstLine="420" w:firstLineChars="200"/>
        <w:jc w:val="center"/>
        <w:rPr>
          <w:rFonts w:eastAsiaTheme="minorEastAsia"/>
          <w:sz w:val="24"/>
        </w:rPr>
      </w:pPr>
      <w:r>
        <w:drawing>
          <wp:inline distT="0" distB="0" distL="0" distR="0">
            <wp:extent cx="2277110" cy="50355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tretch>
                      <a:fillRect/>
                    </a:stretch>
                  </pic:blipFill>
                  <pic:spPr>
                    <a:xfrm>
                      <a:off x="0" y="0"/>
                      <a:ext cx="2277597" cy="504000"/>
                    </a:xfrm>
                    <a:prstGeom prst="rect">
                      <a:avLst/>
                    </a:prstGeom>
                  </pic:spPr>
                </pic:pic>
              </a:graphicData>
            </a:graphic>
          </wp:inline>
        </w:drawing>
      </w:r>
    </w:p>
    <w:p>
      <w:pPr>
        <w:snapToGrid w:val="0"/>
        <w:spacing w:line="480" w:lineRule="exact"/>
        <w:ind w:firstLine="480" w:firstLineChars="200"/>
        <w:rPr>
          <w:rFonts w:eastAsiaTheme="minorEastAsia"/>
          <w:sz w:val="24"/>
        </w:rPr>
      </w:pPr>
      <w:r>
        <w:rPr>
          <w:rFonts w:eastAsiaTheme="minorEastAsia"/>
          <w:sz w:val="24"/>
        </w:rPr>
        <w:t>式中：LA(r)—预测点（r）处A声级，dB（A）；</w:t>
      </w:r>
    </w:p>
    <w:p>
      <w:pPr>
        <w:snapToGrid w:val="0"/>
        <w:spacing w:line="480" w:lineRule="exact"/>
        <w:ind w:firstLine="480" w:firstLineChars="200"/>
        <w:rPr>
          <w:rFonts w:eastAsiaTheme="minorEastAsia"/>
          <w:sz w:val="24"/>
        </w:rPr>
      </w:pPr>
      <w:r>
        <w:rPr>
          <w:rFonts w:eastAsiaTheme="minorEastAsia"/>
          <w:sz w:val="24"/>
        </w:rPr>
        <w:t xml:space="preserve">      LPi(r)—预测点（r）处，第i倍频带声压级，dB；</w:t>
      </w:r>
    </w:p>
    <w:p>
      <w:pPr>
        <w:snapToGrid w:val="0"/>
        <w:spacing w:line="480" w:lineRule="exact"/>
        <w:ind w:firstLine="480" w:firstLineChars="200"/>
        <w:rPr>
          <w:rFonts w:eastAsiaTheme="minorEastAsia"/>
          <w:sz w:val="24"/>
        </w:rPr>
      </w:pPr>
      <w:r>
        <w:rPr>
          <w:rFonts w:eastAsiaTheme="minorEastAsia"/>
          <w:sz w:val="24"/>
        </w:rPr>
        <w:t xml:space="preserve">      Δli—i倍频带A计权网络修正值，dB。</w:t>
      </w:r>
    </w:p>
    <w:p>
      <w:pPr>
        <w:snapToGrid w:val="0"/>
        <w:spacing w:line="480" w:lineRule="exact"/>
        <w:ind w:firstLine="480" w:firstLineChars="200"/>
        <w:rPr>
          <w:rFonts w:eastAsiaTheme="minorEastAsia"/>
          <w:sz w:val="24"/>
        </w:rPr>
      </w:pPr>
      <w:r>
        <w:rPr>
          <w:rFonts w:eastAsiaTheme="minorEastAsia"/>
          <w:sz w:val="24"/>
        </w:rPr>
        <w:t>4）预测点总A声压级的计算</w:t>
      </w:r>
    </w:p>
    <w:p>
      <w:pPr>
        <w:snapToGrid w:val="0"/>
        <w:spacing w:line="480" w:lineRule="exact"/>
        <w:ind w:firstLine="480" w:firstLineChars="200"/>
        <w:rPr>
          <w:rFonts w:eastAsiaTheme="minorEastAsia"/>
          <w:sz w:val="24"/>
        </w:rPr>
      </w:pPr>
      <w:r>
        <w:rPr>
          <w:rFonts w:eastAsiaTheme="minorEastAsia"/>
          <w:sz w:val="24"/>
        </w:rPr>
        <w:t>设第i个室外声源在预测点产生的A声级为LAi，在T时间内该声源工作时间ti；第j个等效室外声源在预测点产生的A声级为LAj，在T时间内该声源工作时间为tj，则拟建工程声源对预测点产生的贡献值（Leqg）为：</w:t>
      </w:r>
    </w:p>
    <w:p>
      <w:pPr>
        <w:snapToGrid w:val="0"/>
        <w:spacing w:line="360" w:lineRule="auto"/>
        <w:jc w:val="center"/>
        <w:rPr>
          <w:rFonts w:eastAsiaTheme="minorEastAsia"/>
          <w:sz w:val="24"/>
        </w:rPr>
      </w:pPr>
      <w:r>
        <w:rPr>
          <w:color w:val="000000"/>
          <w:sz w:val="24"/>
          <w:szCs w:val="28"/>
        </w:rPr>
        <w:drawing>
          <wp:inline distT="0" distB="0" distL="0" distR="0">
            <wp:extent cx="2545080" cy="4832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545080" cy="483235"/>
                    </a:xfrm>
                    <a:prstGeom prst="rect">
                      <a:avLst/>
                    </a:prstGeom>
                    <a:noFill/>
                    <a:ln>
                      <a:noFill/>
                    </a:ln>
                  </pic:spPr>
                </pic:pic>
              </a:graphicData>
            </a:graphic>
          </wp:inline>
        </w:drawing>
      </w:r>
    </w:p>
    <w:p>
      <w:pPr>
        <w:snapToGrid w:val="0"/>
        <w:spacing w:line="480" w:lineRule="exact"/>
        <w:ind w:firstLine="480" w:firstLineChars="200"/>
        <w:rPr>
          <w:rFonts w:eastAsiaTheme="minorEastAsia"/>
          <w:sz w:val="24"/>
        </w:rPr>
      </w:pPr>
      <w:r>
        <w:rPr>
          <w:rFonts w:eastAsiaTheme="minorEastAsia"/>
          <w:sz w:val="24"/>
        </w:rPr>
        <w:t>式中：tj—在T时间内 j声源工作时间，s；</w:t>
      </w:r>
    </w:p>
    <w:p>
      <w:pPr>
        <w:snapToGrid w:val="0"/>
        <w:spacing w:line="480" w:lineRule="exact"/>
        <w:ind w:firstLine="480" w:firstLineChars="200"/>
        <w:rPr>
          <w:rFonts w:eastAsiaTheme="minorEastAsia"/>
          <w:sz w:val="24"/>
        </w:rPr>
      </w:pPr>
      <w:r>
        <w:rPr>
          <w:rFonts w:eastAsiaTheme="minorEastAsia"/>
          <w:sz w:val="24"/>
        </w:rPr>
        <w:t xml:space="preserve">      ti—在T时间内 i声源工作时间，s；</w:t>
      </w:r>
    </w:p>
    <w:p>
      <w:pPr>
        <w:snapToGrid w:val="0"/>
        <w:spacing w:line="480" w:lineRule="exact"/>
        <w:ind w:firstLine="480" w:firstLineChars="200"/>
        <w:rPr>
          <w:rFonts w:eastAsiaTheme="minorEastAsia"/>
          <w:sz w:val="24"/>
        </w:rPr>
      </w:pPr>
      <w:r>
        <w:rPr>
          <w:rFonts w:eastAsiaTheme="minorEastAsia"/>
          <w:sz w:val="24"/>
        </w:rPr>
        <w:t xml:space="preserve">      T—用于计算等效声级的时间，s；</w:t>
      </w:r>
    </w:p>
    <w:p>
      <w:pPr>
        <w:snapToGrid w:val="0"/>
        <w:spacing w:line="480" w:lineRule="exact"/>
        <w:ind w:firstLine="480" w:firstLineChars="200"/>
        <w:rPr>
          <w:rFonts w:eastAsiaTheme="minorEastAsia"/>
          <w:sz w:val="24"/>
        </w:rPr>
      </w:pPr>
      <w:r>
        <w:rPr>
          <w:rFonts w:eastAsiaTheme="minorEastAsia"/>
          <w:sz w:val="24"/>
        </w:rPr>
        <w:t xml:space="preserve">      N—室外声源个数；</w:t>
      </w:r>
    </w:p>
    <w:p>
      <w:pPr>
        <w:snapToGrid w:val="0"/>
        <w:spacing w:line="480" w:lineRule="exact"/>
        <w:ind w:firstLine="480" w:firstLineChars="200"/>
        <w:rPr>
          <w:rFonts w:eastAsiaTheme="minorEastAsia"/>
          <w:sz w:val="24"/>
        </w:rPr>
      </w:pPr>
      <w:r>
        <w:rPr>
          <w:rFonts w:eastAsiaTheme="minorEastAsia"/>
          <w:sz w:val="24"/>
        </w:rPr>
        <w:t xml:space="preserve">      M—等效室外声源个数。</w:t>
      </w:r>
    </w:p>
    <w:p>
      <w:pPr>
        <w:snapToGrid w:val="0"/>
        <w:spacing w:line="480" w:lineRule="exact"/>
        <w:ind w:firstLine="480" w:firstLineChars="200"/>
        <w:rPr>
          <w:rFonts w:eastAsiaTheme="minorEastAsia"/>
          <w:sz w:val="24"/>
        </w:rPr>
      </w:pPr>
      <w:r>
        <w:rPr>
          <w:rFonts w:eastAsiaTheme="minorEastAsia"/>
          <w:sz w:val="24"/>
        </w:rPr>
        <w:t>考虑噪声源最大的影响，在预测分析中，选取噪声源的最大的噪声值作为计算数值，分析噪声源在没有采取任何降噪措施与采取有效降噪措施两种情况下的不同影响，噪声源在没有采取任何降噪措施情况下的影响结果详见下表：</w:t>
      </w:r>
    </w:p>
    <w:p>
      <w:pPr>
        <w:snapToGrid w:val="0"/>
        <w:spacing w:line="360" w:lineRule="auto"/>
        <w:jc w:val="center"/>
        <w:rPr>
          <w:rFonts w:eastAsiaTheme="minorEastAsia"/>
          <w:b/>
          <w:bCs/>
          <w:sz w:val="24"/>
        </w:rPr>
      </w:pPr>
      <w:r>
        <w:rPr>
          <w:rFonts w:eastAsiaTheme="minorEastAsia"/>
          <w:b/>
          <w:bCs/>
          <w:sz w:val="24"/>
        </w:rPr>
        <w:t>表6.6-2  主要噪声源对环境的影响预测结果（LT=0）单位dB（A）</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8"/>
        <w:gridCol w:w="1740"/>
        <w:gridCol w:w="842"/>
        <w:gridCol w:w="743"/>
        <w:gridCol w:w="651"/>
        <w:gridCol w:w="828"/>
        <w:gridCol w:w="828"/>
        <w:gridCol w:w="828"/>
        <w:gridCol w:w="828"/>
        <w:gridCol w:w="8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68" w:type="dxa"/>
            <w:vMerge w:val="restart"/>
            <w:vAlign w:val="center"/>
          </w:tcPr>
          <w:p>
            <w:pPr>
              <w:jc w:val="center"/>
              <w:rPr>
                <w:b/>
                <w:bCs/>
                <w:color w:val="000000"/>
                <w:szCs w:val="21"/>
              </w:rPr>
            </w:pPr>
            <w:r>
              <w:rPr>
                <w:b/>
                <w:bCs/>
                <w:color w:val="000000"/>
                <w:szCs w:val="21"/>
              </w:rPr>
              <w:t>治理措施</w:t>
            </w:r>
          </w:p>
        </w:tc>
        <w:tc>
          <w:tcPr>
            <w:tcW w:w="1740" w:type="dxa"/>
            <w:vMerge w:val="restart"/>
            <w:vAlign w:val="center"/>
          </w:tcPr>
          <w:p>
            <w:pPr>
              <w:jc w:val="center"/>
              <w:rPr>
                <w:b/>
                <w:bCs/>
                <w:color w:val="000000"/>
                <w:szCs w:val="21"/>
              </w:rPr>
            </w:pPr>
            <w:r>
              <w:rPr>
                <w:b/>
                <w:bCs/>
                <w:color w:val="000000"/>
                <w:szCs w:val="21"/>
              </w:rPr>
              <w:t>噪声源</w:t>
            </w:r>
          </w:p>
        </w:tc>
        <w:tc>
          <w:tcPr>
            <w:tcW w:w="842" w:type="dxa"/>
            <w:vMerge w:val="restart"/>
            <w:vAlign w:val="center"/>
          </w:tcPr>
          <w:p>
            <w:pPr>
              <w:jc w:val="center"/>
              <w:rPr>
                <w:b/>
                <w:bCs/>
                <w:color w:val="000000"/>
                <w:szCs w:val="21"/>
              </w:rPr>
            </w:pPr>
            <w:r>
              <w:rPr>
                <w:b/>
                <w:bCs/>
                <w:color w:val="000000"/>
                <w:szCs w:val="21"/>
              </w:rPr>
              <w:t>源强dB(A)</w:t>
            </w:r>
          </w:p>
        </w:tc>
        <w:tc>
          <w:tcPr>
            <w:tcW w:w="5539" w:type="dxa"/>
            <w:gridSpan w:val="7"/>
            <w:vAlign w:val="center"/>
          </w:tcPr>
          <w:p>
            <w:pPr>
              <w:jc w:val="center"/>
              <w:rPr>
                <w:b/>
                <w:bCs/>
                <w:color w:val="000000"/>
                <w:szCs w:val="21"/>
              </w:rPr>
            </w:pPr>
            <w:r>
              <w:rPr>
                <w:b/>
                <w:bCs/>
                <w:color w:val="000000"/>
                <w:szCs w:val="21"/>
              </w:rPr>
              <w:t>经距离衰减后的声压级dB(A)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68" w:type="dxa"/>
            <w:vMerge w:val="continue"/>
            <w:vAlign w:val="center"/>
          </w:tcPr>
          <w:p>
            <w:pPr>
              <w:jc w:val="center"/>
              <w:rPr>
                <w:b/>
                <w:bCs/>
                <w:color w:val="000000"/>
                <w:szCs w:val="21"/>
              </w:rPr>
            </w:pPr>
          </w:p>
        </w:tc>
        <w:tc>
          <w:tcPr>
            <w:tcW w:w="1740" w:type="dxa"/>
            <w:vMerge w:val="continue"/>
            <w:vAlign w:val="center"/>
          </w:tcPr>
          <w:p>
            <w:pPr>
              <w:jc w:val="center"/>
              <w:rPr>
                <w:b/>
                <w:bCs/>
                <w:color w:val="000000"/>
                <w:szCs w:val="21"/>
              </w:rPr>
            </w:pPr>
          </w:p>
        </w:tc>
        <w:tc>
          <w:tcPr>
            <w:tcW w:w="842" w:type="dxa"/>
            <w:vMerge w:val="continue"/>
            <w:vAlign w:val="center"/>
          </w:tcPr>
          <w:p>
            <w:pPr>
              <w:jc w:val="center"/>
              <w:rPr>
                <w:b/>
                <w:bCs/>
                <w:color w:val="000000"/>
                <w:szCs w:val="21"/>
              </w:rPr>
            </w:pPr>
          </w:p>
        </w:tc>
        <w:tc>
          <w:tcPr>
            <w:tcW w:w="743" w:type="dxa"/>
            <w:vAlign w:val="center"/>
          </w:tcPr>
          <w:p>
            <w:pPr>
              <w:jc w:val="center"/>
              <w:rPr>
                <w:b/>
                <w:bCs/>
                <w:color w:val="000000"/>
                <w:szCs w:val="21"/>
              </w:rPr>
            </w:pPr>
            <w:r>
              <w:rPr>
                <w:b/>
                <w:bCs/>
                <w:color w:val="000000"/>
                <w:szCs w:val="21"/>
              </w:rPr>
              <w:t>5m</w:t>
            </w:r>
          </w:p>
        </w:tc>
        <w:tc>
          <w:tcPr>
            <w:tcW w:w="651" w:type="dxa"/>
            <w:vAlign w:val="center"/>
          </w:tcPr>
          <w:p>
            <w:pPr>
              <w:jc w:val="center"/>
              <w:rPr>
                <w:b/>
                <w:bCs/>
                <w:color w:val="000000"/>
                <w:szCs w:val="21"/>
              </w:rPr>
            </w:pPr>
            <w:r>
              <w:rPr>
                <w:b/>
                <w:bCs/>
                <w:color w:val="000000"/>
                <w:szCs w:val="21"/>
              </w:rPr>
              <w:t>10m</w:t>
            </w:r>
          </w:p>
        </w:tc>
        <w:tc>
          <w:tcPr>
            <w:tcW w:w="828" w:type="dxa"/>
            <w:vAlign w:val="center"/>
          </w:tcPr>
          <w:p>
            <w:pPr>
              <w:jc w:val="center"/>
              <w:rPr>
                <w:b/>
                <w:bCs/>
                <w:color w:val="000000"/>
                <w:szCs w:val="21"/>
              </w:rPr>
            </w:pPr>
            <w:r>
              <w:rPr>
                <w:b/>
                <w:bCs/>
                <w:color w:val="000000"/>
                <w:szCs w:val="21"/>
              </w:rPr>
              <w:t>15m</w:t>
            </w:r>
          </w:p>
        </w:tc>
        <w:tc>
          <w:tcPr>
            <w:tcW w:w="828" w:type="dxa"/>
            <w:vAlign w:val="center"/>
          </w:tcPr>
          <w:p>
            <w:pPr>
              <w:jc w:val="center"/>
              <w:rPr>
                <w:b/>
                <w:bCs/>
                <w:color w:val="000000"/>
                <w:szCs w:val="21"/>
              </w:rPr>
            </w:pPr>
            <w:r>
              <w:rPr>
                <w:b/>
                <w:bCs/>
                <w:color w:val="000000"/>
                <w:szCs w:val="21"/>
              </w:rPr>
              <w:t>20m</w:t>
            </w:r>
          </w:p>
        </w:tc>
        <w:tc>
          <w:tcPr>
            <w:tcW w:w="828" w:type="dxa"/>
            <w:vAlign w:val="center"/>
          </w:tcPr>
          <w:p>
            <w:pPr>
              <w:jc w:val="center"/>
              <w:rPr>
                <w:b/>
                <w:bCs/>
                <w:color w:val="000000"/>
                <w:szCs w:val="21"/>
              </w:rPr>
            </w:pPr>
            <w:r>
              <w:rPr>
                <w:b/>
                <w:bCs/>
                <w:color w:val="000000"/>
                <w:szCs w:val="21"/>
              </w:rPr>
              <w:t>30m</w:t>
            </w:r>
          </w:p>
        </w:tc>
        <w:tc>
          <w:tcPr>
            <w:tcW w:w="828" w:type="dxa"/>
            <w:vAlign w:val="center"/>
          </w:tcPr>
          <w:p>
            <w:pPr>
              <w:jc w:val="center"/>
              <w:rPr>
                <w:b/>
                <w:bCs/>
                <w:color w:val="000000"/>
                <w:szCs w:val="21"/>
              </w:rPr>
            </w:pPr>
            <w:r>
              <w:rPr>
                <w:b/>
                <w:bCs/>
                <w:color w:val="000000"/>
                <w:szCs w:val="21"/>
              </w:rPr>
              <w:t>40m</w:t>
            </w:r>
          </w:p>
        </w:tc>
        <w:tc>
          <w:tcPr>
            <w:tcW w:w="833" w:type="dxa"/>
            <w:vAlign w:val="center"/>
          </w:tcPr>
          <w:p>
            <w:pPr>
              <w:jc w:val="center"/>
              <w:rPr>
                <w:b/>
                <w:bCs/>
                <w:color w:val="000000"/>
                <w:szCs w:val="21"/>
              </w:rPr>
            </w:pPr>
            <w:r>
              <w:rPr>
                <w:b/>
                <w:bCs/>
                <w:color w:val="000000"/>
                <w:szCs w:val="21"/>
              </w:rPr>
              <w:t>50m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restart"/>
            <w:vAlign w:val="center"/>
          </w:tcPr>
          <w:p>
            <w:pPr>
              <w:jc w:val="center"/>
              <w:rPr>
                <w:color w:val="000000"/>
                <w:szCs w:val="21"/>
              </w:rPr>
            </w:pPr>
            <w:r>
              <w:rPr>
                <w:color w:val="000000"/>
                <w:szCs w:val="21"/>
              </w:rPr>
              <w:t>低噪音设备、减振、隔音</w:t>
            </w:r>
          </w:p>
        </w:tc>
        <w:tc>
          <w:tcPr>
            <w:tcW w:w="1740" w:type="dxa"/>
            <w:vAlign w:val="center"/>
          </w:tcPr>
          <w:p>
            <w:pPr>
              <w:jc w:val="center"/>
              <w:rPr>
                <w:color w:val="000000"/>
                <w:szCs w:val="21"/>
              </w:rPr>
            </w:pPr>
            <w:r>
              <w:rPr>
                <w:rFonts w:eastAsiaTheme="minorEastAsia"/>
              </w:rPr>
              <w:t>锅炉</w:t>
            </w:r>
          </w:p>
        </w:tc>
        <w:tc>
          <w:tcPr>
            <w:tcW w:w="842" w:type="dxa"/>
            <w:vAlign w:val="center"/>
          </w:tcPr>
          <w:p>
            <w:pPr>
              <w:spacing w:before="49"/>
              <w:jc w:val="center"/>
              <w:rPr>
                <w:color w:val="000000"/>
                <w:szCs w:val="21"/>
              </w:rPr>
            </w:pPr>
            <w:r>
              <w:rPr>
                <w:rFonts w:eastAsiaTheme="minorEastAsia"/>
                <w:szCs w:val="21"/>
              </w:rPr>
              <w:t>80~85</w:t>
            </w:r>
          </w:p>
        </w:tc>
        <w:tc>
          <w:tcPr>
            <w:tcW w:w="743" w:type="dxa"/>
            <w:vAlign w:val="center"/>
          </w:tcPr>
          <w:p>
            <w:pPr>
              <w:jc w:val="center"/>
              <w:rPr>
                <w:color w:val="000000"/>
                <w:szCs w:val="21"/>
              </w:rPr>
            </w:pPr>
            <w:r>
              <w:rPr>
                <w:color w:val="000000"/>
                <w:szCs w:val="21"/>
              </w:rPr>
              <w:t>61.0</w:t>
            </w:r>
          </w:p>
        </w:tc>
        <w:tc>
          <w:tcPr>
            <w:tcW w:w="651" w:type="dxa"/>
            <w:vAlign w:val="center"/>
          </w:tcPr>
          <w:p>
            <w:pPr>
              <w:jc w:val="center"/>
              <w:rPr>
                <w:color w:val="000000"/>
                <w:szCs w:val="21"/>
              </w:rPr>
            </w:pPr>
            <w:r>
              <w:rPr>
                <w:color w:val="000000"/>
                <w:szCs w:val="21"/>
              </w:rPr>
              <w:t>55.0</w:t>
            </w:r>
          </w:p>
        </w:tc>
        <w:tc>
          <w:tcPr>
            <w:tcW w:w="828" w:type="dxa"/>
            <w:vAlign w:val="center"/>
          </w:tcPr>
          <w:p>
            <w:pPr>
              <w:jc w:val="center"/>
              <w:rPr>
                <w:color w:val="000000"/>
                <w:szCs w:val="21"/>
              </w:rPr>
            </w:pPr>
            <w:r>
              <w:rPr>
                <w:color w:val="000000"/>
                <w:szCs w:val="21"/>
              </w:rPr>
              <w:t>51.5</w:t>
            </w:r>
          </w:p>
        </w:tc>
        <w:tc>
          <w:tcPr>
            <w:tcW w:w="828" w:type="dxa"/>
            <w:vAlign w:val="center"/>
          </w:tcPr>
          <w:p>
            <w:pPr>
              <w:jc w:val="center"/>
              <w:rPr>
                <w:color w:val="000000"/>
                <w:szCs w:val="21"/>
              </w:rPr>
            </w:pPr>
            <w:r>
              <w:rPr>
                <w:color w:val="000000"/>
                <w:szCs w:val="21"/>
              </w:rPr>
              <w:t>49.0</w:t>
            </w:r>
          </w:p>
        </w:tc>
        <w:tc>
          <w:tcPr>
            <w:tcW w:w="828" w:type="dxa"/>
            <w:vAlign w:val="center"/>
          </w:tcPr>
          <w:p>
            <w:pPr>
              <w:jc w:val="center"/>
              <w:rPr>
                <w:color w:val="000000"/>
                <w:szCs w:val="21"/>
              </w:rPr>
            </w:pPr>
            <w:r>
              <w:rPr>
                <w:color w:val="000000"/>
                <w:szCs w:val="21"/>
              </w:rPr>
              <w:t>45.5</w:t>
            </w:r>
          </w:p>
        </w:tc>
        <w:tc>
          <w:tcPr>
            <w:tcW w:w="828" w:type="dxa"/>
            <w:vAlign w:val="center"/>
          </w:tcPr>
          <w:p>
            <w:pPr>
              <w:jc w:val="center"/>
              <w:rPr>
                <w:color w:val="000000"/>
                <w:szCs w:val="21"/>
              </w:rPr>
            </w:pPr>
            <w:r>
              <w:rPr>
                <w:color w:val="000000"/>
                <w:szCs w:val="21"/>
              </w:rPr>
              <w:t>4</w:t>
            </w:r>
            <w:r>
              <w:rPr>
                <w:rFonts w:hint="eastAsia"/>
                <w:color w:val="000000"/>
                <w:szCs w:val="21"/>
              </w:rPr>
              <w:t>4</w:t>
            </w:r>
            <w:r>
              <w:rPr>
                <w:color w:val="000000"/>
                <w:szCs w:val="21"/>
              </w:rPr>
              <w:t>.0</w:t>
            </w:r>
          </w:p>
        </w:tc>
        <w:tc>
          <w:tcPr>
            <w:tcW w:w="833" w:type="dxa"/>
            <w:vAlign w:val="center"/>
          </w:tcPr>
          <w:p>
            <w:pPr>
              <w:jc w:val="center"/>
              <w:rPr>
                <w:color w:val="000000"/>
                <w:szCs w:val="21"/>
              </w:rPr>
            </w:pPr>
            <w:r>
              <w:rPr>
                <w:color w:val="000000"/>
                <w:szCs w:val="21"/>
              </w:rPr>
              <w:t>4</w:t>
            </w:r>
            <w:r>
              <w:rPr>
                <w:rFonts w:hint="eastAsia"/>
                <w:color w:val="000000"/>
                <w:szCs w:val="21"/>
              </w:rPr>
              <w:t>3</w:t>
            </w:r>
            <w:r>
              <w:rPr>
                <w:color w:val="00000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jc w:val="center"/>
              <w:rPr>
                <w:color w:val="000000"/>
                <w:szCs w:val="21"/>
              </w:rPr>
            </w:pPr>
          </w:p>
        </w:tc>
        <w:tc>
          <w:tcPr>
            <w:tcW w:w="1740" w:type="dxa"/>
            <w:vAlign w:val="center"/>
          </w:tcPr>
          <w:p>
            <w:pPr>
              <w:jc w:val="center"/>
              <w:rPr>
                <w:color w:val="000000"/>
                <w:szCs w:val="21"/>
              </w:rPr>
            </w:pPr>
            <w:r>
              <w:rPr>
                <w:rFonts w:eastAsiaTheme="minorEastAsia"/>
              </w:rPr>
              <w:t>备用柴油发电机</w:t>
            </w:r>
          </w:p>
        </w:tc>
        <w:tc>
          <w:tcPr>
            <w:tcW w:w="842" w:type="dxa"/>
            <w:vAlign w:val="center"/>
          </w:tcPr>
          <w:p>
            <w:pPr>
              <w:spacing w:before="49"/>
              <w:jc w:val="center"/>
              <w:rPr>
                <w:color w:val="000000"/>
                <w:szCs w:val="21"/>
              </w:rPr>
            </w:pPr>
            <w:r>
              <w:rPr>
                <w:rFonts w:eastAsiaTheme="minorEastAsia"/>
                <w:szCs w:val="21"/>
              </w:rPr>
              <w:t>90~95</w:t>
            </w:r>
          </w:p>
        </w:tc>
        <w:tc>
          <w:tcPr>
            <w:tcW w:w="743" w:type="dxa"/>
            <w:vAlign w:val="center"/>
          </w:tcPr>
          <w:p>
            <w:pPr>
              <w:jc w:val="center"/>
              <w:rPr>
                <w:color w:val="000000"/>
                <w:szCs w:val="21"/>
              </w:rPr>
            </w:pPr>
            <w:r>
              <w:rPr>
                <w:color w:val="000000"/>
                <w:szCs w:val="21"/>
              </w:rPr>
              <w:t>71.0</w:t>
            </w:r>
          </w:p>
        </w:tc>
        <w:tc>
          <w:tcPr>
            <w:tcW w:w="651" w:type="dxa"/>
            <w:vAlign w:val="center"/>
          </w:tcPr>
          <w:p>
            <w:pPr>
              <w:jc w:val="center"/>
              <w:rPr>
                <w:color w:val="000000"/>
                <w:szCs w:val="21"/>
              </w:rPr>
            </w:pPr>
            <w:r>
              <w:rPr>
                <w:color w:val="000000"/>
                <w:szCs w:val="21"/>
              </w:rPr>
              <w:t>65.0</w:t>
            </w:r>
          </w:p>
        </w:tc>
        <w:tc>
          <w:tcPr>
            <w:tcW w:w="828" w:type="dxa"/>
            <w:vAlign w:val="center"/>
          </w:tcPr>
          <w:p>
            <w:pPr>
              <w:jc w:val="center"/>
              <w:rPr>
                <w:color w:val="000000"/>
                <w:szCs w:val="21"/>
              </w:rPr>
            </w:pPr>
            <w:r>
              <w:rPr>
                <w:color w:val="000000"/>
                <w:szCs w:val="21"/>
              </w:rPr>
              <w:t>61.5</w:t>
            </w:r>
          </w:p>
        </w:tc>
        <w:tc>
          <w:tcPr>
            <w:tcW w:w="828" w:type="dxa"/>
            <w:vAlign w:val="center"/>
          </w:tcPr>
          <w:p>
            <w:pPr>
              <w:jc w:val="center"/>
              <w:rPr>
                <w:color w:val="000000"/>
                <w:szCs w:val="21"/>
              </w:rPr>
            </w:pPr>
            <w:r>
              <w:rPr>
                <w:color w:val="000000"/>
                <w:szCs w:val="21"/>
              </w:rPr>
              <w:t>59.0</w:t>
            </w:r>
          </w:p>
        </w:tc>
        <w:tc>
          <w:tcPr>
            <w:tcW w:w="828" w:type="dxa"/>
            <w:vAlign w:val="center"/>
          </w:tcPr>
          <w:p>
            <w:pPr>
              <w:jc w:val="center"/>
              <w:rPr>
                <w:color w:val="000000"/>
                <w:szCs w:val="21"/>
              </w:rPr>
            </w:pPr>
            <w:r>
              <w:rPr>
                <w:color w:val="000000"/>
                <w:szCs w:val="21"/>
              </w:rPr>
              <w:t>55.5</w:t>
            </w:r>
          </w:p>
        </w:tc>
        <w:tc>
          <w:tcPr>
            <w:tcW w:w="828" w:type="dxa"/>
            <w:vAlign w:val="center"/>
          </w:tcPr>
          <w:p>
            <w:pPr>
              <w:jc w:val="center"/>
              <w:rPr>
                <w:color w:val="000000"/>
                <w:szCs w:val="21"/>
              </w:rPr>
            </w:pPr>
            <w:r>
              <w:rPr>
                <w:color w:val="000000"/>
                <w:szCs w:val="21"/>
              </w:rPr>
              <w:t>53.0</w:t>
            </w:r>
          </w:p>
        </w:tc>
        <w:tc>
          <w:tcPr>
            <w:tcW w:w="833" w:type="dxa"/>
            <w:vAlign w:val="center"/>
          </w:tcPr>
          <w:p>
            <w:pPr>
              <w:jc w:val="center"/>
              <w:rPr>
                <w:color w:val="000000"/>
                <w:szCs w:val="21"/>
              </w:rPr>
            </w:pPr>
            <w:r>
              <w:rPr>
                <w:color w:val="000000"/>
                <w:szCs w:val="21"/>
              </w:rPr>
              <w:t>5</w:t>
            </w:r>
            <w:r>
              <w:rPr>
                <w:rFonts w:hint="eastAsia"/>
                <w:color w:val="000000"/>
                <w:szCs w:val="21"/>
              </w:rPr>
              <w:t>2</w:t>
            </w:r>
            <w:r>
              <w:rPr>
                <w:color w:val="00000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jc w:val="center"/>
              <w:rPr>
                <w:color w:val="000000"/>
                <w:szCs w:val="21"/>
              </w:rPr>
            </w:pPr>
          </w:p>
        </w:tc>
        <w:tc>
          <w:tcPr>
            <w:tcW w:w="1740" w:type="dxa"/>
            <w:vAlign w:val="center"/>
          </w:tcPr>
          <w:p>
            <w:pPr>
              <w:jc w:val="center"/>
              <w:rPr>
                <w:color w:val="000000"/>
                <w:szCs w:val="21"/>
              </w:rPr>
            </w:pPr>
            <w:r>
              <w:rPr>
                <w:rFonts w:eastAsiaTheme="minorEastAsia"/>
              </w:rPr>
              <w:t>热水泵</w:t>
            </w:r>
          </w:p>
        </w:tc>
        <w:tc>
          <w:tcPr>
            <w:tcW w:w="842" w:type="dxa"/>
            <w:vAlign w:val="center"/>
          </w:tcPr>
          <w:p>
            <w:pPr>
              <w:spacing w:before="49"/>
              <w:jc w:val="center"/>
              <w:rPr>
                <w:color w:val="000000"/>
                <w:szCs w:val="21"/>
              </w:rPr>
            </w:pPr>
            <w:r>
              <w:rPr>
                <w:rFonts w:eastAsiaTheme="minorEastAsia"/>
                <w:szCs w:val="21"/>
              </w:rPr>
              <w:t>80~90</w:t>
            </w:r>
          </w:p>
        </w:tc>
        <w:tc>
          <w:tcPr>
            <w:tcW w:w="743" w:type="dxa"/>
            <w:vAlign w:val="center"/>
          </w:tcPr>
          <w:p>
            <w:pPr>
              <w:jc w:val="center"/>
              <w:rPr>
                <w:color w:val="000000"/>
                <w:szCs w:val="21"/>
              </w:rPr>
            </w:pPr>
            <w:r>
              <w:rPr>
                <w:color w:val="000000"/>
                <w:szCs w:val="21"/>
              </w:rPr>
              <w:t>70.3</w:t>
            </w:r>
          </w:p>
        </w:tc>
        <w:tc>
          <w:tcPr>
            <w:tcW w:w="651" w:type="dxa"/>
            <w:vAlign w:val="center"/>
          </w:tcPr>
          <w:p>
            <w:pPr>
              <w:jc w:val="center"/>
              <w:rPr>
                <w:color w:val="000000"/>
                <w:szCs w:val="21"/>
              </w:rPr>
            </w:pPr>
            <w:r>
              <w:rPr>
                <w:color w:val="000000"/>
                <w:szCs w:val="21"/>
              </w:rPr>
              <w:t>63.2</w:t>
            </w:r>
          </w:p>
        </w:tc>
        <w:tc>
          <w:tcPr>
            <w:tcW w:w="828" w:type="dxa"/>
            <w:vAlign w:val="center"/>
          </w:tcPr>
          <w:p>
            <w:pPr>
              <w:jc w:val="center"/>
              <w:rPr>
                <w:color w:val="000000"/>
                <w:szCs w:val="21"/>
              </w:rPr>
            </w:pPr>
            <w:r>
              <w:rPr>
                <w:color w:val="000000"/>
                <w:szCs w:val="21"/>
              </w:rPr>
              <w:t>59.5</w:t>
            </w:r>
          </w:p>
        </w:tc>
        <w:tc>
          <w:tcPr>
            <w:tcW w:w="828" w:type="dxa"/>
            <w:vAlign w:val="center"/>
          </w:tcPr>
          <w:p>
            <w:pPr>
              <w:jc w:val="center"/>
              <w:rPr>
                <w:color w:val="000000"/>
                <w:szCs w:val="21"/>
              </w:rPr>
            </w:pPr>
            <w:r>
              <w:rPr>
                <w:color w:val="000000"/>
                <w:szCs w:val="21"/>
              </w:rPr>
              <w:t>57.1</w:t>
            </w:r>
          </w:p>
        </w:tc>
        <w:tc>
          <w:tcPr>
            <w:tcW w:w="828" w:type="dxa"/>
            <w:vAlign w:val="center"/>
          </w:tcPr>
          <w:p>
            <w:pPr>
              <w:jc w:val="center"/>
              <w:rPr>
                <w:color w:val="000000"/>
                <w:szCs w:val="21"/>
              </w:rPr>
            </w:pPr>
            <w:r>
              <w:rPr>
                <w:color w:val="000000"/>
                <w:szCs w:val="21"/>
              </w:rPr>
              <w:t>52.7</w:t>
            </w:r>
          </w:p>
        </w:tc>
        <w:tc>
          <w:tcPr>
            <w:tcW w:w="828" w:type="dxa"/>
            <w:vAlign w:val="center"/>
          </w:tcPr>
          <w:p>
            <w:pPr>
              <w:jc w:val="center"/>
              <w:rPr>
                <w:color w:val="000000"/>
                <w:szCs w:val="21"/>
              </w:rPr>
            </w:pPr>
            <w:r>
              <w:rPr>
                <w:color w:val="000000"/>
                <w:szCs w:val="21"/>
              </w:rPr>
              <w:t>51.1</w:t>
            </w:r>
          </w:p>
        </w:tc>
        <w:tc>
          <w:tcPr>
            <w:tcW w:w="833" w:type="dxa"/>
            <w:vAlign w:val="center"/>
          </w:tcPr>
          <w:p>
            <w:pPr>
              <w:jc w:val="center"/>
              <w:rPr>
                <w:color w:val="000000"/>
                <w:szCs w:val="21"/>
              </w:rPr>
            </w:pPr>
            <w:r>
              <w:rPr>
                <w:rFonts w:hint="eastAsia"/>
                <w:color w:val="000000"/>
                <w:szCs w:val="21"/>
              </w:rPr>
              <w:t>50</w:t>
            </w:r>
            <w:r>
              <w:rPr>
                <w:color w:val="000000"/>
                <w:szCs w:val="21"/>
              </w:rPr>
              <w:t>.9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jc w:val="center"/>
              <w:rPr>
                <w:color w:val="000000"/>
                <w:szCs w:val="21"/>
              </w:rPr>
            </w:pPr>
          </w:p>
        </w:tc>
        <w:tc>
          <w:tcPr>
            <w:tcW w:w="1740" w:type="dxa"/>
            <w:vAlign w:val="center"/>
          </w:tcPr>
          <w:p>
            <w:pPr>
              <w:jc w:val="center"/>
              <w:rPr>
                <w:color w:val="000000"/>
                <w:szCs w:val="21"/>
              </w:rPr>
            </w:pPr>
            <w:r>
              <w:rPr>
                <w:rFonts w:eastAsiaTheme="minorEastAsia"/>
              </w:rPr>
              <w:t>冷却水泵</w:t>
            </w:r>
          </w:p>
        </w:tc>
        <w:tc>
          <w:tcPr>
            <w:tcW w:w="842" w:type="dxa"/>
            <w:vAlign w:val="center"/>
          </w:tcPr>
          <w:p>
            <w:pPr>
              <w:spacing w:before="49"/>
              <w:jc w:val="center"/>
              <w:rPr>
                <w:color w:val="000000"/>
                <w:szCs w:val="21"/>
              </w:rPr>
            </w:pPr>
            <w:r>
              <w:rPr>
                <w:rFonts w:eastAsiaTheme="minorEastAsia"/>
                <w:szCs w:val="21"/>
              </w:rPr>
              <w:t>80~90</w:t>
            </w:r>
          </w:p>
        </w:tc>
        <w:tc>
          <w:tcPr>
            <w:tcW w:w="743" w:type="dxa"/>
            <w:vAlign w:val="center"/>
          </w:tcPr>
          <w:p>
            <w:pPr>
              <w:jc w:val="center"/>
              <w:rPr>
                <w:color w:val="000000"/>
                <w:szCs w:val="21"/>
              </w:rPr>
            </w:pPr>
            <w:r>
              <w:rPr>
                <w:color w:val="000000"/>
                <w:szCs w:val="21"/>
              </w:rPr>
              <w:t>76.02</w:t>
            </w:r>
          </w:p>
        </w:tc>
        <w:tc>
          <w:tcPr>
            <w:tcW w:w="651" w:type="dxa"/>
            <w:vAlign w:val="center"/>
          </w:tcPr>
          <w:p>
            <w:pPr>
              <w:jc w:val="center"/>
              <w:rPr>
                <w:color w:val="000000"/>
                <w:szCs w:val="21"/>
              </w:rPr>
            </w:pPr>
            <w:r>
              <w:rPr>
                <w:color w:val="000000"/>
                <w:szCs w:val="21"/>
              </w:rPr>
              <w:t>62.0</w:t>
            </w:r>
          </w:p>
        </w:tc>
        <w:tc>
          <w:tcPr>
            <w:tcW w:w="828" w:type="dxa"/>
            <w:vAlign w:val="center"/>
          </w:tcPr>
          <w:p>
            <w:pPr>
              <w:jc w:val="center"/>
              <w:rPr>
                <w:color w:val="000000"/>
                <w:szCs w:val="21"/>
              </w:rPr>
            </w:pPr>
            <w:r>
              <w:rPr>
                <w:color w:val="000000"/>
                <w:szCs w:val="21"/>
              </w:rPr>
              <w:t>56.48</w:t>
            </w:r>
          </w:p>
        </w:tc>
        <w:tc>
          <w:tcPr>
            <w:tcW w:w="828" w:type="dxa"/>
            <w:vAlign w:val="center"/>
          </w:tcPr>
          <w:p>
            <w:pPr>
              <w:jc w:val="center"/>
              <w:rPr>
                <w:color w:val="000000"/>
                <w:szCs w:val="21"/>
              </w:rPr>
            </w:pPr>
            <w:r>
              <w:rPr>
                <w:color w:val="000000"/>
                <w:szCs w:val="21"/>
              </w:rPr>
              <w:t>53.98</w:t>
            </w:r>
          </w:p>
        </w:tc>
        <w:tc>
          <w:tcPr>
            <w:tcW w:w="828" w:type="dxa"/>
            <w:vAlign w:val="center"/>
          </w:tcPr>
          <w:p>
            <w:pPr>
              <w:jc w:val="center"/>
              <w:rPr>
                <w:color w:val="000000"/>
                <w:szCs w:val="21"/>
              </w:rPr>
            </w:pPr>
            <w:r>
              <w:rPr>
                <w:color w:val="000000"/>
                <w:szCs w:val="21"/>
              </w:rPr>
              <w:t>50.46</w:t>
            </w:r>
          </w:p>
        </w:tc>
        <w:tc>
          <w:tcPr>
            <w:tcW w:w="828" w:type="dxa"/>
            <w:vAlign w:val="center"/>
          </w:tcPr>
          <w:p>
            <w:pPr>
              <w:jc w:val="center"/>
              <w:rPr>
                <w:color w:val="000000"/>
                <w:szCs w:val="21"/>
              </w:rPr>
            </w:pPr>
            <w:r>
              <w:rPr>
                <w:color w:val="000000"/>
                <w:szCs w:val="21"/>
              </w:rPr>
              <w:t>47.96</w:t>
            </w:r>
          </w:p>
        </w:tc>
        <w:tc>
          <w:tcPr>
            <w:tcW w:w="833" w:type="dxa"/>
            <w:vAlign w:val="center"/>
          </w:tcPr>
          <w:p>
            <w:pPr>
              <w:jc w:val="center"/>
              <w:rPr>
                <w:color w:val="000000"/>
                <w:szCs w:val="21"/>
              </w:rPr>
            </w:pPr>
            <w:r>
              <w:rPr>
                <w:color w:val="000000"/>
                <w:szCs w:val="21"/>
              </w:rPr>
              <w:t>4</w:t>
            </w:r>
            <w:r>
              <w:rPr>
                <w:rFonts w:hint="eastAsia"/>
                <w:color w:val="000000"/>
                <w:szCs w:val="21"/>
              </w:rPr>
              <w:t>7</w:t>
            </w:r>
            <w:r>
              <w:rPr>
                <w:color w:val="000000"/>
                <w:szCs w:val="21"/>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jc w:val="center"/>
              <w:rPr>
                <w:color w:val="000000"/>
                <w:szCs w:val="21"/>
              </w:rPr>
            </w:pPr>
          </w:p>
        </w:tc>
        <w:tc>
          <w:tcPr>
            <w:tcW w:w="1740" w:type="dxa"/>
            <w:vAlign w:val="center"/>
          </w:tcPr>
          <w:p>
            <w:pPr>
              <w:jc w:val="center"/>
              <w:rPr>
                <w:color w:val="000000"/>
                <w:szCs w:val="21"/>
              </w:rPr>
            </w:pPr>
            <w:r>
              <w:rPr>
                <w:rFonts w:eastAsiaTheme="minorEastAsia"/>
              </w:rPr>
              <w:t>离心式冷水机组</w:t>
            </w:r>
          </w:p>
        </w:tc>
        <w:tc>
          <w:tcPr>
            <w:tcW w:w="842" w:type="dxa"/>
            <w:vAlign w:val="center"/>
          </w:tcPr>
          <w:p>
            <w:pPr>
              <w:spacing w:before="49"/>
              <w:jc w:val="center"/>
              <w:rPr>
                <w:color w:val="000000"/>
                <w:kern w:val="0"/>
              </w:rPr>
            </w:pPr>
            <w:r>
              <w:rPr>
                <w:rFonts w:eastAsiaTheme="minorEastAsia"/>
                <w:szCs w:val="21"/>
              </w:rPr>
              <w:t>80~85</w:t>
            </w:r>
          </w:p>
        </w:tc>
        <w:tc>
          <w:tcPr>
            <w:tcW w:w="743" w:type="dxa"/>
            <w:vAlign w:val="center"/>
          </w:tcPr>
          <w:p>
            <w:pPr>
              <w:jc w:val="center"/>
              <w:rPr>
                <w:color w:val="000000"/>
                <w:szCs w:val="21"/>
              </w:rPr>
            </w:pPr>
            <w:r>
              <w:rPr>
                <w:color w:val="000000"/>
                <w:szCs w:val="21"/>
              </w:rPr>
              <w:t>64.0</w:t>
            </w:r>
          </w:p>
        </w:tc>
        <w:tc>
          <w:tcPr>
            <w:tcW w:w="651" w:type="dxa"/>
            <w:vAlign w:val="center"/>
          </w:tcPr>
          <w:p>
            <w:pPr>
              <w:jc w:val="center"/>
              <w:rPr>
                <w:color w:val="000000"/>
                <w:szCs w:val="21"/>
              </w:rPr>
            </w:pPr>
            <w:r>
              <w:rPr>
                <w:color w:val="000000"/>
                <w:szCs w:val="21"/>
              </w:rPr>
              <w:t>59.0</w:t>
            </w:r>
          </w:p>
        </w:tc>
        <w:tc>
          <w:tcPr>
            <w:tcW w:w="828" w:type="dxa"/>
            <w:vAlign w:val="center"/>
          </w:tcPr>
          <w:p>
            <w:pPr>
              <w:jc w:val="center"/>
              <w:rPr>
                <w:color w:val="000000"/>
                <w:szCs w:val="21"/>
              </w:rPr>
            </w:pPr>
            <w:r>
              <w:rPr>
                <w:color w:val="000000"/>
                <w:szCs w:val="21"/>
              </w:rPr>
              <w:t>54.5</w:t>
            </w:r>
          </w:p>
        </w:tc>
        <w:tc>
          <w:tcPr>
            <w:tcW w:w="828" w:type="dxa"/>
            <w:vAlign w:val="center"/>
          </w:tcPr>
          <w:p>
            <w:pPr>
              <w:jc w:val="center"/>
              <w:rPr>
                <w:color w:val="000000"/>
                <w:szCs w:val="21"/>
              </w:rPr>
            </w:pPr>
            <w:r>
              <w:rPr>
                <w:color w:val="000000"/>
                <w:szCs w:val="21"/>
              </w:rPr>
              <w:t>52.0</w:t>
            </w:r>
          </w:p>
        </w:tc>
        <w:tc>
          <w:tcPr>
            <w:tcW w:w="828" w:type="dxa"/>
            <w:vAlign w:val="center"/>
          </w:tcPr>
          <w:p>
            <w:pPr>
              <w:jc w:val="center"/>
              <w:rPr>
                <w:color w:val="000000"/>
                <w:szCs w:val="21"/>
              </w:rPr>
            </w:pPr>
            <w:r>
              <w:rPr>
                <w:color w:val="000000"/>
                <w:szCs w:val="21"/>
              </w:rPr>
              <w:t>48.5</w:t>
            </w:r>
          </w:p>
        </w:tc>
        <w:tc>
          <w:tcPr>
            <w:tcW w:w="828" w:type="dxa"/>
            <w:vAlign w:val="center"/>
          </w:tcPr>
          <w:p>
            <w:pPr>
              <w:jc w:val="center"/>
              <w:rPr>
                <w:color w:val="000000"/>
                <w:szCs w:val="21"/>
              </w:rPr>
            </w:pPr>
            <w:r>
              <w:rPr>
                <w:color w:val="000000"/>
                <w:szCs w:val="21"/>
              </w:rPr>
              <w:t>46.0</w:t>
            </w:r>
          </w:p>
        </w:tc>
        <w:tc>
          <w:tcPr>
            <w:tcW w:w="833" w:type="dxa"/>
            <w:vAlign w:val="center"/>
          </w:tcPr>
          <w:p>
            <w:pPr>
              <w:jc w:val="center"/>
              <w:rPr>
                <w:color w:val="000000"/>
                <w:szCs w:val="21"/>
              </w:rPr>
            </w:pPr>
            <w:r>
              <w:rPr>
                <w:color w:val="000000"/>
                <w:szCs w:val="21"/>
              </w:rPr>
              <w:t>4</w:t>
            </w:r>
            <w:r>
              <w:rPr>
                <w:rFonts w:hint="eastAsia"/>
                <w:color w:val="000000"/>
                <w:szCs w:val="21"/>
              </w:rPr>
              <w:t>5</w:t>
            </w:r>
            <w:r>
              <w:rPr>
                <w:color w:val="00000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8" w:type="dxa"/>
            <w:vMerge w:val="continue"/>
            <w:vAlign w:val="center"/>
          </w:tcPr>
          <w:p>
            <w:pPr>
              <w:jc w:val="center"/>
              <w:rPr>
                <w:color w:val="000000"/>
                <w:szCs w:val="21"/>
              </w:rPr>
            </w:pPr>
          </w:p>
        </w:tc>
        <w:tc>
          <w:tcPr>
            <w:tcW w:w="1740" w:type="dxa"/>
            <w:vAlign w:val="center"/>
          </w:tcPr>
          <w:p>
            <w:pPr>
              <w:jc w:val="center"/>
              <w:rPr>
                <w:color w:val="000000"/>
                <w:szCs w:val="21"/>
              </w:rPr>
            </w:pPr>
            <w:r>
              <w:rPr>
                <w:rFonts w:eastAsiaTheme="minorEastAsia"/>
              </w:rPr>
              <w:t>螺杆式冷水机组</w:t>
            </w:r>
          </w:p>
        </w:tc>
        <w:tc>
          <w:tcPr>
            <w:tcW w:w="842" w:type="dxa"/>
            <w:vAlign w:val="center"/>
          </w:tcPr>
          <w:p>
            <w:pPr>
              <w:spacing w:before="49"/>
              <w:jc w:val="center"/>
              <w:rPr>
                <w:color w:val="000000"/>
                <w:kern w:val="0"/>
              </w:rPr>
            </w:pPr>
            <w:r>
              <w:rPr>
                <w:rFonts w:eastAsiaTheme="minorEastAsia"/>
                <w:szCs w:val="21"/>
              </w:rPr>
              <w:t>80~85</w:t>
            </w:r>
          </w:p>
        </w:tc>
        <w:tc>
          <w:tcPr>
            <w:tcW w:w="743" w:type="dxa"/>
            <w:vAlign w:val="center"/>
          </w:tcPr>
          <w:p>
            <w:pPr>
              <w:jc w:val="center"/>
              <w:rPr>
                <w:color w:val="000000"/>
                <w:szCs w:val="21"/>
              </w:rPr>
            </w:pPr>
            <w:r>
              <w:rPr>
                <w:color w:val="000000"/>
                <w:szCs w:val="21"/>
              </w:rPr>
              <w:t>65.0</w:t>
            </w:r>
          </w:p>
        </w:tc>
        <w:tc>
          <w:tcPr>
            <w:tcW w:w="651" w:type="dxa"/>
            <w:vAlign w:val="center"/>
          </w:tcPr>
          <w:p>
            <w:pPr>
              <w:jc w:val="center"/>
              <w:rPr>
                <w:color w:val="000000"/>
                <w:szCs w:val="21"/>
              </w:rPr>
            </w:pPr>
            <w:r>
              <w:rPr>
                <w:color w:val="000000"/>
                <w:szCs w:val="21"/>
              </w:rPr>
              <w:t>60.0</w:t>
            </w:r>
          </w:p>
        </w:tc>
        <w:tc>
          <w:tcPr>
            <w:tcW w:w="828" w:type="dxa"/>
            <w:vAlign w:val="center"/>
          </w:tcPr>
          <w:p>
            <w:pPr>
              <w:jc w:val="center"/>
              <w:rPr>
                <w:color w:val="000000"/>
                <w:szCs w:val="21"/>
              </w:rPr>
            </w:pPr>
            <w:r>
              <w:rPr>
                <w:color w:val="000000"/>
                <w:szCs w:val="21"/>
              </w:rPr>
              <w:t>55.5</w:t>
            </w:r>
          </w:p>
        </w:tc>
        <w:tc>
          <w:tcPr>
            <w:tcW w:w="828" w:type="dxa"/>
            <w:vAlign w:val="center"/>
          </w:tcPr>
          <w:p>
            <w:pPr>
              <w:jc w:val="center"/>
              <w:rPr>
                <w:color w:val="000000"/>
                <w:szCs w:val="21"/>
              </w:rPr>
            </w:pPr>
            <w:r>
              <w:rPr>
                <w:color w:val="000000"/>
                <w:szCs w:val="21"/>
              </w:rPr>
              <w:t>53.0</w:t>
            </w:r>
          </w:p>
        </w:tc>
        <w:tc>
          <w:tcPr>
            <w:tcW w:w="828" w:type="dxa"/>
            <w:vAlign w:val="center"/>
          </w:tcPr>
          <w:p>
            <w:pPr>
              <w:jc w:val="center"/>
              <w:rPr>
                <w:color w:val="000000"/>
                <w:szCs w:val="21"/>
              </w:rPr>
            </w:pPr>
            <w:r>
              <w:rPr>
                <w:color w:val="000000"/>
                <w:szCs w:val="21"/>
              </w:rPr>
              <w:t>49.5</w:t>
            </w:r>
          </w:p>
        </w:tc>
        <w:tc>
          <w:tcPr>
            <w:tcW w:w="828" w:type="dxa"/>
            <w:vAlign w:val="center"/>
          </w:tcPr>
          <w:p>
            <w:pPr>
              <w:jc w:val="center"/>
              <w:rPr>
                <w:color w:val="000000"/>
                <w:szCs w:val="21"/>
              </w:rPr>
            </w:pPr>
            <w:r>
              <w:rPr>
                <w:color w:val="000000"/>
                <w:szCs w:val="21"/>
              </w:rPr>
              <w:t>47.0</w:t>
            </w:r>
          </w:p>
        </w:tc>
        <w:tc>
          <w:tcPr>
            <w:tcW w:w="833" w:type="dxa"/>
            <w:vAlign w:val="center"/>
          </w:tcPr>
          <w:p>
            <w:pPr>
              <w:jc w:val="center"/>
              <w:rPr>
                <w:color w:val="000000"/>
                <w:szCs w:val="21"/>
              </w:rPr>
            </w:pPr>
            <w:r>
              <w:rPr>
                <w:color w:val="000000"/>
                <w:szCs w:val="21"/>
              </w:rPr>
              <w:t>4</w:t>
            </w:r>
            <w:r>
              <w:rPr>
                <w:rFonts w:hint="eastAsia"/>
                <w:color w:val="000000"/>
                <w:szCs w:val="21"/>
              </w:rPr>
              <w:t>6</w:t>
            </w:r>
            <w:r>
              <w:rPr>
                <w:color w:val="000000"/>
                <w:szCs w:val="21"/>
              </w:rPr>
              <w:t>.0</w:t>
            </w:r>
          </w:p>
        </w:tc>
      </w:tr>
    </w:tbl>
    <w:p>
      <w:pPr>
        <w:snapToGrid w:val="0"/>
        <w:spacing w:line="480" w:lineRule="exact"/>
        <w:ind w:firstLine="480" w:firstLineChars="200"/>
        <w:rPr>
          <w:rFonts w:eastAsiaTheme="minorEastAsia"/>
          <w:sz w:val="24"/>
        </w:rPr>
      </w:pPr>
      <w:r>
        <w:rPr>
          <w:rFonts w:eastAsiaTheme="minorEastAsia"/>
          <w:sz w:val="24"/>
        </w:rPr>
        <w:t>从上表可见，本次项目建成后，若对噪声源不采取隔声和消声措施，则离各种噪声源40m范围内，都有不同程度超过《工业企业厂界环境噪声排放标准》（GB12348-2008）2类标准。</w:t>
      </w:r>
    </w:p>
    <w:p>
      <w:pPr>
        <w:snapToGrid w:val="0"/>
        <w:spacing w:line="480" w:lineRule="exact"/>
        <w:ind w:firstLine="480" w:firstLineChars="200"/>
        <w:rPr>
          <w:rFonts w:eastAsiaTheme="minorEastAsia"/>
          <w:sz w:val="24"/>
        </w:rPr>
      </w:pPr>
      <w:r>
        <w:rPr>
          <w:rFonts w:eastAsiaTheme="minorEastAsia"/>
          <w:sz w:val="24"/>
        </w:rPr>
        <w:t>本项目应对各噪声源采取有效的降噪措施（见表6.6-1），噪声源设置于室内，采用降噪措施后，一般有15-20dB（A）的衰减量，噪声源应尽量设置于室内并远离项目边界及周围敏感点。本次改扩建项目噪声源经采取降噪措施后对环境影响预测结果见下表所示：</w:t>
      </w:r>
    </w:p>
    <w:p>
      <w:pPr>
        <w:snapToGrid w:val="0"/>
        <w:spacing w:line="360" w:lineRule="auto"/>
        <w:jc w:val="center"/>
        <w:rPr>
          <w:rFonts w:eastAsiaTheme="minorEastAsia"/>
          <w:b/>
          <w:bCs/>
          <w:sz w:val="24"/>
        </w:rPr>
      </w:pPr>
      <w:r>
        <w:rPr>
          <w:rFonts w:eastAsiaTheme="minorEastAsia"/>
          <w:b/>
          <w:bCs/>
          <w:sz w:val="24"/>
        </w:rPr>
        <w:t>表6.6-3  主要噪声源经采取有效降噪后的影响预测结果单位dB（A）</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9"/>
        <w:gridCol w:w="1829"/>
        <w:gridCol w:w="1026"/>
        <w:gridCol w:w="731"/>
        <w:gridCol w:w="733"/>
        <w:gridCol w:w="733"/>
        <w:gridCol w:w="733"/>
        <w:gridCol w:w="731"/>
        <w:gridCol w:w="733"/>
        <w:gridCol w:w="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09" w:type="dxa"/>
            <w:vMerge w:val="restart"/>
            <w:vAlign w:val="center"/>
          </w:tcPr>
          <w:p>
            <w:pPr>
              <w:jc w:val="center"/>
              <w:rPr>
                <w:b/>
                <w:bCs/>
                <w:color w:val="000000"/>
                <w:szCs w:val="21"/>
                <w:u w:val="single"/>
              </w:rPr>
            </w:pPr>
            <w:r>
              <w:rPr>
                <w:b/>
                <w:bCs/>
                <w:color w:val="000000"/>
                <w:szCs w:val="21"/>
                <w:u w:val="single"/>
              </w:rPr>
              <w:t>治理</w:t>
            </w:r>
          </w:p>
          <w:p>
            <w:pPr>
              <w:jc w:val="center"/>
              <w:rPr>
                <w:b/>
                <w:bCs/>
                <w:color w:val="000000"/>
                <w:szCs w:val="21"/>
                <w:u w:val="single"/>
              </w:rPr>
            </w:pPr>
            <w:r>
              <w:rPr>
                <w:b/>
                <w:bCs/>
                <w:color w:val="000000"/>
                <w:szCs w:val="21"/>
                <w:u w:val="single"/>
              </w:rPr>
              <w:t>措施</w:t>
            </w:r>
          </w:p>
        </w:tc>
        <w:tc>
          <w:tcPr>
            <w:tcW w:w="1829" w:type="dxa"/>
            <w:vMerge w:val="restart"/>
            <w:vAlign w:val="center"/>
          </w:tcPr>
          <w:p>
            <w:pPr>
              <w:jc w:val="center"/>
              <w:rPr>
                <w:b/>
                <w:bCs/>
                <w:color w:val="000000"/>
                <w:szCs w:val="21"/>
                <w:u w:val="single"/>
              </w:rPr>
            </w:pPr>
            <w:r>
              <w:rPr>
                <w:b/>
                <w:bCs/>
                <w:color w:val="000000"/>
                <w:szCs w:val="21"/>
                <w:u w:val="single"/>
              </w:rPr>
              <w:t>噪声源</w:t>
            </w:r>
          </w:p>
        </w:tc>
        <w:tc>
          <w:tcPr>
            <w:tcW w:w="1026" w:type="dxa"/>
            <w:vMerge w:val="restart"/>
            <w:vAlign w:val="center"/>
          </w:tcPr>
          <w:p>
            <w:pPr>
              <w:jc w:val="center"/>
              <w:rPr>
                <w:b/>
                <w:bCs/>
                <w:color w:val="000000"/>
                <w:szCs w:val="21"/>
                <w:u w:val="single"/>
              </w:rPr>
            </w:pPr>
            <w:r>
              <w:rPr>
                <w:b/>
                <w:bCs/>
                <w:color w:val="000000"/>
                <w:szCs w:val="21"/>
                <w:u w:val="single"/>
              </w:rPr>
              <w:t>源强dB(A)</w:t>
            </w:r>
          </w:p>
        </w:tc>
        <w:tc>
          <w:tcPr>
            <w:tcW w:w="5125" w:type="dxa"/>
            <w:gridSpan w:val="7"/>
            <w:vAlign w:val="center"/>
          </w:tcPr>
          <w:p>
            <w:pPr>
              <w:jc w:val="center"/>
              <w:rPr>
                <w:b/>
                <w:bCs/>
                <w:color w:val="000000"/>
                <w:szCs w:val="21"/>
                <w:u w:val="single"/>
              </w:rPr>
            </w:pPr>
            <w:r>
              <w:rPr>
                <w:b/>
                <w:bCs/>
                <w:color w:val="000000"/>
                <w:szCs w:val="21"/>
                <w:u w:val="single"/>
              </w:rPr>
              <w:t>经距离衰减后的声压级dB(A)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809" w:type="dxa"/>
            <w:vMerge w:val="continue"/>
            <w:vAlign w:val="center"/>
          </w:tcPr>
          <w:p>
            <w:pPr>
              <w:jc w:val="center"/>
              <w:rPr>
                <w:b/>
                <w:bCs/>
                <w:color w:val="000000"/>
                <w:szCs w:val="21"/>
                <w:u w:val="single"/>
              </w:rPr>
            </w:pPr>
          </w:p>
        </w:tc>
        <w:tc>
          <w:tcPr>
            <w:tcW w:w="1829" w:type="dxa"/>
            <w:vMerge w:val="continue"/>
            <w:vAlign w:val="center"/>
          </w:tcPr>
          <w:p>
            <w:pPr>
              <w:jc w:val="center"/>
              <w:rPr>
                <w:b/>
                <w:bCs/>
                <w:color w:val="000000"/>
                <w:szCs w:val="21"/>
                <w:u w:val="single"/>
              </w:rPr>
            </w:pPr>
          </w:p>
        </w:tc>
        <w:tc>
          <w:tcPr>
            <w:tcW w:w="1026" w:type="dxa"/>
            <w:vMerge w:val="continue"/>
            <w:vAlign w:val="center"/>
          </w:tcPr>
          <w:p>
            <w:pPr>
              <w:jc w:val="center"/>
              <w:rPr>
                <w:b/>
                <w:bCs/>
                <w:color w:val="000000"/>
                <w:szCs w:val="21"/>
                <w:u w:val="single"/>
              </w:rPr>
            </w:pPr>
          </w:p>
        </w:tc>
        <w:tc>
          <w:tcPr>
            <w:tcW w:w="731" w:type="dxa"/>
            <w:vAlign w:val="center"/>
          </w:tcPr>
          <w:p>
            <w:pPr>
              <w:jc w:val="center"/>
              <w:rPr>
                <w:b/>
                <w:bCs/>
                <w:color w:val="000000"/>
                <w:szCs w:val="21"/>
                <w:u w:val="single"/>
              </w:rPr>
            </w:pPr>
            <w:r>
              <w:rPr>
                <w:b/>
                <w:bCs/>
                <w:color w:val="000000"/>
                <w:szCs w:val="21"/>
                <w:u w:val="single"/>
              </w:rPr>
              <w:t>5m</w:t>
            </w:r>
          </w:p>
        </w:tc>
        <w:tc>
          <w:tcPr>
            <w:tcW w:w="733" w:type="dxa"/>
            <w:vAlign w:val="center"/>
          </w:tcPr>
          <w:p>
            <w:pPr>
              <w:jc w:val="center"/>
              <w:rPr>
                <w:b/>
                <w:bCs/>
                <w:color w:val="000000"/>
                <w:szCs w:val="21"/>
                <w:u w:val="single"/>
              </w:rPr>
            </w:pPr>
            <w:r>
              <w:rPr>
                <w:b/>
                <w:bCs/>
                <w:color w:val="000000"/>
                <w:szCs w:val="21"/>
                <w:u w:val="single"/>
              </w:rPr>
              <w:t>10m</w:t>
            </w:r>
          </w:p>
        </w:tc>
        <w:tc>
          <w:tcPr>
            <w:tcW w:w="733" w:type="dxa"/>
            <w:vAlign w:val="center"/>
          </w:tcPr>
          <w:p>
            <w:pPr>
              <w:jc w:val="center"/>
              <w:rPr>
                <w:b/>
                <w:bCs/>
                <w:color w:val="000000"/>
                <w:szCs w:val="21"/>
                <w:u w:val="single"/>
              </w:rPr>
            </w:pPr>
            <w:r>
              <w:rPr>
                <w:b/>
                <w:bCs/>
                <w:color w:val="000000"/>
                <w:szCs w:val="21"/>
                <w:u w:val="single"/>
              </w:rPr>
              <w:t>15m</w:t>
            </w:r>
          </w:p>
        </w:tc>
        <w:tc>
          <w:tcPr>
            <w:tcW w:w="733" w:type="dxa"/>
            <w:vAlign w:val="center"/>
          </w:tcPr>
          <w:p>
            <w:pPr>
              <w:jc w:val="center"/>
              <w:rPr>
                <w:b/>
                <w:bCs/>
                <w:color w:val="000000"/>
                <w:szCs w:val="21"/>
                <w:u w:val="single"/>
              </w:rPr>
            </w:pPr>
            <w:r>
              <w:rPr>
                <w:b/>
                <w:bCs/>
                <w:color w:val="000000"/>
                <w:szCs w:val="21"/>
                <w:u w:val="single"/>
              </w:rPr>
              <w:t>20m</w:t>
            </w:r>
          </w:p>
        </w:tc>
        <w:tc>
          <w:tcPr>
            <w:tcW w:w="731" w:type="dxa"/>
            <w:vAlign w:val="center"/>
          </w:tcPr>
          <w:p>
            <w:pPr>
              <w:jc w:val="center"/>
              <w:rPr>
                <w:b/>
                <w:bCs/>
                <w:color w:val="000000"/>
                <w:szCs w:val="21"/>
                <w:u w:val="single"/>
              </w:rPr>
            </w:pPr>
            <w:r>
              <w:rPr>
                <w:b/>
                <w:bCs/>
                <w:color w:val="000000"/>
                <w:szCs w:val="21"/>
                <w:u w:val="single"/>
              </w:rPr>
              <w:t>30m</w:t>
            </w:r>
          </w:p>
        </w:tc>
        <w:tc>
          <w:tcPr>
            <w:tcW w:w="733" w:type="dxa"/>
            <w:vAlign w:val="center"/>
          </w:tcPr>
          <w:p>
            <w:pPr>
              <w:jc w:val="center"/>
              <w:rPr>
                <w:b/>
                <w:bCs/>
                <w:color w:val="000000"/>
                <w:szCs w:val="21"/>
                <w:u w:val="single"/>
              </w:rPr>
            </w:pPr>
            <w:r>
              <w:rPr>
                <w:b/>
                <w:bCs/>
                <w:color w:val="000000"/>
                <w:szCs w:val="21"/>
                <w:u w:val="single"/>
              </w:rPr>
              <w:t>40m</w:t>
            </w:r>
          </w:p>
        </w:tc>
        <w:tc>
          <w:tcPr>
            <w:tcW w:w="731" w:type="dxa"/>
            <w:vAlign w:val="center"/>
          </w:tcPr>
          <w:p>
            <w:pPr>
              <w:jc w:val="center"/>
              <w:rPr>
                <w:b/>
                <w:bCs/>
                <w:color w:val="000000"/>
                <w:szCs w:val="21"/>
                <w:u w:val="single"/>
              </w:rPr>
            </w:pPr>
            <w:r>
              <w:rPr>
                <w:b/>
                <w:bCs/>
                <w:color w:val="000000"/>
                <w:szCs w:val="21"/>
                <w:u w:val="single"/>
              </w:rPr>
              <w:t>50m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dxa"/>
            <w:vMerge w:val="restart"/>
            <w:vAlign w:val="center"/>
          </w:tcPr>
          <w:p>
            <w:pPr>
              <w:jc w:val="center"/>
              <w:rPr>
                <w:color w:val="000000"/>
                <w:szCs w:val="21"/>
                <w:u w:val="single"/>
              </w:rPr>
            </w:pPr>
            <w:r>
              <w:rPr>
                <w:color w:val="000000"/>
                <w:szCs w:val="21"/>
                <w:u w:val="single"/>
              </w:rPr>
              <w:t>有</w:t>
            </w:r>
          </w:p>
        </w:tc>
        <w:tc>
          <w:tcPr>
            <w:tcW w:w="1829" w:type="dxa"/>
            <w:vAlign w:val="center"/>
          </w:tcPr>
          <w:p>
            <w:pPr>
              <w:jc w:val="center"/>
              <w:rPr>
                <w:color w:val="000000"/>
                <w:szCs w:val="21"/>
                <w:u w:val="single"/>
              </w:rPr>
            </w:pPr>
            <w:r>
              <w:rPr>
                <w:rFonts w:eastAsiaTheme="minorEastAsia"/>
                <w:u w:val="single"/>
              </w:rPr>
              <w:t>锅炉</w:t>
            </w:r>
          </w:p>
        </w:tc>
        <w:tc>
          <w:tcPr>
            <w:tcW w:w="1026" w:type="dxa"/>
            <w:vAlign w:val="center"/>
          </w:tcPr>
          <w:p>
            <w:pPr>
              <w:jc w:val="center"/>
              <w:rPr>
                <w:color w:val="000000"/>
                <w:szCs w:val="21"/>
                <w:u w:val="single"/>
              </w:rPr>
            </w:pPr>
            <w:r>
              <w:rPr>
                <w:rFonts w:eastAsiaTheme="minorEastAsia"/>
                <w:szCs w:val="21"/>
                <w:u w:val="single"/>
              </w:rPr>
              <w:t>65</w:t>
            </w:r>
          </w:p>
        </w:tc>
        <w:tc>
          <w:tcPr>
            <w:tcW w:w="731" w:type="dxa"/>
            <w:vAlign w:val="center"/>
          </w:tcPr>
          <w:p>
            <w:pPr>
              <w:jc w:val="center"/>
              <w:rPr>
                <w:color w:val="000000"/>
                <w:szCs w:val="21"/>
                <w:u w:val="single"/>
              </w:rPr>
            </w:pPr>
            <w:r>
              <w:rPr>
                <w:rFonts w:hint="eastAsia"/>
                <w:color w:val="000000"/>
                <w:szCs w:val="21"/>
                <w:u w:val="single"/>
              </w:rPr>
              <w:t>60</w:t>
            </w:r>
            <w:r>
              <w:rPr>
                <w:color w:val="000000"/>
                <w:szCs w:val="21"/>
                <w:u w:val="single"/>
              </w:rPr>
              <w:t>.0</w:t>
            </w:r>
          </w:p>
        </w:tc>
        <w:tc>
          <w:tcPr>
            <w:tcW w:w="733" w:type="dxa"/>
            <w:vAlign w:val="center"/>
          </w:tcPr>
          <w:p>
            <w:pPr>
              <w:jc w:val="center"/>
              <w:rPr>
                <w:color w:val="000000"/>
                <w:szCs w:val="21"/>
                <w:u w:val="single"/>
              </w:rPr>
            </w:pPr>
            <w:r>
              <w:rPr>
                <w:rFonts w:hint="eastAsia"/>
                <w:color w:val="000000"/>
                <w:szCs w:val="21"/>
                <w:u w:val="single"/>
              </w:rPr>
              <w:t>57</w:t>
            </w:r>
            <w:r>
              <w:rPr>
                <w:color w:val="000000"/>
                <w:szCs w:val="21"/>
                <w:u w:val="single"/>
              </w:rPr>
              <w:t>.0</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.5</w:t>
            </w:r>
          </w:p>
        </w:tc>
        <w:tc>
          <w:tcPr>
            <w:tcW w:w="733" w:type="dxa"/>
            <w:vAlign w:val="center"/>
          </w:tcPr>
          <w:p>
            <w:pPr>
              <w:jc w:val="center"/>
              <w:rPr>
                <w:color w:val="000000"/>
                <w:szCs w:val="21"/>
                <w:u w:val="single"/>
              </w:rPr>
            </w:pPr>
            <w:r>
              <w:rPr>
                <w:rFonts w:hint="eastAsia"/>
                <w:color w:val="000000"/>
                <w:szCs w:val="21"/>
                <w:u w:val="single"/>
              </w:rPr>
              <w:t>53</w:t>
            </w:r>
            <w:r>
              <w:rPr>
                <w:color w:val="000000"/>
                <w:szCs w:val="21"/>
                <w:u w:val="single"/>
              </w:rPr>
              <w:t>.0</w:t>
            </w:r>
          </w:p>
        </w:tc>
        <w:tc>
          <w:tcPr>
            <w:tcW w:w="731" w:type="dxa"/>
            <w:vAlign w:val="center"/>
          </w:tcPr>
          <w:p>
            <w:pPr>
              <w:jc w:val="center"/>
              <w:rPr>
                <w:color w:val="000000"/>
                <w:szCs w:val="21"/>
                <w:u w:val="single"/>
              </w:rPr>
            </w:pPr>
            <w:r>
              <w:rPr>
                <w:rFonts w:hint="eastAsia"/>
                <w:color w:val="000000"/>
                <w:szCs w:val="21"/>
                <w:u w:val="single"/>
              </w:rPr>
              <w:t>51</w:t>
            </w:r>
            <w:r>
              <w:rPr>
                <w:color w:val="000000"/>
                <w:szCs w:val="21"/>
                <w:u w:val="single"/>
              </w:rPr>
              <w:t>.5</w:t>
            </w:r>
          </w:p>
        </w:tc>
        <w:tc>
          <w:tcPr>
            <w:tcW w:w="733" w:type="dxa"/>
            <w:vAlign w:val="center"/>
          </w:tcPr>
          <w:p>
            <w:pPr>
              <w:jc w:val="center"/>
              <w:rPr>
                <w:color w:val="000000"/>
                <w:szCs w:val="21"/>
                <w:u w:val="single"/>
              </w:rPr>
            </w:pPr>
            <w:r>
              <w:rPr>
                <w:rFonts w:hint="eastAsia"/>
                <w:color w:val="000000"/>
                <w:szCs w:val="21"/>
                <w:u w:val="single"/>
              </w:rPr>
              <w:t>47</w:t>
            </w:r>
            <w:r>
              <w:rPr>
                <w:color w:val="000000"/>
                <w:szCs w:val="21"/>
                <w:u w:val="single"/>
              </w:rPr>
              <w:t>.0</w:t>
            </w:r>
          </w:p>
        </w:tc>
        <w:tc>
          <w:tcPr>
            <w:tcW w:w="731" w:type="dxa"/>
            <w:vAlign w:val="center"/>
          </w:tcPr>
          <w:p>
            <w:pPr>
              <w:jc w:val="center"/>
              <w:rPr>
                <w:color w:val="000000"/>
                <w:szCs w:val="21"/>
                <w:u w:val="single"/>
              </w:rPr>
            </w:pPr>
            <w:r>
              <w:rPr>
                <w:rFonts w:hint="eastAsia"/>
                <w:color w:val="000000"/>
                <w:szCs w:val="21"/>
                <w:u w:val="single"/>
              </w:rPr>
              <w:t>42</w:t>
            </w:r>
            <w:r>
              <w:rPr>
                <w:color w:val="000000"/>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dxa"/>
            <w:vMerge w:val="continue"/>
            <w:vAlign w:val="center"/>
          </w:tcPr>
          <w:p>
            <w:pPr>
              <w:jc w:val="center"/>
              <w:rPr>
                <w:color w:val="000000"/>
                <w:szCs w:val="21"/>
                <w:u w:val="single"/>
              </w:rPr>
            </w:pPr>
          </w:p>
        </w:tc>
        <w:tc>
          <w:tcPr>
            <w:tcW w:w="1829" w:type="dxa"/>
            <w:vAlign w:val="center"/>
          </w:tcPr>
          <w:p>
            <w:pPr>
              <w:jc w:val="center"/>
              <w:rPr>
                <w:color w:val="000000"/>
                <w:szCs w:val="21"/>
                <w:u w:val="single"/>
              </w:rPr>
            </w:pPr>
            <w:r>
              <w:rPr>
                <w:rFonts w:eastAsiaTheme="minorEastAsia"/>
                <w:u w:val="single"/>
              </w:rPr>
              <w:t>备用柴油发电机</w:t>
            </w:r>
          </w:p>
        </w:tc>
        <w:tc>
          <w:tcPr>
            <w:tcW w:w="1026" w:type="dxa"/>
            <w:vAlign w:val="center"/>
          </w:tcPr>
          <w:p>
            <w:pPr>
              <w:jc w:val="center"/>
              <w:rPr>
                <w:color w:val="000000"/>
                <w:szCs w:val="21"/>
                <w:u w:val="single"/>
              </w:rPr>
            </w:pPr>
            <w:r>
              <w:rPr>
                <w:rFonts w:eastAsiaTheme="minorEastAsia"/>
                <w:szCs w:val="21"/>
                <w:u w:val="single"/>
              </w:rPr>
              <w:t>70</w:t>
            </w:r>
          </w:p>
        </w:tc>
        <w:tc>
          <w:tcPr>
            <w:tcW w:w="731" w:type="dxa"/>
            <w:vAlign w:val="center"/>
          </w:tcPr>
          <w:p>
            <w:pPr>
              <w:jc w:val="center"/>
              <w:rPr>
                <w:color w:val="000000"/>
                <w:szCs w:val="21"/>
                <w:u w:val="single"/>
              </w:rPr>
            </w:pPr>
            <w:r>
              <w:rPr>
                <w:rFonts w:hint="eastAsia"/>
                <w:color w:val="000000"/>
                <w:szCs w:val="21"/>
                <w:u w:val="single"/>
              </w:rPr>
              <w:t>65</w:t>
            </w:r>
            <w:r>
              <w:rPr>
                <w:color w:val="000000"/>
                <w:szCs w:val="21"/>
                <w:u w:val="single"/>
              </w:rPr>
              <w:t>.0</w:t>
            </w:r>
          </w:p>
        </w:tc>
        <w:tc>
          <w:tcPr>
            <w:tcW w:w="733" w:type="dxa"/>
            <w:vAlign w:val="center"/>
          </w:tcPr>
          <w:p>
            <w:pPr>
              <w:jc w:val="center"/>
              <w:rPr>
                <w:color w:val="000000"/>
                <w:szCs w:val="21"/>
                <w:u w:val="single"/>
              </w:rPr>
            </w:pPr>
            <w:r>
              <w:rPr>
                <w:rFonts w:hint="eastAsia"/>
                <w:color w:val="000000"/>
                <w:szCs w:val="21"/>
                <w:u w:val="single"/>
              </w:rPr>
              <w:t>62</w:t>
            </w:r>
            <w:r>
              <w:rPr>
                <w:color w:val="000000"/>
                <w:szCs w:val="21"/>
                <w:u w:val="single"/>
              </w:rPr>
              <w:t>.9</w:t>
            </w:r>
          </w:p>
        </w:tc>
        <w:tc>
          <w:tcPr>
            <w:tcW w:w="733" w:type="dxa"/>
            <w:vAlign w:val="center"/>
          </w:tcPr>
          <w:p>
            <w:pPr>
              <w:jc w:val="center"/>
              <w:rPr>
                <w:color w:val="000000"/>
                <w:szCs w:val="21"/>
                <w:u w:val="single"/>
              </w:rPr>
            </w:pPr>
            <w:r>
              <w:rPr>
                <w:rFonts w:hint="eastAsia"/>
                <w:color w:val="000000"/>
                <w:szCs w:val="21"/>
                <w:u w:val="single"/>
              </w:rPr>
              <w:t>60</w:t>
            </w:r>
            <w:r>
              <w:rPr>
                <w:color w:val="000000"/>
                <w:szCs w:val="21"/>
                <w:u w:val="single"/>
              </w:rPr>
              <w:t>.6</w:t>
            </w:r>
          </w:p>
        </w:tc>
        <w:tc>
          <w:tcPr>
            <w:tcW w:w="733" w:type="dxa"/>
            <w:vAlign w:val="center"/>
          </w:tcPr>
          <w:p>
            <w:pPr>
              <w:jc w:val="center"/>
              <w:rPr>
                <w:color w:val="000000"/>
                <w:szCs w:val="21"/>
                <w:u w:val="single"/>
              </w:rPr>
            </w:pPr>
            <w:r>
              <w:rPr>
                <w:rFonts w:hint="eastAsia"/>
                <w:color w:val="000000"/>
                <w:szCs w:val="21"/>
                <w:u w:val="single"/>
              </w:rPr>
              <w:t>58</w:t>
            </w:r>
            <w:r>
              <w:rPr>
                <w:color w:val="000000"/>
                <w:szCs w:val="21"/>
                <w:u w:val="single"/>
              </w:rPr>
              <w:t>.8</w:t>
            </w:r>
          </w:p>
        </w:tc>
        <w:tc>
          <w:tcPr>
            <w:tcW w:w="731" w:type="dxa"/>
            <w:vAlign w:val="center"/>
          </w:tcPr>
          <w:p>
            <w:pPr>
              <w:jc w:val="center"/>
              <w:rPr>
                <w:color w:val="000000"/>
                <w:szCs w:val="21"/>
                <w:u w:val="single"/>
              </w:rPr>
            </w:pPr>
            <w:r>
              <w:rPr>
                <w:rFonts w:hint="eastAsia"/>
                <w:color w:val="000000"/>
                <w:szCs w:val="21"/>
                <w:u w:val="single"/>
              </w:rPr>
              <w:t>56</w:t>
            </w:r>
            <w:r>
              <w:rPr>
                <w:color w:val="000000"/>
                <w:szCs w:val="21"/>
                <w:u w:val="single"/>
              </w:rPr>
              <w:t>.5</w:t>
            </w:r>
          </w:p>
        </w:tc>
        <w:tc>
          <w:tcPr>
            <w:tcW w:w="733" w:type="dxa"/>
            <w:vAlign w:val="center"/>
          </w:tcPr>
          <w:p>
            <w:pPr>
              <w:jc w:val="center"/>
              <w:rPr>
                <w:color w:val="000000"/>
                <w:szCs w:val="21"/>
                <w:u w:val="single"/>
              </w:rPr>
            </w:pPr>
            <w:r>
              <w:rPr>
                <w:rFonts w:hint="eastAsia"/>
                <w:color w:val="000000"/>
                <w:szCs w:val="21"/>
                <w:u w:val="single"/>
              </w:rPr>
              <w:t>51</w:t>
            </w:r>
            <w:r>
              <w:rPr>
                <w:color w:val="000000"/>
                <w:szCs w:val="21"/>
                <w:u w:val="single"/>
              </w:rPr>
              <w:t>.0</w:t>
            </w:r>
          </w:p>
        </w:tc>
        <w:tc>
          <w:tcPr>
            <w:tcW w:w="731" w:type="dxa"/>
            <w:vAlign w:val="center"/>
          </w:tcPr>
          <w:p>
            <w:pPr>
              <w:jc w:val="center"/>
              <w:rPr>
                <w:color w:val="000000"/>
                <w:szCs w:val="21"/>
                <w:u w:val="single"/>
              </w:rPr>
            </w:pPr>
            <w:r>
              <w:rPr>
                <w:rFonts w:hint="eastAsia"/>
                <w:color w:val="000000"/>
                <w:szCs w:val="21"/>
                <w:u w:val="single"/>
              </w:rPr>
              <w:t>46</w:t>
            </w:r>
            <w:r>
              <w:rPr>
                <w:color w:val="000000"/>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dxa"/>
            <w:vMerge w:val="continue"/>
            <w:vAlign w:val="center"/>
          </w:tcPr>
          <w:p>
            <w:pPr>
              <w:jc w:val="center"/>
              <w:rPr>
                <w:color w:val="000000"/>
                <w:szCs w:val="21"/>
                <w:u w:val="single"/>
              </w:rPr>
            </w:pPr>
          </w:p>
        </w:tc>
        <w:tc>
          <w:tcPr>
            <w:tcW w:w="1829" w:type="dxa"/>
            <w:vAlign w:val="center"/>
          </w:tcPr>
          <w:p>
            <w:pPr>
              <w:jc w:val="center"/>
              <w:rPr>
                <w:color w:val="000000"/>
                <w:szCs w:val="21"/>
                <w:u w:val="single"/>
              </w:rPr>
            </w:pPr>
            <w:r>
              <w:rPr>
                <w:rFonts w:eastAsiaTheme="minorEastAsia"/>
                <w:u w:val="single"/>
              </w:rPr>
              <w:t>热水泵</w:t>
            </w:r>
          </w:p>
        </w:tc>
        <w:tc>
          <w:tcPr>
            <w:tcW w:w="1026" w:type="dxa"/>
            <w:vAlign w:val="center"/>
          </w:tcPr>
          <w:p>
            <w:pPr>
              <w:jc w:val="center"/>
              <w:rPr>
                <w:color w:val="000000"/>
                <w:szCs w:val="21"/>
                <w:u w:val="single"/>
              </w:rPr>
            </w:pPr>
            <w:r>
              <w:rPr>
                <w:rFonts w:eastAsiaTheme="minorEastAsia"/>
                <w:szCs w:val="21"/>
                <w:u w:val="single"/>
              </w:rPr>
              <w:t>65</w:t>
            </w:r>
          </w:p>
        </w:tc>
        <w:tc>
          <w:tcPr>
            <w:tcW w:w="731" w:type="dxa"/>
            <w:vAlign w:val="center"/>
          </w:tcPr>
          <w:p>
            <w:pPr>
              <w:jc w:val="center"/>
              <w:rPr>
                <w:color w:val="000000"/>
                <w:szCs w:val="21"/>
                <w:u w:val="single"/>
              </w:rPr>
            </w:pPr>
            <w:r>
              <w:rPr>
                <w:rFonts w:hint="eastAsia"/>
                <w:color w:val="000000"/>
                <w:szCs w:val="21"/>
                <w:u w:val="single"/>
              </w:rPr>
              <w:t>60.0</w:t>
            </w:r>
          </w:p>
        </w:tc>
        <w:tc>
          <w:tcPr>
            <w:tcW w:w="733" w:type="dxa"/>
            <w:vAlign w:val="center"/>
          </w:tcPr>
          <w:p>
            <w:pPr>
              <w:jc w:val="center"/>
              <w:rPr>
                <w:color w:val="000000"/>
                <w:szCs w:val="21"/>
                <w:u w:val="single"/>
              </w:rPr>
            </w:pPr>
            <w:r>
              <w:rPr>
                <w:rFonts w:hint="eastAsia"/>
                <w:color w:val="000000"/>
                <w:szCs w:val="21"/>
                <w:u w:val="single"/>
              </w:rPr>
              <w:t>57</w:t>
            </w:r>
            <w:r>
              <w:rPr>
                <w:color w:val="000000"/>
                <w:szCs w:val="21"/>
                <w:u w:val="single"/>
              </w:rPr>
              <w:t>.8</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.2</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.8</w:t>
            </w:r>
          </w:p>
        </w:tc>
        <w:tc>
          <w:tcPr>
            <w:tcW w:w="731" w:type="dxa"/>
            <w:vAlign w:val="center"/>
          </w:tcPr>
          <w:p>
            <w:pPr>
              <w:jc w:val="center"/>
              <w:rPr>
                <w:color w:val="000000"/>
                <w:szCs w:val="21"/>
                <w:u w:val="single"/>
              </w:rPr>
            </w:pPr>
            <w:r>
              <w:rPr>
                <w:rFonts w:hint="eastAsia"/>
                <w:color w:val="000000"/>
                <w:szCs w:val="21"/>
                <w:u w:val="single"/>
              </w:rPr>
              <w:t>53</w:t>
            </w:r>
            <w:r>
              <w:rPr>
                <w:color w:val="000000"/>
                <w:szCs w:val="21"/>
                <w:u w:val="single"/>
              </w:rPr>
              <w:t>.1</w:t>
            </w:r>
          </w:p>
        </w:tc>
        <w:tc>
          <w:tcPr>
            <w:tcW w:w="733" w:type="dxa"/>
            <w:vAlign w:val="center"/>
          </w:tcPr>
          <w:p>
            <w:pPr>
              <w:jc w:val="center"/>
              <w:rPr>
                <w:color w:val="000000"/>
                <w:szCs w:val="21"/>
                <w:u w:val="single"/>
              </w:rPr>
            </w:pPr>
            <w:r>
              <w:rPr>
                <w:rFonts w:hint="eastAsia"/>
                <w:color w:val="000000"/>
                <w:szCs w:val="21"/>
                <w:u w:val="single"/>
              </w:rPr>
              <w:t>49</w:t>
            </w:r>
            <w:r>
              <w:rPr>
                <w:color w:val="000000"/>
                <w:szCs w:val="21"/>
                <w:u w:val="single"/>
              </w:rPr>
              <w:t>.9</w:t>
            </w:r>
          </w:p>
        </w:tc>
        <w:tc>
          <w:tcPr>
            <w:tcW w:w="731" w:type="dxa"/>
            <w:vAlign w:val="center"/>
          </w:tcPr>
          <w:p>
            <w:pPr>
              <w:jc w:val="center"/>
              <w:rPr>
                <w:color w:val="000000"/>
                <w:szCs w:val="21"/>
                <w:u w:val="single"/>
              </w:rPr>
            </w:pPr>
            <w:r>
              <w:rPr>
                <w:rFonts w:hint="eastAsia"/>
                <w:color w:val="000000"/>
                <w:szCs w:val="21"/>
                <w:u w:val="single"/>
              </w:rPr>
              <w:t>43</w:t>
            </w:r>
            <w:r>
              <w:rPr>
                <w:color w:val="000000"/>
                <w:szCs w:val="21"/>
                <w:u w:val="singl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dxa"/>
            <w:vMerge w:val="continue"/>
            <w:vAlign w:val="center"/>
          </w:tcPr>
          <w:p>
            <w:pPr>
              <w:jc w:val="center"/>
              <w:rPr>
                <w:color w:val="000000"/>
                <w:szCs w:val="21"/>
                <w:u w:val="single"/>
              </w:rPr>
            </w:pPr>
          </w:p>
        </w:tc>
        <w:tc>
          <w:tcPr>
            <w:tcW w:w="1829" w:type="dxa"/>
            <w:vAlign w:val="center"/>
          </w:tcPr>
          <w:p>
            <w:pPr>
              <w:jc w:val="center"/>
              <w:rPr>
                <w:color w:val="000000"/>
                <w:szCs w:val="21"/>
                <w:u w:val="single"/>
              </w:rPr>
            </w:pPr>
            <w:r>
              <w:rPr>
                <w:rFonts w:eastAsiaTheme="minorEastAsia"/>
                <w:u w:val="single"/>
              </w:rPr>
              <w:t>冷却水泵</w:t>
            </w:r>
          </w:p>
        </w:tc>
        <w:tc>
          <w:tcPr>
            <w:tcW w:w="1026" w:type="dxa"/>
            <w:vAlign w:val="center"/>
          </w:tcPr>
          <w:p>
            <w:pPr>
              <w:jc w:val="center"/>
              <w:rPr>
                <w:color w:val="000000"/>
                <w:szCs w:val="21"/>
                <w:u w:val="single"/>
              </w:rPr>
            </w:pPr>
            <w:r>
              <w:rPr>
                <w:rFonts w:eastAsiaTheme="minorEastAsia"/>
                <w:szCs w:val="21"/>
                <w:u w:val="single"/>
              </w:rPr>
              <w:t>65</w:t>
            </w:r>
          </w:p>
        </w:tc>
        <w:tc>
          <w:tcPr>
            <w:tcW w:w="731" w:type="dxa"/>
            <w:vAlign w:val="center"/>
          </w:tcPr>
          <w:p>
            <w:pPr>
              <w:jc w:val="center"/>
              <w:rPr>
                <w:color w:val="000000"/>
                <w:szCs w:val="21"/>
                <w:u w:val="single"/>
              </w:rPr>
            </w:pPr>
            <w:r>
              <w:rPr>
                <w:rFonts w:hint="eastAsia"/>
                <w:color w:val="000000"/>
                <w:szCs w:val="21"/>
                <w:u w:val="single"/>
              </w:rPr>
              <w:t>60</w:t>
            </w:r>
            <w:r>
              <w:rPr>
                <w:color w:val="000000"/>
                <w:szCs w:val="21"/>
                <w:u w:val="single"/>
              </w:rPr>
              <w:t>.9</w:t>
            </w:r>
          </w:p>
        </w:tc>
        <w:tc>
          <w:tcPr>
            <w:tcW w:w="733" w:type="dxa"/>
            <w:vAlign w:val="center"/>
          </w:tcPr>
          <w:p>
            <w:pPr>
              <w:jc w:val="center"/>
              <w:rPr>
                <w:color w:val="000000"/>
                <w:szCs w:val="21"/>
                <w:u w:val="single"/>
              </w:rPr>
            </w:pPr>
            <w:r>
              <w:rPr>
                <w:color w:val="000000"/>
                <w:szCs w:val="21"/>
                <w:u w:val="single"/>
              </w:rPr>
              <w:t>5</w:t>
            </w:r>
            <w:r>
              <w:rPr>
                <w:rFonts w:hint="eastAsia"/>
                <w:color w:val="000000"/>
                <w:szCs w:val="21"/>
                <w:u w:val="single"/>
              </w:rPr>
              <w:t>7</w:t>
            </w:r>
            <w:r>
              <w:rPr>
                <w:color w:val="000000"/>
                <w:szCs w:val="21"/>
                <w:u w:val="single"/>
              </w:rPr>
              <w:t>.3</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.2</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.8</w:t>
            </w:r>
          </w:p>
        </w:tc>
        <w:tc>
          <w:tcPr>
            <w:tcW w:w="731" w:type="dxa"/>
            <w:vAlign w:val="center"/>
          </w:tcPr>
          <w:p>
            <w:pPr>
              <w:jc w:val="center"/>
              <w:rPr>
                <w:color w:val="000000"/>
                <w:szCs w:val="21"/>
                <w:u w:val="single"/>
              </w:rPr>
            </w:pPr>
            <w:r>
              <w:rPr>
                <w:rFonts w:hint="eastAsia"/>
                <w:color w:val="000000"/>
                <w:szCs w:val="21"/>
                <w:u w:val="single"/>
              </w:rPr>
              <w:t>53</w:t>
            </w:r>
            <w:r>
              <w:rPr>
                <w:color w:val="000000"/>
                <w:szCs w:val="21"/>
                <w:u w:val="single"/>
              </w:rPr>
              <w:t>.7</w:t>
            </w:r>
          </w:p>
        </w:tc>
        <w:tc>
          <w:tcPr>
            <w:tcW w:w="733" w:type="dxa"/>
            <w:vAlign w:val="center"/>
          </w:tcPr>
          <w:p>
            <w:pPr>
              <w:jc w:val="center"/>
              <w:rPr>
                <w:color w:val="000000"/>
                <w:szCs w:val="21"/>
                <w:u w:val="single"/>
              </w:rPr>
            </w:pPr>
            <w:r>
              <w:rPr>
                <w:rFonts w:hint="eastAsia"/>
                <w:color w:val="000000"/>
                <w:szCs w:val="21"/>
                <w:u w:val="single"/>
              </w:rPr>
              <w:t>49</w:t>
            </w:r>
            <w:r>
              <w:rPr>
                <w:color w:val="000000"/>
                <w:szCs w:val="21"/>
                <w:u w:val="single"/>
              </w:rPr>
              <w:t>.1</w:t>
            </w:r>
          </w:p>
        </w:tc>
        <w:tc>
          <w:tcPr>
            <w:tcW w:w="731" w:type="dxa"/>
            <w:vAlign w:val="center"/>
          </w:tcPr>
          <w:p>
            <w:pPr>
              <w:jc w:val="center"/>
              <w:rPr>
                <w:color w:val="000000"/>
                <w:szCs w:val="21"/>
                <w:u w:val="single"/>
              </w:rPr>
            </w:pPr>
            <w:r>
              <w:rPr>
                <w:color w:val="000000"/>
                <w:szCs w:val="21"/>
                <w:u w:val="single"/>
              </w:rPr>
              <w:t>4</w:t>
            </w:r>
            <w:r>
              <w:rPr>
                <w:rFonts w:hint="eastAsia"/>
                <w:color w:val="000000"/>
                <w:szCs w:val="21"/>
                <w:u w:val="single"/>
              </w:rPr>
              <w:t>4</w:t>
            </w:r>
            <w:r>
              <w:rPr>
                <w:color w:val="000000"/>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dxa"/>
            <w:vMerge w:val="continue"/>
            <w:vAlign w:val="center"/>
          </w:tcPr>
          <w:p>
            <w:pPr>
              <w:jc w:val="center"/>
              <w:rPr>
                <w:color w:val="000000"/>
                <w:szCs w:val="21"/>
                <w:u w:val="single"/>
              </w:rPr>
            </w:pPr>
          </w:p>
        </w:tc>
        <w:tc>
          <w:tcPr>
            <w:tcW w:w="1829" w:type="dxa"/>
            <w:vAlign w:val="center"/>
          </w:tcPr>
          <w:p>
            <w:pPr>
              <w:jc w:val="center"/>
              <w:rPr>
                <w:color w:val="000000"/>
                <w:szCs w:val="21"/>
                <w:u w:val="single"/>
              </w:rPr>
            </w:pPr>
            <w:r>
              <w:rPr>
                <w:rFonts w:eastAsiaTheme="minorEastAsia"/>
                <w:u w:val="single"/>
              </w:rPr>
              <w:t>离心式冷水机组</w:t>
            </w:r>
          </w:p>
        </w:tc>
        <w:tc>
          <w:tcPr>
            <w:tcW w:w="1026" w:type="dxa"/>
            <w:vAlign w:val="center"/>
          </w:tcPr>
          <w:p>
            <w:pPr>
              <w:jc w:val="center"/>
              <w:rPr>
                <w:color w:val="000000"/>
                <w:szCs w:val="21"/>
                <w:u w:val="single"/>
              </w:rPr>
            </w:pPr>
            <w:r>
              <w:rPr>
                <w:rFonts w:eastAsiaTheme="minorEastAsia"/>
                <w:szCs w:val="21"/>
                <w:u w:val="single"/>
              </w:rPr>
              <w:t>65</w:t>
            </w:r>
          </w:p>
        </w:tc>
        <w:tc>
          <w:tcPr>
            <w:tcW w:w="731" w:type="dxa"/>
            <w:vAlign w:val="center"/>
          </w:tcPr>
          <w:p>
            <w:pPr>
              <w:jc w:val="center"/>
              <w:rPr>
                <w:color w:val="000000"/>
                <w:szCs w:val="21"/>
                <w:u w:val="single"/>
              </w:rPr>
            </w:pPr>
            <w:r>
              <w:rPr>
                <w:rFonts w:hint="eastAsia"/>
                <w:color w:val="000000"/>
                <w:szCs w:val="21"/>
                <w:u w:val="single"/>
              </w:rPr>
              <w:t>60</w:t>
            </w:r>
            <w:r>
              <w:rPr>
                <w:color w:val="000000"/>
                <w:szCs w:val="21"/>
                <w:u w:val="single"/>
              </w:rPr>
              <w:t>.8</w:t>
            </w:r>
          </w:p>
        </w:tc>
        <w:tc>
          <w:tcPr>
            <w:tcW w:w="733" w:type="dxa"/>
            <w:vAlign w:val="center"/>
          </w:tcPr>
          <w:p>
            <w:pPr>
              <w:jc w:val="center"/>
              <w:rPr>
                <w:color w:val="000000"/>
                <w:szCs w:val="21"/>
                <w:u w:val="single"/>
              </w:rPr>
            </w:pPr>
            <w:r>
              <w:rPr>
                <w:color w:val="000000"/>
                <w:szCs w:val="21"/>
                <w:u w:val="single"/>
              </w:rPr>
              <w:t>5</w:t>
            </w:r>
            <w:r>
              <w:rPr>
                <w:rFonts w:hint="eastAsia"/>
                <w:color w:val="000000"/>
                <w:szCs w:val="21"/>
                <w:u w:val="single"/>
              </w:rPr>
              <w:t>7</w:t>
            </w:r>
            <w:r>
              <w:rPr>
                <w:color w:val="000000"/>
                <w:szCs w:val="21"/>
                <w:u w:val="single"/>
              </w:rPr>
              <w:t>.2</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.5</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.6</w:t>
            </w:r>
          </w:p>
        </w:tc>
        <w:tc>
          <w:tcPr>
            <w:tcW w:w="731" w:type="dxa"/>
            <w:vAlign w:val="center"/>
          </w:tcPr>
          <w:p>
            <w:pPr>
              <w:jc w:val="center"/>
              <w:rPr>
                <w:color w:val="000000"/>
                <w:szCs w:val="21"/>
                <w:u w:val="single"/>
              </w:rPr>
            </w:pPr>
            <w:r>
              <w:rPr>
                <w:rFonts w:hint="eastAsia"/>
                <w:color w:val="000000"/>
                <w:szCs w:val="21"/>
                <w:u w:val="single"/>
              </w:rPr>
              <w:t>53</w:t>
            </w:r>
            <w:r>
              <w:rPr>
                <w:color w:val="000000"/>
                <w:szCs w:val="21"/>
                <w:u w:val="single"/>
              </w:rPr>
              <w:t>.1</w:t>
            </w:r>
          </w:p>
        </w:tc>
        <w:tc>
          <w:tcPr>
            <w:tcW w:w="733" w:type="dxa"/>
            <w:vAlign w:val="center"/>
          </w:tcPr>
          <w:p>
            <w:pPr>
              <w:jc w:val="center"/>
              <w:rPr>
                <w:color w:val="000000"/>
                <w:szCs w:val="21"/>
                <w:u w:val="single"/>
              </w:rPr>
            </w:pPr>
            <w:r>
              <w:rPr>
                <w:rFonts w:hint="eastAsia"/>
                <w:color w:val="000000"/>
                <w:szCs w:val="21"/>
                <w:u w:val="single"/>
              </w:rPr>
              <w:t>48</w:t>
            </w:r>
            <w:r>
              <w:rPr>
                <w:color w:val="000000"/>
                <w:szCs w:val="21"/>
                <w:u w:val="single"/>
              </w:rPr>
              <w:t>.8</w:t>
            </w:r>
          </w:p>
        </w:tc>
        <w:tc>
          <w:tcPr>
            <w:tcW w:w="731" w:type="dxa"/>
            <w:vAlign w:val="center"/>
          </w:tcPr>
          <w:p>
            <w:pPr>
              <w:jc w:val="center"/>
              <w:rPr>
                <w:color w:val="000000"/>
                <w:szCs w:val="21"/>
                <w:u w:val="single"/>
              </w:rPr>
            </w:pPr>
            <w:r>
              <w:rPr>
                <w:color w:val="000000"/>
                <w:szCs w:val="21"/>
                <w:u w:val="single"/>
              </w:rPr>
              <w:t>4</w:t>
            </w:r>
            <w:r>
              <w:rPr>
                <w:rFonts w:hint="eastAsia"/>
                <w:color w:val="000000"/>
                <w:szCs w:val="21"/>
                <w:u w:val="single"/>
              </w:rPr>
              <w:t>3</w:t>
            </w:r>
            <w:r>
              <w:rPr>
                <w:color w:val="000000"/>
                <w:szCs w:val="21"/>
                <w:u w:val="single"/>
              </w:rPr>
              <w:t>.7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9" w:type="dxa"/>
            <w:vMerge w:val="continue"/>
            <w:vAlign w:val="center"/>
          </w:tcPr>
          <w:p>
            <w:pPr>
              <w:jc w:val="center"/>
              <w:rPr>
                <w:color w:val="000000"/>
                <w:szCs w:val="21"/>
                <w:u w:val="single"/>
              </w:rPr>
            </w:pPr>
          </w:p>
        </w:tc>
        <w:tc>
          <w:tcPr>
            <w:tcW w:w="1829" w:type="dxa"/>
            <w:vAlign w:val="center"/>
          </w:tcPr>
          <w:p>
            <w:pPr>
              <w:jc w:val="center"/>
              <w:rPr>
                <w:color w:val="000000"/>
                <w:szCs w:val="21"/>
                <w:u w:val="single"/>
              </w:rPr>
            </w:pPr>
            <w:r>
              <w:rPr>
                <w:rFonts w:eastAsiaTheme="minorEastAsia"/>
                <w:u w:val="single"/>
              </w:rPr>
              <w:t>螺杆式冷水机组</w:t>
            </w:r>
          </w:p>
        </w:tc>
        <w:tc>
          <w:tcPr>
            <w:tcW w:w="1026" w:type="dxa"/>
            <w:vAlign w:val="center"/>
          </w:tcPr>
          <w:p>
            <w:pPr>
              <w:jc w:val="center"/>
              <w:rPr>
                <w:color w:val="000000"/>
                <w:szCs w:val="21"/>
                <w:u w:val="single"/>
              </w:rPr>
            </w:pPr>
            <w:r>
              <w:rPr>
                <w:rFonts w:eastAsiaTheme="minorEastAsia"/>
                <w:szCs w:val="21"/>
                <w:u w:val="single"/>
              </w:rPr>
              <w:t>65</w:t>
            </w:r>
          </w:p>
        </w:tc>
        <w:tc>
          <w:tcPr>
            <w:tcW w:w="731" w:type="dxa"/>
            <w:vAlign w:val="center"/>
          </w:tcPr>
          <w:p>
            <w:pPr>
              <w:jc w:val="center"/>
              <w:rPr>
                <w:color w:val="000000"/>
                <w:szCs w:val="21"/>
                <w:u w:val="single"/>
              </w:rPr>
            </w:pPr>
            <w:r>
              <w:rPr>
                <w:rFonts w:hint="eastAsia"/>
                <w:color w:val="000000"/>
                <w:szCs w:val="21"/>
                <w:u w:val="single"/>
              </w:rPr>
              <w:t>60</w:t>
            </w:r>
            <w:r>
              <w:rPr>
                <w:color w:val="000000"/>
                <w:szCs w:val="21"/>
                <w:u w:val="single"/>
              </w:rPr>
              <w:t>.1</w:t>
            </w:r>
          </w:p>
        </w:tc>
        <w:tc>
          <w:tcPr>
            <w:tcW w:w="733" w:type="dxa"/>
            <w:vAlign w:val="center"/>
          </w:tcPr>
          <w:p>
            <w:pPr>
              <w:jc w:val="center"/>
              <w:rPr>
                <w:color w:val="000000"/>
                <w:szCs w:val="21"/>
                <w:u w:val="single"/>
              </w:rPr>
            </w:pPr>
            <w:r>
              <w:rPr>
                <w:rFonts w:hint="eastAsia"/>
                <w:color w:val="000000"/>
                <w:szCs w:val="21"/>
                <w:u w:val="single"/>
              </w:rPr>
              <w:t>57</w:t>
            </w:r>
            <w:r>
              <w:rPr>
                <w:color w:val="000000"/>
                <w:szCs w:val="21"/>
                <w:u w:val="single"/>
              </w:rPr>
              <w:t>.9</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.4</w:t>
            </w:r>
          </w:p>
        </w:tc>
        <w:tc>
          <w:tcPr>
            <w:tcW w:w="733" w:type="dxa"/>
            <w:vAlign w:val="center"/>
          </w:tcPr>
          <w:p>
            <w:pPr>
              <w:jc w:val="center"/>
              <w:rPr>
                <w:color w:val="000000"/>
                <w:szCs w:val="21"/>
                <w:u w:val="single"/>
              </w:rPr>
            </w:pPr>
            <w:r>
              <w:rPr>
                <w:rFonts w:hint="eastAsia"/>
                <w:color w:val="000000"/>
                <w:szCs w:val="21"/>
                <w:u w:val="single"/>
              </w:rPr>
              <w:t>55</w:t>
            </w:r>
            <w:r>
              <w:rPr>
                <w:color w:val="000000"/>
                <w:szCs w:val="21"/>
                <w:u w:val="single"/>
              </w:rPr>
              <w:t>.5</w:t>
            </w:r>
          </w:p>
        </w:tc>
        <w:tc>
          <w:tcPr>
            <w:tcW w:w="731" w:type="dxa"/>
            <w:vAlign w:val="center"/>
          </w:tcPr>
          <w:p>
            <w:pPr>
              <w:jc w:val="center"/>
              <w:rPr>
                <w:color w:val="000000"/>
                <w:szCs w:val="21"/>
                <w:u w:val="single"/>
              </w:rPr>
            </w:pPr>
            <w:r>
              <w:rPr>
                <w:rFonts w:hint="eastAsia"/>
                <w:color w:val="000000"/>
                <w:szCs w:val="21"/>
                <w:u w:val="single"/>
              </w:rPr>
              <w:t>53</w:t>
            </w:r>
            <w:r>
              <w:rPr>
                <w:color w:val="000000"/>
                <w:szCs w:val="21"/>
                <w:u w:val="single"/>
              </w:rPr>
              <w:t>.1</w:t>
            </w:r>
          </w:p>
        </w:tc>
        <w:tc>
          <w:tcPr>
            <w:tcW w:w="733" w:type="dxa"/>
            <w:vAlign w:val="center"/>
          </w:tcPr>
          <w:p>
            <w:pPr>
              <w:jc w:val="center"/>
              <w:rPr>
                <w:color w:val="000000"/>
                <w:szCs w:val="21"/>
                <w:u w:val="single"/>
              </w:rPr>
            </w:pPr>
            <w:r>
              <w:rPr>
                <w:rFonts w:hint="eastAsia"/>
                <w:color w:val="000000"/>
                <w:szCs w:val="21"/>
                <w:u w:val="single"/>
              </w:rPr>
              <w:t>48</w:t>
            </w:r>
            <w:r>
              <w:rPr>
                <w:color w:val="000000"/>
                <w:szCs w:val="21"/>
                <w:u w:val="single"/>
              </w:rPr>
              <w:t>.9</w:t>
            </w:r>
          </w:p>
        </w:tc>
        <w:tc>
          <w:tcPr>
            <w:tcW w:w="731" w:type="dxa"/>
            <w:vAlign w:val="center"/>
          </w:tcPr>
          <w:p>
            <w:pPr>
              <w:jc w:val="center"/>
              <w:rPr>
                <w:color w:val="000000"/>
                <w:szCs w:val="21"/>
                <w:u w:val="single"/>
              </w:rPr>
            </w:pPr>
            <w:r>
              <w:rPr>
                <w:rFonts w:hint="eastAsia"/>
                <w:color w:val="000000"/>
                <w:szCs w:val="21"/>
                <w:u w:val="single"/>
              </w:rPr>
              <w:t>43</w:t>
            </w:r>
            <w:r>
              <w:rPr>
                <w:color w:val="000000"/>
                <w:szCs w:val="21"/>
                <w:u w:val="single"/>
              </w:rPr>
              <w:t>.5</w:t>
            </w:r>
          </w:p>
        </w:tc>
      </w:tr>
    </w:tbl>
    <w:p>
      <w:pPr>
        <w:snapToGrid w:val="0"/>
        <w:spacing w:line="480" w:lineRule="exact"/>
        <w:ind w:firstLine="480" w:firstLineChars="200"/>
        <w:rPr>
          <w:rFonts w:eastAsiaTheme="minorEastAsia"/>
          <w:sz w:val="24"/>
        </w:rPr>
      </w:pPr>
      <w:r>
        <w:rPr>
          <w:rFonts w:eastAsiaTheme="minorEastAsia"/>
          <w:sz w:val="24"/>
        </w:rPr>
        <w:t>从上表可见，对噪声源采取有效的降噪措施后，除柴油发电机外，其余噪声源</w:t>
      </w:r>
      <w:r>
        <w:rPr>
          <w:rFonts w:hint="eastAsia" w:eastAsiaTheme="minorEastAsia"/>
          <w:sz w:val="24"/>
        </w:rPr>
        <w:t>50</w:t>
      </w:r>
      <w:r>
        <w:rPr>
          <w:rFonts w:eastAsiaTheme="minorEastAsia"/>
          <w:sz w:val="24"/>
        </w:rPr>
        <w:t>m处的噪声值已降到50dB（A）以下，可符合《工业企业厂界环境噪声排放标准》（GB12348-2008）2类标准。本次项目的噪声源经采取有效措施后，对本项目的声环境影响较小。</w:t>
      </w:r>
    </w:p>
    <w:p>
      <w:pPr>
        <w:snapToGrid w:val="0"/>
        <w:spacing w:line="480" w:lineRule="exact"/>
        <w:ind w:firstLine="480" w:firstLineChars="200"/>
        <w:rPr>
          <w:rFonts w:eastAsiaTheme="minorEastAsia"/>
          <w:sz w:val="24"/>
        </w:rPr>
      </w:pPr>
      <w:r>
        <w:rPr>
          <w:rFonts w:eastAsiaTheme="minorEastAsia"/>
          <w:sz w:val="24"/>
        </w:rPr>
        <w:t>建设单位应尽量减少备用发电机夜间使用的频率（开动备用发电机选在白天时间），备用发电机运行时要关好备用发电机房，做好减震降噪等措施，尽量减少夜间营业时对周边敏感点的噪声环境的影响。</w:t>
      </w:r>
    </w:p>
    <w:p>
      <w:pPr>
        <w:snapToGrid w:val="0"/>
        <w:spacing w:line="480" w:lineRule="exact"/>
        <w:ind w:firstLine="482" w:firstLineChars="200"/>
        <w:rPr>
          <w:rFonts w:eastAsiaTheme="minorEastAsia"/>
          <w:b/>
          <w:bCs/>
          <w:sz w:val="24"/>
        </w:rPr>
      </w:pPr>
      <w:r>
        <w:rPr>
          <w:rFonts w:eastAsiaTheme="minorEastAsia"/>
          <w:b/>
          <w:bCs/>
          <w:sz w:val="24"/>
        </w:rPr>
        <w:t>（4）边界噪声值叠加预测分析</w:t>
      </w:r>
    </w:p>
    <w:p>
      <w:pPr>
        <w:snapToGrid w:val="0"/>
        <w:spacing w:line="480" w:lineRule="exact"/>
        <w:ind w:firstLine="480" w:firstLineChars="200"/>
        <w:rPr>
          <w:rFonts w:eastAsiaTheme="minorEastAsia"/>
          <w:sz w:val="24"/>
        </w:rPr>
      </w:pPr>
      <w:r>
        <w:rPr>
          <w:rFonts w:eastAsiaTheme="minorEastAsia"/>
          <w:sz w:val="24"/>
        </w:rPr>
        <w:t>本项目各种设备在运行时产生的噪声，通过所在建筑物的屏蔽效应、声源至受声点的距离衰减以及空气吸收衰减后，到达受声点，受声点噪声值的预测应考虑以上三个主要因素。在满足工程精度要求的前提下，根据建筑结构确定其隔声量，按平方反比定律决定距离衰减量，根据不利气象条件确定空气吸收衰减量。对项目的噪声源只考虑了采取常规降噪措施投入运行时所造成的环境影响进行预测。</w:t>
      </w:r>
    </w:p>
    <w:p>
      <w:pPr>
        <w:snapToGrid w:val="0"/>
        <w:spacing w:line="480" w:lineRule="exact"/>
        <w:ind w:firstLine="480" w:firstLineChars="200"/>
        <w:rPr>
          <w:rFonts w:eastAsiaTheme="minorEastAsia"/>
          <w:sz w:val="24"/>
        </w:rPr>
      </w:pPr>
      <w:r>
        <w:rPr>
          <w:rFonts w:hint="eastAsia" w:ascii="宋体" w:hAnsi="宋体" w:cs="宋体"/>
          <w:sz w:val="24"/>
        </w:rPr>
        <w:t>①</w:t>
      </w:r>
      <w:r>
        <w:rPr>
          <w:rFonts w:eastAsiaTheme="minorEastAsia"/>
          <w:sz w:val="24"/>
        </w:rPr>
        <w:t>对室外噪声源主要考虑噪声的几何发散衰减及环境因素衰减：</w:t>
      </w:r>
    </w:p>
    <w:p>
      <w:pPr>
        <w:snapToGrid w:val="0"/>
        <w:spacing w:line="480" w:lineRule="exact"/>
        <w:jc w:val="center"/>
        <w:rPr>
          <w:rFonts w:eastAsiaTheme="minorEastAsia"/>
          <w:sz w:val="24"/>
        </w:rPr>
      </w:pPr>
      <w:r>
        <w:rPr>
          <w:rFonts w:eastAsiaTheme="minorEastAsia"/>
          <w:sz w:val="24"/>
        </w:rPr>
        <w:t>L2=L1-20lg(r2/r1)-ΔL</w:t>
      </w:r>
    </w:p>
    <w:p>
      <w:pPr>
        <w:snapToGrid w:val="0"/>
        <w:spacing w:line="480" w:lineRule="exact"/>
        <w:ind w:firstLine="480" w:firstLineChars="200"/>
        <w:rPr>
          <w:rFonts w:eastAsiaTheme="minorEastAsia"/>
          <w:sz w:val="24"/>
        </w:rPr>
      </w:pPr>
      <w:r>
        <w:rPr>
          <w:rFonts w:eastAsiaTheme="minorEastAsia"/>
          <w:sz w:val="24"/>
        </w:rPr>
        <w:t>式中：L2——点声源在预测点产生的声压级，dB(A)；</w:t>
      </w:r>
    </w:p>
    <w:p>
      <w:pPr>
        <w:snapToGrid w:val="0"/>
        <w:spacing w:line="480" w:lineRule="exact"/>
        <w:ind w:firstLine="1132" w:firstLineChars="472"/>
        <w:rPr>
          <w:rFonts w:eastAsiaTheme="minorEastAsia"/>
          <w:sz w:val="24"/>
        </w:rPr>
      </w:pPr>
      <w:r>
        <w:rPr>
          <w:rFonts w:eastAsiaTheme="minorEastAsia"/>
          <w:sz w:val="24"/>
        </w:rPr>
        <w:t>L1——点声源在参考点产生的声压级，dB(A)；</w:t>
      </w:r>
    </w:p>
    <w:p>
      <w:pPr>
        <w:snapToGrid w:val="0"/>
        <w:spacing w:line="480" w:lineRule="exact"/>
        <w:ind w:firstLine="1132" w:firstLineChars="472"/>
        <w:rPr>
          <w:rFonts w:eastAsiaTheme="minorEastAsia"/>
          <w:sz w:val="24"/>
        </w:rPr>
      </w:pPr>
      <w:r>
        <w:rPr>
          <w:rFonts w:eastAsiaTheme="minorEastAsia"/>
          <w:sz w:val="24"/>
        </w:rPr>
        <w:t>r2——预测点距声源的距离，m；</w:t>
      </w:r>
    </w:p>
    <w:p>
      <w:pPr>
        <w:snapToGrid w:val="0"/>
        <w:spacing w:line="480" w:lineRule="exact"/>
        <w:ind w:firstLine="1132" w:firstLineChars="472"/>
        <w:rPr>
          <w:rFonts w:eastAsiaTheme="minorEastAsia"/>
          <w:sz w:val="24"/>
        </w:rPr>
      </w:pPr>
      <w:r>
        <w:rPr>
          <w:rFonts w:eastAsiaTheme="minorEastAsia"/>
          <w:sz w:val="24"/>
        </w:rPr>
        <w:t>r1——参考点距声源的距离，m；</w:t>
      </w:r>
    </w:p>
    <w:p>
      <w:pPr>
        <w:snapToGrid w:val="0"/>
        <w:spacing w:line="480" w:lineRule="exact"/>
        <w:ind w:firstLine="1132" w:firstLineChars="472"/>
        <w:rPr>
          <w:rFonts w:eastAsiaTheme="minorEastAsia"/>
          <w:sz w:val="24"/>
        </w:rPr>
      </w:pPr>
      <w:r>
        <w:rPr>
          <w:rFonts w:eastAsiaTheme="minorEastAsia"/>
          <w:sz w:val="24"/>
        </w:rPr>
        <w:t>ΔL——各种因素引起的衰减量（包括声屏障、空气吸收等引起的衰减量），dB(A)。</w:t>
      </w:r>
    </w:p>
    <w:p>
      <w:pPr>
        <w:snapToGrid w:val="0"/>
        <w:spacing w:line="480" w:lineRule="exact"/>
        <w:ind w:firstLine="480" w:firstLineChars="200"/>
        <w:rPr>
          <w:rFonts w:eastAsiaTheme="minorEastAsia"/>
          <w:sz w:val="24"/>
        </w:rPr>
      </w:pPr>
      <w:r>
        <w:rPr>
          <w:rFonts w:eastAsiaTheme="minorEastAsia"/>
          <w:sz w:val="24"/>
        </w:rPr>
        <w:t>对室内噪声源采用室内声源噪声模式并换算成等效的室外声源：</w:t>
      </w:r>
    </w:p>
    <w:p>
      <w:pPr>
        <w:spacing w:line="360" w:lineRule="auto"/>
        <w:jc w:val="center"/>
        <w:rPr>
          <w:color w:val="000000"/>
          <w:sz w:val="24"/>
        </w:rPr>
      </w:pPr>
      <w:r>
        <w:rPr>
          <w:color w:val="000000"/>
          <w:position w:val="-24"/>
          <w:sz w:val="24"/>
        </w:rPr>
        <w:object>
          <v:shape id="_x0000_i1027" o:spt="75" type="#_x0000_t75" style="height:31.9pt;width:130.4pt;" o:ole="t" filled="f" o:preferrelative="t" stroked="f" coordsize="21600,21600">
            <v:path/>
            <v:fill on="f" focussize="0,0"/>
            <v:stroke on="f" joinstyle="miter"/>
            <v:imagedata r:id="rId39" o:title=""/>
            <o:lock v:ext="edit" aspectratio="t"/>
            <w10:wrap type="none"/>
            <w10:anchorlock/>
          </v:shape>
          <o:OLEObject Type="Embed" ProgID="Equation.DSMT4" ShapeID="_x0000_i1027" DrawAspect="Content" ObjectID="_1468075727" r:id="rId38">
            <o:LockedField>false</o:LockedField>
          </o:OLEObject>
        </w:object>
      </w:r>
    </w:p>
    <w:p>
      <w:pPr>
        <w:snapToGrid w:val="0"/>
        <w:spacing w:line="480" w:lineRule="exact"/>
        <w:jc w:val="center"/>
        <w:rPr>
          <w:rFonts w:eastAsiaTheme="minorEastAsia"/>
          <w:sz w:val="24"/>
        </w:rPr>
      </w:pPr>
      <w:r>
        <w:rPr>
          <w:color w:val="000000"/>
          <w:position w:val="-12"/>
          <w:sz w:val="24"/>
        </w:rPr>
        <w:object>
          <v:shape id="_x0000_i1028" o:spt="75" type="#_x0000_t75" style="height:18.35pt;width:133.8pt;" o:ole="t" filled="f" o:preferrelative="t" stroked="f" coordsize="21600,21600">
            <v:path/>
            <v:fill on="f" focussize="0,0"/>
            <v:stroke on="f" joinstyle="miter"/>
            <v:imagedata r:id="rId41" o:title=""/>
            <o:lock v:ext="edit" aspectratio="t"/>
            <w10:wrap type="none"/>
            <w10:anchorlock/>
          </v:shape>
          <o:OLEObject Type="Embed" ProgID="Equation.DSMT4" ShapeID="_x0000_i1028" DrawAspect="Content" ObjectID="_1468075728" r:id="rId40">
            <o:LockedField>false</o:LockedField>
          </o:OLEObject>
        </w:object>
      </w:r>
    </w:p>
    <w:p>
      <w:pPr>
        <w:snapToGrid w:val="0"/>
        <w:spacing w:line="480" w:lineRule="exact"/>
        <w:ind w:firstLine="480" w:firstLineChars="200"/>
        <w:rPr>
          <w:rFonts w:eastAsiaTheme="minorEastAsia"/>
          <w:sz w:val="24"/>
        </w:rPr>
      </w:pPr>
      <w:r>
        <w:rPr>
          <w:rFonts w:eastAsiaTheme="minorEastAsia"/>
          <w:sz w:val="24"/>
        </w:rPr>
        <w:t>式中：Ln——室内靠近围护结构处产生的声压级，dB；</w:t>
      </w:r>
    </w:p>
    <w:p>
      <w:pPr>
        <w:snapToGrid w:val="0"/>
        <w:spacing w:line="480" w:lineRule="exact"/>
        <w:ind w:firstLine="1132" w:firstLineChars="472"/>
        <w:rPr>
          <w:rFonts w:eastAsiaTheme="minorEastAsia"/>
          <w:sz w:val="24"/>
        </w:rPr>
      </w:pPr>
      <w:r>
        <w:rPr>
          <w:rFonts w:eastAsiaTheme="minorEastAsia"/>
          <w:sz w:val="24"/>
        </w:rPr>
        <w:t>LW——室外靠近围护结构处产生的声压级，dB；</w:t>
      </w:r>
    </w:p>
    <w:p>
      <w:pPr>
        <w:snapToGrid w:val="0"/>
        <w:spacing w:line="480" w:lineRule="exact"/>
        <w:ind w:firstLine="1132" w:firstLineChars="472"/>
        <w:rPr>
          <w:rFonts w:eastAsiaTheme="minorEastAsia"/>
          <w:sz w:val="24"/>
        </w:rPr>
      </w:pPr>
      <w:r>
        <w:rPr>
          <w:rFonts w:eastAsiaTheme="minorEastAsia"/>
          <w:sz w:val="24"/>
        </w:rPr>
        <w:t>Le——声源的声压级，dB；</w:t>
      </w:r>
    </w:p>
    <w:p>
      <w:pPr>
        <w:snapToGrid w:val="0"/>
        <w:spacing w:line="480" w:lineRule="exact"/>
        <w:ind w:firstLine="1132" w:firstLineChars="472"/>
        <w:rPr>
          <w:rFonts w:eastAsiaTheme="minorEastAsia"/>
          <w:sz w:val="24"/>
        </w:rPr>
      </w:pPr>
      <w:r>
        <w:rPr>
          <w:rFonts w:eastAsiaTheme="minorEastAsia"/>
          <w:sz w:val="24"/>
        </w:rPr>
        <w:t>r——声源与室内靠近围护结构处的距离，m；</w:t>
      </w:r>
    </w:p>
    <w:p>
      <w:pPr>
        <w:snapToGrid w:val="0"/>
        <w:spacing w:line="480" w:lineRule="exact"/>
        <w:ind w:firstLine="1132" w:firstLineChars="472"/>
        <w:rPr>
          <w:rFonts w:eastAsiaTheme="minorEastAsia"/>
          <w:sz w:val="24"/>
        </w:rPr>
      </w:pPr>
      <w:r>
        <w:rPr>
          <w:rFonts w:eastAsiaTheme="minorEastAsia"/>
          <w:sz w:val="24"/>
        </w:rPr>
        <w:t>R——房间常数，m</w:t>
      </w:r>
      <w:r>
        <w:rPr>
          <w:rFonts w:eastAsiaTheme="minorEastAsia"/>
          <w:sz w:val="24"/>
          <w:vertAlign w:val="superscript"/>
        </w:rPr>
        <w:t>2</w:t>
      </w:r>
      <w:r>
        <w:rPr>
          <w:rFonts w:eastAsiaTheme="minorEastAsia"/>
          <w:sz w:val="24"/>
        </w:rPr>
        <w:t>；</w:t>
      </w:r>
    </w:p>
    <w:p>
      <w:pPr>
        <w:snapToGrid w:val="0"/>
        <w:spacing w:line="480" w:lineRule="exact"/>
        <w:ind w:firstLine="1132" w:firstLineChars="472"/>
        <w:rPr>
          <w:rFonts w:eastAsiaTheme="minorEastAsia"/>
          <w:sz w:val="24"/>
        </w:rPr>
      </w:pPr>
      <w:r>
        <w:rPr>
          <w:rFonts w:eastAsiaTheme="minorEastAsia"/>
          <w:sz w:val="24"/>
        </w:rPr>
        <w:t>Q——方向性因子；</w:t>
      </w:r>
    </w:p>
    <w:p>
      <w:pPr>
        <w:snapToGrid w:val="0"/>
        <w:spacing w:line="480" w:lineRule="exact"/>
        <w:ind w:firstLine="1132" w:firstLineChars="472"/>
        <w:rPr>
          <w:rFonts w:eastAsiaTheme="minorEastAsia"/>
          <w:sz w:val="24"/>
        </w:rPr>
      </w:pPr>
      <w:r>
        <w:rPr>
          <w:rFonts w:eastAsiaTheme="minorEastAsia"/>
          <w:sz w:val="24"/>
        </w:rPr>
        <w:t>TL——围护结构的传输损失，dB；</w:t>
      </w:r>
    </w:p>
    <w:p>
      <w:pPr>
        <w:snapToGrid w:val="0"/>
        <w:spacing w:line="480" w:lineRule="exact"/>
        <w:ind w:firstLine="1132" w:firstLineChars="472"/>
        <w:rPr>
          <w:rFonts w:eastAsiaTheme="minorEastAsia"/>
          <w:sz w:val="24"/>
        </w:rPr>
      </w:pPr>
      <w:r>
        <w:rPr>
          <w:rFonts w:eastAsiaTheme="minorEastAsia"/>
          <w:sz w:val="24"/>
        </w:rPr>
        <w:t>S——透声面积，m</w:t>
      </w:r>
      <w:r>
        <w:rPr>
          <w:rFonts w:eastAsiaTheme="minorEastAsia"/>
          <w:sz w:val="24"/>
          <w:vertAlign w:val="superscript"/>
        </w:rPr>
        <w:t>2</w:t>
      </w:r>
    </w:p>
    <w:p>
      <w:pPr>
        <w:snapToGrid w:val="0"/>
        <w:spacing w:line="480" w:lineRule="exact"/>
        <w:ind w:firstLine="480" w:firstLineChars="200"/>
        <w:rPr>
          <w:rFonts w:eastAsiaTheme="minorEastAsia"/>
          <w:sz w:val="24"/>
        </w:rPr>
      </w:pPr>
      <w:r>
        <w:rPr>
          <w:rFonts w:eastAsiaTheme="minorEastAsia"/>
          <w:sz w:val="24"/>
        </w:rPr>
        <w:t>对两个以上多个声源同时存在时，其预测点总声压级采用下面公式：</w:t>
      </w:r>
    </w:p>
    <w:p>
      <w:pPr>
        <w:spacing w:line="360" w:lineRule="auto"/>
        <w:jc w:val="center"/>
        <w:rPr>
          <w:color w:val="000000"/>
          <w:sz w:val="24"/>
        </w:rPr>
      </w:pPr>
      <w:r>
        <w:rPr>
          <w:color w:val="000000"/>
          <w:sz w:val="24"/>
        </w:rPr>
        <w:t>Leq=10log(</w:t>
      </w:r>
      <w:r>
        <w:rPr>
          <w:color w:val="000000"/>
          <w:sz w:val="24"/>
        </w:rPr>
        <w:sym w:font="Symbol" w:char="F0E5"/>
      </w:r>
      <w:r>
        <w:rPr>
          <w:color w:val="000000"/>
          <w:sz w:val="24"/>
        </w:rPr>
        <w:t>10</w:t>
      </w:r>
      <w:r>
        <w:rPr>
          <w:color w:val="000000"/>
          <w:sz w:val="24"/>
          <w:vertAlign w:val="superscript"/>
        </w:rPr>
        <w:t>0.1Li</w:t>
      </w:r>
      <w:r>
        <w:rPr>
          <w:color w:val="000000"/>
          <w:sz w:val="24"/>
        </w:rPr>
        <w:t>)</w:t>
      </w:r>
    </w:p>
    <w:p>
      <w:pPr>
        <w:snapToGrid w:val="0"/>
        <w:spacing w:line="480" w:lineRule="exact"/>
        <w:ind w:firstLine="480" w:firstLineChars="200"/>
        <w:rPr>
          <w:rFonts w:eastAsiaTheme="minorEastAsia"/>
          <w:sz w:val="24"/>
        </w:rPr>
      </w:pPr>
      <w:r>
        <w:rPr>
          <w:rFonts w:eastAsiaTheme="minorEastAsia"/>
          <w:sz w:val="24"/>
        </w:rPr>
        <w:t>式中：Leq-----预测点的总等效声级，dB(A)；</w:t>
      </w:r>
    </w:p>
    <w:p>
      <w:pPr>
        <w:snapToGrid w:val="0"/>
        <w:spacing w:line="480" w:lineRule="exact"/>
        <w:ind w:firstLine="480" w:firstLineChars="200"/>
        <w:rPr>
          <w:rFonts w:eastAsiaTheme="minorEastAsia"/>
          <w:sz w:val="24"/>
        </w:rPr>
      </w:pPr>
      <w:r>
        <w:rPr>
          <w:rFonts w:eastAsiaTheme="minorEastAsia"/>
          <w:sz w:val="24"/>
        </w:rPr>
        <w:t xml:space="preserve">      Li-----第i个声源对预测点的声级影响，dB(A)。</w:t>
      </w:r>
    </w:p>
    <w:p>
      <w:pPr>
        <w:snapToGrid w:val="0"/>
        <w:spacing w:line="480" w:lineRule="exact"/>
        <w:ind w:firstLine="480" w:firstLineChars="200"/>
        <w:rPr>
          <w:rFonts w:eastAsiaTheme="minorEastAsia"/>
          <w:sz w:val="24"/>
        </w:rPr>
      </w:pPr>
      <w:r>
        <w:rPr>
          <w:rFonts w:eastAsiaTheme="minorEastAsia"/>
          <w:sz w:val="24"/>
        </w:rPr>
        <w:t>为预测项目噪声源对周围声环境的影响情况，首先预测噪声随距离的衰减，然后将噪声源产生的噪声值与区域噪声背景值叠加，即可以预测不同距离的噪声值。叠加公式为：</w:t>
      </w:r>
    </w:p>
    <w:p>
      <w:pPr>
        <w:snapToGrid w:val="0"/>
        <w:spacing w:line="480" w:lineRule="exact"/>
        <w:jc w:val="center"/>
        <w:rPr>
          <w:rFonts w:eastAsiaTheme="minorEastAsia"/>
          <w:sz w:val="24"/>
        </w:rPr>
      </w:pPr>
      <w:r>
        <w:rPr>
          <w:rFonts w:eastAsiaTheme="minorEastAsia"/>
          <w:sz w:val="24"/>
        </w:rPr>
        <w:t>Leq=10Lg[10L1/10+10L2/10]</w:t>
      </w:r>
    </w:p>
    <w:p>
      <w:pPr>
        <w:snapToGrid w:val="0"/>
        <w:spacing w:line="480" w:lineRule="exact"/>
        <w:ind w:firstLine="480" w:firstLineChars="200"/>
        <w:rPr>
          <w:rFonts w:eastAsiaTheme="minorEastAsia"/>
          <w:sz w:val="24"/>
        </w:rPr>
      </w:pPr>
      <w:r>
        <w:rPr>
          <w:rFonts w:eastAsiaTheme="minorEastAsia"/>
          <w:sz w:val="24"/>
        </w:rPr>
        <w:t xml:space="preserve">式中：  </w:t>
      </w:r>
    </w:p>
    <w:p>
      <w:pPr>
        <w:snapToGrid w:val="0"/>
        <w:spacing w:line="480" w:lineRule="exact"/>
        <w:ind w:firstLine="480" w:firstLineChars="200"/>
        <w:rPr>
          <w:rFonts w:eastAsiaTheme="minorEastAsia"/>
          <w:sz w:val="24"/>
        </w:rPr>
      </w:pPr>
      <w:r>
        <w:rPr>
          <w:rFonts w:eastAsiaTheme="minorEastAsia"/>
          <w:sz w:val="24"/>
        </w:rPr>
        <w:t xml:space="preserve">        Leq-----噪声源噪声与背景噪声叠加值；</w:t>
      </w:r>
    </w:p>
    <w:p>
      <w:pPr>
        <w:snapToGrid w:val="0"/>
        <w:spacing w:line="480" w:lineRule="exact"/>
        <w:ind w:firstLine="480" w:firstLineChars="200"/>
        <w:rPr>
          <w:rFonts w:eastAsiaTheme="minorEastAsia"/>
          <w:sz w:val="24"/>
        </w:rPr>
      </w:pPr>
      <w:r>
        <w:rPr>
          <w:rFonts w:eastAsiaTheme="minorEastAsia"/>
          <w:sz w:val="24"/>
        </w:rPr>
        <w:t xml:space="preserve">        L1-----背景噪声，L2为噪声源影响值。</w:t>
      </w:r>
    </w:p>
    <w:p>
      <w:pPr>
        <w:snapToGrid w:val="0"/>
        <w:spacing w:line="480" w:lineRule="exact"/>
        <w:ind w:firstLine="480" w:firstLineChars="200"/>
        <w:rPr>
          <w:rFonts w:eastAsiaTheme="minorEastAsia"/>
          <w:sz w:val="24"/>
        </w:rPr>
      </w:pPr>
      <w:r>
        <w:rPr>
          <w:rFonts w:eastAsiaTheme="minorEastAsia"/>
          <w:sz w:val="24"/>
        </w:rPr>
        <w:t>（2）预测结果分析</w:t>
      </w:r>
    </w:p>
    <w:p>
      <w:pPr>
        <w:snapToGrid w:val="0"/>
        <w:spacing w:line="480" w:lineRule="exact"/>
        <w:ind w:firstLine="480" w:firstLineChars="200"/>
        <w:rPr>
          <w:rFonts w:eastAsiaTheme="minorEastAsia"/>
          <w:sz w:val="24"/>
        </w:rPr>
      </w:pPr>
      <w:r>
        <w:rPr>
          <w:rFonts w:eastAsiaTheme="minorEastAsia"/>
          <w:sz w:val="24"/>
        </w:rPr>
        <w:t>该项目建成投入使用后，所有设备均选用低噪、低振设备，并采取隔声、消声、吸声及减振等综合措施，使设备噪声排放达到《工业企业厂界环境噪声排放标准》（GB12348-2008）2类标准。设备噪声得到有效控制后，再加上建筑物阻隔和空间衰减等因素，根据各噪声源的强度和分布情况以及声能叠加原理，对建设项目的强噪声源进行噪声治理后的情况分别用预测模式计算，各噪声源对边界噪声贡献值以及叠加背景值后的预测值结果见下表。</w:t>
      </w:r>
    </w:p>
    <w:p>
      <w:pPr>
        <w:snapToGrid w:val="0"/>
        <w:spacing w:line="360" w:lineRule="auto"/>
        <w:jc w:val="center"/>
        <w:rPr>
          <w:rFonts w:eastAsiaTheme="minorEastAsia"/>
          <w:b/>
          <w:bCs/>
          <w:sz w:val="24"/>
        </w:rPr>
      </w:pPr>
      <w:r>
        <w:rPr>
          <w:rFonts w:eastAsiaTheme="minorEastAsia"/>
          <w:b/>
          <w:bCs/>
          <w:sz w:val="24"/>
        </w:rPr>
        <w:t>表6.6-4  各边界噪声预测结果  单位：dB（A）</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6"/>
        <w:gridCol w:w="1023"/>
        <w:gridCol w:w="1462"/>
        <w:gridCol w:w="1023"/>
        <w:gridCol w:w="1464"/>
        <w:gridCol w:w="1098"/>
        <w:gridCol w:w="646"/>
        <w:gridCol w:w="6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26" w:type="dxa"/>
            <w:vMerge w:val="restart"/>
            <w:vAlign w:val="center"/>
          </w:tcPr>
          <w:p>
            <w:pPr>
              <w:jc w:val="center"/>
              <w:rPr>
                <w:b/>
                <w:bCs/>
                <w:color w:val="000000"/>
                <w:szCs w:val="21"/>
              </w:rPr>
            </w:pPr>
            <w:r>
              <w:rPr>
                <w:b/>
                <w:bCs/>
                <w:color w:val="000000"/>
                <w:szCs w:val="21"/>
              </w:rPr>
              <w:t>监测点位置</w:t>
            </w:r>
          </w:p>
        </w:tc>
        <w:tc>
          <w:tcPr>
            <w:tcW w:w="1023" w:type="dxa"/>
            <w:vMerge w:val="restart"/>
            <w:vAlign w:val="center"/>
          </w:tcPr>
          <w:p>
            <w:pPr>
              <w:jc w:val="center"/>
              <w:rPr>
                <w:b/>
                <w:bCs/>
                <w:color w:val="000000"/>
                <w:szCs w:val="21"/>
              </w:rPr>
            </w:pPr>
            <w:r>
              <w:rPr>
                <w:b/>
                <w:bCs/>
                <w:color w:val="000000"/>
                <w:szCs w:val="21"/>
              </w:rPr>
              <w:t>噪声源贡献值</w:t>
            </w:r>
          </w:p>
        </w:tc>
        <w:tc>
          <w:tcPr>
            <w:tcW w:w="2485" w:type="dxa"/>
            <w:gridSpan w:val="2"/>
            <w:vAlign w:val="center"/>
          </w:tcPr>
          <w:p>
            <w:pPr>
              <w:jc w:val="center"/>
              <w:rPr>
                <w:b/>
                <w:bCs/>
                <w:color w:val="000000"/>
                <w:szCs w:val="21"/>
              </w:rPr>
            </w:pPr>
            <w:r>
              <w:rPr>
                <w:b/>
                <w:bCs/>
                <w:color w:val="000000"/>
                <w:szCs w:val="21"/>
              </w:rPr>
              <w:t>昼间</w:t>
            </w:r>
          </w:p>
        </w:tc>
        <w:tc>
          <w:tcPr>
            <w:tcW w:w="2562" w:type="dxa"/>
            <w:gridSpan w:val="2"/>
            <w:vAlign w:val="center"/>
          </w:tcPr>
          <w:p>
            <w:pPr>
              <w:jc w:val="center"/>
              <w:rPr>
                <w:b/>
                <w:bCs/>
                <w:color w:val="000000"/>
                <w:szCs w:val="21"/>
              </w:rPr>
            </w:pPr>
            <w:r>
              <w:rPr>
                <w:b/>
                <w:bCs/>
                <w:color w:val="000000"/>
                <w:szCs w:val="21"/>
              </w:rPr>
              <w:t>夜间</w:t>
            </w:r>
          </w:p>
        </w:tc>
        <w:tc>
          <w:tcPr>
            <w:tcW w:w="1293" w:type="dxa"/>
            <w:gridSpan w:val="2"/>
            <w:vAlign w:val="center"/>
          </w:tcPr>
          <w:p>
            <w:pPr>
              <w:jc w:val="center"/>
              <w:rPr>
                <w:b/>
                <w:bCs/>
                <w:color w:val="000000"/>
                <w:szCs w:val="21"/>
              </w:rPr>
            </w:pPr>
            <w:r>
              <w:rPr>
                <w:b/>
                <w:bCs/>
                <w:color w:val="000000"/>
                <w:szCs w:val="21"/>
              </w:rPr>
              <w:t>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26" w:type="dxa"/>
            <w:vMerge w:val="continue"/>
            <w:vAlign w:val="center"/>
          </w:tcPr>
          <w:p>
            <w:pPr>
              <w:ind w:firstLine="422" w:firstLineChars="200"/>
              <w:jc w:val="center"/>
              <w:rPr>
                <w:b/>
                <w:bCs/>
                <w:color w:val="000000"/>
                <w:szCs w:val="21"/>
              </w:rPr>
            </w:pPr>
          </w:p>
        </w:tc>
        <w:tc>
          <w:tcPr>
            <w:tcW w:w="1023" w:type="dxa"/>
            <w:vMerge w:val="continue"/>
            <w:vAlign w:val="center"/>
          </w:tcPr>
          <w:p>
            <w:pPr>
              <w:jc w:val="center"/>
              <w:rPr>
                <w:b/>
                <w:bCs/>
                <w:color w:val="000000"/>
                <w:szCs w:val="21"/>
              </w:rPr>
            </w:pPr>
          </w:p>
        </w:tc>
        <w:tc>
          <w:tcPr>
            <w:tcW w:w="1462" w:type="dxa"/>
            <w:vAlign w:val="center"/>
          </w:tcPr>
          <w:p>
            <w:pPr>
              <w:jc w:val="center"/>
              <w:rPr>
                <w:b/>
                <w:bCs/>
                <w:color w:val="000000"/>
                <w:szCs w:val="21"/>
              </w:rPr>
            </w:pPr>
            <w:r>
              <w:rPr>
                <w:b/>
                <w:bCs/>
                <w:color w:val="000000"/>
                <w:szCs w:val="21"/>
              </w:rPr>
              <w:t>现状监测值</w:t>
            </w:r>
          </w:p>
        </w:tc>
        <w:tc>
          <w:tcPr>
            <w:tcW w:w="1023" w:type="dxa"/>
            <w:vAlign w:val="center"/>
          </w:tcPr>
          <w:p>
            <w:pPr>
              <w:jc w:val="center"/>
              <w:rPr>
                <w:b/>
                <w:bCs/>
                <w:color w:val="000000"/>
                <w:szCs w:val="21"/>
              </w:rPr>
            </w:pPr>
            <w:r>
              <w:rPr>
                <w:b/>
                <w:bCs/>
                <w:color w:val="000000"/>
                <w:szCs w:val="21"/>
              </w:rPr>
              <w:t>预测值</w:t>
            </w:r>
          </w:p>
        </w:tc>
        <w:tc>
          <w:tcPr>
            <w:tcW w:w="1464" w:type="dxa"/>
            <w:vAlign w:val="center"/>
          </w:tcPr>
          <w:p>
            <w:pPr>
              <w:jc w:val="center"/>
              <w:rPr>
                <w:b/>
                <w:bCs/>
                <w:color w:val="000000"/>
                <w:szCs w:val="21"/>
              </w:rPr>
            </w:pPr>
            <w:r>
              <w:rPr>
                <w:b/>
                <w:bCs/>
                <w:color w:val="000000"/>
                <w:szCs w:val="21"/>
              </w:rPr>
              <w:t>现状监测值</w:t>
            </w:r>
          </w:p>
        </w:tc>
        <w:tc>
          <w:tcPr>
            <w:tcW w:w="1098" w:type="dxa"/>
            <w:vAlign w:val="center"/>
          </w:tcPr>
          <w:p>
            <w:pPr>
              <w:jc w:val="center"/>
              <w:rPr>
                <w:b/>
                <w:bCs/>
                <w:color w:val="000000"/>
                <w:szCs w:val="21"/>
              </w:rPr>
            </w:pPr>
            <w:r>
              <w:rPr>
                <w:b/>
                <w:bCs/>
                <w:color w:val="000000"/>
                <w:szCs w:val="21"/>
              </w:rPr>
              <w:t>预测值</w:t>
            </w:r>
          </w:p>
        </w:tc>
        <w:tc>
          <w:tcPr>
            <w:tcW w:w="646" w:type="dxa"/>
            <w:vAlign w:val="center"/>
          </w:tcPr>
          <w:p>
            <w:pPr>
              <w:jc w:val="center"/>
              <w:rPr>
                <w:b/>
                <w:bCs/>
                <w:color w:val="000000"/>
                <w:szCs w:val="21"/>
              </w:rPr>
            </w:pPr>
            <w:r>
              <w:rPr>
                <w:b/>
                <w:bCs/>
                <w:color w:val="000000"/>
                <w:szCs w:val="21"/>
              </w:rPr>
              <w:t>昼间</w:t>
            </w:r>
          </w:p>
        </w:tc>
        <w:tc>
          <w:tcPr>
            <w:tcW w:w="647" w:type="dxa"/>
            <w:vAlign w:val="center"/>
          </w:tcPr>
          <w:p>
            <w:pPr>
              <w:jc w:val="center"/>
              <w:rPr>
                <w:b/>
                <w:bCs/>
                <w:color w:val="000000"/>
                <w:szCs w:val="21"/>
              </w:rPr>
            </w:pPr>
            <w:r>
              <w:rPr>
                <w:b/>
                <w:bCs/>
                <w:color w:val="000000"/>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26" w:type="dxa"/>
            <w:vAlign w:val="center"/>
          </w:tcPr>
          <w:p>
            <w:pPr>
              <w:adjustRightInd w:val="0"/>
              <w:snapToGrid w:val="0"/>
              <w:jc w:val="center"/>
              <w:rPr>
                <w:bCs/>
                <w:color w:val="000000"/>
                <w:szCs w:val="21"/>
              </w:rPr>
            </w:pPr>
            <w:r>
              <w:rPr>
                <w:bCs/>
                <w:color w:val="000000"/>
                <w:szCs w:val="21"/>
              </w:rPr>
              <w:t>1#项目东</w:t>
            </w:r>
            <w:r>
              <w:rPr>
                <w:color w:val="000000"/>
                <w:szCs w:val="21"/>
              </w:rPr>
              <w:t>面</w:t>
            </w:r>
          </w:p>
        </w:tc>
        <w:tc>
          <w:tcPr>
            <w:tcW w:w="1023" w:type="dxa"/>
            <w:vAlign w:val="center"/>
          </w:tcPr>
          <w:p>
            <w:pPr>
              <w:jc w:val="center"/>
              <w:rPr>
                <w:color w:val="000000"/>
                <w:szCs w:val="21"/>
              </w:rPr>
            </w:pPr>
            <w:r>
              <w:rPr>
                <w:color w:val="000000"/>
                <w:szCs w:val="21"/>
              </w:rPr>
              <w:t>43.5</w:t>
            </w:r>
          </w:p>
        </w:tc>
        <w:tc>
          <w:tcPr>
            <w:tcW w:w="1462" w:type="dxa"/>
            <w:vAlign w:val="center"/>
          </w:tcPr>
          <w:p>
            <w:pPr>
              <w:jc w:val="center"/>
              <w:rPr>
                <w:color w:val="000000"/>
                <w:szCs w:val="21"/>
              </w:rPr>
            </w:pPr>
            <w:r>
              <w:rPr>
                <w:color w:val="000000"/>
                <w:szCs w:val="21"/>
              </w:rPr>
              <w:t>55.6</w:t>
            </w:r>
          </w:p>
        </w:tc>
        <w:tc>
          <w:tcPr>
            <w:tcW w:w="1023" w:type="dxa"/>
            <w:vAlign w:val="center"/>
          </w:tcPr>
          <w:p>
            <w:pPr>
              <w:jc w:val="center"/>
              <w:rPr>
                <w:color w:val="000000"/>
                <w:szCs w:val="21"/>
              </w:rPr>
            </w:pPr>
            <w:r>
              <w:rPr>
                <w:color w:val="000000"/>
                <w:szCs w:val="21"/>
              </w:rPr>
              <w:t>57</w:t>
            </w:r>
          </w:p>
        </w:tc>
        <w:tc>
          <w:tcPr>
            <w:tcW w:w="1464" w:type="dxa"/>
            <w:vAlign w:val="center"/>
          </w:tcPr>
          <w:p>
            <w:pPr>
              <w:jc w:val="center"/>
              <w:rPr>
                <w:color w:val="000000"/>
                <w:szCs w:val="21"/>
              </w:rPr>
            </w:pPr>
            <w:r>
              <w:rPr>
                <w:color w:val="000000"/>
                <w:szCs w:val="21"/>
              </w:rPr>
              <w:t>46.1</w:t>
            </w:r>
          </w:p>
        </w:tc>
        <w:tc>
          <w:tcPr>
            <w:tcW w:w="1098" w:type="dxa"/>
            <w:vAlign w:val="center"/>
          </w:tcPr>
          <w:p>
            <w:pPr>
              <w:jc w:val="center"/>
              <w:rPr>
                <w:color w:val="000000"/>
                <w:szCs w:val="21"/>
              </w:rPr>
            </w:pPr>
            <w:r>
              <w:rPr>
                <w:color w:val="000000"/>
                <w:szCs w:val="21"/>
              </w:rPr>
              <w:t>47</w:t>
            </w:r>
          </w:p>
        </w:tc>
        <w:tc>
          <w:tcPr>
            <w:tcW w:w="646" w:type="dxa"/>
            <w:vAlign w:val="center"/>
          </w:tcPr>
          <w:p>
            <w:pPr>
              <w:jc w:val="center"/>
              <w:rPr>
                <w:color w:val="000000"/>
                <w:szCs w:val="21"/>
              </w:rPr>
            </w:pPr>
            <w:r>
              <w:rPr>
                <w:color w:val="000000"/>
                <w:szCs w:val="21"/>
              </w:rPr>
              <w:t>60</w:t>
            </w:r>
          </w:p>
        </w:tc>
        <w:tc>
          <w:tcPr>
            <w:tcW w:w="647" w:type="dxa"/>
            <w:vAlign w:val="center"/>
          </w:tcPr>
          <w:p>
            <w:pPr>
              <w:jc w:val="center"/>
              <w:rPr>
                <w:color w:val="000000"/>
                <w:szCs w:val="21"/>
              </w:rPr>
            </w:pPr>
            <w:r>
              <w:rPr>
                <w:color w:val="000000"/>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26" w:type="dxa"/>
            <w:vAlign w:val="center"/>
          </w:tcPr>
          <w:p>
            <w:pPr>
              <w:adjustRightInd w:val="0"/>
              <w:snapToGrid w:val="0"/>
              <w:jc w:val="center"/>
              <w:rPr>
                <w:bCs/>
                <w:color w:val="000000"/>
                <w:szCs w:val="21"/>
              </w:rPr>
            </w:pPr>
            <w:r>
              <w:rPr>
                <w:bCs/>
                <w:color w:val="000000"/>
                <w:szCs w:val="21"/>
              </w:rPr>
              <w:t>2#项目南</w:t>
            </w:r>
            <w:r>
              <w:rPr>
                <w:color w:val="000000"/>
                <w:szCs w:val="21"/>
              </w:rPr>
              <w:t>面</w:t>
            </w:r>
          </w:p>
        </w:tc>
        <w:tc>
          <w:tcPr>
            <w:tcW w:w="1023" w:type="dxa"/>
            <w:vAlign w:val="center"/>
          </w:tcPr>
          <w:p>
            <w:pPr>
              <w:jc w:val="center"/>
              <w:rPr>
                <w:color w:val="000000"/>
                <w:szCs w:val="21"/>
              </w:rPr>
            </w:pPr>
            <w:r>
              <w:rPr>
                <w:color w:val="000000"/>
                <w:szCs w:val="21"/>
              </w:rPr>
              <w:t>44.1</w:t>
            </w:r>
          </w:p>
        </w:tc>
        <w:tc>
          <w:tcPr>
            <w:tcW w:w="1462" w:type="dxa"/>
            <w:vAlign w:val="center"/>
          </w:tcPr>
          <w:p>
            <w:pPr>
              <w:jc w:val="center"/>
              <w:rPr>
                <w:color w:val="000000"/>
                <w:szCs w:val="21"/>
              </w:rPr>
            </w:pPr>
            <w:r>
              <w:rPr>
                <w:color w:val="000000"/>
                <w:szCs w:val="21"/>
              </w:rPr>
              <w:t>56.2</w:t>
            </w:r>
          </w:p>
        </w:tc>
        <w:tc>
          <w:tcPr>
            <w:tcW w:w="1023" w:type="dxa"/>
            <w:vAlign w:val="center"/>
          </w:tcPr>
          <w:p>
            <w:pPr>
              <w:jc w:val="center"/>
              <w:rPr>
                <w:color w:val="000000"/>
                <w:szCs w:val="21"/>
              </w:rPr>
            </w:pPr>
            <w:r>
              <w:rPr>
                <w:color w:val="000000"/>
                <w:szCs w:val="21"/>
              </w:rPr>
              <w:t>58</w:t>
            </w:r>
          </w:p>
        </w:tc>
        <w:tc>
          <w:tcPr>
            <w:tcW w:w="1464" w:type="dxa"/>
            <w:vAlign w:val="center"/>
          </w:tcPr>
          <w:p>
            <w:pPr>
              <w:jc w:val="center"/>
              <w:rPr>
                <w:color w:val="000000"/>
                <w:szCs w:val="21"/>
              </w:rPr>
            </w:pPr>
            <w:r>
              <w:rPr>
                <w:color w:val="000000"/>
                <w:szCs w:val="21"/>
              </w:rPr>
              <w:t>44.9</w:t>
            </w:r>
          </w:p>
        </w:tc>
        <w:tc>
          <w:tcPr>
            <w:tcW w:w="1098" w:type="dxa"/>
            <w:vAlign w:val="center"/>
          </w:tcPr>
          <w:p>
            <w:pPr>
              <w:jc w:val="center"/>
              <w:rPr>
                <w:color w:val="000000"/>
                <w:szCs w:val="21"/>
              </w:rPr>
            </w:pPr>
            <w:r>
              <w:rPr>
                <w:color w:val="000000"/>
                <w:szCs w:val="21"/>
              </w:rPr>
              <w:t>46</w:t>
            </w:r>
          </w:p>
        </w:tc>
        <w:tc>
          <w:tcPr>
            <w:tcW w:w="646" w:type="dxa"/>
            <w:vAlign w:val="center"/>
          </w:tcPr>
          <w:p>
            <w:pPr>
              <w:jc w:val="center"/>
              <w:rPr>
                <w:color w:val="000000"/>
                <w:szCs w:val="21"/>
              </w:rPr>
            </w:pPr>
            <w:r>
              <w:rPr>
                <w:color w:val="000000"/>
                <w:szCs w:val="21"/>
              </w:rPr>
              <w:t>60</w:t>
            </w:r>
          </w:p>
        </w:tc>
        <w:tc>
          <w:tcPr>
            <w:tcW w:w="647" w:type="dxa"/>
            <w:vAlign w:val="center"/>
          </w:tcPr>
          <w:p>
            <w:pPr>
              <w:jc w:val="center"/>
              <w:rPr>
                <w:color w:val="000000"/>
                <w:szCs w:val="21"/>
              </w:rPr>
            </w:pPr>
            <w:r>
              <w:rPr>
                <w:color w:val="000000"/>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26" w:type="dxa"/>
            <w:vAlign w:val="center"/>
          </w:tcPr>
          <w:p>
            <w:pPr>
              <w:adjustRightInd w:val="0"/>
              <w:snapToGrid w:val="0"/>
              <w:jc w:val="center"/>
              <w:rPr>
                <w:bCs/>
                <w:color w:val="000000"/>
                <w:szCs w:val="21"/>
              </w:rPr>
            </w:pPr>
            <w:r>
              <w:rPr>
                <w:bCs/>
                <w:color w:val="000000"/>
                <w:szCs w:val="21"/>
              </w:rPr>
              <w:t>3#项目西</w:t>
            </w:r>
            <w:r>
              <w:rPr>
                <w:color w:val="000000"/>
                <w:szCs w:val="21"/>
              </w:rPr>
              <w:t>面</w:t>
            </w:r>
          </w:p>
        </w:tc>
        <w:tc>
          <w:tcPr>
            <w:tcW w:w="1023" w:type="dxa"/>
            <w:vAlign w:val="center"/>
          </w:tcPr>
          <w:p>
            <w:pPr>
              <w:jc w:val="center"/>
              <w:rPr>
                <w:color w:val="000000"/>
                <w:szCs w:val="21"/>
              </w:rPr>
            </w:pPr>
            <w:r>
              <w:rPr>
                <w:color w:val="000000"/>
                <w:szCs w:val="21"/>
              </w:rPr>
              <w:t>46.5</w:t>
            </w:r>
          </w:p>
        </w:tc>
        <w:tc>
          <w:tcPr>
            <w:tcW w:w="1462" w:type="dxa"/>
            <w:vAlign w:val="center"/>
          </w:tcPr>
          <w:p>
            <w:pPr>
              <w:jc w:val="center"/>
              <w:rPr>
                <w:color w:val="000000"/>
                <w:szCs w:val="21"/>
              </w:rPr>
            </w:pPr>
            <w:r>
              <w:rPr>
                <w:color w:val="000000"/>
                <w:szCs w:val="21"/>
              </w:rPr>
              <w:t>56.7</w:t>
            </w:r>
          </w:p>
        </w:tc>
        <w:tc>
          <w:tcPr>
            <w:tcW w:w="1023" w:type="dxa"/>
            <w:vAlign w:val="center"/>
          </w:tcPr>
          <w:p>
            <w:pPr>
              <w:jc w:val="center"/>
              <w:rPr>
                <w:color w:val="000000"/>
                <w:szCs w:val="21"/>
              </w:rPr>
            </w:pPr>
            <w:r>
              <w:rPr>
                <w:color w:val="000000"/>
                <w:szCs w:val="21"/>
              </w:rPr>
              <w:t>58</w:t>
            </w:r>
          </w:p>
        </w:tc>
        <w:tc>
          <w:tcPr>
            <w:tcW w:w="1464" w:type="dxa"/>
            <w:vAlign w:val="center"/>
          </w:tcPr>
          <w:p>
            <w:pPr>
              <w:jc w:val="center"/>
              <w:rPr>
                <w:color w:val="000000"/>
                <w:szCs w:val="21"/>
              </w:rPr>
            </w:pPr>
            <w:r>
              <w:rPr>
                <w:color w:val="000000"/>
                <w:szCs w:val="21"/>
              </w:rPr>
              <w:t>45.7</w:t>
            </w:r>
          </w:p>
        </w:tc>
        <w:tc>
          <w:tcPr>
            <w:tcW w:w="1098" w:type="dxa"/>
            <w:vAlign w:val="center"/>
          </w:tcPr>
          <w:p>
            <w:pPr>
              <w:jc w:val="center"/>
              <w:rPr>
                <w:color w:val="000000"/>
                <w:szCs w:val="21"/>
              </w:rPr>
            </w:pPr>
            <w:r>
              <w:rPr>
                <w:color w:val="000000"/>
                <w:szCs w:val="21"/>
              </w:rPr>
              <w:t>48</w:t>
            </w:r>
          </w:p>
        </w:tc>
        <w:tc>
          <w:tcPr>
            <w:tcW w:w="646" w:type="dxa"/>
            <w:vAlign w:val="center"/>
          </w:tcPr>
          <w:p>
            <w:pPr>
              <w:jc w:val="center"/>
              <w:rPr>
                <w:color w:val="000000"/>
                <w:szCs w:val="21"/>
              </w:rPr>
            </w:pPr>
            <w:r>
              <w:rPr>
                <w:color w:val="000000"/>
                <w:szCs w:val="21"/>
              </w:rPr>
              <w:t>60</w:t>
            </w:r>
          </w:p>
        </w:tc>
        <w:tc>
          <w:tcPr>
            <w:tcW w:w="647" w:type="dxa"/>
            <w:vAlign w:val="center"/>
          </w:tcPr>
          <w:p>
            <w:pPr>
              <w:jc w:val="center"/>
              <w:rPr>
                <w:color w:val="000000"/>
                <w:szCs w:val="21"/>
              </w:rPr>
            </w:pPr>
            <w:r>
              <w:rPr>
                <w:color w:val="000000"/>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426" w:type="dxa"/>
            <w:vAlign w:val="center"/>
          </w:tcPr>
          <w:p>
            <w:pPr>
              <w:adjustRightInd w:val="0"/>
              <w:snapToGrid w:val="0"/>
              <w:jc w:val="center"/>
              <w:rPr>
                <w:bCs/>
                <w:color w:val="000000"/>
                <w:szCs w:val="21"/>
              </w:rPr>
            </w:pPr>
            <w:r>
              <w:rPr>
                <w:bCs/>
                <w:color w:val="000000"/>
                <w:szCs w:val="21"/>
              </w:rPr>
              <w:t>4#项目北</w:t>
            </w:r>
            <w:r>
              <w:rPr>
                <w:color w:val="000000"/>
                <w:szCs w:val="21"/>
              </w:rPr>
              <w:t>面</w:t>
            </w:r>
          </w:p>
        </w:tc>
        <w:tc>
          <w:tcPr>
            <w:tcW w:w="1023" w:type="dxa"/>
            <w:vAlign w:val="center"/>
          </w:tcPr>
          <w:p>
            <w:pPr>
              <w:jc w:val="center"/>
              <w:rPr>
                <w:color w:val="000000"/>
                <w:szCs w:val="21"/>
              </w:rPr>
            </w:pPr>
            <w:r>
              <w:rPr>
                <w:color w:val="000000"/>
                <w:szCs w:val="21"/>
              </w:rPr>
              <w:t>44.0</w:t>
            </w:r>
          </w:p>
        </w:tc>
        <w:tc>
          <w:tcPr>
            <w:tcW w:w="1462" w:type="dxa"/>
            <w:vAlign w:val="center"/>
          </w:tcPr>
          <w:p>
            <w:pPr>
              <w:jc w:val="center"/>
              <w:rPr>
                <w:color w:val="000000"/>
                <w:szCs w:val="21"/>
              </w:rPr>
            </w:pPr>
            <w:r>
              <w:rPr>
                <w:color w:val="000000"/>
                <w:szCs w:val="21"/>
              </w:rPr>
              <w:t>56.5</w:t>
            </w:r>
          </w:p>
        </w:tc>
        <w:tc>
          <w:tcPr>
            <w:tcW w:w="1023" w:type="dxa"/>
            <w:vAlign w:val="center"/>
          </w:tcPr>
          <w:p>
            <w:pPr>
              <w:jc w:val="center"/>
              <w:rPr>
                <w:color w:val="000000"/>
                <w:szCs w:val="21"/>
              </w:rPr>
            </w:pPr>
            <w:r>
              <w:rPr>
                <w:color w:val="000000"/>
                <w:szCs w:val="21"/>
              </w:rPr>
              <w:t>58</w:t>
            </w:r>
          </w:p>
        </w:tc>
        <w:tc>
          <w:tcPr>
            <w:tcW w:w="1464" w:type="dxa"/>
            <w:vAlign w:val="center"/>
          </w:tcPr>
          <w:p>
            <w:pPr>
              <w:jc w:val="center"/>
              <w:rPr>
                <w:szCs w:val="21"/>
              </w:rPr>
            </w:pPr>
            <w:r>
              <w:rPr>
                <w:color w:val="000000"/>
                <w:szCs w:val="21"/>
              </w:rPr>
              <w:t>45.8</w:t>
            </w:r>
          </w:p>
        </w:tc>
        <w:tc>
          <w:tcPr>
            <w:tcW w:w="1098" w:type="dxa"/>
            <w:vAlign w:val="center"/>
          </w:tcPr>
          <w:p>
            <w:pPr>
              <w:jc w:val="center"/>
              <w:rPr>
                <w:color w:val="000000"/>
                <w:szCs w:val="21"/>
              </w:rPr>
            </w:pPr>
            <w:r>
              <w:rPr>
                <w:color w:val="000000"/>
                <w:szCs w:val="21"/>
              </w:rPr>
              <w:t>47</w:t>
            </w:r>
          </w:p>
        </w:tc>
        <w:tc>
          <w:tcPr>
            <w:tcW w:w="646" w:type="dxa"/>
            <w:vAlign w:val="center"/>
          </w:tcPr>
          <w:p>
            <w:pPr>
              <w:jc w:val="center"/>
              <w:rPr>
                <w:color w:val="000000"/>
                <w:szCs w:val="21"/>
              </w:rPr>
            </w:pPr>
            <w:r>
              <w:rPr>
                <w:color w:val="000000"/>
                <w:szCs w:val="21"/>
              </w:rPr>
              <w:t>60</w:t>
            </w:r>
          </w:p>
        </w:tc>
        <w:tc>
          <w:tcPr>
            <w:tcW w:w="647" w:type="dxa"/>
            <w:vAlign w:val="center"/>
          </w:tcPr>
          <w:p>
            <w:pPr>
              <w:jc w:val="center"/>
              <w:rPr>
                <w:color w:val="000000"/>
                <w:szCs w:val="21"/>
              </w:rPr>
            </w:pPr>
            <w:r>
              <w:rPr>
                <w:color w:val="000000"/>
                <w:szCs w:val="21"/>
              </w:rPr>
              <w:t>50</w:t>
            </w:r>
          </w:p>
        </w:tc>
      </w:tr>
    </w:tbl>
    <w:p>
      <w:pPr>
        <w:snapToGrid w:val="0"/>
        <w:spacing w:line="360" w:lineRule="auto"/>
        <w:ind w:firstLine="480" w:firstLineChars="200"/>
        <w:rPr>
          <w:rFonts w:eastAsiaTheme="minorEastAsia"/>
          <w:sz w:val="24"/>
        </w:rPr>
      </w:pPr>
      <w:r>
        <w:rPr>
          <w:rFonts w:eastAsiaTheme="minorEastAsia"/>
          <w:sz w:val="24"/>
        </w:rPr>
        <w:t>由预测结果可见，该项目正常运营后，通过绿化和建筑物阻隔、空间衰减以及对各声源采取的降噪措施后，项目边界昼间噪声源贡献值符合《工业企业厂界环境噪声排放标准》（GB12348-2008）中的2类标准，各噪声叠加预测结果与现状值相比增值不大，对周围敏感点的声环境质量影响较小。</w:t>
      </w:r>
    </w:p>
    <w:p>
      <w:pPr>
        <w:snapToGrid w:val="0"/>
        <w:spacing w:line="360" w:lineRule="auto"/>
        <w:ind w:firstLine="480" w:firstLineChars="200"/>
        <w:rPr>
          <w:rFonts w:eastAsiaTheme="minorEastAsia"/>
          <w:sz w:val="24"/>
          <w:u w:val="single"/>
        </w:rPr>
      </w:pPr>
      <w:r>
        <w:rPr>
          <w:rFonts w:hint="eastAsia" w:eastAsiaTheme="minorEastAsia"/>
          <w:sz w:val="24"/>
          <w:u w:val="single"/>
        </w:rPr>
        <w:t>此外，湘阴县育才小学与湘阴县左宗棠中学分别位于本项目西侧195m、南侧180m处，根据该两侧厂界噪声排放值估算，噪声经过距离衰减、建筑物隔声后到达两敏感点的噪声声级分别约为</w:t>
      </w:r>
      <w:r>
        <w:rPr>
          <w:rFonts w:eastAsiaTheme="minorEastAsia"/>
          <w:sz w:val="24"/>
          <w:u w:val="single"/>
        </w:rPr>
        <w:t>38.5</w:t>
      </w:r>
      <w:r>
        <w:rPr>
          <w:rFonts w:hint="eastAsia" w:eastAsiaTheme="minorEastAsia"/>
          <w:sz w:val="24"/>
          <w:u w:val="single"/>
        </w:rPr>
        <w:t>、</w:t>
      </w:r>
      <w:r>
        <w:rPr>
          <w:rFonts w:eastAsiaTheme="minorEastAsia"/>
          <w:sz w:val="24"/>
          <w:u w:val="single"/>
        </w:rPr>
        <w:t>39.1</w:t>
      </w:r>
      <w:r>
        <w:rPr>
          <w:rFonts w:hint="eastAsia" w:eastAsiaTheme="minorEastAsia"/>
          <w:sz w:val="24"/>
          <w:u w:val="single"/>
        </w:rPr>
        <w:t>，均符合《工业企业厂界环境噪声排放标准》（GB12348-2008）中的1类标准，因此本项目噪声对两处学校影响较小。</w:t>
      </w:r>
    </w:p>
    <w:p>
      <w:pPr>
        <w:pStyle w:val="4"/>
        <w:snapToGrid w:val="0"/>
        <w:spacing w:before="0" w:after="0" w:line="360" w:lineRule="auto"/>
        <w:rPr>
          <w:rFonts w:eastAsiaTheme="minorEastAsia"/>
          <w:kern w:val="0"/>
          <w:sz w:val="24"/>
        </w:rPr>
      </w:pPr>
      <w:r>
        <w:rPr>
          <w:rFonts w:eastAsiaTheme="minorEastAsia"/>
          <w:kern w:val="0"/>
          <w:sz w:val="24"/>
        </w:rPr>
        <w:t xml:space="preserve">6.6.2 </w:t>
      </w:r>
      <w:r>
        <w:rPr>
          <w:rFonts w:hint="eastAsia" w:eastAsiaTheme="minorEastAsia"/>
          <w:kern w:val="0"/>
          <w:sz w:val="24"/>
        </w:rPr>
        <w:t>内</w:t>
      </w:r>
      <w:r>
        <w:rPr>
          <w:rFonts w:eastAsiaTheme="minorEastAsia"/>
          <w:kern w:val="0"/>
          <w:sz w:val="24"/>
        </w:rPr>
        <w:t>外环境对本项目的影响</w:t>
      </w:r>
    </w:p>
    <w:p>
      <w:pPr>
        <w:snapToGrid w:val="0"/>
        <w:spacing w:line="360" w:lineRule="auto"/>
        <w:ind w:firstLine="480" w:firstLineChars="200"/>
        <w:rPr>
          <w:rFonts w:eastAsiaTheme="minorEastAsia"/>
          <w:sz w:val="24"/>
          <w:u w:val="single"/>
        </w:rPr>
      </w:pPr>
      <w:r>
        <w:rPr>
          <w:rFonts w:hint="eastAsia" w:eastAsiaTheme="minorEastAsia"/>
          <w:sz w:val="24"/>
          <w:u w:val="single"/>
        </w:rPr>
        <w:t>根据现状调查，项目周边1000 m范围内以商业企业、居民区为主，没有集中式生产的工业企业，故项目在区域内可能受到的主要外环境污染源为道路的汽车噪声及汽车尾气、居民油烟废气和居民社会活动噪声的影响。</w:t>
      </w:r>
    </w:p>
    <w:p>
      <w:pPr>
        <w:snapToGrid w:val="0"/>
        <w:spacing w:line="360" w:lineRule="auto"/>
        <w:ind w:firstLine="480" w:firstLineChars="200"/>
        <w:rPr>
          <w:rFonts w:eastAsiaTheme="minorEastAsia"/>
          <w:sz w:val="24"/>
        </w:rPr>
      </w:pPr>
      <w:r>
        <w:rPr>
          <w:rFonts w:eastAsiaTheme="minorEastAsia"/>
          <w:sz w:val="24"/>
        </w:rPr>
        <w:t>外环境对本项目的噪声影响主要来源于</w:t>
      </w:r>
      <w:r>
        <w:rPr>
          <w:rFonts w:hint="eastAsia" w:eastAsiaTheme="minorEastAsia"/>
          <w:sz w:val="24"/>
        </w:rPr>
        <w:t>东</w:t>
      </w:r>
      <w:r>
        <w:rPr>
          <w:rFonts w:eastAsiaTheme="minorEastAsia"/>
          <w:sz w:val="24"/>
        </w:rPr>
        <w:t>侧先锋路及西侧建新路行驶的车辆，先锋路为湘阴县城市主干道，车流量较大，但本项目距离该道路尚有一段距离（约100m），且道路两侧均有大型树木作为隔声屏障，因此该道路车流噪声对本项目影响较小；西侧建新路为支路，车辆流量较小且要求车行速递较慢，因此该侧道路车流噪声影响较小。</w:t>
      </w:r>
    </w:p>
    <w:p>
      <w:pPr>
        <w:snapToGrid w:val="0"/>
        <w:spacing w:line="360" w:lineRule="auto"/>
        <w:ind w:firstLine="480" w:firstLineChars="200"/>
        <w:rPr>
          <w:rFonts w:eastAsiaTheme="minorEastAsia"/>
          <w:sz w:val="24"/>
        </w:rPr>
      </w:pPr>
      <w:r>
        <w:rPr>
          <w:rFonts w:eastAsiaTheme="minorEastAsia"/>
          <w:sz w:val="24"/>
        </w:rPr>
        <w:t>根据项目初步设计方案，本项目距离先锋路最近的是住院部大楼，与先锋路之间为人行广场，退让距离达100m，距离衰减值可达40dB（A），同时要求本项目所在路段设施限速标志、禁止鸣笛的要求，同时建设单位将在临道路一侧种植高大乔木，起到一定的噪声阻隔作用，采取上述措施后，交通噪声对本项目的影响较小。</w:t>
      </w:r>
    </w:p>
    <w:p>
      <w:pPr>
        <w:snapToGrid w:val="0"/>
        <w:spacing w:line="360" w:lineRule="auto"/>
        <w:ind w:firstLine="480" w:firstLineChars="200"/>
        <w:rPr>
          <w:rFonts w:eastAsiaTheme="minorEastAsia"/>
          <w:sz w:val="24"/>
          <w:u w:val="single"/>
        </w:rPr>
      </w:pPr>
      <w:r>
        <w:rPr>
          <w:rFonts w:hint="eastAsia" w:eastAsiaTheme="minorEastAsia"/>
          <w:sz w:val="24"/>
          <w:u w:val="single"/>
        </w:rPr>
        <w:t>本项目西侧约80m处有一农贸市场，主要为当地居民生活食材采购场所，其产生的主要污染源为噪声。经现场查看，每日上午9点至11点为采购集中时段，人员噪声较为嘈杂。建议建设单位根据实际情况，将住院区等需要安静的建筑尽量设计在项目东侧远离该农贸市场处。并且在西侧可以采取增加隔音墙、种植高大数目等措施进行降噪，减轻该农贸市场噪声对本项目的影响。</w:t>
      </w:r>
    </w:p>
    <w:p>
      <w:pPr>
        <w:snapToGrid w:val="0"/>
        <w:spacing w:line="360" w:lineRule="auto"/>
        <w:ind w:firstLine="480" w:firstLineChars="200"/>
        <w:rPr>
          <w:rFonts w:eastAsiaTheme="minorEastAsia"/>
          <w:sz w:val="24"/>
          <w:u w:val="single"/>
        </w:rPr>
      </w:pPr>
      <w:r>
        <w:rPr>
          <w:rFonts w:hint="eastAsia" w:eastAsiaTheme="minorEastAsia"/>
          <w:sz w:val="24"/>
          <w:u w:val="single"/>
        </w:rPr>
        <w:t>此外，本项目预计车流量最高峰时小型车60辆/h。由于项目车辆主要为病人就医时的自驾车、应急救护车、行政用车、员工私家车等，且所有车辆进入项目范围后均低速行驶，通过内部车流的分流引导，设置明显指示牌，禁止鸣笛等，经过距离衰减后，不会对项目内部声环境造成不良的影响。</w:t>
      </w:r>
    </w:p>
    <w:p>
      <w:pPr>
        <w:snapToGrid w:val="0"/>
        <w:spacing w:line="360" w:lineRule="auto"/>
        <w:ind w:firstLine="480" w:firstLineChars="200"/>
        <w:rPr>
          <w:rFonts w:eastAsiaTheme="minorEastAsia"/>
          <w:sz w:val="24"/>
          <w:u w:val="single"/>
        </w:rPr>
      </w:pPr>
      <w:r>
        <w:rPr>
          <w:rFonts w:hint="eastAsia" w:eastAsiaTheme="minorEastAsia"/>
          <w:sz w:val="24"/>
          <w:u w:val="single"/>
        </w:rPr>
        <w:t>项目污水处理站位于医院西侧且远离住院区和住宿区，噪声源强为85dB（A），建议建设单位污水处理站采取密闭隔音，经过隔音后，不超过70dB（A）。其噪声经过建筑物隔挡、距离衰减，且院内建筑均采取了隔声处理设施，室内噪声值小于40dB（A），不会对项目内的病人产生明显的影响。</w:t>
      </w:r>
    </w:p>
    <w:p>
      <w:pPr>
        <w:pStyle w:val="4"/>
        <w:snapToGrid w:val="0"/>
        <w:spacing w:before="0" w:after="0" w:line="360" w:lineRule="auto"/>
        <w:rPr>
          <w:rFonts w:eastAsiaTheme="minorEastAsia"/>
          <w:kern w:val="0"/>
          <w:sz w:val="24"/>
        </w:rPr>
      </w:pPr>
      <w:r>
        <w:rPr>
          <w:rFonts w:eastAsiaTheme="minorEastAsia"/>
          <w:kern w:val="0"/>
          <w:sz w:val="24"/>
        </w:rPr>
        <w:t>6.6.3 地下车库机动车噪声影响分析</w:t>
      </w:r>
    </w:p>
    <w:p>
      <w:pPr>
        <w:snapToGrid w:val="0"/>
        <w:spacing w:line="360" w:lineRule="auto"/>
        <w:ind w:firstLine="480" w:firstLineChars="200"/>
        <w:rPr>
          <w:rFonts w:eastAsiaTheme="minorEastAsia"/>
          <w:sz w:val="24"/>
        </w:rPr>
      </w:pPr>
      <w:r>
        <w:rPr>
          <w:rFonts w:eastAsiaTheme="minorEastAsia"/>
          <w:sz w:val="24"/>
        </w:rPr>
        <w:t>根据设计，本项目改扩建完成后，新增地下停车位100个。在平常时间，进出车库的车辆一般不会发生交通堵塞，进出停车场的路边交通噪声值基本上在65dB(A)以下，车辆噪声对周围环境的影响较小。</w:t>
      </w:r>
    </w:p>
    <w:p>
      <w:pPr>
        <w:snapToGrid w:val="0"/>
        <w:spacing w:line="360" w:lineRule="auto"/>
        <w:ind w:firstLine="480" w:firstLineChars="200"/>
        <w:rPr>
          <w:rFonts w:eastAsiaTheme="minorEastAsia"/>
          <w:sz w:val="24"/>
        </w:rPr>
      </w:pPr>
      <w:r>
        <w:rPr>
          <w:rFonts w:eastAsiaTheme="minorEastAsia"/>
          <w:sz w:val="24"/>
        </w:rPr>
        <w:t>若进入停车场的车流量大幅增加，会造成车辆局部拥挤堵塞，车辆不停地怠速、加速和减速，进出车库的路边交通噪声值有时达到70dB（A）以上，使局部声环境质量变差。</w:t>
      </w:r>
    </w:p>
    <w:p>
      <w:pPr>
        <w:snapToGrid w:val="0"/>
        <w:spacing w:line="480" w:lineRule="exact"/>
        <w:ind w:firstLine="480" w:firstLineChars="200"/>
        <w:rPr>
          <w:rFonts w:eastAsiaTheme="minorEastAsia"/>
          <w:sz w:val="24"/>
        </w:rPr>
      </w:pPr>
    </w:p>
    <w:p>
      <w:pPr>
        <w:snapToGrid w:val="0"/>
        <w:spacing w:line="480" w:lineRule="exact"/>
        <w:ind w:firstLine="480" w:firstLineChars="200"/>
        <w:rPr>
          <w:rFonts w:eastAsiaTheme="minorEastAsia"/>
          <w:sz w:val="24"/>
        </w:rPr>
        <w:sectPr>
          <w:pgSz w:w="11906" w:h="16838"/>
          <w:pgMar w:top="1418" w:right="1304" w:bottom="1418" w:left="1474" w:header="851" w:footer="680" w:gutter="0"/>
          <w:cols w:space="720" w:num="1"/>
          <w:docGrid w:linePitch="312" w:charSpace="0"/>
        </w:sectPr>
      </w:pPr>
    </w:p>
    <w:bookmarkEnd w:id="159"/>
    <w:bookmarkEnd w:id="160"/>
    <w:bookmarkEnd w:id="161"/>
    <w:bookmarkEnd w:id="162"/>
    <w:bookmarkEnd w:id="163"/>
    <w:bookmarkEnd w:id="164"/>
    <w:bookmarkEnd w:id="165"/>
    <w:p>
      <w:pPr>
        <w:pStyle w:val="2"/>
        <w:spacing w:after="0" w:line="480" w:lineRule="auto"/>
        <w:jc w:val="center"/>
        <w:rPr>
          <w:rFonts w:ascii="Times New Roman" w:eastAsiaTheme="minorEastAsia"/>
          <w:b/>
          <w:bCs/>
          <w:sz w:val="36"/>
          <w:szCs w:val="36"/>
          <w:lang w:val="zh-CN"/>
        </w:rPr>
      </w:pPr>
      <w:bookmarkStart w:id="168" w:name="_Toc61026616"/>
      <w:r>
        <w:rPr>
          <w:rFonts w:ascii="Times New Roman" w:eastAsiaTheme="minorEastAsia"/>
          <w:b/>
          <w:bCs/>
          <w:sz w:val="36"/>
          <w:szCs w:val="36"/>
          <w:lang w:val="zh-CN"/>
        </w:rPr>
        <w:t>7、环境风险</w:t>
      </w:r>
      <w:bookmarkEnd w:id="166"/>
      <w:bookmarkEnd w:id="167"/>
      <w:r>
        <w:rPr>
          <w:rFonts w:ascii="Times New Roman" w:eastAsiaTheme="minorEastAsia"/>
          <w:b/>
          <w:bCs/>
          <w:sz w:val="36"/>
          <w:szCs w:val="36"/>
          <w:lang w:val="zh-CN"/>
        </w:rPr>
        <w:t>评价</w:t>
      </w:r>
      <w:bookmarkEnd w:id="168"/>
    </w:p>
    <w:p>
      <w:pPr>
        <w:snapToGrid w:val="0"/>
        <w:spacing w:line="360" w:lineRule="auto"/>
        <w:ind w:firstLine="480" w:firstLineChars="200"/>
        <w:rPr>
          <w:rFonts w:eastAsiaTheme="minorEastAsia"/>
          <w:sz w:val="24"/>
        </w:rPr>
      </w:pPr>
      <w:r>
        <w:rPr>
          <w:rFonts w:eastAsiaTheme="minorEastAsia"/>
          <w:sz w:val="24"/>
        </w:rPr>
        <w:t>环境风险评价（ERA）是指对人类的各种开发行为所引发的或面临的危害，对人体健康、社会经济发展、生态系统等所造成的风险可能带来的损失进行评估，并据此进行管理和决策的过程。工程项目在建设运行过程中往往伴有突发性事故，这些突发行事故具有偶然性，这种偶然性常会给人身健康和周围环境带来严重的影响。环境风险评价对于有效防范风险事故的发生，采取安全的应急措施都起到非常重要的作用。</w:t>
      </w:r>
    </w:p>
    <w:p>
      <w:pPr>
        <w:pStyle w:val="3"/>
        <w:tabs>
          <w:tab w:val="left" w:pos="1418"/>
        </w:tabs>
        <w:snapToGrid w:val="0"/>
        <w:spacing w:before="0" w:after="0" w:line="360" w:lineRule="auto"/>
        <w:rPr>
          <w:rFonts w:ascii="Times New Roman" w:hAnsi="Times New Roman" w:eastAsiaTheme="minorEastAsia"/>
          <w:sz w:val="28"/>
          <w:lang w:val="zh-CN"/>
        </w:rPr>
      </w:pPr>
      <w:bookmarkStart w:id="169" w:name="_Toc61026617"/>
      <w:r>
        <w:rPr>
          <w:rFonts w:ascii="Times New Roman" w:hAnsi="Times New Roman" w:eastAsiaTheme="minorEastAsia"/>
          <w:sz w:val="28"/>
          <w:lang w:val="zh-CN"/>
        </w:rPr>
        <w:t>7.1 评价依据</w:t>
      </w:r>
      <w:bookmarkEnd w:id="169"/>
    </w:p>
    <w:p>
      <w:pPr>
        <w:pStyle w:val="4"/>
        <w:snapToGrid w:val="0"/>
        <w:spacing w:before="0" w:after="0" w:line="360" w:lineRule="auto"/>
        <w:rPr>
          <w:rFonts w:eastAsiaTheme="minorEastAsia"/>
          <w:kern w:val="0"/>
          <w:sz w:val="24"/>
        </w:rPr>
      </w:pPr>
      <w:r>
        <w:rPr>
          <w:rFonts w:eastAsiaTheme="minorEastAsia"/>
          <w:kern w:val="0"/>
          <w:sz w:val="24"/>
        </w:rPr>
        <w:t>7.1.1 风险识别</w:t>
      </w:r>
    </w:p>
    <w:p>
      <w:pPr>
        <w:snapToGrid w:val="0"/>
        <w:spacing w:line="360" w:lineRule="auto"/>
        <w:ind w:firstLine="480" w:firstLineChars="200"/>
        <w:rPr>
          <w:rFonts w:eastAsiaTheme="minorEastAsia"/>
          <w:sz w:val="24"/>
        </w:rPr>
      </w:pPr>
      <w:r>
        <w:rPr>
          <w:rFonts w:eastAsiaTheme="minorEastAsia"/>
          <w:sz w:val="24"/>
        </w:rPr>
        <w:t>（1）风险物质识别</w:t>
      </w:r>
    </w:p>
    <w:p>
      <w:pPr>
        <w:snapToGrid w:val="0"/>
        <w:spacing w:line="360" w:lineRule="auto"/>
        <w:ind w:firstLine="480" w:firstLineChars="200"/>
        <w:rPr>
          <w:rFonts w:eastAsiaTheme="minorEastAsia"/>
          <w:sz w:val="24"/>
        </w:rPr>
      </w:pPr>
      <w:r>
        <w:rPr>
          <w:rFonts w:eastAsiaTheme="minorEastAsia"/>
          <w:sz w:val="24"/>
        </w:rPr>
        <w:t>医院所使用的危险物质及存储情况详见表7.1 1。</w:t>
      </w:r>
    </w:p>
    <w:p>
      <w:pPr>
        <w:snapToGrid w:val="0"/>
        <w:spacing w:line="360" w:lineRule="auto"/>
        <w:jc w:val="center"/>
        <w:rPr>
          <w:rFonts w:eastAsiaTheme="minorEastAsia"/>
          <w:b/>
          <w:bCs/>
          <w:sz w:val="24"/>
        </w:rPr>
      </w:pPr>
      <w:r>
        <w:rPr>
          <w:rFonts w:eastAsiaTheme="minorEastAsia"/>
          <w:b/>
          <w:bCs/>
          <w:sz w:val="24"/>
        </w:rPr>
        <w:t>表7.1 1  危险物质及存储情况一览表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78"/>
        <w:gridCol w:w="1561"/>
        <w:gridCol w:w="1877"/>
        <w:gridCol w:w="1257"/>
        <w:gridCol w:w="13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Align w:val="center"/>
          </w:tcPr>
          <w:p>
            <w:pPr>
              <w:snapToGrid w:val="0"/>
              <w:jc w:val="center"/>
              <w:rPr>
                <w:b/>
                <w:bCs/>
                <w:color w:val="000000"/>
                <w:szCs w:val="21"/>
                <w:u w:val="single"/>
              </w:rPr>
            </w:pPr>
            <w:r>
              <w:rPr>
                <w:b/>
                <w:bCs/>
                <w:color w:val="000000"/>
                <w:szCs w:val="21"/>
                <w:u w:val="single"/>
              </w:rPr>
              <w:t>用途</w:t>
            </w:r>
          </w:p>
        </w:tc>
        <w:tc>
          <w:tcPr>
            <w:tcW w:w="1561" w:type="dxa"/>
            <w:vAlign w:val="center"/>
          </w:tcPr>
          <w:p>
            <w:pPr>
              <w:snapToGrid w:val="0"/>
              <w:jc w:val="center"/>
              <w:rPr>
                <w:b/>
                <w:bCs/>
                <w:color w:val="000000"/>
                <w:szCs w:val="21"/>
                <w:u w:val="single"/>
              </w:rPr>
            </w:pPr>
            <w:r>
              <w:rPr>
                <w:b/>
                <w:bCs/>
                <w:color w:val="000000"/>
                <w:szCs w:val="21"/>
                <w:u w:val="single"/>
              </w:rPr>
              <w:t>化学品名称</w:t>
            </w:r>
          </w:p>
        </w:tc>
        <w:tc>
          <w:tcPr>
            <w:tcW w:w="1877" w:type="dxa"/>
            <w:vAlign w:val="center"/>
          </w:tcPr>
          <w:p>
            <w:pPr>
              <w:snapToGrid w:val="0"/>
              <w:jc w:val="center"/>
              <w:rPr>
                <w:b/>
                <w:bCs/>
                <w:color w:val="000000"/>
                <w:szCs w:val="21"/>
                <w:u w:val="single"/>
              </w:rPr>
            </w:pPr>
            <w:r>
              <w:rPr>
                <w:b/>
                <w:bCs/>
                <w:color w:val="000000"/>
                <w:szCs w:val="21"/>
                <w:u w:val="single"/>
              </w:rPr>
              <w:t>最大储存量</w:t>
            </w:r>
            <w:r>
              <w:rPr>
                <w:b/>
                <w:bCs/>
                <w:i/>
                <w:color w:val="000000"/>
                <w:szCs w:val="21"/>
                <w:u w:val="single"/>
              </w:rPr>
              <w:t>q</w:t>
            </w:r>
            <w:r>
              <w:rPr>
                <w:b/>
                <w:bCs/>
                <w:i/>
                <w:color w:val="000000"/>
                <w:szCs w:val="21"/>
                <w:u w:val="single"/>
                <w:vertAlign w:val="subscript"/>
              </w:rPr>
              <w:t>i</w:t>
            </w:r>
          </w:p>
        </w:tc>
        <w:tc>
          <w:tcPr>
            <w:tcW w:w="1257" w:type="dxa"/>
            <w:vAlign w:val="center"/>
          </w:tcPr>
          <w:p>
            <w:pPr>
              <w:snapToGrid w:val="0"/>
              <w:jc w:val="center"/>
              <w:rPr>
                <w:b/>
                <w:bCs/>
                <w:color w:val="000000"/>
                <w:szCs w:val="21"/>
                <w:u w:val="single"/>
              </w:rPr>
            </w:pPr>
            <w:r>
              <w:rPr>
                <w:b/>
                <w:bCs/>
                <w:color w:val="000000"/>
                <w:szCs w:val="21"/>
                <w:u w:val="single"/>
              </w:rPr>
              <w:t>临界值</w:t>
            </w:r>
            <w:r>
              <w:rPr>
                <w:b/>
                <w:bCs/>
                <w:i/>
                <w:color w:val="000000"/>
                <w:szCs w:val="21"/>
                <w:u w:val="single"/>
              </w:rPr>
              <w:t>Q</w:t>
            </w:r>
            <w:r>
              <w:rPr>
                <w:b/>
                <w:bCs/>
                <w:i/>
                <w:color w:val="000000"/>
                <w:szCs w:val="21"/>
                <w:u w:val="single"/>
                <w:vertAlign w:val="subscript"/>
              </w:rPr>
              <w:t>i</w:t>
            </w:r>
          </w:p>
        </w:tc>
        <w:tc>
          <w:tcPr>
            <w:tcW w:w="1316" w:type="dxa"/>
            <w:vAlign w:val="center"/>
          </w:tcPr>
          <w:p>
            <w:pPr>
              <w:snapToGrid w:val="0"/>
              <w:jc w:val="center"/>
              <w:rPr>
                <w:b/>
                <w:bCs/>
                <w:i/>
                <w:color w:val="000000"/>
                <w:szCs w:val="21"/>
                <w:u w:val="single"/>
              </w:rPr>
            </w:pPr>
            <w:r>
              <w:rPr>
                <w:b/>
                <w:bCs/>
                <w:i/>
                <w:color w:val="000000"/>
                <w:szCs w:val="21"/>
                <w:u w:val="single"/>
              </w:rPr>
              <w:t>q</w:t>
            </w:r>
            <w:r>
              <w:rPr>
                <w:b/>
                <w:bCs/>
                <w:i/>
                <w:color w:val="000000"/>
                <w:szCs w:val="21"/>
                <w:u w:val="single"/>
                <w:vertAlign w:val="subscript"/>
              </w:rPr>
              <w:t>i</w:t>
            </w:r>
            <w:r>
              <w:rPr>
                <w:b/>
                <w:bCs/>
                <w:i/>
                <w:color w:val="000000"/>
                <w:szCs w:val="21"/>
                <w:u w:val="single"/>
              </w:rPr>
              <w:t>/Q</w:t>
            </w:r>
            <w:r>
              <w:rPr>
                <w:b/>
                <w:bCs/>
                <w:i/>
                <w:color w:val="000000"/>
                <w:szCs w:val="21"/>
                <w:u w:val="single"/>
                <w:vertAlign w:val="subscript"/>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Merge w:val="restart"/>
            <w:vAlign w:val="center"/>
          </w:tcPr>
          <w:p>
            <w:pPr>
              <w:snapToGrid w:val="0"/>
              <w:jc w:val="center"/>
              <w:rPr>
                <w:color w:val="000000"/>
                <w:szCs w:val="21"/>
                <w:u w:val="single"/>
              </w:rPr>
            </w:pPr>
            <w:r>
              <w:rPr>
                <w:color w:val="000000"/>
                <w:szCs w:val="21"/>
                <w:u w:val="single"/>
              </w:rPr>
              <w:t>检验室、医疗区药品药剂</w:t>
            </w:r>
          </w:p>
        </w:tc>
        <w:tc>
          <w:tcPr>
            <w:tcW w:w="1561" w:type="dxa"/>
            <w:vAlign w:val="center"/>
          </w:tcPr>
          <w:p>
            <w:pPr>
              <w:snapToGrid w:val="0"/>
              <w:jc w:val="center"/>
              <w:rPr>
                <w:color w:val="000000"/>
                <w:szCs w:val="21"/>
                <w:u w:val="single"/>
              </w:rPr>
            </w:pPr>
            <w:r>
              <w:rPr>
                <w:color w:val="000000"/>
                <w:szCs w:val="21"/>
                <w:u w:val="single"/>
              </w:rPr>
              <w:t>乙醇</w:t>
            </w:r>
          </w:p>
        </w:tc>
        <w:tc>
          <w:tcPr>
            <w:tcW w:w="1877" w:type="dxa"/>
            <w:vAlign w:val="center"/>
          </w:tcPr>
          <w:p>
            <w:pPr>
              <w:snapToGrid w:val="0"/>
              <w:jc w:val="center"/>
              <w:rPr>
                <w:color w:val="000000"/>
                <w:szCs w:val="21"/>
                <w:u w:val="single"/>
              </w:rPr>
            </w:pPr>
            <w:r>
              <w:rPr>
                <w:color w:val="000000"/>
                <w:szCs w:val="21"/>
                <w:u w:val="single"/>
              </w:rPr>
              <w:t>0.2t</w:t>
            </w:r>
          </w:p>
        </w:tc>
        <w:tc>
          <w:tcPr>
            <w:tcW w:w="1257" w:type="dxa"/>
            <w:vAlign w:val="center"/>
          </w:tcPr>
          <w:p>
            <w:pPr>
              <w:snapToGrid w:val="0"/>
              <w:jc w:val="center"/>
              <w:rPr>
                <w:color w:val="000000"/>
                <w:szCs w:val="21"/>
                <w:u w:val="single"/>
              </w:rPr>
            </w:pPr>
            <w:r>
              <w:rPr>
                <w:color w:val="000000"/>
                <w:szCs w:val="21"/>
                <w:u w:val="single"/>
              </w:rPr>
              <w:t>50t</w:t>
            </w:r>
          </w:p>
        </w:tc>
        <w:tc>
          <w:tcPr>
            <w:tcW w:w="1316" w:type="dxa"/>
            <w:vAlign w:val="center"/>
          </w:tcPr>
          <w:p>
            <w:pPr>
              <w:snapToGrid w:val="0"/>
              <w:jc w:val="center"/>
              <w:rPr>
                <w:color w:val="000000"/>
                <w:szCs w:val="21"/>
                <w:u w:val="single"/>
              </w:rPr>
            </w:pPr>
            <w:r>
              <w:rPr>
                <w:color w:val="000000"/>
                <w:szCs w:val="21"/>
                <w:u w:val="single"/>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Merge w:val="continue"/>
            <w:vAlign w:val="center"/>
          </w:tcPr>
          <w:p>
            <w:pPr>
              <w:snapToGrid w:val="0"/>
              <w:jc w:val="center"/>
              <w:rPr>
                <w:color w:val="000000"/>
                <w:szCs w:val="21"/>
                <w:u w:val="single"/>
              </w:rPr>
            </w:pPr>
          </w:p>
        </w:tc>
        <w:tc>
          <w:tcPr>
            <w:tcW w:w="1561" w:type="dxa"/>
            <w:vAlign w:val="center"/>
          </w:tcPr>
          <w:p>
            <w:pPr>
              <w:snapToGrid w:val="0"/>
              <w:jc w:val="center"/>
              <w:rPr>
                <w:color w:val="000000"/>
                <w:szCs w:val="21"/>
                <w:u w:val="single"/>
              </w:rPr>
            </w:pPr>
            <w:r>
              <w:rPr>
                <w:color w:val="000000"/>
                <w:szCs w:val="21"/>
                <w:u w:val="single"/>
              </w:rPr>
              <w:t>甲醛</w:t>
            </w:r>
          </w:p>
        </w:tc>
        <w:tc>
          <w:tcPr>
            <w:tcW w:w="1877" w:type="dxa"/>
            <w:vAlign w:val="center"/>
          </w:tcPr>
          <w:p>
            <w:pPr>
              <w:snapToGrid w:val="0"/>
              <w:jc w:val="center"/>
              <w:rPr>
                <w:color w:val="000000"/>
                <w:szCs w:val="21"/>
                <w:u w:val="single"/>
              </w:rPr>
            </w:pPr>
            <w:r>
              <w:rPr>
                <w:color w:val="000000"/>
                <w:szCs w:val="21"/>
                <w:u w:val="single"/>
              </w:rPr>
              <w:t>0.02t</w:t>
            </w:r>
          </w:p>
        </w:tc>
        <w:tc>
          <w:tcPr>
            <w:tcW w:w="1257" w:type="dxa"/>
            <w:vAlign w:val="center"/>
          </w:tcPr>
          <w:p>
            <w:pPr>
              <w:snapToGrid w:val="0"/>
              <w:jc w:val="center"/>
              <w:rPr>
                <w:color w:val="000000"/>
                <w:szCs w:val="21"/>
                <w:u w:val="single"/>
              </w:rPr>
            </w:pPr>
            <w:r>
              <w:rPr>
                <w:color w:val="000000"/>
                <w:szCs w:val="21"/>
                <w:u w:val="single"/>
              </w:rPr>
              <w:t>0.5t</w:t>
            </w:r>
          </w:p>
        </w:tc>
        <w:tc>
          <w:tcPr>
            <w:tcW w:w="1316" w:type="dxa"/>
            <w:vAlign w:val="center"/>
          </w:tcPr>
          <w:p>
            <w:pPr>
              <w:snapToGrid w:val="0"/>
              <w:jc w:val="center"/>
              <w:rPr>
                <w:color w:val="000000"/>
                <w:szCs w:val="21"/>
                <w:u w:val="single"/>
              </w:rPr>
            </w:pPr>
            <w:r>
              <w:rPr>
                <w:color w:val="000000"/>
                <w:szCs w:val="21"/>
                <w:u w:val="singl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Merge w:val="continue"/>
            <w:vAlign w:val="center"/>
          </w:tcPr>
          <w:p>
            <w:pPr>
              <w:snapToGrid w:val="0"/>
              <w:jc w:val="center"/>
              <w:rPr>
                <w:color w:val="000000"/>
                <w:szCs w:val="21"/>
                <w:u w:val="single"/>
              </w:rPr>
            </w:pPr>
          </w:p>
        </w:tc>
        <w:tc>
          <w:tcPr>
            <w:tcW w:w="1561" w:type="dxa"/>
            <w:vAlign w:val="center"/>
          </w:tcPr>
          <w:p>
            <w:pPr>
              <w:snapToGrid w:val="0"/>
              <w:jc w:val="center"/>
              <w:rPr>
                <w:color w:val="000000"/>
                <w:szCs w:val="21"/>
                <w:u w:val="single"/>
              </w:rPr>
            </w:pPr>
            <w:r>
              <w:rPr>
                <w:rFonts w:hint="eastAsia"/>
                <w:color w:val="000000"/>
                <w:szCs w:val="21"/>
                <w:u w:val="single"/>
              </w:rPr>
              <w:t>次氯酸钠</w:t>
            </w:r>
          </w:p>
        </w:tc>
        <w:tc>
          <w:tcPr>
            <w:tcW w:w="1877" w:type="dxa"/>
            <w:vAlign w:val="center"/>
          </w:tcPr>
          <w:p>
            <w:pPr>
              <w:snapToGrid w:val="0"/>
              <w:jc w:val="center"/>
              <w:rPr>
                <w:color w:val="000000"/>
                <w:szCs w:val="21"/>
                <w:u w:val="single"/>
              </w:rPr>
            </w:pPr>
            <w:r>
              <w:rPr>
                <w:rFonts w:hint="eastAsia"/>
                <w:color w:val="000000"/>
                <w:szCs w:val="21"/>
                <w:u w:val="single"/>
              </w:rPr>
              <w:t>0.01</w:t>
            </w:r>
          </w:p>
        </w:tc>
        <w:tc>
          <w:tcPr>
            <w:tcW w:w="1257" w:type="dxa"/>
            <w:vAlign w:val="center"/>
          </w:tcPr>
          <w:p>
            <w:pPr>
              <w:snapToGrid w:val="0"/>
              <w:jc w:val="center"/>
              <w:rPr>
                <w:color w:val="000000"/>
                <w:szCs w:val="21"/>
                <w:u w:val="single"/>
              </w:rPr>
            </w:pPr>
            <w:r>
              <w:rPr>
                <w:rFonts w:hint="eastAsia"/>
                <w:color w:val="000000"/>
                <w:szCs w:val="21"/>
                <w:u w:val="single"/>
              </w:rPr>
              <w:t>5</w:t>
            </w:r>
          </w:p>
        </w:tc>
        <w:tc>
          <w:tcPr>
            <w:tcW w:w="1316" w:type="dxa"/>
            <w:vAlign w:val="center"/>
          </w:tcPr>
          <w:p>
            <w:pPr>
              <w:snapToGrid w:val="0"/>
              <w:jc w:val="center"/>
              <w:rPr>
                <w:color w:val="000000"/>
                <w:szCs w:val="21"/>
                <w:u w:val="single"/>
              </w:rPr>
            </w:pPr>
            <w:r>
              <w:rPr>
                <w:rFonts w:hint="eastAsia"/>
                <w:color w:val="000000"/>
                <w:szCs w:val="21"/>
                <w:u w:val="single"/>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Merge w:val="restart"/>
            <w:vAlign w:val="center"/>
          </w:tcPr>
          <w:p>
            <w:pPr>
              <w:snapToGrid w:val="0"/>
              <w:jc w:val="center"/>
              <w:rPr>
                <w:color w:val="000000"/>
                <w:szCs w:val="21"/>
                <w:u w:val="single"/>
              </w:rPr>
            </w:pPr>
            <w:r>
              <w:rPr>
                <w:color w:val="000000"/>
                <w:szCs w:val="21"/>
                <w:u w:val="single"/>
              </w:rPr>
              <w:t>污水处理站消毒剂</w:t>
            </w:r>
          </w:p>
          <w:p>
            <w:pPr>
              <w:snapToGrid w:val="0"/>
              <w:jc w:val="center"/>
              <w:rPr>
                <w:color w:val="000000"/>
                <w:szCs w:val="21"/>
                <w:u w:val="single"/>
              </w:rPr>
            </w:pPr>
            <w:r>
              <w:rPr>
                <w:color w:val="000000"/>
                <w:szCs w:val="21"/>
                <w:u w:val="single"/>
              </w:rPr>
              <w:t>（制备二氧化氯）</w:t>
            </w:r>
          </w:p>
        </w:tc>
        <w:tc>
          <w:tcPr>
            <w:tcW w:w="1561" w:type="dxa"/>
            <w:vAlign w:val="center"/>
          </w:tcPr>
          <w:p>
            <w:pPr>
              <w:widowControl/>
              <w:snapToGrid w:val="0"/>
              <w:jc w:val="center"/>
              <w:rPr>
                <w:color w:val="000000"/>
                <w:kern w:val="0"/>
                <w:szCs w:val="21"/>
                <w:u w:val="single"/>
              </w:rPr>
            </w:pPr>
            <w:r>
              <w:rPr>
                <w:color w:val="000000"/>
                <w:szCs w:val="21"/>
                <w:u w:val="single"/>
              </w:rPr>
              <w:t>氯酸钠</w:t>
            </w:r>
          </w:p>
        </w:tc>
        <w:tc>
          <w:tcPr>
            <w:tcW w:w="1877" w:type="dxa"/>
            <w:vAlign w:val="center"/>
          </w:tcPr>
          <w:p>
            <w:pPr>
              <w:snapToGrid w:val="0"/>
              <w:jc w:val="center"/>
              <w:rPr>
                <w:color w:val="000000"/>
                <w:szCs w:val="21"/>
                <w:u w:val="single"/>
              </w:rPr>
            </w:pPr>
            <w:r>
              <w:rPr>
                <w:color w:val="000000"/>
                <w:szCs w:val="21"/>
                <w:u w:val="single"/>
              </w:rPr>
              <w:t>0.2t</w:t>
            </w:r>
          </w:p>
        </w:tc>
        <w:tc>
          <w:tcPr>
            <w:tcW w:w="1257" w:type="dxa"/>
            <w:vAlign w:val="center"/>
          </w:tcPr>
          <w:p>
            <w:pPr>
              <w:snapToGrid w:val="0"/>
              <w:jc w:val="center"/>
              <w:rPr>
                <w:color w:val="000000"/>
                <w:szCs w:val="21"/>
                <w:u w:val="single"/>
              </w:rPr>
            </w:pPr>
            <w:r>
              <w:rPr>
                <w:color w:val="000000"/>
                <w:szCs w:val="21"/>
                <w:u w:val="single"/>
              </w:rPr>
              <w:t>100t</w:t>
            </w:r>
          </w:p>
        </w:tc>
        <w:tc>
          <w:tcPr>
            <w:tcW w:w="1316" w:type="dxa"/>
            <w:vAlign w:val="center"/>
          </w:tcPr>
          <w:p>
            <w:pPr>
              <w:snapToGrid w:val="0"/>
              <w:jc w:val="center"/>
              <w:rPr>
                <w:color w:val="000000"/>
                <w:szCs w:val="21"/>
                <w:u w:val="single"/>
              </w:rPr>
            </w:pPr>
            <w:r>
              <w:rPr>
                <w:color w:val="000000"/>
                <w:szCs w:val="21"/>
                <w:u w:val="single"/>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Merge w:val="continue"/>
            <w:vAlign w:val="center"/>
          </w:tcPr>
          <w:p>
            <w:pPr>
              <w:snapToGrid w:val="0"/>
              <w:jc w:val="center"/>
              <w:rPr>
                <w:color w:val="000000"/>
                <w:szCs w:val="21"/>
                <w:u w:val="single"/>
              </w:rPr>
            </w:pPr>
          </w:p>
        </w:tc>
        <w:tc>
          <w:tcPr>
            <w:tcW w:w="1561" w:type="dxa"/>
            <w:vAlign w:val="center"/>
          </w:tcPr>
          <w:p>
            <w:pPr>
              <w:widowControl/>
              <w:snapToGrid w:val="0"/>
              <w:jc w:val="center"/>
              <w:rPr>
                <w:color w:val="000000"/>
                <w:kern w:val="0"/>
                <w:szCs w:val="21"/>
                <w:u w:val="single"/>
              </w:rPr>
            </w:pPr>
            <w:r>
              <w:rPr>
                <w:color w:val="000000"/>
                <w:kern w:val="0"/>
                <w:szCs w:val="21"/>
                <w:u w:val="single"/>
              </w:rPr>
              <w:t>盐酸</w:t>
            </w:r>
          </w:p>
        </w:tc>
        <w:tc>
          <w:tcPr>
            <w:tcW w:w="1877" w:type="dxa"/>
            <w:vAlign w:val="center"/>
          </w:tcPr>
          <w:p>
            <w:pPr>
              <w:snapToGrid w:val="0"/>
              <w:jc w:val="center"/>
              <w:rPr>
                <w:color w:val="000000"/>
                <w:szCs w:val="21"/>
                <w:u w:val="single"/>
              </w:rPr>
            </w:pPr>
            <w:r>
              <w:rPr>
                <w:color w:val="000000"/>
                <w:szCs w:val="21"/>
                <w:u w:val="single"/>
              </w:rPr>
              <w:t>0.15t</w:t>
            </w:r>
          </w:p>
        </w:tc>
        <w:tc>
          <w:tcPr>
            <w:tcW w:w="1257" w:type="dxa"/>
            <w:vAlign w:val="center"/>
          </w:tcPr>
          <w:p>
            <w:pPr>
              <w:snapToGrid w:val="0"/>
              <w:jc w:val="center"/>
              <w:rPr>
                <w:color w:val="000000"/>
                <w:szCs w:val="21"/>
                <w:u w:val="single"/>
              </w:rPr>
            </w:pPr>
            <w:r>
              <w:rPr>
                <w:color w:val="000000"/>
                <w:szCs w:val="21"/>
                <w:u w:val="single"/>
              </w:rPr>
              <w:t>7.5t</w:t>
            </w:r>
          </w:p>
        </w:tc>
        <w:tc>
          <w:tcPr>
            <w:tcW w:w="1316" w:type="dxa"/>
            <w:vAlign w:val="center"/>
          </w:tcPr>
          <w:p>
            <w:pPr>
              <w:snapToGrid w:val="0"/>
              <w:jc w:val="center"/>
              <w:rPr>
                <w:color w:val="000000"/>
                <w:szCs w:val="21"/>
                <w:u w:val="single"/>
              </w:rPr>
            </w:pPr>
            <w:r>
              <w:rPr>
                <w:color w:val="000000"/>
                <w:szCs w:val="21"/>
                <w:u w:val="single"/>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Merge w:val="continue"/>
            <w:vAlign w:val="center"/>
          </w:tcPr>
          <w:p>
            <w:pPr>
              <w:snapToGrid w:val="0"/>
              <w:jc w:val="center"/>
              <w:rPr>
                <w:color w:val="000000"/>
                <w:szCs w:val="21"/>
                <w:u w:val="single"/>
              </w:rPr>
            </w:pPr>
          </w:p>
        </w:tc>
        <w:tc>
          <w:tcPr>
            <w:tcW w:w="1561" w:type="dxa"/>
            <w:vAlign w:val="center"/>
          </w:tcPr>
          <w:p>
            <w:pPr>
              <w:widowControl/>
              <w:snapToGrid w:val="0"/>
              <w:jc w:val="center"/>
              <w:rPr>
                <w:color w:val="000000"/>
                <w:kern w:val="0"/>
                <w:szCs w:val="21"/>
                <w:u w:val="single"/>
              </w:rPr>
            </w:pPr>
            <w:r>
              <w:rPr>
                <w:color w:val="000000"/>
                <w:szCs w:val="21"/>
                <w:u w:val="single"/>
              </w:rPr>
              <w:t>二氧化氯</w:t>
            </w:r>
          </w:p>
        </w:tc>
        <w:tc>
          <w:tcPr>
            <w:tcW w:w="1877" w:type="dxa"/>
            <w:vAlign w:val="center"/>
          </w:tcPr>
          <w:p>
            <w:pPr>
              <w:snapToGrid w:val="0"/>
              <w:jc w:val="center"/>
              <w:rPr>
                <w:color w:val="000000"/>
                <w:szCs w:val="21"/>
                <w:u w:val="single"/>
              </w:rPr>
            </w:pPr>
            <w:r>
              <w:rPr>
                <w:color w:val="000000"/>
                <w:szCs w:val="21"/>
                <w:u w:val="single"/>
              </w:rPr>
              <w:t>0.01t</w:t>
            </w:r>
          </w:p>
        </w:tc>
        <w:tc>
          <w:tcPr>
            <w:tcW w:w="1257" w:type="dxa"/>
            <w:vAlign w:val="center"/>
          </w:tcPr>
          <w:p>
            <w:pPr>
              <w:snapToGrid w:val="0"/>
              <w:jc w:val="center"/>
              <w:rPr>
                <w:color w:val="000000"/>
                <w:szCs w:val="21"/>
                <w:u w:val="single"/>
              </w:rPr>
            </w:pPr>
            <w:r>
              <w:rPr>
                <w:color w:val="000000"/>
                <w:szCs w:val="21"/>
                <w:u w:val="single"/>
              </w:rPr>
              <w:t>0.5t</w:t>
            </w:r>
          </w:p>
        </w:tc>
        <w:tc>
          <w:tcPr>
            <w:tcW w:w="1316" w:type="dxa"/>
            <w:vAlign w:val="center"/>
          </w:tcPr>
          <w:p>
            <w:pPr>
              <w:snapToGrid w:val="0"/>
              <w:jc w:val="center"/>
              <w:rPr>
                <w:color w:val="000000"/>
                <w:szCs w:val="21"/>
                <w:u w:val="single"/>
              </w:rPr>
            </w:pPr>
            <w:r>
              <w:rPr>
                <w:color w:val="000000"/>
                <w:szCs w:val="21"/>
                <w:u w:val="single"/>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Align w:val="center"/>
          </w:tcPr>
          <w:p>
            <w:pPr>
              <w:snapToGrid w:val="0"/>
              <w:jc w:val="center"/>
              <w:rPr>
                <w:color w:val="000000"/>
                <w:szCs w:val="21"/>
                <w:u w:val="single"/>
              </w:rPr>
            </w:pPr>
            <w:r>
              <w:rPr>
                <w:color w:val="000000"/>
                <w:szCs w:val="21"/>
                <w:u w:val="single"/>
              </w:rPr>
              <w:t>发电机房</w:t>
            </w:r>
          </w:p>
        </w:tc>
        <w:tc>
          <w:tcPr>
            <w:tcW w:w="1561" w:type="dxa"/>
            <w:vAlign w:val="center"/>
          </w:tcPr>
          <w:p>
            <w:pPr>
              <w:widowControl/>
              <w:snapToGrid w:val="0"/>
              <w:jc w:val="center"/>
              <w:rPr>
                <w:color w:val="000000"/>
                <w:szCs w:val="21"/>
                <w:u w:val="single"/>
              </w:rPr>
            </w:pPr>
            <w:r>
              <w:rPr>
                <w:color w:val="000000" w:themeColor="text1"/>
                <w:kern w:val="0"/>
                <w:szCs w:val="21"/>
                <w:u w:val="single"/>
              </w:rPr>
              <w:t>柴油</w:t>
            </w:r>
          </w:p>
        </w:tc>
        <w:tc>
          <w:tcPr>
            <w:tcW w:w="1877" w:type="dxa"/>
            <w:vAlign w:val="center"/>
          </w:tcPr>
          <w:p>
            <w:pPr>
              <w:snapToGrid w:val="0"/>
              <w:jc w:val="center"/>
              <w:rPr>
                <w:color w:val="000000"/>
                <w:szCs w:val="21"/>
                <w:u w:val="single"/>
              </w:rPr>
            </w:pPr>
            <w:r>
              <w:rPr>
                <w:color w:val="000000" w:themeColor="text1"/>
                <w:kern w:val="0"/>
                <w:szCs w:val="21"/>
                <w:u w:val="single"/>
              </w:rPr>
              <w:t>1.5</w:t>
            </w:r>
          </w:p>
        </w:tc>
        <w:tc>
          <w:tcPr>
            <w:tcW w:w="1257" w:type="dxa"/>
            <w:vAlign w:val="center"/>
          </w:tcPr>
          <w:p>
            <w:pPr>
              <w:snapToGrid w:val="0"/>
              <w:jc w:val="center"/>
              <w:rPr>
                <w:color w:val="000000"/>
                <w:szCs w:val="21"/>
                <w:u w:val="single"/>
              </w:rPr>
            </w:pPr>
            <w:r>
              <w:rPr>
                <w:color w:val="000000"/>
                <w:szCs w:val="21"/>
                <w:u w:val="single"/>
              </w:rPr>
              <w:t>2500</w:t>
            </w:r>
          </w:p>
        </w:tc>
        <w:tc>
          <w:tcPr>
            <w:tcW w:w="1316" w:type="dxa"/>
            <w:vAlign w:val="center"/>
          </w:tcPr>
          <w:p>
            <w:pPr>
              <w:snapToGrid w:val="0"/>
              <w:jc w:val="center"/>
              <w:rPr>
                <w:color w:val="000000"/>
                <w:szCs w:val="21"/>
                <w:u w:val="single"/>
              </w:rPr>
            </w:pPr>
            <w:r>
              <w:rPr>
                <w:color w:val="000000"/>
                <w:szCs w:val="21"/>
                <w:u w:val="single"/>
              </w:rPr>
              <w:t>0.0006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778" w:type="dxa"/>
            <w:vAlign w:val="center"/>
          </w:tcPr>
          <w:p>
            <w:pPr>
              <w:snapToGrid w:val="0"/>
              <w:jc w:val="center"/>
              <w:rPr>
                <w:color w:val="000000"/>
                <w:szCs w:val="21"/>
                <w:u w:val="single"/>
              </w:rPr>
            </w:pPr>
            <w:r>
              <w:rPr>
                <w:color w:val="000000"/>
                <w:szCs w:val="21"/>
                <w:u w:val="single"/>
              </w:rPr>
              <w:t>合计</w:t>
            </w:r>
          </w:p>
        </w:tc>
        <w:tc>
          <w:tcPr>
            <w:tcW w:w="1561" w:type="dxa"/>
            <w:vAlign w:val="center"/>
          </w:tcPr>
          <w:p>
            <w:pPr>
              <w:snapToGrid w:val="0"/>
              <w:jc w:val="center"/>
              <w:rPr>
                <w:color w:val="000000"/>
                <w:szCs w:val="21"/>
                <w:u w:val="single"/>
              </w:rPr>
            </w:pPr>
            <w:r>
              <w:rPr>
                <w:color w:val="000000"/>
                <w:szCs w:val="21"/>
                <w:u w:val="single"/>
              </w:rPr>
              <w:t>/</w:t>
            </w:r>
          </w:p>
        </w:tc>
        <w:tc>
          <w:tcPr>
            <w:tcW w:w="3134" w:type="dxa"/>
            <w:gridSpan w:val="2"/>
            <w:vAlign w:val="center"/>
          </w:tcPr>
          <w:p>
            <w:pPr>
              <w:snapToGrid w:val="0"/>
              <w:jc w:val="center"/>
              <w:rPr>
                <w:color w:val="000000"/>
                <w:szCs w:val="21"/>
                <w:u w:val="single"/>
              </w:rPr>
            </w:pPr>
            <w:r>
              <w:rPr>
                <w:color w:val="000000"/>
                <w:szCs w:val="21"/>
                <w:u w:val="single"/>
              </w:rPr>
              <w:t>/</w:t>
            </w:r>
          </w:p>
        </w:tc>
        <w:tc>
          <w:tcPr>
            <w:tcW w:w="1316" w:type="dxa"/>
            <w:vAlign w:val="center"/>
          </w:tcPr>
          <w:p>
            <w:pPr>
              <w:snapToGrid w:val="0"/>
              <w:jc w:val="center"/>
              <w:rPr>
                <w:color w:val="000000"/>
                <w:szCs w:val="21"/>
                <w:u w:val="single"/>
              </w:rPr>
            </w:pPr>
            <w:r>
              <w:rPr>
                <w:color w:val="000000"/>
                <w:szCs w:val="21"/>
                <w:u w:val="single"/>
              </w:rPr>
              <w:t>0.08</w:t>
            </w:r>
            <w:r>
              <w:rPr>
                <w:rFonts w:hint="eastAsia"/>
                <w:color w:val="000000"/>
                <w:szCs w:val="21"/>
                <w:u w:val="single"/>
              </w:rPr>
              <w:t>9</w:t>
            </w:r>
            <w:r>
              <w:rPr>
                <w:color w:val="000000"/>
                <w:szCs w:val="21"/>
                <w:u w:val="single"/>
              </w:rPr>
              <w:t>6</w:t>
            </w:r>
          </w:p>
        </w:tc>
      </w:tr>
    </w:tbl>
    <w:p>
      <w:pPr>
        <w:snapToGrid w:val="0"/>
        <w:spacing w:line="360" w:lineRule="auto"/>
        <w:ind w:firstLine="480" w:firstLineChars="200"/>
        <w:rPr>
          <w:rFonts w:eastAsiaTheme="minorEastAsia"/>
          <w:sz w:val="24"/>
        </w:rPr>
      </w:pPr>
      <w:r>
        <w:rPr>
          <w:rFonts w:eastAsiaTheme="minorEastAsia"/>
          <w:sz w:val="24"/>
        </w:rPr>
        <w:t>根据《建设项目环境风险评价技术导则》（HJ 169-2018）附录B 重点关注的危险物质及临界量以及《危险化学品重大危险源辨识》（GB18218-2018），本项目所用到的乙醇属于易燃液体，氯酸钠具有氧化性，盐酸具有腐蚀性；根据《建设项目环境风险评价技术导则》（HJ/T169-2018），甲醛为有毒物质。上表物质的Σqi/Qi值小于1。因此，项目不存在重大危险源。项目为一般医疗基础设施建设，其使用的化学品均为常规医药用品。其中乙醇、甲醛、盐酸、氯酸钠、二氧化氯的主要理化性质、毒理指标简述如下：</w:t>
      </w: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乙醇</w:t>
      </w:r>
    </w:p>
    <w:p>
      <w:pPr>
        <w:snapToGrid w:val="0"/>
        <w:spacing w:line="360" w:lineRule="auto"/>
        <w:jc w:val="center"/>
        <w:rPr>
          <w:rFonts w:eastAsiaTheme="minorEastAsia"/>
          <w:b/>
          <w:bCs/>
          <w:sz w:val="24"/>
        </w:rPr>
      </w:pPr>
      <w:r>
        <w:rPr>
          <w:rFonts w:eastAsiaTheme="minorEastAsia"/>
          <w:b/>
          <w:bCs/>
          <w:sz w:val="24"/>
        </w:rPr>
        <w:t>表7.1-2  乙醇理化特性表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64"/>
        <w:gridCol w:w="2044"/>
        <w:gridCol w:w="2579"/>
        <w:gridCol w:w="27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color w:val="000000"/>
                <w:szCs w:val="21"/>
              </w:rPr>
            </w:pPr>
            <w:r>
              <w:rPr>
                <w:color w:val="000000"/>
                <w:szCs w:val="21"/>
              </w:rPr>
              <w:t>国标编号</w:t>
            </w:r>
          </w:p>
        </w:tc>
        <w:tc>
          <w:tcPr>
            <w:tcW w:w="1995" w:type="dxa"/>
            <w:vAlign w:val="center"/>
          </w:tcPr>
          <w:p>
            <w:pPr>
              <w:jc w:val="center"/>
              <w:rPr>
                <w:color w:val="000000"/>
              </w:rPr>
            </w:pPr>
            <w:r>
              <w:rPr>
                <w:color w:val="000000"/>
              </w:rPr>
              <w:t>32061</w:t>
            </w:r>
          </w:p>
        </w:tc>
        <w:tc>
          <w:tcPr>
            <w:tcW w:w="2517" w:type="dxa"/>
            <w:vAlign w:val="center"/>
          </w:tcPr>
          <w:p>
            <w:pPr>
              <w:jc w:val="center"/>
              <w:rPr>
                <w:color w:val="000000"/>
                <w:szCs w:val="21"/>
              </w:rPr>
            </w:pPr>
            <w:r>
              <w:rPr>
                <w:color w:val="000000"/>
                <w:szCs w:val="21"/>
              </w:rPr>
              <w:t>CAS号</w:t>
            </w:r>
          </w:p>
        </w:tc>
        <w:tc>
          <w:tcPr>
            <w:tcW w:w="2637" w:type="dxa"/>
            <w:vAlign w:val="center"/>
          </w:tcPr>
          <w:p>
            <w:pPr>
              <w:jc w:val="center"/>
              <w:rPr>
                <w:color w:val="000000"/>
              </w:rPr>
            </w:pPr>
            <w:r>
              <w:rPr>
                <w:color w:val="000000"/>
              </w:rPr>
              <w:t>64-17-5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color w:val="000000"/>
                <w:szCs w:val="21"/>
              </w:rPr>
            </w:pPr>
            <w:r>
              <w:rPr>
                <w:color w:val="000000"/>
                <w:szCs w:val="21"/>
              </w:rPr>
              <w:t>中文名称</w:t>
            </w:r>
          </w:p>
        </w:tc>
        <w:tc>
          <w:tcPr>
            <w:tcW w:w="1995" w:type="dxa"/>
            <w:vAlign w:val="center"/>
          </w:tcPr>
          <w:p>
            <w:pPr>
              <w:jc w:val="center"/>
              <w:rPr>
                <w:color w:val="000000"/>
              </w:rPr>
            </w:pPr>
            <w:r>
              <w:rPr>
                <w:color w:val="000000"/>
              </w:rPr>
              <w:t>乙醇</w:t>
            </w:r>
          </w:p>
        </w:tc>
        <w:tc>
          <w:tcPr>
            <w:tcW w:w="2517" w:type="dxa"/>
            <w:vAlign w:val="center"/>
          </w:tcPr>
          <w:p>
            <w:pPr>
              <w:jc w:val="center"/>
              <w:rPr>
                <w:color w:val="000000"/>
                <w:szCs w:val="21"/>
              </w:rPr>
            </w:pPr>
            <w:r>
              <w:rPr>
                <w:color w:val="000000"/>
                <w:szCs w:val="21"/>
              </w:rPr>
              <w:t>英文名称</w:t>
            </w:r>
          </w:p>
        </w:tc>
        <w:tc>
          <w:tcPr>
            <w:tcW w:w="2637" w:type="dxa"/>
            <w:vAlign w:val="center"/>
          </w:tcPr>
          <w:p>
            <w:pPr>
              <w:jc w:val="center"/>
              <w:rPr>
                <w:color w:val="000000"/>
              </w:rPr>
            </w:pPr>
            <w:r>
              <w:rPr>
                <w:color w:val="000000"/>
              </w:rPr>
              <w:t>ethyl alcohol；ethanol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color w:val="000000"/>
                <w:szCs w:val="21"/>
              </w:rPr>
            </w:pPr>
            <w:r>
              <w:rPr>
                <w:color w:val="000000"/>
                <w:szCs w:val="21"/>
              </w:rPr>
              <w:t>别名</w:t>
            </w:r>
          </w:p>
        </w:tc>
        <w:tc>
          <w:tcPr>
            <w:tcW w:w="1995" w:type="dxa"/>
            <w:vAlign w:val="center"/>
          </w:tcPr>
          <w:p>
            <w:pPr>
              <w:jc w:val="center"/>
              <w:rPr>
                <w:color w:val="000000"/>
              </w:rPr>
            </w:pPr>
            <w:r>
              <w:rPr>
                <w:color w:val="000000"/>
              </w:rPr>
              <w:t>酒精</w:t>
            </w:r>
          </w:p>
        </w:tc>
        <w:tc>
          <w:tcPr>
            <w:tcW w:w="2517" w:type="dxa"/>
            <w:vAlign w:val="center"/>
          </w:tcPr>
          <w:p>
            <w:pPr>
              <w:jc w:val="center"/>
              <w:rPr>
                <w:color w:val="000000"/>
                <w:szCs w:val="21"/>
              </w:rPr>
            </w:pPr>
            <w:r>
              <w:rPr>
                <w:color w:val="000000"/>
                <w:szCs w:val="21"/>
              </w:rPr>
              <w:t>分子式</w:t>
            </w:r>
          </w:p>
        </w:tc>
        <w:tc>
          <w:tcPr>
            <w:tcW w:w="2637" w:type="dxa"/>
            <w:vAlign w:val="center"/>
          </w:tcPr>
          <w:p>
            <w:pPr>
              <w:jc w:val="center"/>
              <w:rPr>
                <w:color w:val="000000"/>
              </w:rPr>
            </w:pPr>
            <w:r>
              <w:rPr>
                <w:color w:val="000000"/>
              </w:rPr>
              <w:t>C</w:t>
            </w:r>
            <w:r>
              <w:rPr>
                <w:color w:val="000000"/>
                <w:vertAlign w:val="subscript"/>
              </w:rPr>
              <w:t>2</w:t>
            </w:r>
            <w:r>
              <w:rPr>
                <w:color w:val="000000"/>
              </w:rPr>
              <w:t>H</w:t>
            </w:r>
            <w:r>
              <w:rPr>
                <w:color w:val="000000"/>
                <w:vertAlign w:val="subscript"/>
              </w:rPr>
              <w:t>6</w:t>
            </w:r>
            <w:r>
              <w:rPr>
                <w:color w:val="000000"/>
              </w:rPr>
              <w:t>O；CH</w:t>
            </w:r>
            <w:r>
              <w:rPr>
                <w:color w:val="000000"/>
                <w:vertAlign w:val="subscript"/>
              </w:rPr>
              <w:t>3</w:t>
            </w:r>
            <w:r>
              <w:rPr>
                <w:color w:val="000000"/>
              </w:rPr>
              <w:t>CH</w:t>
            </w:r>
            <w:r>
              <w:rPr>
                <w:color w:val="000000"/>
                <w:vertAlign w:val="subscript"/>
              </w:rPr>
              <w:t>2</w:t>
            </w:r>
            <w:r>
              <w:rPr>
                <w:color w:val="000000"/>
              </w:rPr>
              <w:t>OH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color w:val="000000"/>
                <w:szCs w:val="21"/>
              </w:rPr>
            </w:pPr>
            <w:r>
              <w:rPr>
                <w:color w:val="000000"/>
                <w:szCs w:val="21"/>
              </w:rPr>
              <w:t>外观与性状</w:t>
            </w:r>
          </w:p>
        </w:tc>
        <w:tc>
          <w:tcPr>
            <w:tcW w:w="1995" w:type="dxa"/>
            <w:vAlign w:val="center"/>
          </w:tcPr>
          <w:p>
            <w:pPr>
              <w:jc w:val="center"/>
              <w:rPr>
                <w:color w:val="000000"/>
              </w:rPr>
            </w:pPr>
            <w:r>
              <w:rPr>
                <w:color w:val="000000"/>
              </w:rPr>
              <w:t>无色液体，有酒香</w:t>
            </w:r>
          </w:p>
        </w:tc>
        <w:tc>
          <w:tcPr>
            <w:tcW w:w="2517" w:type="dxa"/>
            <w:vAlign w:val="center"/>
          </w:tcPr>
          <w:p>
            <w:pPr>
              <w:jc w:val="center"/>
              <w:rPr>
                <w:color w:val="000000"/>
                <w:szCs w:val="21"/>
              </w:rPr>
            </w:pPr>
            <w:r>
              <w:rPr>
                <w:color w:val="000000"/>
                <w:szCs w:val="21"/>
              </w:rPr>
              <w:t>分子量</w:t>
            </w:r>
          </w:p>
        </w:tc>
        <w:tc>
          <w:tcPr>
            <w:tcW w:w="2637" w:type="dxa"/>
            <w:vAlign w:val="center"/>
          </w:tcPr>
          <w:p>
            <w:pPr>
              <w:jc w:val="center"/>
              <w:rPr>
                <w:color w:val="000000"/>
              </w:rPr>
            </w:pPr>
            <w:r>
              <w:rPr>
                <w:color w:val="000000"/>
              </w:rPr>
              <w:t>46.07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color w:val="000000"/>
                <w:szCs w:val="21"/>
              </w:rPr>
            </w:pPr>
            <w:r>
              <w:rPr>
                <w:color w:val="000000"/>
                <w:szCs w:val="21"/>
              </w:rPr>
              <w:t>蒸汽压</w:t>
            </w:r>
          </w:p>
        </w:tc>
        <w:tc>
          <w:tcPr>
            <w:tcW w:w="1995" w:type="dxa"/>
            <w:vAlign w:val="center"/>
          </w:tcPr>
          <w:p>
            <w:pPr>
              <w:jc w:val="center"/>
              <w:rPr>
                <w:color w:val="000000"/>
              </w:rPr>
            </w:pPr>
            <w:r>
              <w:rPr>
                <w:color w:val="000000"/>
              </w:rPr>
              <w:t>5.33kPa/19℃</w:t>
            </w:r>
          </w:p>
          <w:p>
            <w:pPr>
              <w:jc w:val="center"/>
              <w:rPr>
                <w:color w:val="000000"/>
              </w:rPr>
            </w:pPr>
            <w:r>
              <w:rPr>
                <w:color w:val="000000"/>
              </w:rPr>
              <w:t>闪点：12℃</w:t>
            </w:r>
          </w:p>
        </w:tc>
        <w:tc>
          <w:tcPr>
            <w:tcW w:w="2517" w:type="dxa"/>
            <w:vAlign w:val="center"/>
          </w:tcPr>
          <w:p>
            <w:pPr>
              <w:jc w:val="center"/>
              <w:rPr>
                <w:color w:val="000000"/>
                <w:szCs w:val="21"/>
              </w:rPr>
            </w:pPr>
            <w:r>
              <w:rPr>
                <w:color w:val="000000"/>
                <w:szCs w:val="21"/>
              </w:rPr>
              <w:t>熔点</w:t>
            </w:r>
          </w:p>
        </w:tc>
        <w:tc>
          <w:tcPr>
            <w:tcW w:w="2637" w:type="dxa"/>
            <w:vAlign w:val="center"/>
          </w:tcPr>
          <w:p>
            <w:pPr>
              <w:jc w:val="center"/>
              <w:rPr>
                <w:bCs/>
                <w:color w:val="000000"/>
                <w:spacing w:val="8"/>
                <w:szCs w:val="21"/>
              </w:rPr>
            </w:pPr>
            <w:r>
              <w:rPr>
                <w:color w:val="000000"/>
              </w:rPr>
              <w:t>-114.1℃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bCs/>
                <w:color w:val="000000"/>
                <w:spacing w:val="8"/>
                <w:szCs w:val="21"/>
              </w:rPr>
            </w:pPr>
            <w:r>
              <w:rPr>
                <w:color w:val="000000"/>
                <w:szCs w:val="21"/>
              </w:rPr>
              <w:t>沸点</w:t>
            </w:r>
          </w:p>
        </w:tc>
        <w:tc>
          <w:tcPr>
            <w:tcW w:w="1995" w:type="dxa"/>
            <w:vAlign w:val="center"/>
          </w:tcPr>
          <w:p>
            <w:pPr>
              <w:jc w:val="center"/>
              <w:rPr>
                <w:bCs/>
                <w:color w:val="000000"/>
                <w:spacing w:val="8"/>
                <w:szCs w:val="21"/>
              </w:rPr>
            </w:pPr>
            <w:r>
              <w:rPr>
                <w:color w:val="000000"/>
              </w:rPr>
              <w:t>78.3℃</w:t>
            </w:r>
          </w:p>
        </w:tc>
        <w:tc>
          <w:tcPr>
            <w:tcW w:w="2517" w:type="dxa"/>
            <w:vAlign w:val="center"/>
          </w:tcPr>
          <w:p>
            <w:pPr>
              <w:jc w:val="center"/>
              <w:rPr>
                <w:color w:val="000000"/>
                <w:szCs w:val="21"/>
              </w:rPr>
            </w:pPr>
            <w:r>
              <w:rPr>
                <w:color w:val="000000"/>
                <w:szCs w:val="21"/>
              </w:rPr>
              <w:t>溶解性</w:t>
            </w:r>
          </w:p>
        </w:tc>
        <w:tc>
          <w:tcPr>
            <w:tcW w:w="2637" w:type="dxa"/>
            <w:vAlign w:val="center"/>
          </w:tcPr>
          <w:p>
            <w:pPr>
              <w:jc w:val="center"/>
              <w:rPr>
                <w:color w:val="000000"/>
              </w:rPr>
            </w:pPr>
            <w:r>
              <w:rPr>
                <w:color w:val="000000"/>
                <w:szCs w:val="21"/>
              </w:rPr>
              <w:t>易</w:t>
            </w:r>
            <w:r>
              <w:rPr>
                <w:color w:val="000000"/>
              </w:rPr>
              <w:t>与水混溶，可混溶于醚、氯仿、甘油等多数有机溶剂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color w:val="000000"/>
                <w:szCs w:val="21"/>
              </w:rPr>
            </w:pPr>
            <w:r>
              <w:rPr>
                <w:color w:val="000000"/>
                <w:szCs w:val="21"/>
              </w:rPr>
              <w:t>密度</w:t>
            </w:r>
          </w:p>
        </w:tc>
        <w:tc>
          <w:tcPr>
            <w:tcW w:w="1995" w:type="dxa"/>
            <w:vAlign w:val="center"/>
          </w:tcPr>
          <w:p>
            <w:pPr>
              <w:jc w:val="center"/>
              <w:rPr>
                <w:color w:val="000000"/>
              </w:rPr>
            </w:pPr>
            <w:r>
              <w:rPr>
                <w:color w:val="000000"/>
              </w:rPr>
              <w:t>相对密度(水=1)0.79；相对密度(空气=1)1.59</w:t>
            </w:r>
          </w:p>
        </w:tc>
        <w:tc>
          <w:tcPr>
            <w:tcW w:w="2517" w:type="dxa"/>
            <w:vAlign w:val="center"/>
          </w:tcPr>
          <w:p>
            <w:pPr>
              <w:jc w:val="center"/>
              <w:rPr>
                <w:bCs/>
                <w:color w:val="000000"/>
                <w:spacing w:val="8"/>
                <w:szCs w:val="21"/>
              </w:rPr>
            </w:pPr>
            <w:r>
              <w:rPr>
                <w:color w:val="000000"/>
                <w:szCs w:val="21"/>
              </w:rPr>
              <w:t>稳定性</w:t>
            </w:r>
          </w:p>
        </w:tc>
        <w:tc>
          <w:tcPr>
            <w:tcW w:w="2637" w:type="dxa"/>
            <w:vAlign w:val="center"/>
          </w:tcPr>
          <w:p>
            <w:pPr>
              <w:jc w:val="center"/>
              <w:rPr>
                <w:bCs/>
                <w:color w:val="000000"/>
                <w:spacing w:val="8"/>
                <w:szCs w:val="21"/>
              </w:rPr>
            </w:pPr>
            <w:r>
              <w:rPr>
                <w:color w:val="000000"/>
                <w:szCs w:val="21"/>
              </w:rPr>
              <w:t>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Align w:val="center"/>
          </w:tcPr>
          <w:p>
            <w:pPr>
              <w:jc w:val="center"/>
              <w:rPr>
                <w:bCs/>
                <w:color w:val="000000"/>
                <w:spacing w:val="8"/>
                <w:szCs w:val="21"/>
              </w:rPr>
            </w:pPr>
            <w:r>
              <w:rPr>
                <w:color w:val="000000"/>
                <w:szCs w:val="21"/>
              </w:rPr>
              <w:t>危险标记</w:t>
            </w:r>
          </w:p>
        </w:tc>
        <w:tc>
          <w:tcPr>
            <w:tcW w:w="1995" w:type="dxa"/>
            <w:vAlign w:val="center"/>
          </w:tcPr>
          <w:p>
            <w:pPr>
              <w:jc w:val="center"/>
              <w:rPr>
                <w:bCs/>
                <w:color w:val="000000"/>
                <w:spacing w:val="8"/>
                <w:szCs w:val="21"/>
              </w:rPr>
            </w:pPr>
            <w:r>
              <w:rPr>
                <w:color w:val="000000"/>
              </w:rPr>
              <w:t>7(易燃液体)</w:t>
            </w:r>
          </w:p>
        </w:tc>
        <w:tc>
          <w:tcPr>
            <w:tcW w:w="2517" w:type="dxa"/>
            <w:vAlign w:val="center"/>
          </w:tcPr>
          <w:p>
            <w:pPr>
              <w:jc w:val="center"/>
              <w:rPr>
                <w:bCs/>
                <w:color w:val="000000"/>
                <w:spacing w:val="8"/>
                <w:szCs w:val="21"/>
              </w:rPr>
            </w:pPr>
            <w:r>
              <w:rPr>
                <w:color w:val="000000"/>
                <w:szCs w:val="21"/>
              </w:rPr>
              <w:t>主要用途</w:t>
            </w:r>
          </w:p>
        </w:tc>
        <w:tc>
          <w:tcPr>
            <w:tcW w:w="2637" w:type="dxa"/>
            <w:vAlign w:val="center"/>
          </w:tcPr>
          <w:p>
            <w:pPr>
              <w:jc w:val="center"/>
              <w:rPr>
                <w:color w:val="000000"/>
              </w:rPr>
            </w:pPr>
            <w:r>
              <w:rPr>
                <w:color w:val="000000"/>
              </w:rPr>
              <w:t>用于制酒工业、有机合成、消毒以用作溶剂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restart"/>
            <w:vAlign w:val="center"/>
          </w:tcPr>
          <w:p>
            <w:pPr>
              <w:jc w:val="center"/>
              <w:rPr>
                <w:color w:val="000000"/>
                <w:szCs w:val="21"/>
              </w:rPr>
            </w:pPr>
            <w:r>
              <w:rPr>
                <w:color w:val="000000"/>
                <w:szCs w:val="21"/>
              </w:rPr>
              <w:t>健康危害</w:t>
            </w:r>
          </w:p>
        </w:tc>
        <w:tc>
          <w:tcPr>
            <w:tcW w:w="1995" w:type="dxa"/>
            <w:vAlign w:val="center"/>
          </w:tcPr>
          <w:p>
            <w:pPr>
              <w:jc w:val="center"/>
              <w:rPr>
                <w:color w:val="000000"/>
                <w:szCs w:val="21"/>
              </w:rPr>
            </w:pPr>
            <w:r>
              <w:rPr>
                <w:color w:val="000000"/>
                <w:szCs w:val="21"/>
              </w:rPr>
              <w:t>侵入途径</w:t>
            </w:r>
          </w:p>
        </w:tc>
        <w:tc>
          <w:tcPr>
            <w:tcW w:w="5154" w:type="dxa"/>
            <w:gridSpan w:val="2"/>
            <w:vAlign w:val="center"/>
          </w:tcPr>
          <w:p>
            <w:pPr>
              <w:jc w:val="center"/>
              <w:rPr>
                <w:color w:val="000000"/>
                <w:szCs w:val="21"/>
              </w:rPr>
            </w:pPr>
            <w:r>
              <w:rPr>
                <w:color w:val="000000"/>
                <w:szCs w:val="21"/>
              </w:rPr>
              <w:t>吸入、食入、经皮吸收。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color w:val="000000"/>
                <w:szCs w:val="21"/>
              </w:rPr>
            </w:pPr>
            <w:r>
              <w:rPr>
                <w:color w:val="000000"/>
                <w:szCs w:val="21"/>
              </w:rPr>
              <w:t>危害</w:t>
            </w:r>
          </w:p>
        </w:tc>
        <w:tc>
          <w:tcPr>
            <w:tcW w:w="5154" w:type="dxa"/>
            <w:gridSpan w:val="2"/>
            <w:vAlign w:val="center"/>
          </w:tcPr>
          <w:p>
            <w:pPr>
              <w:jc w:val="center"/>
              <w:rPr>
                <w:color w:val="000000"/>
              </w:rPr>
            </w:pPr>
            <w:r>
              <w:rPr>
                <w:color w:val="000000"/>
              </w:rPr>
              <w:t>本品为中枢神经系统抑制剂。首先引起兴奋，随后抑制。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bCs/>
                <w:color w:val="000000"/>
                <w:spacing w:val="8"/>
                <w:szCs w:val="21"/>
              </w:rPr>
            </w:pPr>
            <w:r>
              <w:rPr>
                <w:color w:val="000000"/>
              </w:rPr>
              <w:t>急性中毒</w:t>
            </w:r>
          </w:p>
        </w:tc>
        <w:tc>
          <w:tcPr>
            <w:tcW w:w="5154" w:type="dxa"/>
            <w:gridSpan w:val="2"/>
            <w:vAlign w:val="center"/>
          </w:tcPr>
          <w:p>
            <w:pPr>
              <w:jc w:val="center"/>
              <w:rPr>
                <w:color w:val="000000"/>
              </w:rPr>
            </w:pPr>
            <w:r>
              <w:rPr>
                <w:color w:val="000000"/>
              </w:rPr>
              <w:t>急性中毒多发生于口服。可分为兴奋、催眠、麻醉、窒息四阶段。患者进入第三、第四阶段，出现意识丧失、瞳孔扩大、呼吸不规律、休克、心力衰竭及呼吸停止。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bCs/>
                <w:color w:val="000000"/>
                <w:spacing w:val="8"/>
                <w:szCs w:val="21"/>
              </w:rPr>
            </w:pPr>
            <w:r>
              <w:rPr>
                <w:color w:val="000000"/>
              </w:rPr>
              <w:t>慢性影响</w:t>
            </w:r>
          </w:p>
        </w:tc>
        <w:tc>
          <w:tcPr>
            <w:tcW w:w="5154" w:type="dxa"/>
            <w:gridSpan w:val="2"/>
            <w:vAlign w:val="center"/>
          </w:tcPr>
          <w:p>
            <w:pPr>
              <w:jc w:val="center"/>
              <w:rPr>
                <w:color w:val="000000"/>
              </w:rPr>
            </w:pPr>
            <w:r>
              <w:rPr>
                <w:color w:val="000000"/>
              </w:rPr>
              <w:t>在生产中长期接触高浓度本品可引起鼻、眼、粘膜刺激症状，以及头痛、头晕、疲乏、易激动、震颤、恶心等。长期酗酒可引起多发性神经病、慢性胃炎、脂肪肝、肝硬化、心肌损害等。皮肤长期接触可引起干燥、脱屑、皲裂和皮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restart"/>
            <w:vAlign w:val="center"/>
          </w:tcPr>
          <w:p>
            <w:pPr>
              <w:jc w:val="center"/>
              <w:rPr>
                <w:color w:val="000000"/>
                <w:szCs w:val="21"/>
              </w:rPr>
            </w:pPr>
            <w:r>
              <w:rPr>
                <w:color w:val="000000"/>
                <w:szCs w:val="21"/>
              </w:rPr>
              <w:t>毒理指标</w:t>
            </w:r>
          </w:p>
          <w:p>
            <w:pPr>
              <w:jc w:val="center"/>
              <w:rPr>
                <w:bCs/>
                <w:color w:val="000000"/>
                <w:spacing w:val="8"/>
                <w:szCs w:val="21"/>
              </w:rPr>
            </w:pPr>
            <w:r>
              <w:rPr>
                <w:color w:val="000000"/>
                <w:szCs w:val="21"/>
              </w:rPr>
              <w:t>特性</w:t>
            </w:r>
          </w:p>
        </w:tc>
        <w:tc>
          <w:tcPr>
            <w:tcW w:w="1995" w:type="dxa"/>
            <w:vAlign w:val="center"/>
          </w:tcPr>
          <w:p>
            <w:pPr>
              <w:jc w:val="center"/>
              <w:rPr>
                <w:color w:val="000000"/>
                <w:szCs w:val="21"/>
              </w:rPr>
            </w:pPr>
            <w:r>
              <w:rPr>
                <w:color w:val="000000"/>
              </w:rPr>
              <w:t>毒性</w:t>
            </w:r>
          </w:p>
        </w:tc>
        <w:tc>
          <w:tcPr>
            <w:tcW w:w="5154" w:type="dxa"/>
            <w:gridSpan w:val="2"/>
            <w:vAlign w:val="center"/>
          </w:tcPr>
          <w:p>
            <w:pPr>
              <w:jc w:val="center"/>
              <w:rPr>
                <w:color w:val="000000"/>
                <w:szCs w:val="21"/>
              </w:rPr>
            </w:pPr>
            <w:r>
              <w:rPr>
                <w:color w:val="000000"/>
              </w:rPr>
              <w:t>属微毒类。急性毒性：LD</w:t>
            </w:r>
            <w:r>
              <w:rPr>
                <w:color w:val="000000"/>
                <w:vertAlign w:val="subscript"/>
              </w:rPr>
              <w:t>50</w:t>
            </w:r>
            <w:r>
              <w:rPr>
                <w:color w:val="000000"/>
              </w:rPr>
              <w:t>7060mg/kg(兔经口)；7340mg/kg(兔经皮)；LC</w:t>
            </w:r>
            <w:r>
              <w:rPr>
                <w:color w:val="000000"/>
                <w:vertAlign w:val="subscript"/>
              </w:rPr>
              <w:t>50</w:t>
            </w:r>
            <w:r>
              <w:rPr>
                <w:color w:val="000000"/>
              </w:rPr>
              <w:t>37620mg/m</w:t>
            </w:r>
            <w:r>
              <w:rPr>
                <w:color w:val="000000"/>
                <w:vertAlign w:val="superscript"/>
              </w:rPr>
              <w:t>3</w:t>
            </w:r>
            <w:r>
              <w:rPr>
                <w:color w:val="000000"/>
              </w:rPr>
              <w:t>，10小时(大鼠吸入)；人吸入4.3mg/L×50分钟，头面部发热，四肢发凉，头痛；人吸入2.6mg/L×39分钟，头痛，无后作用。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color w:val="000000"/>
                <w:szCs w:val="21"/>
              </w:rPr>
            </w:pPr>
            <w:r>
              <w:rPr>
                <w:color w:val="000000"/>
              </w:rPr>
              <w:t>刺激性</w:t>
            </w:r>
          </w:p>
        </w:tc>
        <w:tc>
          <w:tcPr>
            <w:tcW w:w="5154" w:type="dxa"/>
            <w:gridSpan w:val="2"/>
            <w:vAlign w:val="center"/>
          </w:tcPr>
          <w:p>
            <w:pPr>
              <w:jc w:val="center"/>
              <w:rPr>
                <w:color w:val="000000"/>
              </w:rPr>
            </w:pPr>
            <w:r>
              <w:rPr>
                <w:color w:val="000000"/>
              </w:rPr>
              <w:t>家兔经眼：500mg，重度刺激。家兔经皮开放性刺激试验：15mg/24小时，轻度刺激。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bCs/>
                <w:color w:val="000000"/>
                <w:spacing w:val="8"/>
                <w:szCs w:val="21"/>
              </w:rPr>
            </w:pPr>
            <w:r>
              <w:rPr>
                <w:color w:val="000000"/>
              </w:rPr>
              <w:t>亚急性和慢性毒性</w:t>
            </w:r>
          </w:p>
        </w:tc>
        <w:tc>
          <w:tcPr>
            <w:tcW w:w="5154" w:type="dxa"/>
            <w:gridSpan w:val="2"/>
            <w:vAlign w:val="center"/>
          </w:tcPr>
          <w:p>
            <w:pPr>
              <w:jc w:val="center"/>
              <w:rPr>
                <w:color w:val="000000"/>
                <w:szCs w:val="21"/>
              </w:rPr>
            </w:pPr>
            <w:r>
              <w:rPr>
                <w:color w:val="000000"/>
              </w:rPr>
              <w:t>大鼠经口10.2g/(kg·天)，12周，体重下降，脂肪肝。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color w:val="000000"/>
                <w:szCs w:val="21"/>
              </w:rPr>
            </w:pPr>
            <w:r>
              <w:rPr>
                <w:color w:val="000000"/>
              </w:rPr>
              <w:t>致突变性</w:t>
            </w:r>
          </w:p>
        </w:tc>
        <w:tc>
          <w:tcPr>
            <w:tcW w:w="5154" w:type="dxa"/>
            <w:gridSpan w:val="2"/>
            <w:vAlign w:val="center"/>
          </w:tcPr>
          <w:p>
            <w:pPr>
              <w:jc w:val="center"/>
              <w:rPr>
                <w:color w:val="000000"/>
                <w:szCs w:val="21"/>
              </w:rPr>
            </w:pPr>
            <w:r>
              <w:rPr>
                <w:color w:val="000000"/>
              </w:rPr>
              <w:t>微生物致突变：鼠伤寒沙门氏菌阴性。显性致死试验：小鼠经口1～1.5g/(kg·天),2周,阳性。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bCs/>
                <w:color w:val="000000"/>
                <w:spacing w:val="8"/>
                <w:szCs w:val="21"/>
              </w:rPr>
            </w:pPr>
            <w:r>
              <w:rPr>
                <w:color w:val="000000"/>
              </w:rPr>
              <w:t>生殖毒性</w:t>
            </w:r>
          </w:p>
        </w:tc>
        <w:tc>
          <w:tcPr>
            <w:tcW w:w="5154" w:type="dxa"/>
            <w:gridSpan w:val="2"/>
            <w:vAlign w:val="center"/>
          </w:tcPr>
          <w:p>
            <w:pPr>
              <w:pStyle w:val="73"/>
              <w:jc w:val="center"/>
              <w:rPr>
                <w:rFonts w:ascii="Times New Roman" w:hAnsi="Times New Roman" w:cs="Times New Roman"/>
                <w:color w:val="000000"/>
                <w:sz w:val="21"/>
                <w:szCs w:val="21"/>
              </w:rPr>
            </w:pPr>
            <w:r>
              <w:rPr>
                <w:rFonts w:ascii="Times New Roman" w:hAnsi="Times New Roman" w:cs="Times New Roman"/>
                <w:color w:val="000000"/>
                <w:sz w:val="21"/>
              </w:rPr>
              <w:t>大鼠腹腔最低中毒浓度：7.5g/kg(孕9天)，致畸阳性。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color w:val="000000"/>
                <w:szCs w:val="21"/>
              </w:rPr>
            </w:pPr>
            <w:r>
              <w:rPr>
                <w:color w:val="000000"/>
              </w:rPr>
              <w:t>致癌性</w:t>
            </w:r>
          </w:p>
        </w:tc>
        <w:tc>
          <w:tcPr>
            <w:tcW w:w="5154" w:type="dxa"/>
            <w:gridSpan w:val="2"/>
            <w:vAlign w:val="center"/>
          </w:tcPr>
          <w:p>
            <w:pPr>
              <w:jc w:val="center"/>
              <w:rPr>
                <w:color w:val="000000"/>
              </w:rPr>
            </w:pPr>
            <w:r>
              <w:rPr>
                <w:color w:val="000000"/>
              </w:rPr>
              <w:t>小鼠经口最低中毒剂量：340mg/kg(57周，间断)，致癌。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restart"/>
            <w:vAlign w:val="center"/>
          </w:tcPr>
          <w:p>
            <w:pPr>
              <w:jc w:val="center"/>
              <w:rPr>
                <w:color w:val="000000"/>
                <w:szCs w:val="21"/>
              </w:rPr>
            </w:pPr>
            <w:r>
              <w:rPr>
                <w:color w:val="000000"/>
                <w:szCs w:val="21"/>
              </w:rPr>
              <w:t>特性</w:t>
            </w:r>
          </w:p>
        </w:tc>
        <w:tc>
          <w:tcPr>
            <w:tcW w:w="1995" w:type="dxa"/>
            <w:vAlign w:val="center"/>
          </w:tcPr>
          <w:p>
            <w:pPr>
              <w:jc w:val="center"/>
              <w:rPr>
                <w:color w:val="000000"/>
                <w:szCs w:val="21"/>
              </w:rPr>
            </w:pPr>
            <w:r>
              <w:rPr>
                <w:color w:val="000000"/>
              </w:rPr>
              <w:t>危险性</w:t>
            </w:r>
          </w:p>
        </w:tc>
        <w:tc>
          <w:tcPr>
            <w:tcW w:w="5154" w:type="dxa"/>
            <w:gridSpan w:val="2"/>
            <w:vAlign w:val="center"/>
          </w:tcPr>
          <w:p>
            <w:pPr>
              <w:jc w:val="center"/>
              <w:rPr>
                <w:color w:val="000000"/>
                <w:szCs w:val="21"/>
              </w:rPr>
            </w:pPr>
            <w:r>
              <w:rPr>
                <w:color w:val="000000"/>
              </w:rPr>
              <w:t>易燃，其蒸气与空气可形成爆炸性混合物。遇明火、高热能引起燃烧爆炸。与氧化剂接触发生化学反应或引起燃烧。在火场中，受热的容器有爆炸危险。其蒸气比空气重，能在较低处扩散到相当远的地方，遇明火会引着回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vAlign w:val="center"/>
          </w:tcPr>
          <w:p>
            <w:pPr>
              <w:jc w:val="center"/>
              <w:rPr>
                <w:bCs/>
                <w:color w:val="000000"/>
                <w:spacing w:val="8"/>
                <w:szCs w:val="21"/>
              </w:rPr>
            </w:pPr>
          </w:p>
        </w:tc>
        <w:tc>
          <w:tcPr>
            <w:tcW w:w="1995" w:type="dxa"/>
            <w:vAlign w:val="center"/>
          </w:tcPr>
          <w:p>
            <w:pPr>
              <w:jc w:val="center"/>
              <w:rPr>
                <w:color w:val="000000"/>
                <w:szCs w:val="21"/>
              </w:rPr>
            </w:pPr>
            <w:r>
              <w:rPr>
                <w:color w:val="000000"/>
                <w:szCs w:val="21"/>
              </w:rPr>
              <w:t>燃烧(分解)产物</w:t>
            </w:r>
          </w:p>
        </w:tc>
        <w:tc>
          <w:tcPr>
            <w:tcW w:w="5154" w:type="dxa"/>
            <w:gridSpan w:val="2"/>
            <w:vAlign w:val="center"/>
          </w:tcPr>
          <w:p>
            <w:pPr>
              <w:jc w:val="center"/>
              <w:rPr>
                <w:color w:val="000000"/>
                <w:szCs w:val="21"/>
              </w:rPr>
            </w:pPr>
            <w:r>
              <w:rPr>
                <w:color w:val="000000"/>
                <w:szCs w:val="21"/>
              </w:rPr>
              <w:t>一氧化碳、二氧化碳。</w:t>
            </w:r>
          </w:p>
        </w:tc>
      </w:tr>
    </w:tbl>
    <w:p>
      <w:pPr>
        <w:snapToGrid w:val="0"/>
        <w:spacing w:line="360" w:lineRule="auto"/>
        <w:ind w:firstLine="480" w:firstLineChars="200"/>
        <w:rPr>
          <w:rFonts w:eastAsiaTheme="minorEastAsia"/>
          <w:sz w:val="24"/>
        </w:rPr>
      </w:pP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甲醛</w:t>
      </w:r>
    </w:p>
    <w:p>
      <w:pPr>
        <w:snapToGrid w:val="0"/>
        <w:spacing w:line="360" w:lineRule="auto"/>
        <w:jc w:val="center"/>
        <w:rPr>
          <w:rFonts w:eastAsiaTheme="minorEastAsia"/>
          <w:b/>
          <w:bCs/>
          <w:sz w:val="24"/>
        </w:rPr>
      </w:pPr>
      <w:r>
        <w:rPr>
          <w:rFonts w:eastAsiaTheme="minorEastAsia"/>
          <w:b/>
          <w:bCs/>
          <w:sz w:val="24"/>
        </w:rPr>
        <w:t>表7.1-3  甲醛理化性质表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6"/>
        <w:gridCol w:w="1308"/>
        <w:gridCol w:w="2097"/>
        <w:gridCol w:w="42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Align w:val="center"/>
          </w:tcPr>
          <w:p>
            <w:pPr>
              <w:snapToGrid w:val="0"/>
              <w:jc w:val="center"/>
              <w:rPr>
                <w:color w:val="000000"/>
                <w:szCs w:val="21"/>
              </w:rPr>
            </w:pPr>
            <w:r>
              <w:rPr>
                <w:color w:val="000000"/>
                <w:szCs w:val="21"/>
              </w:rPr>
              <w:t>国标编号</w:t>
            </w:r>
          </w:p>
        </w:tc>
        <w:tc>
          <w:tcPr>
            <w:tcW w:w="1308" w:type="dxa"/>
            <w:vAlign w:val="center"/>
          </w:tcPr>
          <w:p>
            <w:pPr>
              <w:snapToGrid w:val="0"/>
              <w:jc w:val="center"/>
              <w:rPr>
                <w:color w:val="000000"/>
                <w:szCs w:val="21"/>
              </w:rPr>
            </w:pPr>
            <w:r>
              <w:rPr>
                <w:color w:val="000000"/>
                <w:szCs w:val="21"/>
              </w:rPr>
              <w:t>83012</w:t>
            </w:r>
          </w:p>
        </w:tc>
        <w:tc>
          <w:tcPr>
            <w:tcW w:w="2097" w:type="dxa"/>
            <w:vAlign w:val="center"/>
          </w:tcPr>
          <w:p>
            <w:pPr>
              <w:snapToGrid w:val="0"/>
              <w:jc w:val="center"/>
              <w:rPr>
                <w:color w:val="000000"/>
                <w:szCs w:val="21"/>
              </w:rPr>
            </w:pPr>
            <w:r>
              <w:rPr>
                <w:color w:val="000000"/>
                <w:szCs w:val="21"/>
              </w:rPr>
              <w:t>CAS号</w:t>
            </w:r>
          </w:p>
        </w:tc>
        <w:tc>
          <w:tcPr>
            <w:tcW w:w="4258" w:type="dxa"/>
            <w:vAlign w:val="center"/>
          </w:tcPr>
          <w:p>
            <w:pPr>
              <w:snapToGrid w:val="0"/>
              <w:jc w:val="center"/>
              <w:rPr>
                <w:color w:val="000000"/>
                <w:szCs w:val="21"/>
              </w:rPr>
            </w:pPr>
            <w:r>
              <w:rPr>
                <w:color w:val="000000"/>
                <w:szCs w:val="21"/>
              </w:rPr>
              <w:t>50-00-0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Align w:val="center"/>
          </w:tcPr>
          <w:p>
            <w:pPr>
              <w:snapToGrid w:val="0"/>
              <w:jc w:val="center"/>
              <w:rPr>
                <w:color w:val="000000"/>
                <w:szCs w:val="21"/>
              </w:rPr>
            </w:pPr>
            <w:r>
              <w:rPr>
                <w:color w:val="000000"/>
                <w:szCs w:val="21"/>
              </w:rPr>
              <w:t>中文名称</w:t>
            </w:r>
          </w:p>
        </w:tc>
        <w:tc>
          <w:tcPr>
            <w:tcW w:w="1308" w:type="dxa"/>
            <w:vAlign w:val="center"/>
          </w:tcPr>
          <w:p>
            <w:pPr>
              <w:snapToGrid w:val="0"/>
              <w:jc w:val="center"/>
              <w:rPr>
                <w:color w:val="000000"/>
                <w:szCs w:val="21"/>
              </w:rPr>
            </w:pPr>
            <w:r>
              <w:rPr>
                <w:color w:val="000000"/>
                <w:szCs w:val="21"/>
              </w:rPr>
              <w:t>甲醛</w:t>
            </w:r>
          </w:p>
        </w:tc>
        <w:tc>
          <w:tcPr>
            <w:tcW w:w="2097" w:type="dxa"/>
            <w:vAlign w:val="center"/>
          </w:tcPr>
          <w:p>
            <w:pPr>
              <w:snapToGrid w:val="0"/>
              <w:jc w:val="center"/>
              <w:rPr>
                <w:color w:val="000000"/>
                <w:szCs w:val="21"/>
              </w:rPr>
            </w:pPr>
            <w:r>
              <w:rPr>
                <w:color w:val="000000"/>
                <w:szCs w:val="21"/>
              </w:rPr>
              <w:t>英文名称</w:t>
            </w:r>
          </w:p>
        </w:tc>
        <w:tc>
          <w:tcPr>
            <w:tcW w:w="4258" w:type="dxa"/>
            <w:vAlign w:val="center"/>
          </w:tcPr>
          <w:p>
            <w:pPr>
              <w:snapToGrid w:val="0"/>
              <w:jc w:val="center"/>
              <w:rPr>
                <w:color w:val="000000"/>
                <w:szCs w:val="21"/>
              </w:rPr>
            </w:pPr>
            <w:r>
              <w:rPr>
                <w:color w:val="000000"/>
                <w:szCs w:val="21"/>
              </w:rPr>
              <w:t>Formaldehyde</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Align w:val="center"/>
          </w:tcPr>
          <w:p>
            <w:pPr>
              <w:snapToGrid w:val="0"/>
              <w:jc w:val="center"/>
              <w:rPr>
                <w:color w:val="000000"/>
                <w:szCs w:val="21"/>
              </w:rPr>
            </w:pPr>
            <w:r>
              <w:rPr>
                <w:color w:val="000000"/>
                <w:szCs w:val="21"/>
              </w:rPr>
              <w:t>别名</w:t>
            </w:r>
          </w:p>
        </w:tc>
        <w:tc>
          <w:tcPr>
            <w:tcW w:w="1308" w:type="dxa"/>
            <w:vAlign w:val="center"/>
          </w:tcPr>
          <w:p>
            <w:pPr>
              <w:snapToGrid w:val="0"/>
              <w:jc w:val="center"/>
              <w:rPr>
                <w:color w:val="000000"/>
                <w:szCs w:val="21"/>
              </w:rPr>
            </w:pPr>
            <w:r>
              <w:rPr>
                <w:color w:val="000000"/>
                <w:szCs w:val="21"/>
              </w:rPr>
              <w:t>福尔马林</w:t>
            </w:r>
          </w:p>
        </w:tc>
        <w:tc>
          <w:tcPr>
            <w:tcW w:w="2097" w:type="dxa"/>
            <w:vAlign w:val="center"/>
          </w:tcPr>
          <w:p>
            <w:pPr>
              <w:snapToGrid w:val="0"/>
              <w:jc w:val="center"/>
              <w:rPr>
                <w:color w:val="000000"/>
                <w:szCs w:val="21"/>
              </w:rPr>
            </w:pPr>
            <w:r>
              <w:rPr>
                <w:color w:val="000000"/>
                <w:szCs w:val="21"/>
              </w:rPr>
              <w:t>分子式</w:t>
            </w:r>
          </w:p>
        </w:tc>
        <w:tc>
          <w:tcPr>
            <w:tcW w:w="4258" w:type="dxa"/>
            <w:vAlign w:val="center"/>
          </w:tcPr>
          <w:p>
            <w:pPr>
              <w:snapToGrid w:val="0"/>
              <w:jc w:val="center"/>
              <w:rPr>
                <w:color w:val="000000"/>
                <w:szCs w:val="21"/>
              </w:rPr>
            </w:pPr>
            <w:r>
              <w:rPr>
                <w:color w:val="000000"/>
                <w:szCs w:val="21"/>
              </w:rPr>
              <w:t>CH</w:t>
            </w:r>
            <w:r>
              <w:rPr>
                <w:color w:val="000000"/>
                <w:szCs w:val="21"/>
                <w:vertAlign w:val="subscript"/>
              </w:rPr>
              <w:t>2</w:t>
            </w:r>
            <w:r>
              <w:rPr>
                <w:color w:val="000000"/>
                <w:szCs w:val="21"/>
              </w:rPr>
              <w:t>O；HCHO</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126" w:type="dxa"/>
            <w:vAlign w:val="center"/>
          </w:tcPr>
          <w:p>
            <w:pPr>
              <w:snapToGrid w:val="0"/>
              <w:jc w:val="center"/>
              <w:rPr>
                <w:color w:val="000000"/>
                <w:szCs w:val="21"/>
              </w:rPr>
            </w:pPr>
            <w:r>
              <w:rPr>
                <w:color w:val="000000"/>
                <w:szCs w:val="21"/>
              </w:rPr>
              <w:t>分子量</w:t>
            </w:r>
          </w:p>
        </w:tc>
        <w:tc>
          <w:tcPr>
            <w:tcW w:w="1308" w:type="dxa"/>
            <w:vAlign w:val="center"/>
          </w:tcPr>
          <w:p>
            <w:pPr>
              <w:snapToGrid w:val="0"/>
              <w:jc w:val="center"/>
              <w:rPr>
                <w:color w:val="000000"/>
                <w:szCs w:val="21"/>
              </w:rPr>
            </w:pPr>
            <w:r>
              <w:rPr>
                <w:color w:val="000000"/>
                <w:szCs w:val="21"/>
              </w:rPr>
              <w:t>30.03</w:t>
            </w:r>
          </w:p>
        </w:tc>
        <w:tc>
          <w:tcPr>
            <w:tcW w:w="2097" w:type="dxa"/>
            <w:vAlign w:val="center"/>
          </w:tcPr>
          <w:p>
            <w:pPr>
              <w:snapToGrid w:val="0"/>
              <w:jc w:val="center"/>
              <w:rPr>
                <w:color w:val="000000"/>
                <w:szCs w:val="21"/>
              </w:rPr>
            </w:pPr>
            <w:r>
              <w:rPr>
                <w:color w:val="000000"/>
                <w:szCs w:val="21"/>
              </w:rPr>
              <w:t>外观与性状</w:t>
            </w:r>
          </w:p>
        </w:tc>
        <w:tc>
          <w:tcPr>
            <w:tcW w:w="4258" w:type="dxa"/>
            <w:vAlign w:val="center"/>
          </w:tcPr>
          <w:p>
            <w:pPr>
              <w:snapToGrid w:val="0"/>
              <w:jc w:val="center"/>
              <w:rPr>
                <w:bCs/>
                <w:color w:val="000000"/>
                <w:spacing w:val="8"/>
                <w:szCs w:val="21"/>
              </w:rPr>
            </w:pPr>
            <w:r>
              <w:rPr>
                <w:color w:val="000000"/>
                <w:szCs w:val="21"/>
              </w:rPr>
              <w:t>无色液体，具有刺激性和窒息性的气体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Align w:val="center"/>
          </w:tcPr>
          <w:p>
            <w:pPr>
              <w:snapToGrid w:val="0"/>
              <w:jc w:val="center"/>
              <w:rPr>
                <w:color w:val="000000"/>
                <w:szCs w:val="21"/>
              </w:rPr>
            </w:pPr>
            <w:r>
              <w:rPr>
                <w:color w:val="000000"/>
                <w:szCs w:val="21"/>
              </w:rPr>
              <w:t>熔点</w:t>
            </w:r>
          </w:p>
        </w:tc>
        <w:tc>
          <w:tcPr>
            <w:tcW w:w="1308" w:type="dxa"/>
            <w:vAlign w:val="center"/>
          </w:tcPr>
          <w:p>
            <w:pPr>
              <w:snapToGrid w:val="0"/>
              <w:jc w:val="center"/>
              <w:rPr>
                <w:color w:val="000000"/>
                <w:szCs w:val="21"/>
              </w:rPr>
            </w:pPr>
            <w:r>
              <w:rPr>
                <w:color w:val="000000"/>
                <w:szCs w:val="21"/>
              </w:rPr>
              <w:t>-92℃</w:t>
            </w:r>
          </w:p>
        </w:tc>
        <w:tc>
          <w:tcPr>
            <w:tcW w:w="2097" w:type="dxa"/>
            <w:vAlign w:val="center"/>
          </w:tcPr>
          <w:p>
            <w:pPr>
              <w:snapToGrid w:val="0"/>
              <w:jc w:val="center"/>
              <w:rPr>
                <w:color w:val="000000"/>
                <w:szCs w:val="21"/>
              </w:rPr>
            </w:pPr>
            <w:r>
              <w:rPr>
                <w:color w:val="000000"/>
                <w:szCs w:val="21"/>
              </w:rPr>
              <w:t>蒸汽压</w:t>
            </w:r>
          </w:p>
        </w:tc>
        <w:tc>
          <w:tcPr>
            <w:tcW w:w="4258" w:type="dxa"/>
            <w:vAlign w:val="center"/>
          </w:tcPr>
          <w:p>
            <w:pPr>
              <w:snapToGrid w:val="0"/>
              <w:jc w:val="center"/>
              <w:rPr>
                <w:bCs/>
                <w:color w:val="000000"/>
                <w:spacing w:val="8"/>
                <w:szCs w:val="21"/>
              </w:rPr>
            </w:pPr>
            <w:r>
              <w:rPr>
                <w:color w:val="000000"/>
                <w:szCs w:val="21"/>
              </w:rPr>
              <w:t>13.33kPa/-57.3℃ 闪点：50℃/37%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Align w:val="center"/>
          </w:tcPr>
          <w:p>
            <w:pPr>
              <w:snapToGrid w:val="0"/>
              <w:jc w:val="center"/>
              <w:rPr>
                <w:bCs/>
                <w:color w:val="000000"/>
                <w:spacing w:val="8"/>
                <w:szCs w:val="21"/>
              </w:rPr>
            </w:pPr>
            <w:r>
              <w:rPr>
                <w:color w:val="000000"/>
                <w:szCs w:val="21"/>
              </w:rPr>
              <w:t>沸点</w:t>
            </w:r>
          </w:p>
        </w:tc>
        <w:tc>
          <w:tcPr>
            <w:tcW w:w="1308" w:type="dxa"/>
            <w:vAlign w:val="center"/>
          </w:tcPr>
          <w:p>
            <w:pPr>
              <w:snapToGrid w:val="0"/>
              <w:jc w:val="center"/>
              <w:rPr>
                <w:bCs/>
                <w:color w:val="000000"/>
                <w:spacing w:val="8"/>
                <w:szCs w:val="21"/>
              </w:rPr>
            </w:pPr>
            <w:r>
              <w:rPr>
                <w:color w:val="000000"/>
                <w:szCs w:val="21"/>
              </w:rPr>
              <w:t>-19.4℃</w:t>
            </w:r>
          </w:p>
        </w:tc>
        <w:tc>
          <w:tcPr>
            <w:tcW w:w="2097" w:type="dxa"/>
            <w:vAlign w:val="center"/>
          </w:tcPr>
          <w:p>
            <w:pPr>
              <w:snapToGrid w:val="0"/>
              <w:jc w:val="center"/>
              <w:rPr>
                <w:color w:val="000000"/>
                <w:szCs w:val="21"/>
              </w:rPr>
            </w:pPr>
            <w:r>
              <w:rPr>
                <w:color w:val="000000"/>
                <w:szCs w:val="21"/>
              </w:rPr>
              <w:t>溶解性</w:t>
            </w:r>
          </w:p>
        </w:tc>
        <w:tc>
          <w:tcPr>
            <w:tcW w:w="4258" w:type="dxa"/>
            <w:vAlign w:val="center"/>
          </w:tcPr>
          <w:p>
            <w:pPr>
              <w:snapToGrid w:val="0"/>
              <w:jc w:val="center"/>
              <w:rPr>
                <w:color w:val="000000"/>
                <w:szCs w:val="21"/>
              </w:rPr>
            </w:pPr>
            <w:r>
              <w:rPr>
                <w:color w:val="000000"/>
                <w:szCs w:val="21"/>
              </w:rPr>
              <w:t>易溶于水，溶于乙醇等多数有机溶剂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Align w:val="center"/>
          </w:tcPr>
          <w:p>
            <w:pPr>
              <w:snapToGrid w:val="0"/>
              <w:jc w:val="center"/>
              <w:rPr>
                <w:color w:val="000000"/>
                <w:szCs w:val="21"/>
              </w:rPr>
            </w:pPr>
            <w:r>
              <w:rPr>
                <w:color w:val="000000"/>
                <w:szCs w:val="21"/>
              </w:rPr>
              <w:t>稳定性</w:t>
            </w:r>
          </w:p>
        </w:tc>
        <w:tc>
          <w:tcPr>
            <w:tcW w:w="1308" w:type="dxa"/>
            <w:vAlign w:val="center"/>
          </w:tcPr>
          <w:p>
            <w:pPr>
              <w:snapToGrid w:val="0"/>
              <w:jc w:val="center"/>
              <w:rPr>
                <w:color w:val="000000"/>
                <w:szCs w:val="21"/>
              </w:rPr>
            </w:pPr>
            <w:r>
              <w:rPr>
                <w:color w:val="000000"/>
                <w:szCs w:val="21"/>
              </w:rPr>
              <w:t>稳定</w:t>
            </w:r>
          </w:p>
        </w:tc>
        <w:tc>
          <w:tcPr>
            <w:tcW w:w="2097" w:type="dxa"/>
            <w:vAlign w:val="center"/>
          </w:tcPr>
          <w:p>
            <w:pPr>
              <w:snapToGrid w:val="0"/>
              <w:jc w:val="center"/>
              <w:rPr>
                <w:bCs/>
                <w:color w:val="000000"/>
                <w:spacing w:val="8"/>
                <w:szCs w:val="21"/>
              </w:rPr>
            </w:pPr>
            <w:r>
              <w:rPr>
                <w:color w:val="000000"/>
                <w:szCs w:val="21"/>
              </w:rPr>
              <w:t>密度</w:t>
            </w:r>
          </w:p>
        </w:tc>
        <w:tc>
          <w:tcPr>
            <w:tcW w:w="4258" w:type="dxa"/>
            <w:vAlign w:val="center"/>
          </w:tcPr>
          <w:p>
            <w:pPr>
              <w:snapToGrid w:val="0"/>
              <w:jc w:val="center"/>
              <w:rPr>
                <w:bCs/>
                <w:color w:val="000000"/>
                <w:spacing w:val="8"/>
                <w:szCs w:val="21"/>
              </w:rPr>
            </w:pPr>
            <w:r>
              <w:rPr>
                <w:color w:val="000000"/>
                <w:szCs w:val="21"/>
              </w:rPr>
              <w:t>相对密度(水=1)0.82；相对密度(空气=1)1.07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Align w:val="center"/>
          </w:tcPr>
          <w:p>
            <w:pPr>
              <w:snapToGrid w:val="0"/>
              <w:jc w:val="center"/>
              <w:rPr>
                <w:bCs/>
                <w:color w:val="000000"/>
                <w:spacing w:val="8"/>
                <w:szCs w:val="21"/>
              </w:rPr>
            </w:pPr>
            <w:r>
              <w:rPr>
                <w:color w:val="000000"/>
                <w:szCs w:val="21"/>
              </w:rPr>
              <w:t>危险标记</w:t>
            </w:r>
          </w:p>
        </w:tc>
        <w:tc>
          <w:tcPr>
            <w:tcW w:w="1308" w:type="dxa"/>
            <w:vAlign w:val="center"/>
          </w:tcPr>
          <w:p>
            <w:pPr>
              <w:snapToGrid w:val="0"/>
              <w:jc w:val="center"/>
              <w:rPr>
                <w:bCs/>
                <w:color w:val="000000"/>
                <w:spacing w:val="8"/>
                <w:szCs w:val="21"/>
              </w:rPr>
            </w:pPr>
            <w:r>
              <w:rPr>
                <w:color w:val="000000"/>
                <w:szCs w:val="21"/>
              </w:rPr>
              <w:t>20(腐蚀品)</w:t>
            </w:r>
          </w:p>
        </w:tc>
        <w:tc>
          <w:tcPr>
            <w:tcW w:w="2097" w:type="dxa"/>
            <w:vAlign w:val="center"/>
          </w:tcPr>
          <w:p>
            <w:pPr>
              <w:snapToGrid w:val="0"/>
              <w:jc w:val="center"/>
              <w:rPr>
                <w:bCs/>
                <w:color w:val="000000"/>
                <w:spacing w:val="8"/>
                <w:szCs w:val="21"/>
              </w:rPr>
            </w:pPr>
            <w:r>
              <w:rPr>
                <w:color w:val="000000"/>
                <w:szCs w:val="21"/>
              </w:rPr>
              <w:t>主要用途</w:t>
            </w:r>
          </w:p>
        </w:tc>
        <w:tc>
          <w:tcPr>
            <w:tcW w:w="4258" w:type="dxa"/>
            <w:vAlign w:val="center"/>
          </w:tcPr>
          <w:p>
            <w:pPr>
              <w:snapToGrid w:val="0"/>
              <w:jc w:val="center"/>
              <w:rPr>
                <w:color w:val="000000"/>
                <w:szCs w:val="21"/>
              </w:rPr>
            </w:pPr>
            <w:r>
              <w:rPr>
                <w:color w:val="000000"/>
                <w:szCs w:val="21"/>
              </w:rPr>
              <w:t>是一种重要有机原料，可作杀菌剂、消毒剂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restart"/>
            <w:vAlign w:val="center"/>
          </w:tcPr>
          <w:p>
            <w:pPr>
              <w:snapToGrid w:val="0"/>
              <w:jc w:val="center"/>
              <w:rPr>
                <w:color w:val="000000"/>
                <w:szCs w:val="21"/>
              </w:rPr>
            </w:pPr>
            <w:r>
              <w:rPr>
                <w:color w:val="000000"/>
                <w:szCs w:val="21"/>
              </w:rPr>
              <w:t>健康危害</w:t>
            </w:r>
          </w:p>
        </w:tc>
        <w:tc>
          <w:tcPr>
            <w:tcW w:w="1308" w:type="dxa"/>
            <w:vAlign w:val="center"/>
          </w:tcPr>
          <w:p>
            <w:pPr>
              <w:snapToGrid w:val="0"/>
              <w:jc w:val="center"/>
              <w:rPr>
                <w:color w:val="000000"/>
                <w:szCs w:val="21"/>
              </w:rPr>
            </w:pPr>
            <w:r>
              <w:rPr>
                <w:color w:val="000000"/>
                <w:szCs w:val="21"/>
              </w:rPr>
              <w:t>侵入途径</w:t>
            </w:r>
          </w:p>
        </w:tc>
        <w:tc>
          <w:tcPr>
            <w:tcW w:w="6355" w:type="dxa"/>
            <w:gridSpan w:val="2"/>
            <w:vAlign w:val="center"/>
          </w:tcPr>
          <w:p>
            <w:pPr>
              <w:snapToGrid w:val="0"/>
              <w:jc w:val="center"/>
              <w:rPr>
                <w:color w:val="000000"/>
                <w:szCs w:val="21"/>
              </w:rPr>
            </w:pPr>
            <w:r>
              <w:rPr>
                <w:color w:val="000000"/>
                <w:szCs w:val="21"/>
              </w:rPr>
              <w:t>吸入、食入、经皮吸收。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color w:val="000000"/>
                <w:szCs w:val="21"/>
              </w:rPr>
            </w:pPr>
            <w:r>
              <w:rPr>
                <w:color w:val="000000"/>
                <w:szCs w:val="21"/>
              </w:rPr>
              <w:t>危害</w:t>
            </w:r>
          </w:p>
        </w:tc>
        <w:tc>
          <w:tcPr>
            <w:tcW w:w="6355" w:type="dxa"/>
            <w:gridSpan w:val="2"/>
            <w:vAlign w:val="center"/>
          </w:tcPr>
          <w:p>
            <w:pPr>
              <w:snapToGrid w:val="0"/>
              <w:jc w:val="center"/>
              <w:rPr>
                <w:color w:val="000000"/>
                <w:szCs w:val="21"/>
              </w:rPr>
            </w:pPr>
            <w:r>
              <w:rPr>
                <w:color w:val="000000"/>
                <w:szCs w:val="21"/>
              </w:rPr>
              <w:t>对粘膜、上呼吸道、眼睛和皮肤有强烈刺激性。接触其蒸气，引起结膜炎、角膜炎、鼻炎、支气管炎；重者发生喉痉挛、声门水肿和肺炎等。对皮肤有原发性刺激和致敏作用；浓溶液可引起皮肤凝固性坏死。口服灼伤口腔和消化道，可致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bCs/>
                <w:color w:val="000000"/>
                <w:spacing w:val="8"/>
                <w:szCs w:val="21"/>
              </w:rPr>
            </w:pPr>
            <w:r>
              <w:rPr>
                <w:color w:val="000000"/>
                <w:szCs w:val="21"/>
              </w:rPr>
              <w:t>慢性影响</w:t>
            </w:r>
          </w:p>
        </w:tc>
        <w:tc>
          <w:tcPr>
            <w:tcW w:w="6355" w:type="dxa"/>
            <w:gridSpan w:val="2"/>
            <w:vAlign w:val="center"/>
          </w:tcPr>
          <w:p>
            <w:pPr>
              <w:snapToGrid w:val="0"/>
              <w:jc w:val="center"/>
              <w:rPr>
                <w:color w:val="000000"/>
                <w:szCs w:val="21"/>
              </w:rPr>
            </w:pPr>
            <w:r>
              <w:rPr>
                <w:color w:val="000000"/>
                <w:szCs w:val="21"/>
              </w:rPr>
              <w:t>长期低浓度接触甲醛蒸气，可出现头痛、头晕、乏力、两侧不对称感觉障碍和排汗过盛以及视力障碍。能抑制汗腺分泌，长期接触可致皮肤干燥皲裂。具强还原性的原生质毒素，进入人体器官后能与蛋白质中的氨基结合生成甲酰化蛋白而残留在体内，其反应速度受pH温度的显著影响。进入人体的甲醛亦可能转化成甲酸强烈地刺激粘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restart"/>
            <w:vAlign w:val="center"/>
          </w:tcPr>
          <w:p>
            <w:pPr>
              <w:snapToGrid w:val="0"/>
              <w:jc w:val="center"/>
              <w:rPr>
                <w:bCs/>
                <w:color w:val="000000"/>
                <w:spacing w:val="8"/>
                <w:szCs w:val="21"/>
              </w:rPr>
            </w:pPr>
            <w:r>
              <w:rPr>
                <w:color w:val="000000"/>
                <w:szCs w:val="21"/>
              </w:rPr>
              <w:t>毒理指标</w:t>
            </w:r>
          </w:p>
        </w:tc>
        <w:tc>
          <w:tcPr>
            <w:tcW w:w="1308" w:type="dxa"/>
            <w:vAlign w:val="center"/>
          </w:tcPr>
          <w:p>
            <w:pPr>
              <w:snapToGrid w:val="0"/>
              <w:jc w:val="center"/>
              <w:rPr>
                <w:bCs/>
                <w:color w:val="000000"/>
                <w:spacing w:val="8"/>
                <w:szCs w:val="21"/>
              </w:rPr>
            </w:pPr>
            <w:r>
              <w:rPr>
                <w:color w:val="000000"/>
                <w:szCs w:val="21"/>
              </w:rPr>
              <w:t>急性毒性</w:t>
            </w:r>
          </w:p>
        </w:tc>
        <w:tc>
          <w:tcPr>
            <w:tcW w:w="6355" w:type="dxa"/>
            <w:gridSpan w:val="2"/>
            <w:vAlign w:val="center"/>
          </w:tcPr>
          <w:p>
            <w:pPr>
              <w:snapToGrid w:val="0"/>
              <w:jc w:val="center"/>
              <w:rPr>
                <w:color w:val="000000"/>
                <w:szCs w:val="21"/>
              </w:rPr>
            </w:pPr>
            <w:r>
              <w:rPr>
                <w:color w:val="000000"/>
                <w:szCs w:val="21"/>
              </w:rPr>
              <w:t>LD</w:t>
            </w:r>
            <w:r>
              <w:rPr>
                <w:color w:val="000000"/>
                <w:szCs w:val="21"/>
                <w:vertAlign w:val="subscript"/>
              </w:rPr>
              <w:t>50</w:t>
            </w:r>
            <w:r>
              <w:rPr>
                <w:color w:val="000000"/>
                <w:szCs w:val="21"/>
              </w:rPr>
              <w:t>800mg/kg(大鼠经口)，2700mg/kg(兔经皮)；LC</w:t>
            </w:r>
            <w:r>
              <w:rPr>
                <w:color w:val="000000"/>
                <w:szCs w:val="21"/>
                <w:vertAlign w:val="subscript"/>
              </w:rPr>
              <w:t>50</w:t>
            </w:r>
            <w:r>
              <w:rPr>
                <w:color w:val="000000"/>
                <w:szCs w:val="21"/>
              </w:rPr>
              <w:t>590mg/m</w:t>
            </w:r>
            <w:r>
              <w:rPr>
                <w:color w:val="000000"/>
                <w:szCs w:val="21"/>
                <w:vertAlign w:val="superscript"/>
              </w:rPr>
              <w:t>3</w:t>
            </w:r>
            <w:r>
              <w:rPr>
                <w:color w:val="000000"/>
                <w:szCs w:val="21"/>
              </w:rPr>
              <w:t>(大鼠吸入)；人吸入60～120mg/m</w:t>
            </w:r>
            <w:r>
              <w:rPr>
                <w:color w:val="000000"/>
                <w:szCs w:val="21"/>
                <w:vertAlign w:val="superscript"/>
              </w:rPr>
              <w:t>3</w:t>
            </w:r>
            <w:r>
              <w:rPr>
                <w:color w:val="000000"/>
                <w:szCs w:val="21"/>
              </w:rPr>
              <w:t>发生支气管炎、肺部严重损害；吸入12～24mg/m</w:t>
            </w:r>
            <w:r>
              <w:rPr>
                <w:color w:val="000000"/>
                <w:szCs w:val="21"/>
                <w:vertAlign w:val="superscript"/>
              </w:rPr>
              <w:t>3</w:t>
            </w:r>
            <w:r>
              <w:rPr>
                <w:color w:val="000000"/>
                <w:szCs w:val="21"/>
              </w:rPr>
              <w:t>，鼻、咽粘膜严重灼务、流泪、咳嗽；经口10～20ml，致死。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color w:val="000000"/>
                <w:szCs w:val="21"/>
              </w:rPr>
            </w:pPr>
            <w:r>
              <w:rPr>
                <w:color w:val="000000"/>
                <w:szCs w:val="21"/>
              </w:rPr>
              <w:t>亚急性和</w:t>
            </w:r>
          </w:p>
          <w:p>
            <w:pPr>
              <w:snapToGrid w:val="0"/>
              <w:jc w:val="center"/>
              <w:rPr>
                <w:color w:val="000000"/>
                <w:szCs w:val="21"/>
              </w:rPr>
            </w:pPr>
            <w:r>
              <w:rPr>
                <w:color w:val="000000"/>
                <w:szCs w:val="21"/>
              </w:rPr>
              <w:t>慢性毒性</w:t>
            </w:r>
          </w:p>
        </w:tc>
        <w:tc>
          <w:tcPr>
            <w:tcW w:w="6355" w:type="dxa"/>
            <w:gridSpan w:val="2"/>
            <w:vAlign w:val="center"/>
          </w:tcPr>
          <w:p>
            <w:pPr>
              <w:snapToGrid w:val="0"/>
              <w:jc w:val="center"/>
              <w:rPr>
                <w:color w:val="000000"/>
                <w:szCs w:val="21"/>
              </w:rPr>
            </w:pPr>
            <w:r>
              <w:rPr>
                <w:color w:val="000000"/>
                <w:szCs w:val="21"/>
              </w:rPr>
              <w:t>大鼠吸入50～70mg/m</w:t>
            </w:r>
            <w:r>
              <w:rPr>
                <w:color w:val="000000"/>
                <w:szCs w:val="21"/>
                <w:vertAlign w:val="superscript"/>
              </w:rPr>
              <w:t>3</w:t>
            </w:r>
            <w:r>
              <w:rPr>
                <w:color w:val="000000"/>
                <w:szCs w:val="21"/>
              </w:rPr>
              <w:t>，1小时/天，3天/周，35周，发现气管及支气管基底细胞增生及生化改变；人吸入20～70mg/m</w:t>
            </w:r>
            <w:r>
              <w:rPr>
                <w:color w:val="000000"/>
                <w:szCs w:val="21"/>
                <w:vertAlign w:val="superscript"/>
              </w:rPr>
              <w:t>3</w:t>
            </w:r>
            <w:r>
              <w:rPr>
                <w:color w:val="000000"/>
                <w:szCs w:val="21"/>
              </w:rPr>
              <w:t>长时间，食欲丧失、体重减轻、无力、头痛、失眠；人吸入12mg/m</w:t>
            </w:r>
            <w:r>
              <w:rPr>
                <w:color w:val="000000"/>
                <w:szCs w:val="21"/>
                <w:vertAlign w:val="superscript"/>
              </w:rPr>
              <w:t>3</w:t>
            </w:r>
            <w:r>
              <w:rPr>
                <w:color w:val="000000"/>
                <w:szCs w:val="21"/>
              </w:rPr>
              <w:t>长期接触，嗜睡、无力、头痛、手指震颤、视力减退。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color w:val="000000"/>
                <w:szCs w:val="21"/>
              </w:rPr>
            </w:pPr>
            <w:r>
              <w:rPr>
                <w:color w:val="000000"/>
                <w:szCs w:val="21"/>
              </w:rPr>
              <w:t>致突变性</w:t>
            </w:r>
          </w:p>
        </w:tc>
        <w:tc>
          <w:tcPr>
            <w:tcW w:w="6355" w:type="dxa"/>
            <w:gridSpan w:val="2"/>
            <w:vAlign w:val="center"/>
          </w:tcPr>
          <w:p>
            <w:pPr>
              <w:widowControl/>
              <w:snapToGrid w:val="0"/>
              <w:jc w:val="center"/>
              <w:rPr>
                <w:color w:val="000000"/>
                <w:kern w:val="0"/>
                <w:szCs w:val="21"/>
              </w:rPr>
            </w:pPr>
            <w:r>
              <w:rPr>
                <w:color w:val="000000"/>
                <w:kern w:val="0"/>
                <w:szCs w:val="21"/>
              </w:rPr>
              <w:t>微生物致突变：鼠伤寒沙门氏菌4mg/L。哺乳动物体细胞突变：人淋巴细胞130umol/L。姊妹染色体交换：人淋巴细胞37pph。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bCs/>
                <w:color w:val="000000"/>
                <w:spacing w:val="8"/>
                <w:szCs w:val="21"/>
              </w:rPr>
            </w:pPr>
            <w:r>
              <w:rPr>
                <w:color w:val="000000"/>
                <w:szCs w:val="21"/>
              </w:rPr>
              <w:t>生殖毒性</w:t>
            </w:r>
          </w:p>
        </w:tc>
        <w:tc>
          <w:tcPr>
            <w:tcW w:w="6355" w:type="dxa"/>
            <w:gridSpan w:val="2"/>
            <w:vAlign w:val="center"/>
          </w:tcPr>
          <w:p>
            <w:pPr>
              <w:snapToGrid w:val="0"/>
              <w:jc w:val="center"/>
              <w:rPr>
                <w:color w:val="000000"/>
                <w:szCs w:val="21"/>
              </w:rPr>
            </w:pPr>
            <w:r>
              <w:rPr>
                <w:color w:val="000000"/>
                <w:szCs w:val="21"/>
              </w:rPr>
              <w:t>大鼠经口最低中毒剂量(TDL</w:t>
            </w:r>
            <w:r>
              <w:rPr>
                <w:color w:val="000000"/>
                <w:szCs w:val="21"/>
                <w:vertAlign w:val="subscript"/>
              </w:rPr>
              <w:t>0</w:t>
            </w:r>
            <w:r>
              <w:rPr>
                <w:color w:val="000000"/>
                <w:szCs w:val="21"/>
              </w:rPr>
              <w:t>)：200mg/kg(1天，雄性)，对精子生存有影响。大鼠吸入最低中毒浓度(TCL</w:t>
            </w:r>
            <w:r>
              <w:rPr>
                <w:color w:val="000000"/>
                <w:szCs w:val="21"/>
                <w:vertAlign w:val="subscript"/>
              </w:rPr>
              <w:t>0</w:t>
            </w:r>
            <w:r>
              <w:rPr>
                <w:color w:val="000000"/>
                <w:szCs w:val="21"/>
              </w:rPr>
              <w:t>)：12ug/m</w:t>
            </w:r>
            <w:r>
              <w:rPr>
                <w:color w:val="000000"/>
                <w:szCs w:val="21"/>
                <w:vertAlign w:val="superscript"/>
              </w:rPr>
              <w:t>3</w:t>
            </w:r>
            <w:r>
              <w:rPr>
                <w:color w:val="000000"/>
                <w:szCs w:val="21"/>
              </w:rPr>
              <w:t>，24小时(孕1～22天)，引起新生鼠生化和代谢改变。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color w:val="000000"/>
                <w:szCs w:val="21"/>
              </w:rPr>
            </w:pPr>
            <w:r>
              <w:rPr>
                <w:color w:val="000000"/>
                <w:szCs w:val="21"/>
              </w:rPr>
              <w:t>致癌性</w:t>
            </w:r>
          </w:p>
        </w:tc>
        <w:tc>
          <w:tcPr>
            <w:tcW w:w="6355" w:type="dxa"/>
            <w:gridSpan w:val="2"/>
            <w:vAlign w:val="center"/>
          </w:tcPr>
          <w:p>
            <w:pPr>
              <w:snapToGrid w:val="0"/>
              <w:jc w:val="center"/>
              <w:rPr>
                <w:color w:val="000000"/>
                <w:szCs w:val="21"/>
              </w:rPr>
            </w:pPr>
            <w:r>
              <w:rPr>
                <w:color w:val="000000"/>
                <w:szCs w:val="21"/>
              </w:rPr>
              <w:t>IARC致癌性评论：动物阳性；人类不明确。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restart"/>
            <w:vAlign w:val="center"/>
          </w:tcPr>
          <w:p>
            <w:pPr>
              <w:snapToGrid w:val="0"/>
              <w:jc w:val="center"/>
              <w:rPr>
                <w:bCs/>
                <w:color w:val="000000"/>
                <w:spacing w:val="8"/>
                <w:szCs w:val="21"/>
              </w:rPr>
            </w:pPr>
            <w:r>
              <w:rPr>
                <w:color w:val="000000"/>
                <w:szCs w:val="21"/>
              </w:rPr>
              <w:t>特性</w:t>
            </w:r>
          </w:p>
        </w:tc>
        <w:tc>
          <w:tcPr>
            <w:tcW w:w="1308" w:type="dxa"/>
            <w:vAlign w:val="center"/>
          </w:tcPr>
          <w:p>
            <w:pPr>
              <w:snapToGrid w:val="0"/>
              <w:jc w:val="center"/>
              <w:rPr>
                <w:bCs/>
                <w:color w:val="000000"/>
                <w:spacing w:val="8"/>
                <w:szCs w:val="21"/>
              </w:rPr>
            </w:pPr>
            <w:r>
              <w:rPr>
                <w:color w:val="000000"/>
                <w:szCs w:val="21"/>
              </w:rPr>
              <w:t>稳定性</w:t>
            </w:r>
          </w:p>
        </w:tc>
        <w:tc>
          <w:tcPr>
            <w:tcW w:w="6355" w:type="dxa"/>
            <w:gridSpan w:val="2"/>
            <w:vAlign w:val="center"/>
          </w:tcPr>
          <w:p>
            <w:pPr>
              <w:widowControl/>
              <w:snapToGrid w:val="0"/>
              <w:jc w:val="center"/>
              <w:rPr>
                <w:color w:val="000000"/>
                <w:kern w:val="0"/>
                <w:szCs w:val="21"/>
              </w:rPr>
            </w:pPr>
            <w:r>
              <w:rPr>
                <w:color w:val="000000"/>
                <w:kern w:val="0"/>
                <w:szCs w:val="21"/>
              </w:rPr>
              <w:t>甲醛在环境中颇稳定，当水中浓度为5mg/L时(20℃)，5天内可保持恒定。水中甲醛浓度&lt;20mg/L时，可被曝气池中经驯化的微生物降解消化。而含量为100mg/L时，能抑制微生物对有机物的氧化。当水中甲醛含量为500mg/L时，生物耗氧过程全部中止，水中微生物被杀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color w:val="000000"/>
                <w:szCs w:val="21"/>
              </w:rPr>
            </w:pPr>
            <w:r>
              <w:rPr>
                <w:color w:val="000000"/>
                <w:szCs w:val="21"/>
              </w:rPr>
              <w:t>危险性</w:t>
            </w:r>
          </w:p>
        </w:tc>
        <w:tc>
          <w:tcPr>
            <w:tcW w:w="6355" w:type="dxa"/>
            <w:gridSpan w:val="2"/>
            <w:vAlign w:val="center"/>
          </w:tcPr>
          <w:p>
            <w:pPr>
              <w:snapToGrid w:val="0"/>
              <w:jc w:val="center"/>
              <w:rPr>
                <w:color w:val="000000"/>
                <w:szCs w:val="21"/>
              </w:rPr>
            </w:pPr>
            <w:r>
              <w:rPr>
                <w:color w:val="000000"/>
                <w:szCs w:val="21"/>
              </w:rPr>
              <w:t>其蒸气与空气形成爆炸性混合物，遇明火、高热能引起燃烧爆炸。若遇高热，容器内压增大，有开裂和爆炸的危险。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26" w:type="dxa"/>
            <w:vMerge w:val="continue"/>
            <w:vAlign w:val="center"/>
          </w:tcPr>
          <w:p>
            <w:pPr>
              <w:snapToGrid w:val="0"/>
              <w:jc w:val="center"/>
              <w:rPr>
                <w:bCs/>
                <w:color w:val="000000"/>
                <w:spacing w:val="8"/>
                <w:szCs w:val="21"/>
              </w:rPr>
            </w:pPr>
          </w:p>
        </w:tc>
        <w:tc>
          <w:tcPr>
            <w:tcW w:w="1308" w:type="dxa"/>
            <w:vAlign w:val="center"/>
          </w:tcPr>
          <w:p>
            <w:pPr>
              <w:snapToGrid w:val="0"/>
              <w:jc w:val="center"/>
              <w:rPr>
                <w:color w:val="000000"/>
                <w:szCs w:val="21"/>
              </w:rPr>
            </w:pPr>
            <w:r>
              <w:rPr>
                <w:color w:val="000000"/>
                <w:szCs w:val="21"/>
              </w:rPr>
              <w:t>燃烧产物</w:t>
            </w:r>
          </w:p>
        </w:tc>
        <w:tc>
          <w:tcPr>
            <w:tcW w:w="6355" w:type="dxa"/>
            <w:gridSpan w:val="2"/>
            <w:vAlign w:val="center"/>
          </w:tcPr>
          <w:p>
            <w:pPr>
              <w:snapToGrid w:val="0"/>
              <w:jc w:val="center"/>
              <w:rPr>
                <w:color w:val="000000"/>
                <w:szCs w:val="21"/>
              </w:rPr>
            </w:pPr>
            <w:r>
              <w:rPr>
                <w:color w:val="000000"/>
                <w:szCs w:val="21"/>
              </w:rPr>
              <w:t>一氧化碳、二氧化碳。</w:t>
            </w:r>
          </w:p>
        </w:tc>
      </w:tr>
    </w:tbl>
    <w:p>
      <w:pPr>
        <w:snapToGrid w:val="0"/>
        <w:spacing w:line="360" w:lineRule="auto"/>
        <w:ind w:firstLine="480" w:firstLineChars="200"/>
        <w:rPr>
          <w:rFonts w:eastAsiaTheme="minorEastAsia"/>
          <w:sz w:val="24"/>
        </w:rPr>
      </w:pPr>
      <w:r>
        <w:rPr>
          <w:rFonts w:eastAsiaTheme="minorEastAsia"/>
          <w:sz w:val="24"/>
        </w:rPr>
        <w:t>项目污水处理站拟用二氧化氯消毒工艺，二氧化氯在消毒过程中无致癌物质产生，对人体无毒无害，危害较小。由于二氧化氯不稳定的物理特性决定其无法大量储存。故二氧化氯必须在二氧化氯发生器内现场生成、现场使用。项目消毒剂二氧化氯是由建设单位直接购得二氧化氯发生器、氯酸钠和盐酸，采用现用现制的方式制备而得。二氧化氯发生器（化学法）是由供料系统、反应系统、控制系统、吸收系统、安全系统组成。按一定的比例经过供料系统投加到反应系统中，在一定的温度下反应生成二氧化氯的混合气体，经吸收系统直接进入消毒系统，根据不同水质（不同投加量）直接投加到需要处理的各类水中，完成二氧化氯和氯气的协同消毒、氧化等作用即达到消毒的目的，其反应机理如下：</w:t>
      </w:r>
    </w:p>
    <w:p>
      <w:pPr>
        <w:spacing w:line="360" w:lineRule="auto"/>
        <w:jc w:val="center"/>
        <w:rPr>
          <w:color w:val="000000"/>
        </w:rPr>
      </w:pPr>
      <w:r>
        <w:rPr>
          <w:color w:val="000000"/>
          <w:position w:val="-24"/>
        </w:rPr>
        <w:pict>
          <v:shape id="_x0000_i1029" o:spt="75" type="#_x0000_t75" style="height:31.25pt;width:241.8pt;" filled="f" o:preferrelative="t" stroked="f" coordsize="21600,21600">
            <v:path/>
            <v:fill on="f" focussize="0,0"/>
            <v:stroke on="f" joinstyle="miter"/>
            <v:imagedata r:id="rId42" o:title=""/>
            <o:lock v:ext="edit" aspectratio="t"/>
            <w10:wrap type="none"/>
            <w10:anchorlock/>
          </v:shape>
        </w:pict>
      </w:r>
    </w:p>
    <w:p>
      <w:pPr>
        <w:snapToGrid w:val="0"/>
        <w:spacing w:line="360" w:lineRule="auto"/>
        <w:jc w:val="center"/>
        <w:rPr>
          <w:rFonts w:eastAsiaTheme="minorEastAsia"/>
          <w:sz w:val="24"/>
        </w:rPr>
      </w:pPr>
      <w:r>
        <w:rPr>
          <w:color w:val="000000"/>
          <w:position w:val="-12"/>
        </w:rPr>
        <w:pict>
          <v:shape id="_x0000_i1030" o:spt="75" type="#_x0000_t75" style="height:18.35pt;width:220.1pt;" filled="f" o:preferrelative="t" stroked="f" coordsize="21600,21600">
            <v:path/>
            <v:fill on="f" focussize="0,0"/>
            <v:stroke on="f" joinstyle="miter"/>
            <v:imagedata r:id="rId43" o:title=""/>
            <o:lock v:ext="edit" aspectratio="t"/>
            <w10:wrap type="none"/>
            <w10:anchorlock/>
          </v:shape>
        </w:pict>
      </w:r>
    </w:p>
    <w:p>
      <w:pPr>
        <w:snapToGrid w:val="0"/>
        <w:spacing w:line="360" w:lineRule="auto"/>
        <w:ind w:firstLine="480" w:firstLineChars="200"/>
        <w:rPr>
          <w:rFonts w:eastAsiaTheme="minorEastAsia"/>
          <w:sz w:val="24"/>
        </w:rPr>
      </w:pPr>
      <w:r>
        <w:rPr>
          <w:rFonts w:eastAsiaTheme="minorEastAsia"/>
          <w:sz w:val="24"/>
        </w:rPr>
        <w:t>二氧化氯发生过程中会使用一定量的氯酸钠、盐酸。氯酸钠、盐酸及其产物二氧化氯的理化性质如下：</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氯酸钠</w:t>
      </w:r>
    </w:p>
    <w:p>
      <w:pPr>
        <w:snapToGrid w:val="0"/>
        <w:spacing w:line="360" w:lineRule="auto"/>
        <w:jc w:val="center"/>
        <w:rPr>
          <w:rFonts w:eastAsiaTheme="minorEastAsia"/>
          <w:b/>
          <w:bCs/>
          <w:sz w:val="24"/>
        </w:rPr>
      </w:pPr>
      <w:r>
        <w:rPr>
          <w:rFonts w:eastAsiaTheme="minorEastAsia"/>
          <w:b/>
          <w:bCs/>
          <w:sz w:val="24"/>
        </w:rPr>
        <w:t>表7.1-4  氯酸钠理化性质表</w:t>
      </w:r>
    </w:p>
    <w:tbl>
      <w:tblPr>
        <w:tblStyle w:val="86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6"/>
        <w:gridCol w:w="73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标识</w:t>
            </w:r>
          </w:p>
        </w:tc>
        <w:tc>
          <w:tcPr>
            <w:tcW w:w="4200" w:type="pct"/>
            <w:vAlign w:val="center"/>
          </w:tcPr>
          <w:p>
            <w:pPr>
              <w:snapToGrid w:val="0"/>
              <w:rPr>
                <w:rFonts w:ascii="Times New Roman" w:hAnsi="Times New Roman"/>
                <w:szCs w:val="21"/>
              </w:rPr>
            </w:pPr>
            <w:r>
              <w:rPr>
                <w:rFonts w:ascii="Times New Roman" w:hAnsi="Times New Roman"/>
                <w:szCs w:val="21"/>
              </w:rPr>
              <w:t xml:space="preserve">名称：氯酸钠；氯酸碱；氯酸曹达；白药钠（  Sodium  chlorate ）   </w:t>
            </w:r>
          </w:p>
          <w:p>
            <w:pPr>
              <w:snapToGrid w:val="0"/>
              <w:rPr>
                <w:rFonts w:ascii="Times New Roman" w:hAnsi="Times New Roman"/>
                <w:szCs w:val="21"/>
              </w:rPr>
            </w:pPr>
            <w:r>
              <w:rPr>
                <w:rFonts w:ascii="Times New Roman" w:hAnsi="Times New Roman"/>
                <w:szCs w:val="21"/>
              </w:rPr>
              <w:t>分子量：106.45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理化性状</w:t>
            </w:r>
          </w:p>
        </w:tc>
        <w:tc>
          <w:tcPr>
            <w:tcW w:w="4200" w:type="pct"/>
            <w:vAlign w:val="center"/>
          </w:tcPr>
          <w:p>
            <w:pPr>
              <w:snapToGrid w:val="0"/>
              <w:rPr>
                <w:rFonts w:ascii="Times New Roman" w:hAnsi="Times New Roman"/>
                <w:szCs w:val="21"/>
              </w:rPr>
            </w:pPr>
            <w:r>
              <w:rPr>
                <w:rFonts w:ascii="Times New Roman" w:hAnsi="Times New Roman"/>
                <w:szCs w:val="21"/>
              </w:rPr>
              <w:t xml:space="preserve">外观与性质：无色无臭结晶，味咸而凉，有潮解性。 </w:t>
            </w:r>
          </w:p>
          <w:p>
            <w:pPr>
              <w:snapToGrid w:val="0"/>
              <w:rPr>
                <w:rFonts w:ascii="Times New Roman" w:hAnsi="Times New Roman"/>
                <w:szCs w:val="21"/>
              </w:rPr>
            </w:pPr>
            <w:r>
              <w:rPr>
                <w:rFonts w:ascii="Times New Roman" w:hAnsi="Times New Roman"/>
                <w:szCs w:val="21"/>
              </w:rPr>
              <w:t xml:space="preserve">主要用途：用作氧化剂，及制氯酸盐、除草剂、医药品等，也用于冶金矿石处理。 </w:t>
            </w:r>
          </w:p>
          <w:p>
            <w:pPr>
              <w:snapToGrid w:val="0"/>
              <w:rPr>
                <w:rFonts w:ascii="Times New Roman" w:hAnsi="Times New Roman"/>
                <w:szCs w:val="21"/>
              </w:rPr>
            </w:pPr>
            <w:r>
              <w:rPr>
                <w:rFonts w:ascii="Times New Roman" w:hAnsi="Times New Roman"/>
                <w:szCs w:val="21"/>
              </w:rPr>
              <w:t>理化性状：相对密度（水＝l）：2.49、沸点：分解、熔点：248~261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爆炸特性与消防</w:t>
            </w:r>
          </w:p>
        </w:tc>
        <w:tc>
          <w:tcPr>
            <w:tcW w:w="4200" w:type="pct"/>
            <w:vAlign w:val="center"/>
          </w:tcPr>
          <w:p>
            <w:pPr>
              <w:tabs>
                <w:tab w:val="left" w:pos="1095"/>
              </w:tabs>
              <w:snapToGrid w:val="0"/>
              <w:rPr>
                <w:rFonts w:ascii="Times New Roman" w:hAnsi="Times New Roman"/>
                <w:szCs w:val="21"/>
              </w:rPr>
            </w:pPr>
            <w:r>
              <w:rPr>
                <w:rFonts w:ascii="Times New Roman" w:hAnsi="Times New Roman"/>
                <w:szCs w:val="21"/>
              </w:rPr>
              <w:t xml:space="preserve">危险特性：具有强氧化性。与有机物、还原剂、易燃物如硫、磷等接触或混合时有引起燃烧爆炸的危险。急剧加热时可发生爆炸。 </w:t>
            </w:r>
          </w:p>
          <w:p>
            <w:pPr>
              <w:tabs>
                <w:tab w:val="left" w:pos="1095"/>
              </w:tabs>
              <w:snapToGrid w:val="0"/>
              <w:rPr>
                <w:rFonts w:ascii="Times New Roman" w:hAnsi="Times New Roman"/>
                <w:szCs w:val="21"/>
              </w:rPr>
            </w:pPr>
            <w:r>
              <w:rPr>
                <w:rFonts w:ascii="Times New Roman" w:hAnsi="Times New Roman"/>
                <w:szCs w:val="21"/>
              </w:rPr>
              <w:t>灭火方法：雾状水、砂土。如果该物质或被污染的流体进入水路，通知有潜在水体污染的下游用户，通知地方卫生、消防官员和污染控制部门。在安全防爆距离以外，使用雾状水冷却暴露的容器。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健康危害</w:t>
            </w:r>
          </w:p>
        </w:tc>
        <w:tc>
          <w:tcPr>
            <w:tcW w:w="4200" w:type="pct"/>
            <w:vAlign w:val="center"/>
          </w:tcPr>
          <w:p>
            <w:pPr>
              <w:snapToGrid w:val="0"/>
              <w:rPr>
                <w:rFonts w:ascii="Times New Roman" w:hAnsi="Times New Roman"/>
                <w:szCs w:val="21"/>
              </w:rPr>
            </w:pPr>
            <w:r>
              <w:rPr>
                <w:rFonts w:ascii="Times New Roman" w:hAnsi="Times New Roman"/>
                <w:szCs w:val="21"/>
              </w:rPr>
              <w:t>本品粉尘对呼吸道、眼及皮肤有刺激性。口服急性中毒，表现为高铁血红蛋白血症，胃肠炎，肝肾损伤，甚至发生窒息。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急救措施</w:t>
            </w:r>
          </w:p>
        </w:tc>
        <w:tc>
          <w:tcPr>
            <w:tcW w:w="4200" w:type="pct"/>
            <w:vAlign w:val="center"/>
          </w:tcPr>
          <w:p>
            <w:pPr>
              <w:snapToGrid w:val="0"/>
              <w:rPr>
                <w:rFonts w:ascii="Times New Roman" w:hAnsi="Times New Roman"/>
                <w:szCs w:val="21"/>
              </w:rPr>
            </w:pPr>
            <w:r>
              <w:rPr>
                <w:rFonts w:ascii="Times New Roman" w:hAnsi="Times New Roman"/>
                <w:szCs w:val="21"/>
              </w:rPr>
              <w:t xml:space="preserve">皮肤接触：脱去污染的衣着，立即用流动清水彻底冲洗。注意患者保暖并且保持安静。确保医务人员了解该物质相关的个体防护知识，注意自身防护。 </w:t>
            </w:r>
          </w:p>
          <w:p>
            <w:pPr>
              <w:snapToGrid w:val="0"/>
              <w:rPr>
                <w:rFonts w:ascii="Times New Roman" w:hAnsi="Times New Roman"/>
                <w:szCs w:val="21"/>
              </w:rPr>
            </w:pPr>
            <w:r>
              <w:rPr>
                <w:rFonts w:ascii="Times New Roman" w:hAnsi="Times New Roman"/>
                <w:szCs w:val="21"/>
              </w:rPr>
              <w:t xml:space="preserve">眼睛接触：立即提起眼睑，用流动清水或生理盐水冲洗至少15分钟。 </w:t>
            </w:r>
          </w:p>
          <w:p>
            <w:pPr>
              <w:snapToGrid w:val="0"/>
              <w:rPr>
                <w:rFonts w:ascii="Times New Roman" w:hAnsi="Times New Roman"/>
                <w:szCs w:val="21"/>
              </w:rPr>
            </w:pPr>
            <w:r>
              <w:rPr>
                <w:rFonts w:ascii="Times New Roman" w:hAnsi="Times New Roman"/>
                <w:szCs w:val="21"/>
              </w:rPr>
              <w:t>吸入：脱离现场至空气新鲜处。必要时进行人工呼吸。就医。如果呼吸困难，给予吸氧。食入：患者清醒时给饮大量温水，催吐，就医。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泄漏应</w:t>
            </w:r>
          </w:p>
          <w:p>
            <w:pPr>
              <w:snapToGrid w:val="0"/>
              <w:jc w:val="center"/>
              <w:rPr>
                <w:rFonts w:ascii="Times New Roman" w:hAnsi="Times New Roman"/>
                <w:szCs w:val="21"/>
              </w:rPr>
            </w:pPr>
            <w:r>
              <w:rPr>
                <w:rFonts w:ascii="Times New Roman" w:hAnsi="Times New Roman"/>
                <w:szCs w:val="21"/>
              </w:rPr>
              <w:t>急处理</w:t>
            </w:r>
          </w:p>
        </w:tc>
        <w:tc>
          <w:tcPr>
            <w:tcW w:w="4200" w:type="pct"/>
            <w:vAlign w:val="center"/>
          </w:tcPr>
          <w:p>
            <w:pPr>
              <w:snapToGrid w:val="0"/>
              <w:rPr>
                <w:rFonts w:ascii="Times New Roman" w:hAnsi="Times New Roman"/>
                <w:szCs w:val="21"/>
              </w:rPr>
            </w:pPr>
            <w:r>
              <w:rPr>
                <w:rFonts w:ascii="Times New Roman" w:hAnsi="Times New Roman"/>
                <w:szCs w:val="21"/>
              </w:rPr>
              <w:t>隔离泄漏污染区，周围设警告标志，建议应急处理人员戴好防毒面具，穿化学防护服。不要直接接触泄漏物，勿使泄漏物与可燃物质(木材、纸、油等)接触，小心扫起，加入水中(3％)，用硫酸调节pH值至2，再逐渐加入过量的亚硫酸氢钠，待反应完后废弃。如大量泄漏，收集回收或无害处理后废弃。  FEMA危险分类：固态：健康危害(蓝色)：1 易燃性(红色)：0 反应活性(黄色)：2 特殊危险：氧化剂溶液态：健康危害(蓝色)：1 易燃性(红色)：0 反应活性(黄色)：0 特殊危险：氧化剂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储运注意事项</w:t>
            </w:r>
          </w:p>
        </w:tc>
        <w:tc>
          <w:tcPr>
            <w:tcW w:w="4200" w:type="pct"/>
            <w:vAlign w:val="center"/>
          </w:tcPr>
          <w:p>
            <w:pPr>
              <w:snapToGrid w:val="0"/>
              <w:rPr>
                <w:rFonts w:ascii="Times New Roman" w:hAnsi="Times New Roman"/>
                <w:szCs w:val="21"/>
              </w:rPr>
            </w:pPr>
            <w:r>
              <w:rPr>
                <w:rFonts w:ascii="Times New Roman" w:hAnsi="Times New Roman"/>
                <w:szCs w:val="21"/>
              </w:rPr>
              <w:t>储存于阴凉、通风仓间内。远离火种、热源。防止阳光直射。保持容器密封。应与易燃、可燃物，还原剂、硫、铵化合物、金属粉末、硫酸等分开存放。切忌混储混运。搬运时要轻装轻卸，防止包装及容器损坏。禁止震动、撞击和摩擦。 ERG指南：140 ERG指南分类：氧化剂。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防护措施</w:t>
            </w:r>
          </w:p>
        </w:tc>
        <w:tc>
          <w:tcPr>
            <w:tcW w:w="4200" w:type="pct"/>
            <w:vAlign w:val="center"/>
          </w:tcPr>
          <w:p>
            <w:pPr>
              <w:snapToGrid w:val="0"/>
              <w:rPr>
                <w:rFonts w:ascii="Times New Roman" w:hAnsi="Times New Roman"/>
                <w:szCs w:val="21"/>
              </w:rPr>
            </w:pPr>
            <w:r>
              <w:rPr>
                <w:rFonts w:ascii="Times New Roman" w:hAnsi="Times New Roman"/>
                <w:szCs w:val="21"/>
              </w:rPr>
              <w:t>工程控制：生产过程密闭，加强通风。 呼吸防护：作业工人应戴口罩。高于NIOSH  REL浓度或尚未建立REL，任何可检测浓度下：自携式正压全面罩呼吸器、供气式正压全面罩呼吸器辅之以辅助自携式正压呼吸器。逃生：装有机蒸气滤毒盒的空气净化式全面罩呼吸器(防毒面具)、自携式逃生呼吸器。 眼睛防护：可采用安全面罩。 身体防护：穿相应的防护服。 手防护：戴防护手套。 其它防护：工作后，淋浴更衣。保持良好的卫生习惯。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0" w:type="pct"/>
            <w:vAlign w:val="center"/>
          </w:tcPr>
          <w:p>
            <w:pPr>
              <w:snapToGrid w:val="0"/>
              <w:jc w:val="center"/>
              <w:rPr>
                <w:rFonts w:ascii="Times New Roman" w:hAnsi="Times New Roman"/>
                <w:szCs w:val="21"/>
              </w:rPr>
            </w:pPr>
            <w:r>
              <w:rPr>
                <w:rFonts w:ascii="Times New Roman" w:hAnsi="Times New Roman"/>
                <w:szCs w:val="21"/>
              </w:rPr>
              <w:t>稳定性和</w:t>
            </w:r>
          </w:p>
          <w:p>
            <w:pPr>
              <w:snapToGrid w:val="0"/>
              <w:jc w:val="center"/>
              <w:rPr>
                <w:rFonts w:ascii="Times New Roman" w:hAnsi="Times New Roman"/>
                <w:szCs w:val="21"/>
              </w:rPr>
            </w:pPr>
            <w:r>
              <w:rPr>
                <w:rFonts w:ascii="Times New Roman" w:hAnsi="Times New Roman"/>
                <w:szCs w:val="21"/>
              </w:rPr>
              <w:t>反应活性</w:t>
            </w:r>
          </w:p>
        </w:tc>
        <w:tc>
          <w:tcPr>
            <w:tcW w:w="4200" w:type="pct"/>
            <w:vAlign w:val="center"/>
          </w:tcPr>
          <w:p>
            <w:pPr>
              <w:snapToGrid w:val="0"/>
              <w:ind w:firstLine="420" w:firstLineChars="200"/>
              <w:jc w:val="center"/>
              <w:rPr>
                <w:rFonts w:ascii="Times New Roman" w:hAnsi="Times New Roman"/>
                <w:szCs w:val="21"/>
              </w:rPr>
            </w:pPr>
            <w:r>
              <w:rPr>
                <w:rFonts w:ascii="Times New Roman" w:hAnsi="Times New Roman"/>
                <w:szCs w:val="21"/>
              </w:rPr>
              <w:t>禁忌物：强还原剂、易燃或可燃物、醇类、强酸、硫、磷、铝。</w:t>
            </w:r>
          </w:p>
        </w:tc>
      </w:tr>
    </w:tbl>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盐酸</w:t>
      </w:r>
    </w:p>
    <w:p>
      <w:pPr>
        <w:snapToGrid w:val="0"/>
        <w:spacing w:line="360" w:lineRule="auto"/>
        <w:jc w:val="center"/>
        <w:rPr>
          <w:rFonts w:eastAsiaTheme="minorEastAsia"/>
          <w:b/>
          <w:bCs/>
          <w:sz w:val="24"/>
        </w:rPr>
      </w:pPr>
      <w:r>
        <w:rPr>
          <w:rFonts w:eastAsiaTheme="minorEastAsia"/>
          <w:b/>
          <w:bCs/>
          <w:sz w:val="24"/>
        </w:rPr>
        <w:t>表7.1-5  盐酸理化性质表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9"/>
        <w:gridCol w:w="1491"/>
        <w:gridCol w:w="1151"/>
        <w:gridCol w:w="243"/>
        <w:gridCol w:w="156"/>
        <w:gridCol w:w="1355"/>
        <w:gridCol w:w="139"/>
        <w:gridCol w:w="919"/>
        <w:gridCol w:w="172"/>
        <w:gridCol w:w="1394"/>
        <w:gridCol w:w="445"/>
        <w:gridCol w:w="8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restart"/>
            <w:vAlign w:val="center"/>
          </w:tcPr>
          <w:p>
            <w:pPr>
              <w:jc w:val="center"/>
              <w:rPr>
                <w:rFonts w:eastAsiaTheme="minorEastAsia"/>
                <w:spacing w:val="10"/>
                <w:szCs w:val="21"/>
              </w:rPr>
            </w:pPr>
            <w:r>
              <w:rPr>
                <w:rFonts w:eastAsiaTheme="minorEastAsia"/>
                <w:spacing w:val="10"/>
                <w:szCs w:val="21"/>
              </w:rPr>
              <w:t>标识</w:t>
            </w:r>
          </w:p>
        </w:tc>
        <w:tc>
          <w:tcPr>
            <w:tcW w:w="3103" w:type="pct"/>
            <w:gridSpan w:val="7"/>
            <w:vAlign w:val="center"/>
          </w:tcPr>
          <w:p>
            <w:pPr>
              <w:rPr>
                <w:rFonts w:eastAsiaTheme="minorEastAsia"/>
                <w:spacing w:val="10"/>
                <w:szCs w:val="21"/>
              </w:rPr>
            </w:pPr>
            <w:r>
              <w:rPr>
                <w:rFonts w:eastAsiaTheme="minorEastAsia"/>
                <w:spacing w:val="10"/>
                <w:szCs w:val="21"/>
              </w:rPr>
              <w:t>中文名：</w:t>
            </w:r>
            <w:r>
              <w:rPr>
                <w:rFonts w:eastAsiaTheme="minorEastAsia"/>
                <w:szCs w:val="21"/>
              </w:rPr>
              <w:t>盐酸</w:t>
            </w:r>
            <w:r>
              <w:rPr>
                <w:rFonts w:eastAsiaTheme="minorEastAsia"/>
                <w:spacing w:val="10"/>
                <w:szCs w:val="21"/>
              </w:rPr>
              <w:t>；</w:t>
            </w:r>
            <w:r>
              <w:rPr>
                <w:rFonts w:eastAsiaTheme="minorEastAsia"/>
                <w:szCs w:val="21"/>
              </w:rPr>
              <w:t>氢氯酸</w:t>
            </w:r>
          </w:p>
        </w:tc>
        <w:tc>
          <w:tcPr>
            <w:tcW w:w="1636" w:type="pct"/>
            <w:gridSpan w:val="4"/>
            <w:vAlign w:val="center"/>
          </w:tcPr>
          <w:p>
            <w:pPr>
              <w:rPr>
                <w:rFonts w:eastAsiaTheme="minorEastAsia"/>
                <w:spacing w:val="10"/>
                <w:szCs w:val="21"/>
              </w:rPr>
            </w:pPr>
            <w:r>
              <w:rPr>
                <w:rFonts w:eastAsiaTheme="minorEastAsia"/>
                <w:spacing w:val="10"/>
                <w:szCs w:val="21"/>
              </w:rPr>
              <w:t>危险货物编号：</w:t>
            </w:r>
            <w:r>
              <w:rPr>
                <w:rFonts w:eastAsiaTheme="minorEastAsia"/>
                <w:szCs w:val="21"/>
              </w:rPr>
              <w:t>81013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3103" w:type="pct"/>
            <w:gridSpan w:val="7"/>
            <w:vAlign w:val="center"/>
          </w:tcPr>
          <w:p>
            <w:pPr>
              <w:rPr>
                <w:rFonts w:eastAsiaTheme="minorEastAsia"/>
                <w:spacing w:val="10"/>
                <w:szCs w:val="21"/>
              </w:rPr>
            </w:pPr>
            <w:r>
              <w:rPr>
                <w:rFonts w:eastAsiaTheme="minorEastAsia"/>
                <w:spacing w:val="10"/>
                <w:szCs w:val="21"/>
              </w:rPr>
              <w:t>英文名：</w:t>
            </w:r>
            <w:r>
              <w:rPr>
                <w:rFonts w:eastAsiaTheme="minorEastAsia"/>
                <w:szCs w:val="21"/>
              </w:rPr>
              <w:t>Hydrochloric acid；Chlorohydric acid</w:t>
            </w:r>
          </w:p>
        </w:tc>
        <w:tc>
          <w:tcPr>
            <w:tcW w:w="1636" w:type="pct"/>
            <w:gridSpan w:val="4"/>
            <w:vAlign w:val="center"/>
          </w:tcPr>
          <w:p>
            <w:pPr>
              <w:rPr>
                <w:rFonts w:eastAsiaTheme="minorEastAsia"/>
                <w:spacing w:val="10"/>
                <w:szCs w:val="21"/>
              </w:rPr>
            </w:pPr>
            <w:r>
              <w:rPr>
                <w:rFonts w:eastAsiaTheme="minorEastAsia"/>
                <w:spacing w:val="10"/>
                <w:szCs w:val="21"/>
              </w:rPr>
              <w:t>UN编号：1789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1641" w:type="pct"/>
            <w:gridSpan w:val="3"/>
            <w:vAlign w:val="center"/>
          </w:tcPr>
          <w:p>
            <w:pPr>
              <w:ind w:left="920" w:hanging="920" w:hangingChars="400"/>
              <w:rPr>
                <w:rFonts w:eastAsiaTheme="minorEastAsia"/>
                <w:spacing w:val="10"/>
                <w:szCs w:val="21"/>
              </w:rPr>
            </w:pPr>
            <w:r>
              <w:rPr>
                <w:rFonts w:eastAsiaTheme="minorEastAsia"/>
                <w:spacing w:val="10"/>
                <w:szCs w:val="21"/>
              </w:rPr>
              <w:t>分子式：</w:t>
            </w:r>
            <w:r>
              <w:rPr>
                <w:rFonts w:eastAsiaTheme="minorEastAsia"/>
                <w:szCs w:val="21"/>
              </w:rPr>
              <w:t>HCl</w:t>
            </w:r>
          </w:p>
        </w:tc>
        <w:tc>
          <w:tcPr>
            <w:tcW w:w="1462" w:type="pct"/>
            <w:gridSpan w:val="4"/>
            <w:vAlign w:val="center"/>
          </w:tcPr>
          <w:p>
            <w:pPr>
              <w:rPr>
                <w:rFonts w:eastAsiaTheme="minorEastAsia"/>
                <w:spacing w:val="10"/>
                <w:szCs w:val="21"/>
              </w:rPr>
            </w:pPr>
            <w:r>
              <w:rPr>
                <w:rFonts w:eastAsiaTheme="minorEastAsia"/>
                <w:spacing w:val="10"/>
                <w:szCs w:val="21"/>
              </w:rPr>
              <w:t>分子量：</w:t>
            </w:r>
            <w:r>
              <w:rPr>
                <w:rFonts w:eastAsiaTheme="minorEastAsia"/>
                <w:szCs w:val="21"/>
              </w:rPr>
              <w:t>36.46</w:t>
            </w:r>
          </w:p>
        </w:tc>
        <w:tc>
          <w:tcPr>
            <w:tcW w:w="1636" w:type="pct"/>
            <w:gridSpan w:val="4"/>
            <w:vAlign w:val="center"/>
          </w:tcPr>
          <w:p>
            <w:pPr>
              <w:rPr>
                <w:rFonts w:eastAsiaTheme="minorEastAsia"/>
                <w:spacing w:val="10"/>
                <w:szCs w:val="21"/>
              </w:rPr>
            </w:pPr>
            <w:r>
              <w:rPr>
                <w:rFonts w:eastAsiaTheme="minorEastAsia"/>
                <w:spacing w:val="10"/>
                <w:szCs w:val="21"/>
              </w:rPr>
              <w:t>CAS号：</w:t>
            </w:r>
            <w:r>
              <w:rPr>
                <w:rFonts w:eastAsiaTheme="minorEastAsia"/>
                <w:szCs w:val="21"/>
              </w:rPr>
              <w:t>7647-01-0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restart"/>
            <w:vAlign w:val="center"/>
          </w:tcPr>
          <w:p>
            <w:pPr>
              <w:jc w:val="center"/>
              <w:rPr>
                <w:rFonts w:eastAsiaTheme="minorEastAsia"/>
                <w:spacing w:val="10"/>
                <w:szCs w:val="21"/>
              </w:rPr>
            </w:pPr>
            <w:r>
              <w:rPr>
                <w:rFonts w:eastAsiaTheme="minorEastAsia"/>
                <w:spacing w:val="10"/>
                <w:szCs w:val="21"/>
              </w:rPr>
              <w:t>理化性质</w:t>
            </w:r>
          </w:p>
        </w:tc>
        <w:tc>
          <w:tcPr>
            <w:tcW w:w="848" w:type="pct"/>
            <w:vAlign w:val="center"/>
          </w:tcPr>
          <w:p>
            <w:pPr>
              <w:jc w:val="center"/>
              <w:rPr>
                <w:rFonts w:eastAsiaTheme="minorEastAsia"/>
                <w:spacing w:val="10"/>
                <w:szCs w:val="21"/>
              </w:rPr>
            </w:pPr>
            <w:r>
              <w:rPr>
                <w:rFonts w:eastAsiaTheme="minorEastAsia"/>
                <w:spacing w:val="10"/>
                <w:szCs w:val="21"/>
              </w:rPr>
              <w:t>外观与性状</w:t>
            </w:r>
          </w:p>
        </w:tc>
        <w:tc>
          <w:tcPr>
            <w:tcW w:w="3891" w:type="pct"/>
            <w:gridSpan w:val="10"/>
            <w:vAlign w:val="center"/>
          </w:tcPr>
          <w:p>
            <w:pPr>
              <w:rPr>
                <w:rFonts w:eastAsiaTheme="minorEastAsia"/>
                <w:spacing w:val="10"/>
                <w:szCs w:val="21"/>
              </w:rPr>
            </w:pPr>
            <w:r>
              <w:rPr>
                <w:rFonts w:eastAsiaTheme="minorEastAsia"/>
                <w:szCs w:val="21"/>
              </w:rPr>
              <w:t>无色或微黄色发烟液体，有刺鼻的酸味。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熔点（</w:t>
            </w:r>
            <w:r>
              <w:rPr>
                <w:spacing w:val="10"/>
                <w:szCs w:val="21"/>
              </w:rPr>
              <w:t>℃</w:t>
            </w:r>
            <w:r>
              <w:rPr>
                <w:rFonts w:eastAsiaTheme="minorEastAsia"/>
                <w:spacing w:val="10"/>
                <w:szCs w:val="21"/>
              </w:rPr>
              <w:t>）</w:t>
            </w:r>
          </w:p>
        </w:tc>
        <w:tc>
          <w:tcPr>
            <w:tcW w:w="655" w:type="pct"/>
            <w:vAlign w:val="center"/>
          </w:tcPr>
          <w:p>
            <w:pPr>
              <w:jc w:val="center"/>
              <w:rPr>
                <w:rFonts w:eastAsiaTheme="minorEastAsia"/>
                <w:spacing w:val="10"/>
                <w:szCs w:val="21"/>
              </w:rPr>
            </w:pPr>
            <w:r>
              <w:rPr>
                <w:rFonts w:eastAsiaTheme="minorEastAsia"/>
                <w:szCs w:val="21"/>
              </w:rPr>
              <w:t>-114.8</w:t>
            </w:r>
          </w:p>
        </w:tc>
        <w:tc>
          <w:tcPr>
            <w:tcW w:w="1077" w:type="pct"/>
            <w:gridSpan w:val="4"/>
            <w:vAlign w:val="center"/>
          </w:tcPr>
          <w:p>
            <w:pPr>
              <w:jc w:val="center"/>
              <w:rPr>
                <w:rFonts w:eastAsiaTheme="minorEastAsia"/>
                <w:spacing w:val="10"/>
                <w:szCs w:val="21"/>
              </w:rPr>
            </w:pPr>
            <w:r>
              <w:rPr>
                <w:rFonts w:eastAsiaTheme="minorEastAsia"/>
                <w:spacing w:val="10"/>
                <w:szCs w:val="21"/>
              </w:rPr>
              <w:t>相对密度(水=1)</w:t>
            </w:r>
          </w:p>
        </w:tc>
        <w:tc>
          <w:tcPr>
            <w:tcW w:w="523" w:type="pct"/>
            <w:vAlign w:val="center"/>
          </w:tcPr>
          <w:p>
            <w:pPr>
              <w:jc w:val="center"/>
              <w:rPr>
                <w:rFonts w:eastAsiaTheme="minorEastAsia"/>
                <w:spacing w:val="10"/>
                <w:szCs w:val="21"/>
              </w:rPr>
            </w:pPr>
            <w:r>
              <w:rPr>
                <w:rFonts w:eastAsiaTheme="minorEastAsia"/>
                <w:szCs w:val="21"/>
              </w:rPr>
              <w:t>1.20</w:t>
            </w:r>
          </w:p>
        </w:tc>
        <w:tc>
          <w:tcPr>
            <w:tcW w:w="1144" w:type="pct"/>
            <w:gridSpan w:val="3"/>
            <w:vAlign w:val="center"/>
          </w:tcPr>
          <w:p>
            <w:pPr>
              <w:jc w:val="center"/>
              <w:rPr>
                <w:rFonts w:eastAsiaTheme="minorEastAsia"/>
                <w:spacing w:val="10"/>
                <w:szCs w:val="21"/>
              </w:rPr>
            </w:pPr>
            <w:r>
              <w:rPr>
                <w:rFonts w:eastAsiaTheme="minorEastAsia"/>
                <w:spacing w:val="10"/>
                <w:szCs w:val="21"/>
              </w:rPr>
              <w:t>相对密度(空气=1)</w:t>
            </w:r>
          </w:p>
        </w:tc>
        <w:tc>
          <w:tcPr>
            <w:tcW w:w="492" w:type="pct"/>
            <w:vAlign w:val="center"/>
          </w:tcPr>
          <w:p>
            <w:pPr>
              <w:jc w:val="center"/>
              <w:rPr>
                <w:rFonts w:eastAsiaTheme="minorEastAsia"/>
                <w:spacing w:val="10"/>
                <w:szCs w:val="21"/>
              </w:rPr>
            </w:pPr>
            <w:r>
              <w:rPr>
                <w:rFonts w:eastAsiaTheme="minorEastAsia"/>
                <w:spacing w:val="10"/>
                <w:szCs w:val="21"/>
              </w:rPr>
              <w:t>1.26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沸点（</w:t>
            </w:r>
            <w:r>
              <w:rPr>
                <w:spacing w:val="10"/>
                <w:szCs w:val="21"/>
              </w:rPr>
              <w:t>℃</w:t>
            </w:r>
            <w:r>
              <w:rPr>
                <w:rFonts w:eastAsiaTheme="minorEastAsia"/>
                <w:spacing w:val="10"/>
                <w:szCs w:val="21"/>
              </w:rPr>
              <w:t>）</w:t>
            </w:r>
          </w:p>
        </w:tc>
        <w:tc>
          <w:tcPr>
            <w:tcW w:w="655" w:type="pct"/>
            <w:vAlign w:val="center"/>
          </w:tcPr>
          <w:p>
            <w:pPr>
              <w:jc w:val="center"/>
              <w:rPr>
                <w:rFonts w:eastAsiaTheme="minorEastAsia"/>
                <w:spacing w:val="10"/>
                <w:szCs w:val="21"/>
              </w:rPr>
            </w:pPr>
            <w:r>
              <w:rPr>
                <w:rFonts w:eastAsiaTheme="minorEastAsia"/>
                <w:szCs w:val="21"/>
              </w:rPr>
              <w:t>108.6</w:t>
            </w:r>
          </w:p>
        </w:tc>
        <w:tc>
          <w:tcPr>
            <w:tcW w:w="1600" w:type="pct"/>
            <w:gridSpan w:val="5"/>
            <w:vAlign w:val="center"/>
          </w:tcPr>
          <w:p>
            <w:pPr>
              <w:ind w:left="-40"/>
              <w:jc w:val="center"/>
              <w:rPr>
                <w:rFonts w:eastAsiaTheme="minorEastAsia"/>
                <w:spacing w:val="10"/>
                <w:szCs w:val="21"/>
              </w:rPr>
            </w:pPr>
            <w:r>
              <w:rPr>
                <w:rFonts w:eastAsiaTheme="minorEastAsia"/>
                <w:spacing w:val="10"/>
                <w:szCs w:val="21"/>
              </w:rPr>
              <w:t>饱和蒸气压（kPa）</w:t>
            </w:r>
          </w:p>
        </w:tc>
        <w:tc>
          <w:tcPr>
            <w:tcW w:w="1636" w:type="pct"/>
            <w:gridSpan w:val="4"/>
            <w:vAlign w:val="center"/>
          </w:tcPr>
          <w:p>
            <w:pPr>
              <w:jc w:val="center"/>
              <w:rPr>
                <w:rFonts w:eastAsiaTheme="minorEastAsia"/>
                <w:spacing w:val="10"/>
                <w:szCs w:val="21"/>
              </w:rPr>
            </w:pPr>
            <w:r>
              <w:rPr>
                <w:rFonts w:eastAsiaTheme="minorEastAsia"/>
                <w:szCs w:val="21"/>
              </w:rPr>
              <w:t>30.66/21</w:t>
            </w: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溶解性</w:t>
            </w:r>
          </w:p>
        </w:tc>
        <w:tc>
          <w:tcPr>
            <w:tcW w:w="3891" w:type="pct"/>
            <w:gridSpan w:val="10"/>
            <w:vAlign w:val="center"/>
          </w:tcPr>
          <w:p>
            <w:pPr>
              <w:rPr>
                <w:rFonts w:eastAsiaTheme="minorEastAsia"/>
                <w:spacing w:val="10"/>
                <w:szCs w:val="21"/>
              </w:rPr>
            </w:pPr>
            <w:r>
              <w:rPr>
                <w:rFonts w:eastAsiaTheme="minorEastAsia"/>
                <w:szCs w:val="21"/>
              </w:rPr>
              <w:t>与水混溶，溶于碱液。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restart"/>
            <w:vAlign w:val="center"/>
          </w:tcPr>
          <w:p>
            <w:pPr>
              <w:jc w:val="center"/>
              <w:rPr>
                <w:rFonts w:eastAsiaTheme="minorEastAsia"/>
                <w:spacing w:val="10"/>
                <w:szCs w:val="21"/>
              </w:rPr>
            </w:pPr>
            <w:r>
              <w:rPr>
                <w:rFonts w:eastAsiaTheme="minorEastAsia"/>
                <w:spacing w:val="10"/>
                <w:szCs w:val="21"/>
              </w:rPr>
              <w:t>毒性及健康危害</w:t>
            </w:r>
          </w:p>
        </w:tc>
        <w:tc>
          <w:tcPr>
            <w:tcW w:w="848" w:type="pct"/>
            <w:vAlign w:val="center"/>
          </w:tcPr>
          <w:p>
            <w:pPr>
              <w:jc w:val="center"/>
              <w:rPr>
                <w:rFonts w:eastAsiaTheme="minorEastAsia"/>
                <w:spacing w:val="10"/>
                <w:szCs w:val="21"/>
              </w:rPr>
            </w:pPr>
            <w:r>
              <w:rPr>
                <w:rFonts w:eastAsiaTheme="minorEastAsia"/>
                <w:spacing w:val="10"/>
                <w:szCs w:val="21"/>
              </w:rPr>
              <w:t>侵入途径</w:t>
            </w:r>
          </w:p>
        </w:tc>
        <w:tc>
          <w:tcPr>
            <w:tcW w:w="3891" w:type="pct"/>
            <w:gridSpan w:val="10"/>
            <w:vAlign w:val="center"/>
          </w:tcPr>
          <w:p>
            <w:pPr>
              <w:rPr>
                <w:rFonts w:eastAsiaTheme="minorEastAsia"/>
                <w:spacing w:val="10"/>
                <w:szCs w:val="21"/>
              </w:rPr>
            </w:pPr>
            <w:r>
              <w:rPr>
                <w:rFonts w:eastAsiaTheme="minorEastAsia"/>
                <w:spacing w:val="10"/>
                <w:szCs w:val="21"/>
              </w:rPr>
              <w:t>吸入、食入、经皮吸收。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毒性</w:t>
            </w:r>
          </w:p>
        </w:tc>
        <w:tc>
          <w:tcPr>
            <w:tcW w:w="3891" w:type="pct"/>
            <w:gridSpan w:val="10"/>
            <w:vAlign w:val="center"/>
          </w:tcPr>
          <w:p>
            <w:pPr>
              <w:rPr>
                <w:rFonts w:eastAsiaTheme="minorEastAsia"/>
                <w:szCs w:val="21"/>
              </w:rPr>
            </w:pPr>
            <w:r>
              <w:rPr>
                <w:rFonts w:eastAsiaTheme="minorEastAsia"/>
                <w:spacing w:val="10"/>
                <w:szCs w:val="21"/>
              </w:rPr>
              <w:t xml:space="preserve"> LD</w:t>
            </w:r>
            <w:r>
              <w:rPr>
                <w:rFonts w:eastAsiaTheme="minorEastAsia"/>
                <w:spacing w:val="10"/>
                <w:szCs w:val="21"/>
                <w:vertAlign w:val="subscript"/>
              </w:rPr>
              <w:t>50</w:t>
            </w:r>
            <w:r>
              <w:rPr>
                <w:rFonts w:eastAsiaTheme="minorEastAsia"/>
                <w:spacing w:val="10"/>
                <w:szCs w:val="21"/>
              </w:rPr>
              <w:t>：</w:t>
            </w:r>
            <w:r>
              <w:rPr>
                <w:rFonts w:eastAsiaTheme="minorEastAsia"/>
                <w:szCs w:val="21"/>
              </w:rPr>
              <w:t>900mg/kg(兔经口)；</w:t>
            </w:r>
          </w:p>
          <w:p>
            <w:pPr>
              <w:rPr>
                <w:rFonts w:eastAsiaTheme="minorEastAsia"/>
                <w:spacing w:val="10"/>
                <w:szCs w:val="21"/>
              </w:rPr>
            </w:pPr>
            <w:r>
              <w:rPr>
                <w:rFonts w:eastAsiaTheme="minorEastAsia"/>
                <w:spacing w:val="10"/>
                <w:szCs w:val="21"/>
              </w:rPr>
              <w:t xml:space="preserve"> LC</w:t>
            </w:r>
            <w:r>
              <w:rPr>
                <w:rFonts w:eastAsiaTheme="minorEastAsia"/>
                <w:spacing w:val="10"/>
                <w:szCs w:val="21"/>
                <w:vertAlign w:val="subscript"/>
              </w:rPr>
              <w:t>50</w:t>
            </w:r>
            <w:r>
              <w:rPr>
                <w:rFonts w:eastAsiaTheme="minorEastAsia"/>
                <w:spacing w:val="10"/>
                <w:szCs w:val="21"/>
              </w:rPr>
              <w:t>：</w:t>
            </w:r>
            <w:r>
              <w:rPr>
                <w:rFonts w:eastAsiaTheme="minorEastAsia"/>
                <w:szCs w:val="21"/>
              </w:rPr>
              <w:t>3124ppm，1小时(大鼠吸入)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健康危害</w:t>
            </w:r>
          </w:p>
        </w:tc>
        <w:tc>
          <w:tcPr>
            <w:tcW w:w="3891" w:type="pct"/>
            <w:gridSpan w:val="10"/>
            <w:vAlign w:val="center"/>
          </w:tcPr>
          <w:p>
            <w:pPr>
              <w:rPr>
                <w:rFonts w:eastAsiaTheme="minorEastAsia"/>
                <w:spacing w:val="10"/>
                <w:szCs w:val="21"/>
              </w:rPr>
            </w:pPr>
            <w:r>
              <w:rPr>
                <w:rFonts w:eastAsiaTheme="minorEastAsia"/>
                <w:szCs w:val="21"/>
              </w:rPr>
              <w:t>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急救方法</w:t>
            </w:r>
          </w:p>
        </w:tc>
        <w:tc>
          <w:tcPr>
            <w:tcW w:w="3891" w:type="pct"/>
            <w:gridSpan w:val="10"/>
            <w:vAlign w:val="center"/>
          </w:tcPr>
          <w:p>
            <w:pPr>
              <w:rPr>
                <w:rFonts w:eastAsiaTheme="minorEastAsia"/>
                <w:spacing w:val="10"/>
                <w:szCs w:val="21"/>
              </w:rPr>
            </w:pPr>
            <w:r>
              <w:rPr>
                <w:rFonts w:eastAsiaTheme="minorEastAsia"/>
                <w:szCs w:val="21"/>
              </w:rPr>
              <w:t>皮肤接触：立即用水冲洗至少15分钟。或用2%碳酸氢钠溶液冲洗。若有灼伤，就医治疗。眼睛接触：立即提起眼睑，用流动清水冲洗10分钟或用2%碳酸氢钠溶液冲洗。吸入：迅速脱离现场至空气新鲜处。呼吸困难时给输氧。给予2-4%碳酸氢钠溶液雾化吸入。就医。食入：误服者立即漱口，给牛奶、蛋清、植物油等口服，不可催吐。立即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restart"/>
            <w:vAlign w:val="center"/>
          </w:tcPr>
          <w:p>
            <w:pPr>
              <w:jc w:val="center"/>
              <w:rPr>
                <w:rFonts w:eastAsiaTheme="minorEastAsia"/>
                <w:spacing w:val="10"/>
                <w:szCs w:val="21"/>
              </w:rPr>
            </w:pPr>
            <w:r>
              <w:rPr>
                <w:rFonts w:eastAsiaTheme="minorEastAsia"/>
                <w:spacing w:val="10"/>
                <w:szCs w:val="21"/>
              </w:rPr>
              <w:t>燃烧爆炸危险性</w:t>
            </w:r>
          </w:p>
        </w:tc>
        <w:tc>
          <w:tcPr>
            <w:tcW w:w="848" w:type="pct"/>
            <w:vAlign w:val="center"/>
          </w:tcPr>
          <w:p>
            <w:pPr>
              <w:jc w:val="center"/>
              <w:rPr>
                <w:rFonts w:eastAsiaTheme="minorEastAsia"/>
                <w:spacing w:val="10"/>
                <w:szCs w:val="21"/>
              </w:rPr>
            </w:pPr>
            <w:r>
              <w:rPr>
                <w:rFonts w:eastAsiaTheme="minorEastAsia"/>
                <w:spacing w:val="10"/>
                <w:szCs w:val="21"/>
              </w:rPr>
              <w:t>燃烧性</w:t>
            </w:r>
          </w:p>
        </w:tc>
        <w:tc>
          <w:tcPr>
            <w:tcW w:w="882" w:type="pct"/>
            <w:gridSpan w:val="3"/>
            <w:vAlign w:val="center"/>
          </w:tcPr>
          <w:p>
            <w:pPr>
              <w:jc w:val="center"/>
              <w:rPr>
                <w:rFonts w:eastAsiaTheme="minorEastAsia"/>
                <w:spacing w:val="10"/>
                <w:szCs w:val="21"/>
              </w:rPr>
            </w:pPr>
            <w:r>
              <w:rPr>
                <w:rFonts w:eastAsiaTheme="minorEastAsia"/>
                <w:spacing w:val="10"/>
                <w:szCs w:val="21"/>
              </w:rPr>
              <w:t>不燃</w:t>
            </w:r>
          </w:p>
        </w:tc>
        <w:tc>
          <w:tcPr>
            <w:tcW w:w="1471" w:type="pct"/>
            <w:gridSpan w:val="4"/>
            <w:vAlign w:val="center"/>
          </w:tcPr>
          <w:p>
            <w:pPr>
              <w:jc w:val="center"/>
              <w:rPr>
                <w:rFonts w:eastAsiaTheme="minorEastAsia"/>
                <w:spacing w:val="10"/>
                <w:szCs w:val="21"/>
              </w:rPr>
            </w:pPr>
            <w:r>
              <w:rPr>
                <w:rFonts w:eastAsiaTheme="minorEastAsia"/>
                <w:spacing w:val="10"/>
                <w:szCs w:val="21"/>
              </w:rPr>
              <w:t>燃烧分解物</w:t>
            </w:r>
          </w:p>
        </w:tc>
        <w:tc>
          <w:tcPr>
            <w:tcW w:w="1538" w:type="pct"/>
            <w:gridSpan w:val="3"/>
            <w:vAlign w:val="center"/>
          </w:tcPr>
          <w:p>
            <w:pPr>
              <w:jc w:val="center"/>
              <w:rPr>
                <w:rFonts w:eastAsiaTheme="minorEastAsia"/>
                <w:spacing w:val="10"/>
                <w:szCs w:val="21"/>
              </w:rPr>
            </w:pPr>
            <w:r>
              <w:rPr>
                <w:rFonts w:eastAsiaTheme="minorEastAsia"/>
                <w:szCs w:val="21"/>
              </w:rPr>
              <w:t>氯化氢。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闪点(</w:t>
            </w:r>
            <w:r>
              <w:rPr>
                <w:spacing w:val="10"/>
                <w:szCs w:val="21"/>
              </w:rPr>
              <w:t>℃</w:t>
            </w:r>
            <w:r>
              <w:rPr>
                <w:rFonts w:eastAsiaTheme="minorEastAsia"/>
                <w:spacing w:val="10"/>
                <w:szCs w:val="21"/>
              </w:rPr>
              <w:t>)</w:t>
            </w:r>
          </w:p>
        </w:tc>
        <w:tc>
          <w:tcPr>
            <w:tcW w:w="882" w:type="pct"/>
            <w:gridSpan w:val="3"/>
            <w:vAlign w:val="center"/>
          </w:tcPr>
          <w:p>
            <w:pPr>
              <w:jc w:val="center"/>
              <w:rPr>
                <w:rFonts w:eastAsiaTheme="minorEastAsia"/>
                <w:spacing w:val="10"/>
                <w:szCs w:val="21"/>
              </w:rPr>
            </w:pPr>
            <w:r>
              <w:rPr>
                <w:rFonts w:eastAsiaTheme="minorEastAsia"/>
                <w:spacing w:val="10"/>
                <w:szCs w:val="21"/>
              </w:rPr>
              <w:t>/</w:t>
            </w:r>
          </w:p>
        </w:tc>
        <w:tc>
          <w:tcPr>
            <w:tcW w:w="1471" w:type="pct"/>
            <w:gridSpan w:val="4"/>
            <w:vAlign w:val="center"/>
          </w:tcPr>
          <w:p>
            <w:pPr>
              <w:jc w:val="center"/>
              <w:rPr>
                <w:rFonts w:eastAsiaTheme="minorEastAsia"/>
                <w:spacing w:val="10"/>
                <w:szCs w:val="21"/>
              </w:rPr>
            </w:pPr>
            <w:r>
              <w:rPr>
                <w:rFonts w:eastAsiaTheme="minorEastAsia"/>
                <w:spacing w:val="10"/>
                <w:szCs w:val="21"/>
              </w:rPr>
              <w:t>爆炸上限（v%）</w:t>
            </w:r>
          </w:p>
        </w:tc>
        <w:tc>
          <w:tcPr>
            <w:tcW w:w="1538" w:type="pct"/>
            <w:gridSpan w:val="3"/>
            <w:vAlign w:val="center"/>
          </w:tcPr>
          <w:p>
            <w:pPr>
              <w:jc w:val="center"/>
              <w:rPr>
                <w:rFonts w:eastAsiaTheme="minorEastAsia"/>
                <w:spacing w:val="10"/>
                <w:szCs w:val="21"/>
              </w:rPr>
            </w:pPr>
            <w:r>
              <w:rPr>
                <w:rFonts w:eastAsiaTheme="minorEastAsia"/>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引燃温度(</w:t>
            </w:r>
            <w:r>
              <w:rPr>
                <w:spacing w:val="10"/>
                <w:szCs w:val="21"/>
              </w:rPr>
              <w:t>℃</w:t>
            </w:r>
            <w:r>
              <w:rPr>
                <w:rFonts w:eastAsiaTheme="minorEastAsia"/>
                <w:spacing w:val="10"/>
                <w:szCs w:val="21"/>
              </w:rPr>
              <w:t>)</w:t>
            </w:r>
          </w:p>
        </w:tc>
        <w:tc>
          <w:tcPr>
            <w:tcW w:w="882" w:type="pct"/>
            <w:gridSpan w:val="3"/>
            <w:vAlign w:val="center"/>
          </w:tcPr>
          <w:p>
            <w:pPr>
              <w:jc w:val="center"/>
              <w:rPr>
                <w:rFonts w:eastAsiaTheme="minorEastAsia"/>
                <w:spacing w:val="10"/>
                <w:szCs w:val="21"/>
              </w:rPr>
            </w:pPr>
            <w:r>
              <w:rPr>
                <w:rFonts w:eastAsiaTheme="minorEastAsia"/>
                <w:spacing w:val="10"/>
                <w:szCs w:val="21"/>
              </w:rPr>
              <w:t>/</w:t>
            </w:r>
          </w:p>
        </w:tc>
        <w:tc>
          <w:tcPr>
            <w:tcW w:w="1471" w:type="pct"/>
            <w:gridSpan w:val="4"/>
            <w:vAlign w:val="center"/>
          </w:tcPr>
          <w:p>
            <w:pPr>
              <w:jc w:val="center"/>
              <w:rPr>
                <w:rFonts w:eastAsiaTheme="minorEastAsia"/>
                <w:spacing w:val="10"/>
                <w:szCs w:val="21"/>
              </w:rPr>
            </w:pPr>
            <w:r>
              <w:rPr>
                <w:rFonts w:eastAsiaTheme="minorEastAsia"/>
                <w:spacing w:val="10"/>
                <w:szCs w:val="21"/>
              </w:rPr>
              <w:t>爆炸下限（v%）</w:t>
            </w:r>
          </w:p>
        </w:tc>
        <w:tc>
          <w:tcPr>
            <w:tcW w:w="1538" w:type="pct"/>
            <w:gridSpan w:val="3"/>
            <w:vAlign w:val="center"/>
          </w:tcPr>
          <w:p>
            <w:pPr>
              <w:jc w:val="center"/>
              <w:rPr>
                <w:rFonts w:eastAsiaTheme="minorEastAsia"/>
                <w:spacing w:val="10"/>
                <w:szCs w:val="21"/>
              </w:rPr>
            </w:pPr>
            <w:r>
              <w:rPr>
                <w:rFonts w:eastAsiaTheme="minorEastAsia"/>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zCs w:val="21"/>
              </w:rPr>
            </w:pPr>
            <w:r>
              <w:rPr>
                <w:rFonts w:eastAsiaTheme="minorEastAsia"/>
                <w:spacing w:val="10"/>
                <w:szCs w:val="21"/>
              </w:rPr>
              <w:t>危险特性</w:t>
            </w:r>
          </w:p>
        </w:tc>
        <w:tc>
          <w:tcPr>
            <w:tcW w:w="3891" w:type="pct"/>
            <w:gridSpan w:val="10"/>
            <w:vAlign w:val="center"/>
          </w:tcPr>
          <w:p>
            <w:pPr>
              <w:rPr>
                <w:rFonts w:eastAsiaTheme="minorEastAsia"/>
                <w:szCs w:val="21"/>
              </w:rPr>
            </w:pPr>
            <w:r>
              <w:rPr>
                <w:rFonts w:eastAsiaTheme="minorEastAsia"/>
                <w:szCs w:val="21"/>
              </w:rPr>
              <w:t>能与一些活性金属粉末发生反应，放出氢气。遇氰化物能产生剧毒的氰化氢气体。与碱发生中合反应，并放出大量的热。具有强腐蚀性。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zCs w:val="21"/>
              </w:rPr>
            </w:pPr>
            <w:r>
              <w:rPr>
                <w:rFonts w:eastAsiaTheme="minorEastAsia"/>
                <w:szCs w:val="21"/>
              </w:rPr>
              <w:t>建规火险分级</w:t>
            </w:r>
          </w:p>
        </w:tc>
        <w:tc>
          <w:tcPr>
            <w:tcW w:w="882" w:type="pct"/>
            <w:gridSpan w:val="3"/>
            <w:vAlign w:val="center"/>
          </w:tcPr>
          <w:p>
            <w:pPr>
              <w:jc w:val="center"/>
              <w:rPr>
                <w:rFonts w:eastAsiaTheme="minorEastAsia"/>
                <w:spacing w:val="10"/>
                <w:szCs w:val="21"/>
              </w:rPr>
            </w:pPr>
            <w:r>
              <w:rPr>
                <w:rFonts w:eastAsiaTheme="minorEastAsia"/>
                <w:spacing w:val="10"/>
                <w:szCs w:val="21"/>
              </w:rPr>
              <w:t>戊</w:t>
            </w:r>
          </w:p>
        </w:tc>
        <w:tc>
          <w:tcPr>
            <w:tcW w:w="771" w:type="pct"/>
            <w:vAlign w:val="center"/>
          </w:tcPr>
          <w:p>
            <w:pPr>
              <w:jc w:val="center"/>
              <w:rPr>
                <w:rFonts w:eastAsiaTheme="minorEastAsia"/>
                <w:spacing w:val="10"/>
                <w:szCs w:val="21"/>
              </w:rPr>
            </w:pPr>
            <w:r>
              <w:rPr>
                <w:rFonts w:eastAsiaTheme="minorEastAsia"/>
                <w:spacing w:val="10"/>
                <w:szCs w:val="21"/>
              </w:rPr>
              <w:t>稳定性</w:t>
            </w:r>
          </w:p>
        </w:tc>
        <w:tc>
          <w:tcPr>
            <w:tcW w:w="700" w:type="pct"/>
            <w:gridSpan w:val="3"/>
            <w:vAlign w:val="center"/>
          </w:tcPr>
          <w:p>
            <w:pPr>
              <w:jc w:val="center"/>
              <w:rPr>
                <w:rFonts w:eastAsiaTheme="minorEastAsia"/>
                <w:spacing w:val="10"/>
                <w:szCs w:val="21"/>
              </w:rPr>
            </w:pPr>
            <w:r>
              <w:rPr>
                <w:rFonts w:eastAsiaTheme="minorEastAsia"/>
                <w:spacing w:val="10"/>
                <w:szCs w:val="21"/>
              </w:rPr>
              <w:t>稳定</w:t>
            </w:r>
          </w:p>
        </w:tc>
        <w:tc>
          <w:tcPr>
            <w:tcW w:w="793" w:type="pct"/>
            <w:vAlign w:val="center"/>
          </w:tcPr>
          <w:p>
            <w:pPr>
              <w:jc w:val="center"/>
              <w:rPr>
                <w:rFonts w:eastAsiaTheme="minorEastAsia"/>
                <w:spacing w:val="10"/>
                <w:szCs w:val="21"/>
              </w:rPr>
            </w:pPr>
            <w:r>
              <w:rPr>
                <w:rFonts w:eastAsiaTheme="minorEastAsia"/>
                <w:spacing w:val="10"/>
                <w:szCs w:val="21"/>
              </w:rPr>
              <w:t>聚合危害</w:t>
            </w:r>
          </w:p>
        </w:tc>
        <w:tc>
          <w:tcPr>
            <w:tcW w:w="746" w:type="pct"/>
            <w:gridSpan w:val="2"/>
            <w:vAlign w:val="center"/>
          </w:tcPr>
          <w:p>
            <w:pPr>
              <w:jc w:val="center"/>
              <w:rPr>
                <w:rFonts w:eastAsiaTheme="minorEastAsia"/>
                <w:spacing w:val="10"/>
                <w:szCs w:val="21"/>
              </w:rPr>
            </w:pPr>
            <w:r>
              <w:rPr>
                <w:rFonts w:eastAsiaTheme="minorEastAsia"/>
                <w:spacing w:val="10"/>
                <w:szCs w:val="21"/>
              </w:rPr>
              <w:t>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禁忌物</w:t>
            </w:r>
          </w:p>
        </w:tc>
        <w:tc>
          <w:tcPr>
            <w:tcW w:w="3891" w:type="pct"/>
            <w:gridSpan w:val="10"/>
            <w:vAlign w:val="center"/>
          </w:tcPr>
          <w:p>
            <w:pPr>
              <w:rPr>
                <w:rFonts w:eastAsiaTheme="minorEastAsia"/>
                <w:b/>
                <w:spacing w:val="10"/>
                <w:szCs w:val="21"/>
              </w:rPr>
            </w:pPr>
            <w:r>
              <w:rPr>
                <w:rFonts w:eastAsiaTheme="minorEastAsia"/>
                <w:szCs w:val="21"/>
              </w:rPr>
              <w:t>碱类、胺类、碱金属、易燃或可燃物。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储运条件</w:t>
            </w:r>
          </w:p>
          <w:p>
            <w:pPr>
              <w:jc w:val="center"/>
              <w:rPr>
                <w:rFonts w:eastAsiaTheme="minorEastAsia"/>
                <w:spacing w:val="10"/>
                <w:szCs w:val="21"/>
              </w:rPr>
            </w:pPr>
            <w:r>
              <w:rPr>
                <w:rFonts w:eastAsiaTheme="minorEastAsia"/>
                <w:spacing w:val="10"/>
                <w:szCs w:val="21"/>
              </w:rPr>
              <w:t>与泄漏处理</w:t>
            </w:r>
          </w:p>
        </w:tc>
        <w:tc>
          <w:tcPr>
            <w:tcW w:w="3891" w:type="pct"/>
            <w:gridSpan w:val="10"/>
            <w:vAlign w:val="center"/>
          </w:tcPr>
          <w:p>
            <w:pPr>
              <w:rPr>
                <w:rFonts w:eastAsiaTheme="minorEastAsia"/>
                <w:spacing w:val="10"/>
                <w:szCs w:val="21"/>
              </w:rPr>
            </w:pPr>
            <w:r>
              <w:rPr>
                <w:rFonts w:eastAsiaTheme="minorEastAsia"/>
                <w:b/>
                <w:spacing w:val="10"/>
                <w:szCs w:val="21"/>
              </w:rPr>
              <w:t>储运条件</w:t>
            </w:r>
            <w:r>
              <w:rPr>
                <w:rFonts w:eastAsiaTheme="minorEastAsia"/>
                <w:spacing w:val="10"/>
                <w:szCs w:val="21"/>
              </w:rPr>
              <w:t>：</w:t>
            </w:r>
            <w:r>
              <w:rPr>
                <w:rFonts w:eastAsiaTheme="minorEastAsia"/>
                <w:szCs w:val="21"/>
              </w:rPr>
              <w:t>储存于阴凉、干燥、通风处。应与易燃、可燃物，碱类、金属粉末等分开存放。不可混储混运。搬运时要轻装轻卸，防止包装及容器损坏。分装和搬运作业要注意个人防护。运输按规定路线行驶。</w:t>
            </w:r>
            <w:r>
              <w:rPr>
                <w:rFonts w:eastAsiaTheme="minorEastAsia"/>
                <w:b/>
                <w:spacing w:val="10"/>
                <w:szCs w:val="21"/>
              </w:rPr>
              <w:t>泄漏处理</w:t>
            </w:r>
            <w:r>
              <w:rPr>
                <w:rFonts w:eastAsiaTheme="minorEastAsia"/>
                <w:spacing w:val="10"/>
                <w:szCs w:val="21"/>
              </w:rPr>
              <w:t>：</w:t>
            </w:r>
            <w:r>
              <w:rPr>
                <w:rFonts w:eastAsiaTheme="minorEastAsia"/>
                <w:szCs w:val="21"/>
              </w:rPr>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61" w:type="pct"/>
            <w:vMerge w:val="continue"/>
            <w:vAlign w:val="center"/>
          </w:tcPr>
          <w:p>
            <w:pPr>
              <w:widowControl/>
              <w:jc w:val="left"/>
              <w:rPr>
                <w:rFonts w:eastAsiaTheme="minorEastAsia"/>
                <w:spacing w:val="10"/>
                <w:szCs w:val="21"/>
              </w:rPr>
            </w:pPr>
          </w:p>
        </w:tc>
        <w:tc>
          <w:tcPr>
            <w:tcW w:w="848" w:type="pct"/>
            <w:vAlign w:val="center"/>
          </w:tcPr>
          <w:p>
            <w:pPr>
              <w:jc w:val="center"/>
              <w:rPr>
                <w:rFonts w:eastAsiaTheme="minorEastAsia"/>
                <w:spacing w:val="10"/>
                <w:szCs w:val="21"/>
              </w:rPr>
            </w:pPr>
            <w:r>
              <w:rPr>
                <w:rFonts w:eastAsiaTheme="minorEastAsia"/>
                <w:spacing w:val="10"/>
                <w:szCs w:val="21"/>
              </w:rPr>
              <w:t>灭火方法</w:t>
            </w:r>
          </w:p>
        </w:tc>
        <w:tc>
          <w:tcPr>
            <w:tcW w:w="3891" w:type="pct"/>
            <w:gridSpan w:val="10"/>
            <w:vAlign w:val="center"/>
          </w:tcPr>
          <w:p>
            <w:pPr>
              <w:ind w:firstLine="420" w:firstLineChars="200"/>
              <w:rPr>
                <w:rFonts w:eastAsiaTheme="minorEastAsia"/>
                <w:szCs w:val="21"/>
              </w:rPr>
            </w:pPr>
            <w:r>
              <w:rPr>
                <w:rFonts w:eastAsiaTheme="minorEastAsia"/>
                <w:szCs w:val="21"/>
              </w:rPr>
              <w:t>用碱性物质如碳酸氢钠、碳酸钠、消石灰等中和。也可用大量水扑救。</w:t>
            </w:r>
          </w:p>
        </w:tc>
      </w:tr>
    </w:tbl>
    <w:p>
      <w:pPr>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二氧化氯</w:t>
      </w:r>
    </w:p>
    <w:p>
      <w:pPr>
        <w:snapToGrid w:val="0"/>
        <w:spacing w:line="360" w:lineRule="auto"/>
        <w:jc w:val="center"/>
        <w:rPr>
          <w:rFonts w:eastAsiaTheme="minorEastAsia"/>
          <w:b/>
          <w:bCs/>
          <w:sz w:val="24"/>
        </w:rPr>
      </w:pPr>
      <w:r>
        <w:rPr>
          <w:rFonts w:eastAsiaTheme="minorEastAsia"/>
          <w:b/>
          <w:bCs/>
          <w:sz w:val="24"/>
        </w:rPr>
        <w:t>表7.1-6  二氧化氯理化性质表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6"/>
        <w:gridCol w:w="1624"/>
        <w:gridCol w:w="1334"/>
        <w:gridCol w:w="536"/>
        <w:gridCol w:w="974"/>
        <w:gridCol w:w="302"/>
        <w:gridCol w:w="851"/>
        <w:gridCol w:w="47"/>
        <w:gridCol w:w="1383"/>
        <w:gridCol w:w="693"/>
        <w:gridCol w:w="5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restart"/>
            <w:vAlign w:val="center"/>
          </w:tcPr>
          <w:p>
            <w:pPr>
              <w:jc w:val="center"/>
              <w:rPr>
                <w:rFonts w:eastAsiaTheme="minorEastAsia"/>
                <w:spacing w:val="10"/>
                <w:szCs w:val="21"/>
              </w:rPr>
            </w:pPr>
            <w:r>
              <w:rPr>
                <w:rFonts w:eastAsiaTheme="minorEastAsia"/>
                <w:spacing w:val="10"/>
                <w:szCs w:val="21"/>
              </w:rPr>
              <w:t>标识</w:t>
            </w:r>
          </w:p>
        </w:tc>
        <w:tc>
          <w:tcPr>
            <w:tcW w:w="3198" w:type="pct"/>
            <w:gridSpan w:val="6"/>
            <w:vAlign w:val="center"/>
          </w:tcPr>
          <w:p>
            <w:pPr>
              <w:rPr>
                <w:rFonts w:eastAsiaTheme="minorEastAsia"/>
                <w:spacing w:val="10"/>
                <w:szCs w:val="21"/>
              </w:rPr>
            </w:pPr>
            <w:r>
              <w:rPr>
                <w:rFonts w:eastAsiaTheme="minorEastAsia"/>
                <w:spacing w:val="10"/>
                <w:szCs w:val="21"/>
              </w:rPr>
              <w:t>中文名：</w:t>
            </w:r>
            <w:r>
              <w:rPr>
                <w:rFonts w:eastAsiaTheme="minorEastAsia"/>
                <w:szCs w:val="21"/>
              </w:rPr>
              <w:t>二氧化氯</w:t>
            </w:r>
          </w:p>
        </w:tc>
        <w:tc>
          <w:tcPr>
            <w:tcW w:w="1547" w:type="pct"/>
            <w:gridSpan w:val="4"/>
            <w:vAlign w:val="center"/>
          </w:tcPr>
          <w:p>
            <w:pPr>
              <w:rPr>
                <w:rFonts w:eastAsiaTheme="minorEastAsia"/>
                <w:spacing w:val="10"/>
                <w:szCs w:val="21"/>
              </w:rPr>
            </w:pPr>
            <w:r>
              <w:rPr>
                <w:rFonts w:eastAsiaTheme="minorEastAsia"/>
                <w:spacing w:val="10"/>
                <w:szCs w:val="21"/>
              </w:rPr>
              <w:t>危险货物编号：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3198" w:type="pct"/>
            <w:gridSpan w:val="6"/>
            <w:vAlign w:val="center"/>
          </w:tcPr>
          <w:p>
            <w:pPr>
              <w:rPr>
                <w:rFonts w:eastAsiaTheme="minorEastAsia"/>
                <w:spacing w:val="10"/>
                <w:szCs w:val="21"/>
              </w:rPr>
            </w:pPr>
            <w:r>
              <w:rPr>
                <w:rFonts w:eastAsiaTheme="minorEastAsia"/>
                <w:spacing w:val="10"/>
                <w:szCs w:val="21"/>
              </w:rPr>
              <w:t>英文名：</w:t>
            </w:r>
            <w:r>
              <w:rPr>
                <w:rFonts w:eastAsiaTheme="minorEastAsia"/>
                <w:szCs w:val="21"/>
              </w:rPr>
              <w:t>Cholrine dioxode；Chlorine oxide</w:t>
            </w:r>
          </w:p>
        </w:tc>
        <w:tc>
          <w:tcPr>
            <w:tcW w:w="1547" w:type="pct"/>
            <w:gridSpan w:val="4"/>
            <w:vAlign w:val="center"/>
          </w:tcPr>
          <w:p>
            <w:pPr>
              <w:rPr>
                <w:rFonts w:eastAsiaTheme="minorEastAsia"/>
                <w:spacing w:val="10"/>
                <w:szCs w:val="21"/>
              </w:rPr>
            </w:pPr>
            <w:r>
              <w:rPr>
                <w:rFonts w:eastAsiaTheme="minorEastAsia"/>
                <w:spacing w:val="10"/>
                <w:szCs w:val="21"/>
              </w:rPr>
              <w:t>UN编号：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1683" w:type="pct"/>
            <w:gridSpan w:val="2"/>
            <w:vAlign w:val="center"/>
          </w:tcPr>
          <w:p>
            <w:pPr>
              <w:ind w:left="920" w:hanging="920" w:hangingChars="400"/>
              <w:rPr>
                <w:rFonts w:eastAsiaTheme="minorEastAsia"/>
                <w:spacing w:val="10"/>
                <w:szCs w:val="21"/>
              </w:rPr>
            </w:pPr>
            <w:r>
              <w:rPr>
                <w:rFonts w:eastAsiaTheme="minorEastAsia"/>
                <w:spacing w:val="10"/>
                <w:szCs w:val="21"/>
              </w:rPr>
              <w:t>分子式：</w:t>
            </w:r>
            <w:r>
              <w:rPr>
                <w:rFonts w:eastAsiaTheme="minorEastAsia"/>
                <w:szCs w:val="21"/>
              </w:rPr>
              <w:t>ClO</w:t>
            </w:r>
            <w:r>
              <w:rPr>
                <w:rFonts w:eastAsiaTheme="minorEastAsia"/>
                <w:szCs w:val="21"/>
                <w:vertAlign w:val="subscript"/>
              </w:rPr>
              <w:t>2</w:t>
            </w:r>
          </w:p>
        </w:tc>
        <w:tc>
          <w:tcPr>
            <w:tcW w:w="1515" w:type="pct"/>
            <w:gridSpan w:val="4"/>
            <w:vAlign w:val="center"/>
          </w:tcPr>
          <w:p>
            <w:pPr>
              <w:rPr>
                <w:rFonts w:eastAsiaTheme="minorEastAsia"/>
                <w:spacing w:val="10"/>
                <w:szCs w:val="21"/>
              </w:rPr>
            </w:pPr>
            <w:r>
              <w:rPr>
                <w:rFonts w:eastAsiaTheme="minorEastAsia"/>
                <w:spacing w:val="10"/>
                <w:szCs w:val="21"/>
              </w:rPr>
              <w:t>分子量：</w:t>
            </w:r>
            <w:r>
              <w:rPr>
                <w:rFonts w:eastAsiaTheme="minorEastAsia"/>
                <w:szCs w:val="21"/>
              </w:rPr>
              <w:t>67.45</w:t>
            </w:r>
          </w:p>
        </w:tc>
        <w:tc>
          <w:tcPr>
            <w:tcW w:w="1547" w:type="pct"/>
            <w:gridSpan w:val="4"/>
            <w:vAlign w:val="center"/>
          </w:tcPr>
          <w:p>
            <w:pPr>
              <w:rPr>
                <w:rFonts w:eastAsiaTheme="minorEastAsia"/>
                <w:spacing w:val="10"/>
                <w:szCs w:val="21"/>
              </w:rPr>
            </w:pPr>
            <w:r>
              <w:rPr>
                <w:rFonts w:eastAsiaTheme="minorEastAsia"/>
                <w:spacing w:val="10"/>
                <w:szCs w:val="21"/>
              </w:rPr>
              <w:t>CAS号：</w:t>
            </w:r>
            <w:r>
              <w:rPr>
                <w:rFonts w:eastAsiaTheme="minorEastAsia"/>
                <w:szCs w:val="21"/>
              </w:rPr>
              <w:t>10049-04-4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restart"/>
            <w:vAlign w:val="center"/>
          </w:tcPr>
          <w:p>
            <w:pPr>
              <w:jc w:val="center"/>
              <w:rPr>
                <w:rFonts w:eastAsiaTheme="minorEastAsia"/>
                <w:spacing w:val="10"/>
                <w:szCs w:val="21"/>
              </w:rPr>
            </w:pPr>
            <w:r>
              <w:rPr>
                <w:rFonts w:eastAsiaTheme="minorEastAsia"/>
                <w:spacing w:val="10"/>
                <w:szCs w:val="21"/>
              </w:rPr>
              <w:t>理化性质</w:t>
            </w:r>
          </w:p>
        </w:tc>
        <w:tc>
          <w:tcPr>
            <w:tcW w:w="924" w:type="pct"/>
            <w:vAlign w:val="center"/>
          </w:tcPr>
          <w:p>
            <w:pPr>
              <w:jc w:val="center"/>
              <w:rPr>
                <w:rFonts w:eastAsiaTheme="minorEastAsia"/>
                <w:spacing w:val="10"/>
                <w:szCs w:val="21"/>
              </w:rPr>
            </w:pPr>
            <w:r>
              <w:rPr>
                <w:rFonts w:eastAsiaTheme="minorEastAsia"/>
                <w:spacing w:val="10"/>
                <w:szCs w:val="21"/>
              </w:rPr>
              <w:t>外观与性状</w:t>
            </w:r>
          </w:p>
        </w:tc>
        <w:tc>
          <w:tcPr>
            <w:tcW w:w="3822" w:type="pct"/>
            <w:gridSpan w:val="9"/>
            <w:vAlign w:val="center"/>
          </w:tcPr>
          <w:p>
            <w:pPr>
              <w:rPr>
                <w:rFonts w:eastAsiaTheme="minorEastAsia"/>
                <w:spacing w:val="10"/>
                <w:szCs w:val="21"/>
              </w:rPr>
            </w:pPr>
            <w:r>
              <w:rPr>
                <w:rFonts w:eastAsiaTheme="minorEastAsia"/>
                <w:szCs w:val="21"/>
              </w:rPr>
              <w:t>黄红色气体，有刺激性气味，能沿地面扩散，一般稀释为10%以下的溶液使用、贮存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熔点（℃）</w:t>
            </w:r>
          </w:p>
        </w:tc>
        <w:tc>
          <w:tcPr>
            <w:tcW w:w="1064" w:type="pct"/>
            <w:gridSpan w:val="2"/>
            <w:vAlign w:val="center"/>
          </w:tcPr>
          <w:p>
            <w:pPr>
              <w:jc w:val="center"/>
              <w:rPr>
                <w:rFonts w:eastAsiaTheme="minorEastAsia"/>
                <w:spacing w:val="10"/>
                <w:szCs w:val="21"/>
              </w:rPr>
            </w:pPr>
            <w:r>
              <w:rPr>
                <w:rFonts w:eastAsiaTheme="minorEastAsia"/>
                <w:szCs w:val="21"/>
              </w:rPr>
              <w:t>-59</w:t>
            </w:r>
          </w:p>
        </w:tc>
        <w:tc>
          <w:tcPr>
            <w:tcW w:w="726" w:type="pct"/>
            <w:gridSpan w:val="2"/>
            <w:vAlign w:val="center"/>
          </w:tcPr>
          <w:p>
            <w:pPr>
              <w:jc w:val="center"/>
              <w:rPr>
                <w:rFonts w:eastAsiaTheme="minorEastAsia"/>
                <w:spacing w:val="10"/>
                <w:szCs w:val="21"/>
              </w:rPr>
            </w:pPr>
            <w:r>
              <w:rPr>
                <w:rFonts w:eastAsiaTheme="minorEastAsia"/>
                <w:spacing w:val="10"/>
                <w:szCs w:val="21"/>
              </w:rPr>
              <w:t>相对密度(水=1)</w:t>
            </w:r>
          </w:p>
        </w:tc>
        <w:tc>
          <w:tcPr>
            <w:tcW w:w="484" w:type="pct"/>
            <w:vAlign w:val="center"/>
          </w:tcPr>
          <w:p>
            <w:pPr>
              <w:jc w:val="center"/>
              <w:rPr>
                <w:rFonts w:eastAsiaTheme="minorEastAsia"/>
                <w:szCs w:val="21"/>
              </w:rPr>
            </w:pPr>
            <w:r>
              <w:rPr>
                <w:rFonts w:eastAsiaTheme="minorEastAsia"/>
                <w:szCs w:val="21"/>
              </w:rPr>
              <w:t>3.09</w:t>
            </w:r>
          </w:p>
          <w:p>
            <w:pPr>
              <w:jc w:val="center"/>
              <w:rPr>
                <w:rFonts w:eastAsiaTheme="minorEastAsia"/>
                <w:spacing w:val="10"/>
                <w:szCs w:val="21"/>
              </w:rPr>
            </w:pPr>
            <w:r>
              <w:rPr>
                <w:rFonts w:eastAsiaTheme="minorEastAsia"/>
                <w:szCs w:val="21"/>
              </w:rPr>
              <w:t>(11℃)</w:t>
            </w:r>
          </w:p>
        </w:tc>
        <w:tc>
          <w:tcPr>
            <w:tcW w:w="1208" w:type="pct"/>
            <w:gridSpan w:val="3"/>
            <w:vAlign w:val="center"/>
          </w:tcPr>
          <w:p>
            <w:pPr>
              <w:jc w:val="center"/>
              <w:rPr>
                <w:rFonts w:eastAsiaTheme="minorEastAsia"/>
                <w:spacing w:val="10"/>
                <w:szCs w:val="21"/>
              </w:rPr>
            </w:pPr>
            <w:r>
              <w:rPr>
                <w:rFonts w:eastAsiaTheme="minorEastAsia"/>
                <w:spacing w:val="10"/>
                <w:szCs w:val="21"/>
              </w:rPr>
              <w:t>相对密度(空气=1)</w:t>
            </w:r>
          </w:p>
        </w:tc>
        <w:tc>
          <w:tcPr>
            <w:tcW w:w="339" w:type="pct"/>
            <w:vAlign w:val="center"/>
          </w:tcPr>
          <w:p>
            <w:pPr>
              <w:jc w:val="center"/>
              <w:rPr>
                <w:rFonts w:eastAsiaTheme="minorEastAsia"/>
                <w:spacing w:val="10"/>
                <w:szCs w:val="21"/>
              </w:rPr>
            </w:pPr>
            <w:r>
              <w:rPr>
                <w:rFonts w:eastAsiaTheme="minorEastAsia"/>
                <w:spacing w:val="10"/>
                <w:szCs w:val="21"/>
              </w:rPr>
              <w:t>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沸点（℃）</w:t>
            </w:r>
          </w:p>
        </w:tc>
        <w:tc>
          <w:tcPr>
            <w:tcW w:w="1064" w:type="pct"/>
            <w:gridSpan w:val="2"/>
            <w:vAlign w:val="center"/>
          </w:tcPr>
          <w:p>
            <w:pPr>
              <w:jc w:val="center"/>
              <w:rPr>
                <w:rFonts w:eastAsiaTheme="minorEastAsia"/>
                <w:spacing w:val="10"/>
                <w:szCs w:val="21"/>
              </w:rPr>
            </w:pPr>
            <w:r>
              <w:rPr>
                <w:rFonts w:eastAsiaTheme="minorEastAsia"/>
                <w:szCs w:val="21"/>
              </w:rPr>
              <w:t>9.9/97.2kPa(爆炸)</w:t>
            </w:r>
          </w:p>
        </w:tc>
        <w:tc>
          <w:tcPr>
            <w:tcW w:w="1210" w:type="pct"/>
            <w:gridSpan w:val="3"/>
            <w:vAlign w:val="center"/>
          </w:tcPr>
          <w:p>
            <w:pPr>
              <w:ind w:left="-40"/>
              <w:jc w:val="center"/>
              <w:rPr>
                <w:rFonts w:eastAsiaTheme="minorEastAsia"/>
                <w:spacing w:val="10"/>
                <w:szCs w:val="21"/>
              </w:rPr>
            </w:pPr>
            <w:r>
              <w:rPr>
                <w:rFonts w:eastAsiaTheme="minorEastAsia"/>
                <w:spacing w:val="10"/>
                <w:szCs w:val="21"/>
              </w:rPr>
              <w:t>饱和蒸气压（kPa）</w:t>
            </w:r>
          </w:p>
        </w:tc>
        <w:tc>
          <w:tcPr>
            <w:tcW w:w="1547" w:type="pct"/>
            <w:gridSpan w:val="4"/>
            <w:vAlign w:val="center"/>
          </w:tcPr>
          <w:p>
            <w:pPr>
              <w:jc w:val="center"/>
              <w:rPr>
                <w:rFonts w:eastAsiaTheme="minorEastAsia"/>
                <w:spacing w:val="1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溶解性</w:t>
            </w:r>
          </w:p>
        </w:tc>
        <w:tc>
          <w:tcPr>
            <w:tcW w:w="3822" w:type="pct"/>
            <w:gridSpan w:val="9"/>
            <w:vAlign w:val="center"/>
          </w:tcPr>
          <w:p>
            <w:pPr>
              <w:rPr>
                <w:rFonts w:eastAsiaTheme="minorEastAsia"/>
                <w:spacing w:val="10"/>
                <w:szCs w:val="21"/>
              </w:rPr>
            </w:pPr>
            <w:r>
              <w:rPr>
                <w:rFonts w:eastAsiaTheme="minorEastAsia"/>
                <w:szCs w:val="21"/>
              </w:rPr>
              <w:t>不溶于水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restart"/>
            <w:vAlign w:val="center"/>
          </w:tcPr>
          <w:p>
            <w:pPr>
              <w:jc w:val="center"/>
              <w:rPr>
                <w:rFonts w:eastAsiaTheme="minorEastAsia"/>
                <w:spacing w:val="10"/>
                <w:szCs w:val="21"/>
              </w:rPr>
            </w:pPr>
            <w:r>
              <w:rPr>
                <w:rFonts w:eastAsiaTheme="minorEastAsia"/>
                <w:spacing w:val="10"/>
                <w:szCs w:val="21"/>
              </w:rPr>
              <w:t>毒性及健康危害</w:t>
            </w:r>
          </w:p>
        </w:tc>
        <w:tc>
          <w:tcPr>
            <w:tcW w:w="924" w:type="pct"/>
            <w:vAlign w:val="center"/>
          </w:tcPr>
          <w:p>
            <w:pPr>
              <w:jc w:val="center"/>
              <w:rPr>
                <w:rFonts w:eastAsiaTheme="minorEastAsia"/>
                <w:spacing w:val="10"/>
                <w:szCs w:val="21"/>
              </w:rPr>
            </w:pPr>
            <w:r>
              <w:rPr>
                <w:rFonts w:eastAsiaTheme="minorEastAsia"/>
                <w:spacing w:val="10"/>
                <w:szCs w:val="21"/>
              </w:rPr>
              <w:t>侵入途径</w:t>
            </w:r>
          </w:p>
        </w:tc>
        <w:tc>
          <w:tcPr>
            <w:tcW w:w="3822" w:type="pct"/>
            <w:gridSpan w:val="9"/>
            <w:vAlign w:val="center"/>
          </w:tcPr>
          <w:p>
            <w:pPr>
              <w:rPr>
                <w:rFonts w:eastAsiaTheme="minorEastAsia"/>
                <w:spacing w:val="10"/>
                <w:szCs w:val="21"/>
              </w:rPr>
            </w:pPr>
            <w:r>
              <w:rPr>
                <w:rFonts w:eastAsiaTheme="minorEastAsia"/>
                <w:szCs w:val="21"/>
              </w:rPr>
              <w:t>吸入、食入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健康危害</w:t>
            </w:r>
          </w:p>
        </w:tc>
        <w:tc>
          <w:tcPr>
            <w:tcW w:w="3822" w:type="pct"/>
            <w:gridSpan w:val="9"/>
            <w:vAlign w:val="center"/>
          </w:tcPr>
          <w:p>
            <w:pPr>
              <w:rPr>
                <w:rFonts w:eastAsiaTheme="minorEastAsia"/>
                <w:spacing w:val="10"/>
                <w:szCs w:val="21"/>
              </w:rPr>
            </w:pPr>
            <w:r>
              <w:rPr>
                <w:rFonts w:eastAsiaTheme="minorEastAsia"/>
                <w:szCs w:val="21"/>
              </w:rPr>
              <w:t>本品具有强烈刺激性。接触后主要引起眼和呼吸道刺激。吸入高浓度可发生肺水肿。能致死。对呼吸道产生严重损伤浓度的本品气体，可能对皮肤有刺激性。皮肤接触或摄入本品的高浓度溶液，可能引起强烈刺激和腐蚀。长期接触可导致慢性支气管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急救方法</w:t>
            </w:r>
          </w:p>
        </w:tc>
        <w:tc>
          <w:tcPr>
            <w:tcW w:w="3822" w:type="pct"/>
            <w:gridSpan w:val="9"/>
            <w:vAlign w:val="center"/>
          </w:tcPr>
          <w:p>
            <w:pPr>
              <w:rPr>
                <w:rFonts w:eastAsiaTheme="minorEastAsia"/>
                <w:spacing w:val="10"/>
                <w:szCs w:val="21"/>
              </w:rPr>
            </w:pPr>
            <w:r>
              <w:rPr>
                <w:rFonts w:eastAsiaTheme="minorEastAsia"/>
                <w:szCs w:val="21"/>
              </w:rPr>
              <w:t>皮肤接触：脱去污染的衣着，立即用大量流动清水彻底冲洗至少15分钟。就医。眼睛接触：立即翻开上下眼睑，用流动清水或生理盐水冲洗至少15分钟。就医。吸入：迅速脱离现场至空气新鲜处。保持呼吸道通畅。呼吸困难时给输氧。呼吸停止时，立即进行人工呼吸。就医。食入：误服者漱口，饮牛奶或蛋清。就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restart"/>
            <w:vAlign w:val="center"/>
          </w:tcPr>
          <w:p>
            <w:pPr>
              <w:jc w:val="center"/>
              <w:rPr>
                <w:rFonts w:eastAsiaTheme="minorEastAsia"/>
                <w:spacing w:val="10"/>
                <w:szCs w:val="21"/>
              </w:rPr>
            </w:pPr>
            <w:r>
              <w:rPr>
                <w:rFonts w:eastAsiaTheme="minorEastAsia"/>
                <w:spacing w:val="10"/>
                <w:szCs w:val="21"/>
              </w:rPr>
              <w:t>燃烧爆炸危险性</w:t>
            </w:r>
          </w:p>
        </w:tc>
        <w:tc>
          <w:tcPr>
            <w:tcW w:w="924" w:type="pct"/>
            <w:vAlign w:val="center"/>
          </w:tcPr>
          <w:p>
            <w:pPr>
              <w:jc w:val="center"/>
              <w:rPr>
                <w:rFonts w:eastAsiaTheme="minorEastAsia"/>
                <w:spacing w:val="10"/>
                <w:szCs w:val="21"/>
              </w:rPr>
            </w:pPr>
            <w:r>
              <w:rPr>
                <w:rFonts w:eastAsiaTheme="minorEastAsia"/>
                <w:spacing w:val="10"/>
                <w:szCs w:val="21"/>
              </w:rPr>
              <w:t>燃烧性</w:t>
            </w:r>
          </w:p>
        </w:tc>
        <w:tc>
          <w:tcPr>
            <w:tcW w:w="1064" w:type="pct"/>
            <w:gridSpan w:val="2"/>
            <w:vAlign w:val="center"/>
          </w:tcPr>
          <w:p>
            <w:pPr>
              <w:jc w:val="center"/>
              <w:rPr>
                <w:rFonts w:eastAsiaTheme="minorEastAsia"/>
                <w:spacing w:val="10"/>
                <w:szCs w:val="21"/>
              </w:rPr>
            </w:pPr>
            <w:r>
              <w:rPr>
                <w:rFonts w:eastAsiaTheme="minorEastAsia"/>
                <w:spacing w:val="10"/>
                <w:szCs w:val="21"/>
              </w:rPr>
              <w:t>不燃</w:t>
            </w:r>
          </w:p>
        </w:tc>
        <w:tc>
          <w:tcPr>
            <w:tcW w:w="1237" w:type="pct"/>
            <w:gridSpan w:val="4"/>
            <w:vAlign w:val="center"/>
          </w:tcPr>
          <w:p>
            <w:pPr>
              <w:jc w:val="center"/>
              <w:rPr>
                <w:rFonts w:eastAsiaTheme="minorEastAsia"/>
                <w:spacing w:val="10"/>
                <w:szCs w:val="21"/>
              </w:rPr>
            </w:pPr>
            <w:r>
              <w:rPr>
                <w:rFonts w:eastAsiaTheme="minorEastAsia"/>
                <w:spacing w:val="10"/>
                <w:szCs w:val="21"/>
              </w:rPr>
              <w:t>燃烧分解物</w:t>
            </w:r>
          </w:p>
        </w:tc>
        <w:tc>
          <w:tcPr>
            <w:tcW w:w="1521" w:type="pct"/>
            <w:gridSpan w:val="3"/>
            <w:vAlign w:val="center"/>
          </w:tcPr>
          <w:p>
            <w:pPr>
              <w:jc w:val="center"/>
              <w:rPr>
                <w:rFonts w:eastAsiaTheme="minorEastAsia"/>
                <w:spacing w:val="10"/>
                <w:szCs w:val="21"/>
              </w:rPr>
            </w:pPr>
            <w:r>
              <w:rPr>
                <w:rFonts w:eastAsiaTheme="minorEastAsia"/>
                <w:szCs w:val="21"/>
              </w:rPr>
              <w:t>氯化氢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闪点(℃)</w:t>
            </w:r>
          </w:p>
        </w:tc>
        <w:tc>
          <w:tcPr>
            <w:tcW w:w="1064" w:type="pct"/>
            <w:gridSpan w:val="2"/>
            <w:vAlign w:val="center"/>
          </w:tcPr>
          <w:p>
            <w:pPr>
              <w:jc w:val="center"/>
              <w:rPr>
                <w:rFonts w:eastAsiaTheme="minorEastAsia"/>
                <w:spacing w:val="10"/>
                <w:szCs w:val="21"/>
              </w:rPr>
            </w:pPr>
            <w:r>
              <w:rPr>
                <w:rFonts w:eastAsiaTheme="minorEastAsia"/>
                <w:spacing w:val="10"/>
                <w:szCs w:val="21"/>
              </w:rPr>
              <w:t>/</w:t>
            </w:r>
          </w:p>
        </w:tc>
        <w:tc>
          <w:tcPr>
            <w:tcW w:w="1237" w:type="pct"/>
            <w:gridSpan w:val="4"/>
            <w:vAlign w:val="center"/>
          </w:tcPr>
          <w:p>
            <w:pPr>
              <w:jc w:val="center"/>
              <w:rPr>
                <w:rFonts w:eastAsiaTheme="minorEastAsia"/>
                <w:spacing w:val="10"/>
                <w:szCs w:val="21"/>
              </w:rPr>
            </w:pPr>
            <w:r>
              <w:rPr>
                <w:rFonts w:eastAsiaTheme="minorEastAsia"/>
                <w:spacing w:val="10"/>
                <w:szCs w:val="21"/>
              </w:rPr>
              <w:t>爆炸上限（v%）</w:t>
            </w:r>
          </w:p>
        </w:tc>
        <w:tc>
          <w:tcPr>
            <w:tcW w:w="1521" w:type="pct"/>
            <w:gridSpan w:val="3"/>
            <w:vAlign w:val="center"/>
          </w:tcPr>
          <w:p>
            <w:pPr>
              <w:jc w:val="center"/>
              <w:rPr>
                <w:rFonts w:eastAsiaTheme="minorEastAsia"/>
                <w:spacing w:val="10"/>
                <w:szCs w:val="21"/>
              </w:rPr>
            </w:pPr>
            <w:r>
              <w:rPr>
                <w:rFonts w:eastAsiaTheme="minorEastAsia"/>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引燃温度(℃)</w:t>
            </w:r>
          </w:p>
        </w:tc>
        <w:tc>
          <w:tcPr>
            <w:tcW w:w="1064" w:type="pct"/>
            <w:gridSpan w:val="2"/>
            <w:vAlign w:val="center"/>
          </w:tcPr>
          <w:p>
            <w:pPr>
              <w:jc w:val="center"/>
              <w:rPr>
                <w:rFonts w:eastAsiaTheme="minorEastAsia"/>
                <w:spacing w:val="10"/>
                <w:szCs w:val="21"/>
              </w:rPr>
            </w:pPr>
            <w:r>
              <w:rPr>
                <w:rFonts w:eastAsiaTheme="minorEastAsia"/>
                <w:spacing w:val="10"/>
                <w:szCs w:val="21"/>
              </w:rPr>
              <w:t>/</w:t>
            </w:r>
          </w:p>
        </w:tc>
        <w:tc>
          <w:tcPr>
            <w:tcW w:w="1237" w:type="pct"/>
            <w:gridSpan w:val="4"/>
            <w:vAlign w:val="center"/>
          </w:tcPr>
          <w:p>
            <w:pPr>
              <w:jc w:val="center"/>
              <w:rPr>
                <w:rFonts w:eastAsiaTheme="minorEastAsia"/>
                <w:spacing w:val="10"/>
                <w:szCs w:val="21"/>
              </w:rPr>
            </w:pPr>
            <w:r>
              <w:rPr>
                <w:rFonts w:eastAsiaTheme="minorEastAsia"/>
                <w:spacing w:val="10"/>
                <w:szCs w:val="21"/>
              </w:rPr>
              <w:t>爆炸下限（v%）</w:t>
            </w:r>
          </w:p>
        </w:tc>
        <w:tc>
          <w:tcPr>
            <w:tcW w:w="1521" w:type="pct"/>
            <w:gridSpan w:val="3"/>
            <w:vAlign w:val="center"/>
          </w:tcPr>
          <w:p>
            <w:pPr>
              <w:jc w:val="center"/>
              <w:rPr>
                <w:rFonts w:eastAsiaTheme="minorEastAsia"/>
                <w:spacing w:val="10"/>
                <w:szCs w:val="21"/>
              </w:rPr>
            </w:pPr>
            <w:r>
              <w:rPr>
                <w:rFonts w:eastAsiaTheme="minorEastAsia"/>
                <w:spacing w:val="1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zCs w:val="21"/>
              </w:rPr>
            </w:pPr>
            <w:r>
              <w:rPr>
                <w:rFonts w:eastAsiaTheme="minorEastAsia"/>
                <w:spacing w:val="10"/>
                <w:szCs w:val="21"/>
              </w:rPr>
              <w:t>危险特性</w:t>
            </w:r>
          </w:p>
        </w:tc>
        <w:tc>
          <w:tcPr>
            <w:tcW w:w="3822" w:type="pct"/>
            <w:gridSpan w:val="9"/>
            <w:vAlign w:val="center"/>
          </w:tcPr>
          <w:p>
            <w:pPr>
              <w:rPr>
                <w:rFonts w:eastAsiaTheme="minorEastAsia"/>
                <w:szCs w:val="21"/>
              </w:rPr>
            </w:pPr>
            <w:r>
              <w:rPr>
                <w:rFonts w:eastAsiaTheme="minorEastAsia"/>
                <w:szCs w:val="21"/>
              </w:rPr>
              <w:t>具有强氧化性。能与许多化学物质发生爆炸性反应。受热、震动、撞击、摩擦，相当敏感，极易分解发生爆炸。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zCs w:val="21"/>
              </w:rPr>
            </w:pPr>
            <w:r>
              <w:rPr>
                <w:rFonts w:eastAsiaTheme="minorEastAsia"/>
                <w:szCs w:val="21"/>
              </w:rPr>
              <w:t>建规火险分级</w:t>
            </w:r>
          </w:p>
        </w:tc>
        <w:tc>
          <w:tcPr>
            <w:tcW w:w="1064" w:type="pct"/>
            <w:gridSpan w:val="2"/>
            <w:vAlign w:val="center"/>
          </w:tcPr>
          <w:p>
            <w:pPr>
              <w:jc w:val="center"/>
              <w:rPr>
                <w:rFonts w:eastAsiaTheme="minorEastAsia"/>
                <w:spacing w:val="10"/>
                <w:szCs w:val="21"/>
              </w:rPr>
            </w:pPr>
            <w:r>
              <w:rPr>
                <w:rFonts w:eastAsiaTheme="minorEastAsia"/>
                <w:spacing w:val="10"/>
                <w:szCs w:val="21"/>
              </w:rPr>
              <w:t>/</w:t>
            </w:r>
          </w:p>
        </w:tc>
        <w:tc>
          <w:tcPr>
            <w:tcW w:w="554" w:type="pct"/>
            <w:vAlign w:val="center"/>
          </w:tcPr>
          <w:p>
            <w:pPr>
              <w:jc w:val="center"/>
              <w:rPr>
                <w:rFonts w:eastAsiaTheme="minorEastAsia"/>
                <w:spacing w:val="10"/>
                <w:szCs w:val="21"/>
              </w:rPr>
            </w:pPr>
            <w:r>
              <w:rPr>
                <w:rFonts w:eastAsiaTheme="minorEastAsia"/>
                <w:spacing w:val="10"/>
                <w:szCs w:val="21"/>
              </w:rPr>
              <w:t>稳定性</w:t>
            </w:r>
          </w:p>
        </w:tc>
        <w:tc>
          <w:tcPr>
            <w:tcW w:w="683" w:type="pct"/>
            <w:gridSpan w:val="3"/>
            <w:vAlign w:val="center"/>
          </w:tcPr>
          <w:p>
            <w:pPr>
              <w:jc w:val="center"/>
              <w:rPr>
                <w:rFonts w:eastAsiaTheme="minorEastAsia"/>
                <w:spacing w:val="10"/>
                <w:szCs w:val="21"/>
              </w:rPr>
            </w:pPr>
            <w:r>
              <w:rPr>
                <w:rFonts w:eastAsiaTheme="minorEastAsia"/>
                <w:spacing w:val="10"/>
                <w:szCs w:val="21"/>
              </w:rPr>
              <w:t>不稳定</w:t>
            </w:r>
          </w:p>
        </w:tc>
        <w:tc>
          <w:tcPr>
            <w:tcW w:w="787" w:type="pct"/>
            <w:vAlign w:val="center"/>
          </w:tcPr>
          <w:p>
            <w:pPr>
              <w:jc w:val="center"/>
              <w:rPr>
                <w:rFonts w:eastAsiaTheme="minorEastAsia"/>
                <w:spacing w:val="10"/>
                <w:szCs w:val="21"/>
              </w:rPr>
            </w:pPr>
            <w:r>
              <w:rPr>
                <w:rFonts w:eastAsiaTheme="minorEastAsia"/>
                <w:spacing w:val="10"/>
                <w:szCs w:val="21"/>
              </w:rPr>
              <w:t>聚合危害</w:t>
            </w:r>
          </w:p>
        </w:tc>
        <w:tc>
          <w:tcPr>
            <w:tcW w:w="734" w:type="pct"/>
            <w:gridSpan w:val="2"/>
            <w:vAlign w:val="center"/>
          </w:tcPr>
          <w:p>
            <w:pPr>
              <w:jc w:val="center"/>
              <w:rPr>
                <w:rFonts w:eastAsiaTheme="minorEastAsia"/>
                <w:spacing w:val="10"/>
                <w:szCs w:val="21"/>
              </w:rPr>
            </w:pPr>
            <w:r>
              <w:rPr>
                <w:rFonts w:eastAsiaTheme="minorEastAsia"/>
                <w:spacing w:val="10"/>
                <w:szCs w:val="21"/>
              </w:rPr>
              <w:t>不聚合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泄漏处理</w:t>
            </w:r>
          </w:p>
        </w:tc>
        <w:tc>
          <w:tcPr>
            <w:tcW w:w="3822" w:type="pct"/>
            <w:gridSpan w:val="9"/>
            <w:vAlign w:val="center"/>
          </w:tcPr>
          <w:p>
            <w:pPr>
              <w:rPr>
                <w:rFonts w:eastAsiaTheme="minorEastAsia"/>
                <w:spacing w:val="10"/>
                <w:szCs w:val="21"/>
              </w:rPr>
            </w:pPr>
            <w:r>
              <w:rPr>
                <w:rFonts w:eastAsiaTheme="minorEastAsia"/>
                <w:spacing w:val="10"/>
                <w:szCs w:val="21"/>
              </w:rPr>
              <w:t>泄漏处理：</w:t>
            </w:r>
            <w:r>
              <w:rPr>
                <w:rFonts w:eastAsiaTheme="minorEastAsia"/>
                <w:szCs w:val="21"/>
              </w:rPr>
              <w:t>疏散泄漏污染区人员至上风处，并隔离直至气体散尽。应急处理人员戴正压自给式呼吸器，穿化学防护服。切断火源。铁使泄漏物与可燃物质(木材、纸、油等)接触，切断气源，喷洒雾状水稀释，抽排(室内)或强力通风(室外)。漏气容器不能再用，且要经过技术处理以清除可能剩下的气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54" w:type="pct"/>
            <w:vMerge w:val="continue"/>
            <w:vAlign w:val="center"/>
          </w:tcPr>
          <w:p>
            <w:pPr>
              <w:widowControl/>
              <w:jc w:val="left"/>
              <w:rPr>
                <w:rFonts w:eastAsiaTheme="minorEastAsia"/>
                <w:spacing w:val="10"/>
                <w:szCs w:val="21"/>
              </w:rPr>
            </w:pPr>
          </w:p>
        </w:tc>
        <w:tc>
          <w:tcPr>
            <w:tcW w:w="924" w:type="pct"/>
            <w:vAlign w:val="center"/>
          </w:tcPr>
          <w:p>
            <w:pPr>
              <w:jc w:val="center"/>
              <w:rPr>
                <w:rFonts w:eastAsiaTheme="minorEastAsia"/>
                <w:spacing w:val="10"/>
                <w:szCs w:val="21"/>
              </w:rPr>
            </w:pPr>
            <w:r>
              <w:rPr>
                <w:rFonts w:eastAsiaTheme="minorEastAsia"/>
                <w:spacing w:val="10"/>
                <w:szCs w:val="21"/>
              </w:rPr>
              <w:t>灭火方法</w:t>
            </w:r>
          </w:p>
        </w:tc>
        <w:tc>
          <w:tcPr>
            <w:tcW w:w="3822" w:type="pct"/>
            <w:gridSpan w:val="9"/>
            <w:vAlign w:val="center"/>
          </w:tcPr>
          <w:p>
            <w:pPr>
              <w:ind w:firstLine="420" w:firstLineChars="200"/>
              <w:rPr>
                <w:rFonts w:eastAsiaTheme="minorEastAsia"/>
                <w:szCs w:val="21"/>
              </w:rPr>
            </w:pPr>
            <w:r>
              <w:rPr>
                <w:rFonts w:eastAsiaTheme="minorEastAsia"/>
                <w:szCs w:val="21"/>
              </w:rPr>
              <w:t>切断气源。喷水冷却容器，可能的话将容器从火场移至空旷处。</w:t>
            </w:r>
          </w:p>
        </w:tc>
      </w:tr>
    </w:tbl>
    <w:p>
      <w:pPr>
        <w:snapToGrid w:val="0"/>
        <w:spacing w:line="360" w:lineRule="auto"/>
        <w:ind w:firstLine="480" w:firstLineChars="200"/>
        <w:rPr>
          <w:rFonts w:eastAsiaTheme="minorEastAsia"/>
          <w:sz w:val="24"/>
        </w:rPr>
      </w:pPr>
      <w:r>
        <w:rPr>
          <w:rFonts w:eastAsiaTheme="minorEastAsia"/>
          <w:sz w:val="24"/>
        </w:rPr>
        <w:t>（2）医用化学品储存风险识别</w:t>
      </w:r>
    </w:p>
    <w:p>
      <w:pPr>
        <w:snapToGrid w:val="0"/>
        <w:spacing w:line="360" w:lineRule="auto"/>
        <w:ind w:firstLine="480" w:firstLineChars="200"/>
        <w:rPr>
          <w:rFonts w:eastAsiaTheme="minorEastAsia"/>
          <w:sz w:val="24"/>
        </w:rPr>
      </w:pPr>
      <w:r>
        <w:rPr>
          <w:rFonts w:eastAsiaTheme="minorEastAsia"/>
          <w:sz w:val="24"/>
        </w:rPr>
        <w:t>医院某些科室，如检验科会使用较多化学试剂及酒精等消毒剂，这些化学品在储存和使用过程中出现事故，造成泄漏或引起火灾爆炸，而对周围人群人身安全造成影响并污染周围大气/水体环境。出现化学品储存和使用过程中的事故因素主要是人为因素，包括：无专人、专库、专账管理化学品；缺乏相关的操作规范知识及自然因素等自然灾害。</w:t>
      </w:r>
    </w:p>
    <w:p>
      <w:pPr>
        <w:snapToGrid w:val="0"/>
        <w:spacing w:line="360" w:lineRule="auto"/>
        <w:ind w:firstLine="480" w:firstLineChars="200"/>
        <w:rPr>
          <w:rFonts w:eastAsiaTheme="minorEastAsia"/>
          <w:sz w:val="24"/>
        </w:rPr>
      </w:pPr>
      <w:r>
        <w:rPr>
          <w:rFonts w:eastAsiaTheme="minorEastAsia"/>
          <w:sz w:val="24"/>
        </w:rPr>
        <w:t>（3）污水处理站消毒剂风险识别</w:t>
      </w:r>
    </w:p>
    <w:p>
      <w:pPr>
        <w:snapToGrid w:val="0"/>
        <w:spacing w:line="360" w:lineRule="auto"/>
        <w:ind w:firstLine="480" w:firstLineChars="200"/>
        <w:rPr>
          <w:rFonts w:eastAsiaTheme="minorEastAsia"/>
          <w:sz w:val="24"/>
        </w:rPr>
      </w:pPr>
      <w:r>
        <w:rPr>
          <w:rFonts w:eastAsiaTheme="minorEastAsia"/>
          <w:sz w:val="24"/>
        </w:rPr>
        <w:t>当二氧化氯水溶液的浓度在8000~10000g/m</w:t>
      </w:r>
      <w:r>
        <w:rPr>
          <w:rFonts w:eastAsiaTheme="minorEastAsia"/>
          <w:sz w:val="24"/>
          <w:vertAlign w:val="superscript"/>
        </w:rPr>
        <w:t>3</w:t>
      </w:r>
      <w:r>
        <w:rPr>
          <w:rFonts w:eastAsiaTheme="minorEastAsia"/>
          <w:sz w:val="24"/>
        </w:rPr>
        <w:t>，将产生引起爆炸危险的高压蒸汽。本项目污水处理站消毒使用二氧化氯量为38~57g/m</w:t>
      </w:r>
      <w:r>
        <w:rPr>
          <w:rFonts w:eastAsiaTheme="minorEastAsia"/>
          <w:sz w:val="24"/>
          <w:vertAlign w:val="superscript"/>
        </w:rPr>
        <w:t>3</w:t>
      </w:r>
      <w:r>
        <w:rPr>
          <w:rFonts w:eastAsiaTheme="minorEastAsia"/>
          <w:sz w:val="24"/>
        </w:rPr>
        <w:t>污水，远低于8000~10000g/m</w:t>
      </w:r>
      <w:r>
        <w:rPr>
          <w:rFonts w:eastAsiaTheme="minorEastAsia"/>
          <w:sz w:val="24"/>
          <w:vertAlign w:val="superscript"/>
        </w:rPr>
        <w:t>3</w:t>
      </w:r>
      <w:r>
        <w:rPr>
          <w:rFonts w:eastAsiaTheme="minorEastAsia"/>
          <w:sz w:val="24"/>
        </w:rPr>
        <w:t>，若按57g/m</w:t>
      </w:r>
      <w:r>
        <w:rPr>
          <w:rFonts w:eastAsiaTheme="minorEastAsia"/>
          <w:sz w:val="24"/>
          <w:vertAlign w:val="superscript"/>
        </w:rPr>
        <w:t>3</w:t>
      </w:r>
      <w:r>
        <w:rPr>
          <w:rFonts w:eastAsiaTheme="minorEastAsia"/>
          <w:sz w:val="24"/>
        </w:rPr>
        <w:t>计，项目污水处理站拟处理废水量约104636.47m³/a，则需二氧化氯5.9t/a，二氧化氯发生器中二氧化氯产生量约0.573kg/h。由于二氧化氯发生器运行压力为常压，二氧化氯全部泄漏，废水站内的二氧化氯浓度约为3.8%（V/V），小于爆炸浓度10%（V/V）。</w:t>
      </w:r>
    </w:p>
    <w:p>
      <w:pPr>
        <w:snapToGrid w:val="0"/>
        <w:spacing w:line="360" w:lineRule="auto"/>
        <w:ind w:firstLine="480" w:firstLineChars="200"/>
        <w:rPr>
          <w:rFonts w:eastAsiaTheme="minorEastAsia"/>
          <w:sz w:val="24"/>
        </w:rPr>
      </w:pPr>
      <w:r>
        <w:rPr>
          <w:rFonts w:eastAsiaTheme="minorEastAsia"/>
          <w:sz w:val="24"/>
        </w:rPr>
        <w:t>项目可能发生的由于装卸、倒罐中设备故障，管口破裂或误操作，导致二氧化氯、盐酸可能因泄漏而大量挥发进入环境污染空气。</w:t>
      </w:r>
    </w:p>
    <w:p>
      <w:pPr>
        <w:snapToGrid w:val="0"/>
        <w:spacing w:line="360" w:lineRule="auto"/>
        <w:ind w:firstLine="480" w:firstLineChars="200"/>
        <w:rPr>
          <w:rFonts w:eastAsiaTheme="minorEastAsia"/>
          <w:sz w:val="24"/>
        </w:rPr>
      </w:pPr>
      <w:r>
        <w:rPr>
          <w:rFonts w:eastAsiaTheme="minorEastAsia"/>
          <w:sz w:val="24"/>
        </w:rPr>
        <w:t>（4）致病微生物环境风险识别</w:t>
      </w:r>
    </w:p>
    <w:p>
      <w:pPr>
        <w:snapToGrid w:val="0"/>
        <w:spacing w:line="360" w:lineRule="auto"/>
        <w:ind w:firstLine="480" w:firstLineChars="200"/>
        <w:rPr>
          <w:rFonts w:eastAsiaTheme="minorEastAsia"/>
          <w:sz w:val="24"/>
        </w:rPr>
      </w:pPr>
      <w:r>
        <w:rPr>
          <w:rFonts w:eastAsiaTheme="minorEastAsia"/>
          <w:sz w:val="24"/>
        </w:rPr>
        <w:t>由于院方与众多病患及家属的高频接触，日常医疗过程中会接触到带有致病性微生物病人，存在产生环境风险的潜在可能性。</w:t>
      </w:r>
    </w:p>
    <w:p>
      <w:pPr>
        <w:snapToGrid w:val="0"/>
        <w:spacing w:line="360" w:lineRule="auto"/>
        <w:ind w:firstLine="480" w:firstLineChars="200"/>
        <w:rPr>
          <w:rFonts w:eastAsiaTheme="minorEastAsia"/>
          <w:sz w:val="24"/>
        </w:rPr>
      </w:pPr>
      <w:r>
        <w:rPr>
          <w:rFonts w:eastAsiaTheme="minorEastAsia"/>
          <w:sz w:val="24"/>
        </w:rPr>
        <w:t>血液、体液、消化道传播的传染病的主要特征是指接触除与病人的接触和医疗操作感染外，因医院环境污染而造成的人体接触或饮用水、食物的污染，其主要表现在医疗废物泄漏到环境中，发生与人接触的事件；医院污水收集处理系统不完善，带菌毒的污水进入外环境，污染饮用水、食物等。</w:t>
      </w:r>
    </w:p>
    <w:p>
      <w:pPr>
        <w:snapToGrid w:val="0"/>
        <w:spacing w:line="360" w:lineRule="auto"/>
        <w:ind w:firstLine="480" w:firstLineChars="200"/>
        <w:rPr>
          <w:rFonts w:eastAsiaTheme="minorEastAsia"/>
          <w:sz w:val="24"/>
        </w:rPr>
      </w:pPr>
      <w:r>
        <w:rPr>
          <w:rFonts w:eastAsiaTheme="minorEastAsia"/>
          <w:sz w:val="24"/>
        </w:rPr>
        <w:t>呼吸道传播的传染病是因为病毒、细菌本身悬浮在空气中，或衣服在尘埃上悬浮于空气中，进入人的呼吸系统，病毒、微生物空气传播污染范围大，难于防护，易引起人群和社会恐慌。但能导致疾病的传播主要是近距离的飞沫传播。</w:t>
      </w:r>
    </w:p>
    <w:p>
      <w:pPr>
        <w:snapToGrid w:val="0"/>
        <w:spacing w:line="360" w:lineRule="auto"/>
        <w:ind w:firstLine="480" w:firstLineChars="200"/>
        <w:rPr>
          <w:rFonts w:eastAsiaTheme="minorEastAsia"/>
          <w:sz w:val="24"/>
        </w:rPr>
      </w:pPr>
      <w:r>
        <w:rPr>
          <w:rFonts w:eastAsiaTheme="minorEastAsia"/>
          <w:sz w:val="24"/>
        </w:rPr>
        <w:t>因此，医护人员应做好消毒及个人防护，有效的控制感染。</w:t>
      </w:r>
    </w:p>
    <w:p>
      <w:pPr>
        <w:snapToGrid w:val="0"/>
        <w:spacing w:line="360" w:lineRule="auto"/>
        <w:ind w:firstLine="480" w:firstLineChars="200"/>
        <w:rPr>
          <w:rFonts w:eastAsiaTheme="minorEastAsia"/>
          <w:sz w:val="24"/>
        </w:rPr>
      </w:pPr>
      <w:r>
        <w:rPr>
          <w:rFonts w:eastAsiaTheme="minorEastAsia"/>
          <w:sz w:val="24"/>
        </w:rPr>
        <w:t>（5）致病微生物环境风险识别</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废水：医院污水（门诊、病房、手术室等处排出的诊疗、生活、粪便污水与办公等排水）经医院污水处理站处理后，再通过市政排污管网，排入湘阴县第一污水处理厂处理，最后达标尾水排放到湘江。废水处理设施事故排污主要为管网破裂引起的废水泄漏或污水处理系统故障引起的事故性排放。</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医疗废物：医疗废物未经妥善收集处理直接排入环境。</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7.1.2 环境风险潜势初判</w:t>
      </w:r>
    </w:p>
    <w:p>
      <w:pPr>
        <w:adjustRightInd w:val="0"/>
        <w:snapToGrid w:val="0"/>
        <w:spacing w:line="360" w:lineRule="auto"/>
        <w:ind w:firstLine="480" w:firstLineChars="200"/>
        <w:rPr>
          <w:rFonts w:eastAsiaTheme="minorEastAsia"/>
          <w:bCs/>
          <w:sz w:val="24"/>
        </w:rPr>
      </w:pPr>
      <w:r>
        <w:rPr>
          <w:rFonts w:eastAsiaTheme="minorEastAsia"/>
          <w:bCs/>
          <w:sz w:val="24"/>
        </w:rPr>
        <w:t>（1）危险物质数量与临界量比值（Q）</w:t>
      </w:r>
    </w:p>
    <w:p>
      <w:pPr>
        <w:adjustRightInd w:val="0"/>
        <w:snapToGrid w:val="0"/>
        <w:spacing w:line="360" w:lineRule="auto"/>
        <w:ind w:firstLine="480" w:firstLineChars="200"/>
        <w:rPr>
          <w:rFonts w:eastAsiaTheme="minorEastAsia"/>
          <w:bCs/>
          <w:sz w:val="24"/>
        </w:rPr>
      </w:pPr>
      <w:r>
        <w:rPr>
          <w:rFonts w:eastAsiaTheme="minorEastAsia"/>
          <w:bCs/>
          <w:sz w:val="24"/>
        </w:rPr>
        <w:t>计算所涉及的每种危险物质在厂界内的最大存在总量与其在附录B 中对应临界量的比值Q。在不同厂区的同一种物质，按其在厂界内的最大存在总量计算。对于长输管线项目，按照两个截断阀室之间管段危险物质最大存在总量计算。</w:t>
      </w:r>
    </w:p>
    <w:p>
      <w:pPr>
        <w:adjustRightInd w:val="0"/>
        <w:snapToGrid w:val="0"/>
        <w:spacing w:line="360" w:lineRule="auto"/>
        <w:ind w:firstLine="480" w:firstLineChars="200"/>
        <w:rPr>
          <w:rFonts w:eastAsiaTheme="minorEastAsia"/>
          <w:bCs/>
          <w:sz w:val="24"/>
        </w:rPr>
      </w:pPr>
      <w:r>
        <w:rPr>
          <w:rFonts w:eastAsiaTheme="minorEastAsia"/>
          <w:bCs/>
          <w:sz w:val="24"/>
        </w:rPr>
        <w:t>当只涉及一种危险物质时，计算该物质的总量与其临界量比值，即为Q；</w:t>
      </w:r>
    </w:p>
    <w:p>
      <w:pPr>
        <w:adjustRightInd w:val="0"/>
        <w:snapToGrid w:val="0"/>
        <w:spacing w:line="360" w:lineRule="auto"/>
        <w:ind w:firstLine="480" w:firstLineChars="200"/>
        <w:rPr>
          <w:rFonts w:eastAsiaTheme="minorEastAsia"/>
          <w:bCs/>
          <w:sz w:val="24"/>
        </w:rPr>
      </w:pPr>
      <w:r>
        <w:rPr>
          <w:rFonts w:eastAsiaTheme="minorEastAsia"/>
          <w:bCs/>
          <w:sz w:val="24"/>
        </w:rPr>
        <w:t>当存在多种危险物质时，则按式（C.1）计算物质总量与其临界量比值（Q）：</w:t>
      </w:r>
    </w:p>
    <w:p>
      <w:pPr>
        <w:autoSpaceDE w:val="0"/>
        <w:autoSpaceDN w:val="0"/>
        <w:adjustRightInd w:val="0"/>
        <w:snapToGrid w:val="0"/>
        <w:spacing w:line="360" w:lineRule="auto"/>
        <w:ind w:firstLine="480"/>
        <w:rPr>
          <w:rFonts w:eastAsiaTheme="minorEastAsia"/>
          <w:kern w:val="0"/>
          <w:sz w:val="24"/>
          <w:lang w:val="zh-CN"/>
        </w:rPr>
      </w:pPr>
      <m:oMathPara>
        <m:oMath>
          <m:r>
            <w:rPr>
              <w:rFonts w:ascii="Cambria Math" w:hAnsi="Cambria Math" w:eastAsiaTheme="minorEastAsia"/>
              <w:kern w:val="0"/>
              <w:sz w:val="24"/>
              <w:lang w:val="zh-CN"/>
            </w:rPr>
            <m:t>Q</m:t>
          </m:r>
          <m:r>
            <m:rPr>
              <m:sty m:val="p"/>
            </m:rPr>
            <w:rPr>
              <w:rFonts w:ascii="Cambria Math" w:hAnsi="Cambria Math" w:eastAsiaTheme="minorEastAsia"/>
              <w:kern w:val="0"/>
              <w:sz w:val="24"/>
              <w:lang w:val="zh-CN"/>
            </w:rPr>
            <m:t>=</m:t>
          </m:r>
          <m:f>
            <m:fPr>
              <m:ctrlPr>
                <w:rPr>
                  <w:rFonts w:ascii="Cambria Math" w:hAnsi="Cambria Math" w:eastAsiaTheme="minorEastAsia"/>
                  <w:kern w:val="0"/>
                  <w:sz w:val="24"/>
                  <w:lang w:val="zh-CN"/>
                </w:rPr>
              </m:ctrlPr>
            </m:fPr>
            <m:num>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1</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num>
            <m:den>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1</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den>
          </m:f>
          <m:r>
            <w:rPr>
              <w:rFonts w:ascii="Cambria Math" w:hAnsi="Cambria Math" w:eastAsiaTheme="minorEastAsia"/>
              <w:kern w:val="0"/>
              <w:sz w:val="24"/>
              <w:lang w:val="zh-CN"/>
            </w:rPr>
            <m:t>+</m:t>
          </m:r>
          <m:f>
            <m:fPr>
              <m:ctrlPr>
                <w:rPr>
                  <w:rFonts w:ascii="Cambria Math" w:hAnsi="Cambria Math" w:eastAsiaTheme="minorEastAsia"/>
                  <w:kern w:val="0"/>
                  <w:sz w:val="24"/>
                  <w:lang w:val="zh-CN"/>
                </w:rPr>
              </m:ctrlPr>
            </m:fPr>
            <m:num>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2</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num>
            <m:den>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2</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den>
          </m:f>
          <m:r>
            <w:rPr>
              <w:rFonts w:ascii="Cambria Math" w:hAnsi="Cambria Math" w:eastAsiaTheme="minorEastAsia"/>
              <w:kern w:val="0"/>
              <w:sz w:val="24"/>
              <w:lang w:val="zh-CN"/>
            </w:rPr>
            <m:t>⋯+</m:t>
          </m:r>
          <m:f>
            <m:fPr>
              <m:ctrlPr>
                <w:rPr>
                  <w:rFonts w:ascii="Cambria Math" w:hAnsi="Cambria Math" w:eastAsiaTheme="minorEastAsia"/>
                  <w:kern w:val="0"/>
                  <w:sz w:val="24"/>
                  <w:lang w:val="zh-CN"/>
                </w:rPr>
              </m:ctrlPr>
            </m:fPr>
            <m:num>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n</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num>
            <m:den>
              <m:sSub>
                <m:sSubPr>
                  <m:ctrlPr>
                    <w:rPr>
                      <w:rFonts w:ascii="Cambria Math" w:hAnsi="Cambria Math" w:eastAsiaTheme="minorEastAsia"/>
                      <w:i/>
                      <w:kern w:val="0"/>
                      <w:sz w:val="24"/>
                      <w:lang w:val="zh-CN"/>
                    </w:rPr>
                  </m:ctrlPr>
                </m:sSubPr>
                <m:e>
                  <m:r>
                    <w:rPr>
                      <w:rFonts w:ascii="Cambria Math" w:hAnsi="Cambria Math" w:eastAsiaTheme="minorEastAsia"/>
                      <w:kern w:val="0"/>
                      <w:sz w:val="24"/>
                      <w:lang w:val="zh-CN"/>
                    </w:rPr>
                    <m:t>Q</m:t>
                  </m:r>
                  <m:ctrlPr>
                    <w:rPr>
                      <w:rFonts w:ascii="Cambria Math" w:hAnsi="Cambria Math" w:eastAsiaTheme="minorEastAsia"/>
                      <w:i/>
                      <w:kern w:val="0"/>
                      <w:sz w:val="24"/>
                      <w:lang w:val="zh-CN"/>
                    </w:rPr>
                  </m:ctrlPr>
                </m:e>
                <m:sub>
                  <m:r>
                    <w:rPr>
                      <w:rFonts w:ascii="Cambria Math" w:hAnsi="Cambria Math" w:eastAsiaTheme="minorEastAsia"/>
                      <w:kern w:val="0"/>
                      <w:sz w:val="24"/>
                      <w:lang w:val="zh-CN"/>
                    </w:rPr>
                    <m:t>n</m:t>
                  </m:r>
                  <m:ctrlPr>
                    <w:rPr>
                      <w:rFonts w:ascii="Cambria Math" w:hAnsi="Cambria Math" w:eastAsiaTheme="minorEastAsia"/>
                      <w:i/>
                      <w:kern w:val="0"/>
                      <w:sz w:val="24"/>
                      <w:lang w:val="zh-CN"/>
                    </w:rPr>
                  </m:ctrlPr>
                </m:sub>
              </m:sSub>
              <m:ctrlPr>
                <w:rPr>
                  <w:rFonts w:ascii="Cambria Math" w:hAnsi="Cambria Math" w:eastAsiaTheme="minorEastAsia"/>
                  <w:kern w:val="0"/>
                  <w:sz w:val="24"/>
                  <w:lang w:val="zh-CN"/>
                </w:rPr>
              </m:ctrlPr>
            </m:den>
          </m:f>
        </m:oMath>
      </m:oMathPara>
    </w:p>
    <w:p>
      <w:pPr>
        <w:adjustRightInd w:val="0"/>
        <w:snapToGrid w:val="0"/>
        <w:spacing w:line="360" w:lineRule="auto"/>
        <w:ind w:firstLine="480" w:firstLineChars="200"/>
        <w:rPr>
          <w:rFonts w:eastAsiaTheme="minorEastAsia"/>
          <w:bCs/>
          <w:sz w:val="24"/>
        </w:rPr>
      </w:pPr>
      <w:r>
        <w:rPr>
          <w:rFonts w:eastAsiaTheme="minorEastAsia"/>
          <w:bCs/>
          <w:sz w:val="24"/>
        </w:rPr>
        <w:t>式中：q1，q2，...，qn——每种危险物质的最大存在总量，t；</w:t>
      </w:r>
    </w:p>
    <w:p>
      <w:pPr>
        <w:adjustRightInd w:val="0"/>
        <w:snapToGrid w:val="0"/>
        <w:spacing w:line="360" w:lineRule="auto"/>
        <w:ind w:firstLine="1200" w:firstLineChars="500"/>
        <w:rPr>
          <w:rFonts w:eastAsiaTheme="minorEastAsia"/>
          <w:bCs/>
          <w:sz w:val="24"/>
        </w:rPr>
      </w:pPr>
      <w:r>
        <w:rPr>
          <w:rFonts w:eastAsiaTheme="minorEastAsia"/>
          <w:bCs/>
          <w:sz w:val="24"/>
        </w:rPr>
        <w:t>Q1, Q2, ..., Qn——每种危险物质的临界量，t。</w:t>
      </w:r>
    </w:p>
    <w:p>
      <w:pPr>
        <w:adjustRightInd w:val="0"/>
        <w:snapToGrid w:val="0"/>
        <w:spacing w:line="360" w:lineRule="auto"/>
        <w:ind w:firstLine="1200" w:firstLineChars="500"/>
        <w:rPr>
          <w:rFonts w:eastAsiaTheme="minorEastAsia"/>
          <w:bCs/>
          <w:sz w:val="24"/>
        </w:rPr>
      </w:pPr>
      <w:r>
        <w:rPr>
          <w:rFonts w:eastAsiaTheme="minorEastAsia"/>
          <w:bCs/>
          <w:sz w:val="24"/>
        </w:rPr>
        <w:t>当Q＜1 时，该项目环境风险潜势为Ⅰ。</w:t>
      </w:r>
    </w:p>
    <w:p>
      <w:pPr>
        <w:adjustRightInd w:val="0"/>
        <w:snapToGrid w:val="0"/>
        <w:spacing w:line="360" w:lineRule="auto"/>
        <w:ind w:firstLine="1200" w:firstLineChars="500"/>
        <w:rPr>
          <w:rFonts w:eastAsiaTheme="minorEastAsia"/>
          <w:bCs/>
          <w:sz w:val="24"/>
        </w:rPr>
      </w:pPr>
      <w:r>
        <w:rPr>
          <w:rFonts w:eastAsiaTheme="minorEastAsia"/>
          <w:bCs/>
          <w:sz w:val="24"/>
        </w:rPr>
        <w:t>当Q≥1 时，将Q 值划分为：（1）1≤Q＜10；（2）10≤Q＜100；（3）Q≥100。</w:t>
      </w:r>
    </w:p>
    <w:p>
      <w:pPr>
        <w:adjustRightInd w:val="0"/>
        <w:snapToGrid w:val="0"/>
        <w:spacing w:line="360" w:lineRule="auto"/>
        <w:ind w:firstLine="480" w:firstLineChars="200"/>
        <w:rPr>
          <w:rFonts w:eastAsiaTheme="minorEastAsia"/>
          <w:bCs/>
          <w:sz w:val="24"/>
        </w:rPr>
      </w:pPr>
      <w:r>
        <w:rPr>
          <w:rFonts w:eastAsiaTheme="minorEastAsia"/>
          <w:bCs/>
          <w:sz w:val="24"/>
        </w:rPr>
        <w:t>本项目设计的危险物质有乙醇、盐酸、氯酸钠、氧气、柴油。危险物质具体存量详见下表所示。</w:t>
      </w:r>
    </w:p>
    <w:p>
      <w:pPr>
        <w:adjustRightInd w:val="0"/>
        <w:snapToGrid w:val="0"/>
        <w:spacing w:line="360" w:lineRule="auto"/>
        <w:jc w:val="center"/>
        <w:rPr>
          <w:rFonts w:eastAsiaTheme="minorEastAsia"/>
          <w:b/>
          <w:sz w:val="24"/>
        </w:rPr>
      </w:pPr>
      <w:r>
        <w:rPr>
          <w:rFonts w:eastAsiaTheme="minorEastAsia"/>
          <w:b/>
          <w:sz w:val="24"/>
        </w:rPr>
        <w:t>表7.1-7  本项目危险物质数量与临界量比值计算一览表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83"/>
        <w:gridCol w:w="2744"/>
        <w:gridCol w:w="1838"/>
        <w:gridCol w:w="19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b/>
                <w:bCs/>
                <w:color w:val="000000"/>
                <w:szCs w:val="21"/>
                <w:u w:val="single"/>
              </w:rPr>
            </w:pPr>
            <w:r>
              <w:rPr>
                <w:b/>
                <w:bCs/>
                <w:color w:val="000000"/>
                <w:szCs w:val="21"/>
                <w:u w:val="single"/>
              </w:rPr>
              <w:t>化学品名称</w:t>
            </w:r>
          </w:p>
        </w:tc>
        <w:tc>
          <w:tcPr>
            <w:tcW w:w="1877" w:type="dxa"/>
            <w:vAlign w:val="center"/>
          </w:tcPr>
          <w:p>
            <w:pPr>
              <w:jc w:val="center"/>
              <w:rPr>
                <w:b/>
                <w:bCs/>
                <w:color w:val="000000"/>
                <w:szCs w:val="21"/>
                <w:u w:val="single"/>
              </w:rPr>
            </w:pPr>
            <w:r>
              <w:rPr>
                <w:b/>
                <w:bCs/>
                <w:color w:val="000000"/>
                <w:szCs w:val="21"/>
                <w:u w:val="single"/>
              </w:rPr>
              <w:t>最大储存量</w:t>
            </w:r>
            <w:r>
              <w:rPr>
                <w:b/>
                <w:bCs/>
                <w:i/>
                <w:color w:val="000000"/>
                <w:szCs w:val="21"/>
                <w:u w:val="single"/>
              </w:rPr>
              <w:t>q</w:t>
            </w:r>
            <w:r>
              <w:rPr>
                <w:b/>
                <w:bCs/>
                <w:i/>
                <w:color w:val="000000"/>
                <w:szCs w:val="21"/>
                <w:u w:val="single"/>
                <w:vertAlign w:val="subscript"/>
              </w:rPr>
              <w:t>i</w:t>
            </w:r>
          </w:p>
        </w:tc>
        <w:tc>
          <w:tcPr>
            <w:tcW w:w="1257" w:type="dxa"/>
            <w:vAlign w:val="center"/>
          </w:tcPr>
          <w:p>
            <w:pPr>
              <w:jc w:val="center"/>
              <w:rPr>
                <w:b/>
                <w:bCs/>
                <w:color w:val="000000"/>
                <w:szCs w:val="21"/>
                <w:u w:val="single"/>
              </w:rPr>
            </w:pPr>
            <w:r>
              <w:rPr>
                <w:b/>
                <w:bCs/>
                <w:color w:val="000000"/>
                <w:szCs w:val="21"/>
                <w:u w:val="single"/>
              </w:rPr>
              <w:t>临界值</w:t>
            </w:r>
            <w:r>
              <w:rPr>
                <w:b/>
                <w:bCs/>
                <w:i/>
                <w:color w:val="000000"/>
                <w:szCs w:val="21"/>
                <w:u w:val="single"/>
              </w:rPr>
              <w:t>Q</w:t>
            </w:r>
            <w:r>
              <w:rPr>
                <w:b/>
                <w:bCs/>
                <w:i/>
                <w:color w:val="000000"/>
                <w:szCs w:val="21"/>
                <w:u w:val="single"/>
                <w:vertAlign w:val="subscript"/>
              </w:rPr>
              <w:t>i</w:t>
            </w:r>
          </w:p>
        </w:tc>
        <w:tc>
          <w:tcPr>
            <w:tcW w:w="1316" w:type="dxa"/>
            <w:vAlign w:val="center"/>
          </w:tcPr>
          <w:p>
            <w:pPr>
              <w:jc w:val="center"/>
              <w:rPr>
                <w:b/>
                <w:bCs/>
                <w:i/>
                <w:color w:val="000000"/>
                <w:szCs w:val="21"/>
                <w:u w:val="single"/>
              </w:rPr>
            </w:pPr>
            <w:r>
              <w:rPr>
                <w:b/>
                <w:bCs/>
                <w:i/>
                <w:color w:val="000000"/>
                <w:szCs w:val="21"/>
                <w:u w:val="single"/>
              </w:rPr>
              <w:t>q</w:t>
            </w:r>
            <w:r>
              <w:rPr>
                <w:b/>
                <w:bCs/>
                <w:i/>
                <w:color w:val="000000"/>
                <w:szCs w:val="21"/>
                <w:u w:val="single"/>
                <w:vertAlign w:val="subscript"/>
              </w:rPr>
              <w:t>i</w:t>
            </w:r>
            <w:r>
              <w:rPr>
                <w:b/>
                <w:bCs/>
                <w:i/>
                <w:color w:val="000000"/>
                <w:szCs w:val="21"/>
                <w:u w:val="single"/>
              </w:rPr>
              <w:t>/Q</w:t>
            </w:r>
            <w:r>
              <w:rPr>
                <w:b/>
                <w:bCs/>
                <w:i/>
                <w:color w:val="000000"/>
                <w:szCs w:val="21"/>
                <w:u w:val="single"/>
                <w:vertAlign w:val="subscript"/>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color w:val="000000"/>
                <w:szCs w:val="21"/>
                <w:u w:val="single"/>
              </w:rPr>
            </w:pPr>
            <w:r>
              <w:rPr>
                <w:color w:val="000000"/>
                <w:szCs w:val="21"/>
                <w:u w:val="single"/>
              </w:rPr>
              <w:t>乙醇</w:t>
            </w:r>
          </w:p>
        </w:tc>
        <w:tc>
          <w:tcPr>
            <w:tcW w:w="1877" w:type="dxa"/>
            <w:vAlign w:val="center"/>
          </w:tcPr>
          <w:p>
            <w:pPr>
              <w:jc w:val="center"/>
              <w:rPr>
                <w:color w:val="000000"/>
                <w:szCs w:val="21"/>
                <w:u w:val="single"/>
              </w:rPr>
            </w:pPr>
            <w:r>
              <w:rPr>
                <w:color w:val="000000"/>
                <w:szCs w:val="21"/>
                <w:u w:val="single"/>
              </w:rPr>
              <w:t>0.2t</w:t>
            </w:r>
          </w:p>
        </w:tc>
        <w:tc>
          <w:tcPr>
            <w:tcW w:w="1257" w:type="dxa"/>
            <w:vAlign w:val="center"/>
          </w:tcPr>
          <w:p>
            <w:pPr>
              <w:jc w:val="center"/>
              <w:rPr>
                <w:color w:val="000000"/>
                <w:szCs w:val="21"/>
                <w:u w:val="single"/>
              </w:rPr>
            </w:pPr>
            <w:r>
              <w:rPr>
                <w:color w:val="000000"/>
                <w:szCs w:val="21"/>
                <w:u w:val="single"/>
              </w:rPr>
              <w:t>50t</w:t>
            </w:r>
          </w:p>
        </w:tc>
        <w:tc>
          <w:tcPr>
            <w:tcW w:w="1316" w:type="dxa"/>
            <w:vAlign w:val="center"/>
          </w:tcPr>
          <w:p>
            <w:pPr>
              <w:jc w:val="center"/>
              <w:rPr>
                <w:color w:val="000000"/>
                <w:szCs w:val="21"/>
                <w:u w:val="single"/>
              </w:rPr>
            </w:pPr>
            <w:r>
              <w:rPr>
                <w:color w:val="000000"/>
                <w:szCs w:val="21"/>
                <w:u w:val="single"/>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color w:val="000000"/>
                <w:szCs w:val="21"/>
                <w:u w:val="single"/>
              </w:rPr>
            </w:pPr>
            <w:r>
              <w:rPr>
                <w:color w:val="000000"/>
                <w:szCs w:val="21"/>
                <w:u w:val="single"/>
              </w:rPr>
              <w:t>甲醛</w:t>
            </w:r>
          </w:p>
        </w:tc>
        <w:tc>
          <w:tcPr>
            <w:tcW w:w="1877" w:type="dxa"/>
            <w:vAlign w:val="center"/>
          </w:tcPr>
          <w:p>
            <w:pPr>
              <w:jc w:val="center"/>
              <w:rPr>
                <w:color w:val="000000"/>
                <w:szCs w:val="21"/>
                <w:u w:val="single"/>
              </w:rPr>
            </w:pPr>
            <w:r>
              <w:rPr>
                <w:color w:val="000000"/>
                <w:szCs w:val="21"/>
                <w:u w:val="single"/>
              </w:rPr>
              <w:t>0.02t</w:t>
            </w:r>
          </w:p>
        </w:tc>
        <w:tc>
          <w:tcPr>
            <w:tcW w:w="1257" w:type="dxa"/>
            <w:vAlign w:val="center"/>
          </w:tcPr>
          <w:p>
            <w:pPr>
              <w:jc w:val="center"/>
              <w:rPr>
                <w:color w:val="000000"/>
                <w:szCs w:val="21"/>
                <w:u w:val="single"/>
              </w:rPr>
            </w:pPr>
            <w:r>
              <w:rPr>
                <w:color w:val="000000"/>
                <w:szCs w:val="21"/>
                <w:u w:val="single"/>
              </w:rPr>
              <w:t>0.5t</w:t>
            </w:r>
          </w:p>
        </w:tc>
        <w:tc>
          <w:tcPr>
            <w:tcW w:w="1316" w:type="dxa"/>
            <w:vAlign w:val="center"/>
          </w:tcPr>
          <w:p>
            <w:pPr>
              <w:jc w:val="center"/>
              <w:rPr>
                <w:color w:val="000000"/>
                <w:szCs w:val="21"/>
                <w:u w:val="single"/>
              </w:rPr>
            </w:pPr>
            <w:r>
              <w:rPr>
                <w:color w:val="000000"/>
                <w:szCs w:val="21"/>
                <w:u w:val="single"/>
              </w:rPr>
              <w:t>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kern w:val="0"/>
                <w:szCs w:val="21"/>
                <w:u w:val="single"/>
              </w:rPr>
            </w:pPr>
            <w:r>
              <w:rPr>
                <w:color w:val="000000"/>
                <w:szCs w:val="21"/>
                <w:u w:val="single"/>
              </w:rPr>
              <w:t>氯酸钠</w:t>
            </w:r>
          </w:p>
        </w:tc>
        <w:tc>
          <w:tcPr>
            <w:tcW w:w="1877" w:type="dxa"/>
            <w:vAlign w:val="center"/>
          </w:tcPr>
          <w:p>
            <w:pPr>
              <w:jc w:val="center"/>
              <w:rPr>
                <w:color w:val="000000"/>
                <w:szCs w:val="21"/>
                <w:u w:val="single"/>
              </w:rPr>
            </w:pPr>
            <w:r>
              <w:rPr>
                <w:color w:val="000000"/>
                <w:szCs w:val="21"/>
                <w:u w:val="single"/>
              </w:rPr>
              <w:t>0.2t</w:t>
            </w:r>
          </w:p>
        </w:tc>
        <w:tc>
          <w:tcPr>
            <w:tcW w:w="1257" w:type="dxa"/>
            <w:vAlign w:val="center"/>
          </w:tcPr>
          <w:p>
            <w:pPr>
              <w:jc w:val="center"/>
              <w:rPr>
                <w:color w:val="000000"/>
                <w:szCs w:val="21"/>
                <w:u w:val="single"/>
              </w:rPr>
            </w:pPr>
            <w:r>
              <w:rPr>
                <w:color w:val="000000"/>
                <w:szCs w:val="21"/>
                <w:u w:val="single"/>
              </w:rPr>
              <w:t>100t</w:t>
            </w:r>
          </w:p>
        </w:tc>
        <w:tc>
          <w:tcPr>
            <w:tcW w:w="1316" w:type="dxa"/>
            <w:vAlign w:val="center"/>
          </w:tcPr>
          <w:p>
            <w:pPr>
              <w:jc w:val="center"/>
              <w:rPr>
                <w:color w:val="000000"/>
                <w:szCs w:val="21"/>
                <w:u w:val="single"/>
              </w:rPr>
            </w:pPr>
            <w:r>
              <w:rPr>
                <w:color w:val="000000"/>
                <w:szCs w:val="21"/>
                <w:u w:val="single"/>
              </w:rPr>
              <w:t>0.003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szCs w:val="21"/>
                <w:u w:val="single"/>
              </w:rPr>
            </w:pPr>
            <w:r>
              <w:rPr>
                <w:rFonts w:hint="eastAsia"/>
                <w:color w:val="000000"/>
                <w:szCs w:val="21"/>
                <w:u w:val="single"/>
              </w:rPr>
              <w:t>次氯酸钠</w:t>
            </w:r>
          </w:p>
        </w:tc>
        <w:tc>
          <w:tcPr>
            <w:tcW w:w="1877" w:type="dxa"/>
            <w:vAlign w:val="center"/>
          </w:tcPr>
          <w:p>
            <w:pPr>
              <w:jc w:val="center"/>
              <w:rPr>
                <w:color w:val="000000"/>
                <w:szCs w:val="21"/>
                <w:u w:val="single"/>
              </w:rPr>
            </w:pPr>
            <w:r>
              <w:rPr>
                <w:rFonts w:hint="eastAsia"/>
                <w:color w:val="000000"/>
                <w:szCs w:val="21"/>
                <w:u w:val="single"/>
              </w:rPr>
              <w:t>0.01</w:t>
            </w:r>
          </w:p>
        </w:tc>
        <w:tc>
          <w:tcPr>
            <w:tcW w:w="1257" w:type="dxa"/>
            <w:vAlign w:val="center"/>
          </w:tcPr>
          <w:p>
            <w:pPr>
              <w:jc w:val="center"/>
              <w:rPr>
                <w:color w:val="000000"/>
                <w:szCs w:val="21"/>
                <w:u w:val="single"/>
              </w:rPr>
            </w:pPr>
            <w:r>
              <w:rPr>
                <w:rFonts w:hint="eastAsia"/>
                <w:color w:val="000000"/>
                <w:szCs w:val="21"/>
                <w:u w:val="single"/>
              </w:rPr>
              <w:t>5</w:t>
            </w:r>
          </w:p>
        </w:tc>
        <w:tc>
          <w:tcPr>
            <w:tcW w:w="1316" w:type="dxa"/>
            <w:vAlign w:val="center"/>
          </w:tcPr>
          <w:p>
            <w:pPr>
              <w:jc w:val="center"/>
              <w:rPr>
                <w:color w:val="000000"/>
                <w:szCs w:val="21"/>
                <w:u w:val="single"/>
              </w:rPr>
            </w:pPr>
            <w:r>
              <w:rPr>
                <w:rFonts w:hint="eastAsia"/>
                <w:color w:val="000000"/>
                <w:szCs w:val="21"/>
                <w:u w:val="single"/>
              </w:rPr>
              <w:t>0.002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kern w:val="0"/>
                <w:szCs w:val="21"/>
                <w:u w:val="single"/>
              </w:rPr>
            </w:pPr>
            <w:r>
              <w:rPr>
                <w:color w:val="000000"/>
                <w:kern w:val="0"/>
                <w:szCs w:val="21"/>
                <w:u w:val="single"/>
              </w:rPr>
              <w:t>盐酸</w:t>
            </w:r>
          </w:p>
        </w:tc>
        <w:tc>
          <w:tcPr>
            <w:tcW w:w="1877" w:type="dxa"/>
            <w:vAlign w:val="center"/>
          </w:tcPr>
          <w:p>
            <w:pPr>
              <w:jc w:val="center"/>
              <w:rPr>
                <w:color w:val="000000"/>
                <w:szCs w:val="21"/>
                <w:u w:val="single"/>
              </w:rPr>
            </w:pPr>
            <w:r>
              <w:rPr>
                <w:color w:val="000000"/>
                <w:szCs w:val="21"/>
                <w:u w:val="single"/>
              </w:rPr>
              <w:t>0.15t</w:t>
            </w:r>
          </w:p>
        </w:tc>
        <w:tc>
          <w:tcPr>
            <w:tcW w:w="1257" w:type="dxa"/>
            <w:vAlign w:val="center"/>
          </w:tcPr>
          <w:p>
            <w:pPr>
              <w:jc w:val="center"/>
              <w:rPr>
                <w:color w:val="000000"/>
                <w:szCs w:val="21"/>
                <w:u w:val="single"/>
              </w:rPr>
            </w:pPr>
            <w:r>
              <w:rPr>
                <w:color w:val="000000"/>
                <w:szCs w:val="21"/>
                <w:u w:val="single"/>
              </w:rPr>
              <w:t>7.5t</w:t>
            </w:r>
          </w:p>
        </w:tc>
        <w:tc>
          <w:tcPr>
            <w:tcW w:w="1316" w:type="dxa"/>
            <w:vAlign w:val="center"/>
          </w:tcPr>
          <w:p>
            <w:pPr>
              <w:jc w:val="center"/>
              <w:rPr>
                <w:color w:val="000000"/>
                <w:szCs w:val="21"/>
                <w:u w:val="single"/>
              </w:rPr>
            </w:pPr>
            <w:r>
              <w:rPr>
                <w:color w:val="000000"/>
                <w:szCs w:val="21"/>
                <w:u w:val="single"/>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kern w:val="0"/>
                <w:szCs w:val="21"/>
                <w:u w:val="single"/>
              </w:rPr>
            </w:pPr>
            <w:r>
              <w:rPr>
                <w:color w:val="000000"/>
                <w:szCs w:val="21"/>
                <w:u w:val="single"/>
              </w:rPr>
              <w:t>二氧化氯</w:t>
            </w:r>
          </w:p>
        </w:tc>
        <w:tc>
          <w:tcPr>
            <w:tcW w:w="1877" w:type="dxa"/>
            <w:vAlign w:val="center"/>
          </w:tcPr>
          <w:p>
            <w:pPr>
              <w:jc w:val="center"/>
              <w:rPr>
                <w:color w:val="000000"/>
                <w:szCs w:val="21"/>
                <w:u w:val="single"/>
              </w:rPr>
            </w:pPr>
            <w:r>
              <w:rPr>
                <w:color w:val="000000"/>
                <w:szCs w:val="21"/>
                <w:u w:val="single"/>
              </w:rPr>
              <w:t>0.01t</w:t>
            </w:r>
          </w:p>
        </w:tc>
        <w:tc>
          <w:tcPr>
            <w:tcW w:w="1257" w:type="dxa"/>
            <w:vAlign w:val="center"/>
          </w:tcPr>
          <w:p>
            <w:pPr>
              <w:jc w:val="center"/>
              <w:rPr>
                <w:color w:val="000000"/>
                <w:szCs w:val="21"/>
                <w:u w:val="single"/>
              </w:rPr>
            </w:pPr>
            <w:r>
              <w:rPr>
                <w:color w:val="000000"/>
                <w:szCs w:val="21"/>
                <w:u w:val="single"/>
              </w:rPr>
              <w:t>0.5t</w:t>
            </w:r>
          </w:p>
        </w:tc>
        <w:tc>
          <w:tcPr>
            <w:tcW w:w="1316" w:type="dxa"/>
            <w:vAlign w:val="center"/>
          </w:tcPr>
          <w:p>
            <w:pPr>
              <w:jc w:val="center"/>
              <w:rPr>
                <w:color w:val="000000"/>
                <w:szCs w:val="21"/>
                <w:u w:val="single"/>
              </w:rPr>
            </w:pPr>
            <w:r>
              <w:rPr>
                <w:color w:val="000000"/>
                <w:szCs w:val="21"/>
                <w:u w:val="single"/>
              </w:rPr>
              <w:t>0.02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widowControl/>
              <w:jc w:val="center"/>
              <w:rPr>
                <w:color w:val="000000"/>
                <w:szCs w:val="21"/>
                <w:u w:val="single"/>
              </w:rPr>
            </w:pPr>
            <w:r>
              <w:rPr>
                <w:color w:val="000000" w:themeColor="text1"/>
                <w:kern w:val="0"/>
                <w:szCs w:val="21"/>
                <w:u w:val="single"/>
              </w:rPr>
              <w:t>柴油</w:t>
            </w:r>
          </w:p>
        </w:tc>
        <w:tc>
          <w:tcPr>
            <w:tcW w:w="1877" w:type="dxa"/>
            <w:vAlign w:val="center"/>
          </w:tcPr>
          <w:p>
            <w:pPr>
              <w:jc w:val="center"/>
              <w:rPr>
                <w:color w:val="000000"/>
                <w:szCs w:val="21"/>
                <w:u w:val="single"/>
              </w:rPr>
            </w:pPr>
            <w:r>
              <w:rPr>
                <w:color w:val="000000" w:themeColor="text1"/>
                <w:kern w:val="0"/>
                <w:szCs w:val="21"/>
                <w:u w:val="single"/>
              </w:rPr>
              <w:t>1.5</w:t>
            </w:r>
          </w:p>
        </w:tc>
        <w:tc>
          <w:tcPr>
            <w:tcW w:w="1257" w:type="dxa"/>
            <w:vAlign w:val="center"/>
          </w:tcPr>
          <w:p>
            <w:pPr>
              <w:jc w:val="center"/>
              <w:rPr>
                <w:color w:val="000000"/>
                <w:szCs w:val="21"/>
                <w:u w:val="single"/>
              </w:rPr>
            </w:pPr>
            <w:r>
              <w:rPr>
                <w:color w:val="000000"/>
                <w:szCs w:val="21"/>
                <w:u w:val="single"/>
              </w:rPr>
              <w:t>2500</w:t>
            </w:r>
          </w:p>
        </w:tc>
        <w:tc>
          <w:tcPr>
            <w:tcW w:w="1316" w:type="dxa"/>
            <w:vAlign w:val="center"/>
          </w:tcPr>
          <w:p>
            <w:pPr>
              <w:jc w:val="center"/>
              <w:rPr>
                <w:color w:val="000000"/>
                <w:szCs w:val="21"/>
                <w:u w:val="single"/>
              </w:rPr>
            </w:pPr>
            <w:r>
              <w:rPr>
                <w:color w:val="000000"/>
                <w:szCs w:val="21"/>
                <w:u w:val="single"/>
              </w:rPr>
              <w:t>0.0006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61" w:type="dxa"/>
            <w:vAlign w:val="center"/>
          </w:tcPr>
          <w:p>
            <w:pPr>
              <w:jc w:val="center"/>
              <w:rPr>
                <w:color w:val="000000"/>
                <w:szCs w:val="21"/>
                <w:u w:val="single"/>
              </w:rPr>
            </w:pPr>
            <w:r>
              <w:rPr>
                <w:color w:val="000000"/>
                <w:szCs w:val="21"/>
                <w:u w:val="single"/>
              </w:rPr>
              <w:t>/</w:t>
            </w:r>
          </w:p>
        </w:tc>
        <w:tc>
          <w:tcPr>
            <w:tcW w:w="3134" w:type="dxa"/>
            <w:gridSpan w:val="2"/>
            <w:vAlign w:val="center"/>
          </w:tcPr>
          <w:p>
            <w:pPr>
              <w:jc w:val="center"/>
              <w:rPr>
                <w:color w:val="000000"/>
                <w:szCs w:val="21"/>
                <w:u w:val="single"/>
              </w:rPr>
            </w:pPr>
            <w:r>
              <w:rPr>
                <w:color w:val="000000"/>
                <w:szCs w:val="21"/>
                <w:u w:val="single"/>
              </w:rPr>
              <w:t>/</w:t>
            </w:r>
          </w:p>
        </w:tc>
        <w:tc>
          <w:tcPr>
            <w:tcW w:w="1316" w:type="dxa"/>
            <w:vAlign w:val="center"/>
          </w:tcPr>
          <w:p>
            <w:pPr>
              <w:jc w:val="center"/>
              <w:rPr>
                <w:color w:val="000000"/>
                <w:szCs w:val="21"/>
                <w:u w:val="single"/>
              </w:rPr>
            </w:pPr>
            <w:r>
              <w:rPr>
                <w:color w:val="000000"/>
                <w:szCs w:val="21"/>
                <w:u w:val="single"/>
              </w:rPr>
              <w:t>0.08</w:t>
            </w:r>
            <w:r>
              <w:rPr>
                <w:rFonts w:hint="eastAsia"/>
                <w:color w:val="000000"/>
                <w:szCs w:val="21"/>
                <w:u w:val="single"/>
              </w:rPr>
              <w:t>9</w:t>
            </w:r>
            <w:r>
              <w:rPr>
                <w:color w:val="000000"/>
                <w:szCs w:val="21"/>
                <w:u w:val="single"/>
              </w:rPr>
              <w:t>6</w:t>
            </w:r>
          </w:p>
        </w:tc>
      </w:tr>
    </w:tbl>
    <w:p>
      <w:pPr>
        <w:adjustRightInd w:val="0"/>
        <w:snapToGrid w:val="0"/>
        <w:spacing w:line="360" w:lineRule="auto"/>
        <w:ind w:firstLine="480" w:firstLineChars="200"/>
        <w:rPr>
          <w:rFonts w:eastAsiaTheme="minorEastAsia"/>
          <w:bCs/>
          <w:sz w:val="24"/>
          <w:u w:val="single"/>
        </w:rPr>
      </w:pPr>
      <w:r>
        <w:rPr>
          <w:rFonts w:eastAsiaTheme="minorEastAsia"/>
          <w:bCs/>
          <w:sz w:val="24"/>
          <w:u w:val="single"/>
        </w:rPr>
        <w:t>本项目危险物质数量与临界量比值Q合计0.08</w:t>
      </w:r>
      <w:r>
        <w:rPr>
          <w:rFonts w:hint="eastAsia" w:eastAsiaTheme="minorEastAsia"/>
          <w:bCs/>
          <w:sz w:val="24"/>
          <w:u w:val="single"/>
        </w:rPr>
        <w:t>9</w:t>
      </w:r>
      <w:r>
        <w:rPr>
          <w:rFonts w:eastAsiaTheme="minorEastAsia"/>
          <w:bCs/>
          <w:sz w:val="24"/>
          <w:u w:val="single"/>
        </w:rPr>
        <w:t>6，判定本项目的Q＜1。</w:t>
      </w:r>
    </w:p>
    <w:p>
      <w:pPr>
        <w:adjustRightInd w:val="0"/>
        <w:snapToGrid w:val="0"/>
        <w:spacing w:line="360" w:lineRule="auto"/>
        <w:ind w:firstLine="480" w:firstLineChars="200"/>
        <w:rPr>
          <w:rFonts w:eastAsiaTheme="minorEastAsia"/>
          <w:b/>
          <w:sz w:val="24"/>
        </w:rPr>
      </w:pPr>
      <w:r>
        <w:rPr>
          <w:rFonts w:eastAsiaTheme="minorEastAsia"/>
          <w:bCs/>
          <w:sz w:val="24"/>
        </w:rPr>
        <w:t>根据环境风险工作等级划分，本项目环境风险评价等级直接判定为简单分析。</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7.1.3 行业及生产工艺（M）</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分析方法</w:t>
      </w:r>
    </w:p>
    <w:p>
      <w:pPr>
        <w:adjustRightInd w:val="0"/>
        <w:snapToGrid w:val="0"/>
        <w:spacing w:line="360" w:lineRule="auto"/>
        <w:ind w:firstLine="480" w:firstLineChars="200"/>
        <w:rPr>
          <w:rFonts w:eastAsiaTheme="minorEastAsia"/>
          <w:bCs/>
          <w:sz w:val="24"/>
        </w:rPr>
      </w:pPr>
      <w:r>
        <w:rPr>
          <w:rFonts w:eastAsiaTheme="minorEastAsia"/>
          <w:bCs/>
          <w:sz w:val="24"/>
        </w:rPr>
        <w:t>根据《建设项目环境风险评价技术导则》（HJ169-2018）中附录C可知：分析项目所属行业及生产工艺特点，按照下表评估生产工艺情况。具有多套工艺单元的项目，对每套生产工艺分别评分并求和。将M划分为（1）M＞20；（2）10＜M≤20；（3）5＜M≤10；（4）M=5，分别以M1、M2、M3、M4表示。</w:t>
      </w:r>
    </w:p>
    <w:p>
      <w:pPr>
        <w:adjustRightInd w:val="0"/>
        <w:snapToGrid w:val="0"/>
        <w:spacing w:line="360" w:lineRule="auto"/>
        <w:jc w:val="center"/>
        <w:rPr>
          <w:rFonts w:eastAsiaTheme="minorEastAsia"/>
          <w:b/>
          <w:sz w:val="24"/>
        </w:rPr>
      </w:pPr>
      <w:r>
        <w:rPr>
          <w:rFonts w:eastAsiaTheme="minorEastAsia"/>
          <w:b/>
          <w:sz w:val="24"/>
        </w:rPr>
        <w:t>表7.1-8 企业生产工艺评估表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5" w:type="dxa"/>
          <w:bottom w:w="0" w:type="dxa"/>
          <w:right w:w="15" w:type="dxa"/>
        </w:tblCellMar>
      </w:tblPr>
      <w:tblGrid>
        <w:gridCol w:w="1029"/>
        <w:gridCol w:w="6172"/>
        <w:gridCol w:w="853"/>
        <w:gridCol w:w="7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86" w:type="pct"/>
            <w:vAlign w:val="center"/>
          </w:tcPr>
          <w:p>
            <w:pPr>
              <w:autoSpaceDE w:val="0"/>
              <w:autoSpaceDN w:val="0"/>
              <w:jc w:val="center"/>
              <w:rPr>
                <w:b/>
                <w:bCs/>
                <w:kern w:val="0"/>
                <w:szCs w:val="21"/>
              </w:rPr>
            </w:pPr>
            <w:r>
              <w:rPr>
                <w:b/>
                <w:bCs/>
                <w:kern w:val="0"/>
                <w:szCs w:val="21"/>
              </w:rPr>
              <w:t>行业</w:t>
            </w:r>
          </w:p>
        </w:tc>
        <w:tc>
          <w:tcPr>
            <w:tcW w:w="3511" w:type="pct"/>
            <w:vAlign w:val="center"/>
          </w:tcPr>
          <w:p>
            <w:pPr>
              <w:autoSpaceDE w:val="0"/>
              <w:autoSpaceDN w:val="0"/>
              <w:jc w:val="center"/>
              <w:rPr>
                <w:b/>
                <w:bCs/>
                <w:kern w:val="0"/>
                <w:szCs w:val="21"/>
              </w:rPr>
            </w:pPr>
            <w:r>
              <w:rPr>
                <w:b/>
                <w:bCs/>
                <w:kern w:val="0"/>
                <w:szCs w:val="21"/>
              </w:rPr>
              <w:t>评估依据</w:t>
            </w:r>
          </w:p>
        </w:tc>
        <w:tc>
          <w:tcPr>
            <w:tcW w:w="485" w:type="pct"/>
            <w:vAlign w:val="center"/>
          </w:tcPr>
          <w:p>
            <w:pPr>
              <w:autoSpaceDE w:val="0"/>
              <w:autoSpaceDN w:val="0"/>
              <w:jc w:val="center"/>
              <w:rPr>
                <w:b/>
                <w:bCs/>
                <w:kern w:val="0"/>
                <w:szCs w:val="21"/>
              </w:rPr>
            </w:pPr>
            <w:r>
              <w:rPr>
                <w:b/>
                <w:bCs/>
                <w:kern w:val="0"/>
                <w:szCs w:val="21"/>
              </w:rPr>
              <w:t>分值</w:t>
            </w:r>
          </w:p>
        </w:tc>
        <w:tc>
          <w:tcPr>
            <w:tcW w:w="418" w:type="pct"/>
            <w:vAlign w:val="center"/>
          </w:tcPr>
          <w:p>
            <w:pPr>
              <w:autoSpaceDE w:val="0"/>
              <w:autoSpaceDN w:val="0"/>
              <w:jc w:val="center"/>
              <w:rPr>
                <w:b/>
                <w:bCs/>
                <w:kern w:val="0"/>
                <w:szCs w:val="21"/>
              </w:rPr>
            </w:pPr>
            <w:r>
              <w:rPr>
                <w:b/>
                <w:bCs/>
                <w:kern w:val="0"/>
                <w:szCs w:val="21"/>
              </w:rPr>
              <w:t>得分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86" w:type="pct"/>
            <w:vMerge w:val="restart"/>
            <w:vAlign w:val="center"/>
          </w:tcPr>
          <w:p>
            <w:pPr>
              <w:autoSpaceDE w:val="0"/>
              <w:autoSpaceDN w:val="0"/>
              <w:jc w:val="center"/>
              <w:rPr>
                <w:bCs/>
                <w:kern w:val="0"/>
                <w:szCs w:val="21"/>
              </w:rPr>
            </w:pPr>
            <w:r>
              <w:rPr>
                <w:bCs/>
                <w:kern w:val="0"/>
                <w:szCs w:val="21"/>
              </w:rPr>
              <w:t>石化、化工、医药</w:t>
            </w:r>
          </w:p>
          <w:p>
            <w:pPr>
              <w:autoSpaceDE w:val="0"/>
              <w:autoSpaceDN w:val="0"/>
              <w:jc w:val="center"/>
              <w:rPr>
                <w:bCs/>
                <w:kern w:val="0"/>
                <w:szCs w:val="21"/>
              </w:rPr>
            </w:pPr>
            <w:r>
              <w:rPr>
                <w:bCs/>
                <w:kern w:val="0"/>
                <w:szCs w:val="21"/>
              </w:rPr>
              <w:t>轻工、化纤、有色冶炼等</w:t>
            </w:r>
          </w:p>
        </w:tc>
        <w:tc>
          <w:tcPr>
            <w:tcW w:w="3511" w:type="pct"/>
            <w:vAlign w:val="center"/>
          </w:tcPr>
          <w:p>
            <w:pPr>
              <w:autoSpaceDE w:val="0"/>
              <w:autoSpaceDN w:val="0"/>
              <w:jc w:val="center"/>
              <w:rPr>
                <w:bCs/>
                <w:kern w:val="0"/>
                <w:szCs w:val="21"/>
              </w:rPr>
            </w:pPr>
            <w:r>
              <w:rPr>
                <w:bCs/>
                <w:kern w:val="0"/>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485" w:type="pct"/>
            <w:vAlign w:val="center"/>
          </w:tcPr>
          <w:p>
            <w:pPr>
              <w:autoSpaceDE w:val="0"/>
              <w:autoSpaceDN w:val="0"/>
              <w:jc w:val="center"/>
              <w:rPr>
                <w:bCs/>
                <w:kern w:val="0"/>
                <w:szCs w:val="21"/>
              </w:rPr>
            </w:pPr>
            <w:r>
              <w:rPr>
                <w:bCs/>
                <w:kern w:val="0"/>
                <w:szCs w:val="21"/>
              </w:rPr>
              <w:t>10/套</w:t>
            </w:r>
          </w:p>
        </w:tc>
        <w:tc>
          <w:tcPr>
            <w:tcW w:w="418" w:type="pct"/>
            <w:vAlign w:val="center"/>
          </w:tcPr>
          <w:p>
            <w:pPr>
              <w:autoSpaceDE w:val="0"/>
              <w:autoSpaceDN w:val="0"/>
              <w:jc w:val="center"/>
              <w:rPr>
                <w:bCs/>
                <w:kern w:val="0"/>
                <w:szCs w:val="21"/>
              </w:rPr>
            </w:pPr>
            <w:r>
              <w:rPr>
                <w:bCs/>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86" w:type="pct"/>
            <w:vMerge w:val="continue"/>
            <w:vAlign w:val="center"/>
          </w:tcPr>
          <w:p>
            <w:pPr>
              <w:widowControl/>
              <w:jc w:val="left"/>
              <w:rPr>
                <w:bCs/>
                <w:kern w:val="0"/>
                <w:szCs w:val="21"/>
              </w:rPr>
            </w:pPr>
          </w:p>
        </w:tc>
        <w:tc>
          <w:tcPr>
            <w:tcW w:w="3511" w:type="pct"/>
            <w:vAlign w:val="center"/>
          </w:tcPr>
          <w:p>
            <w:pPr>
              <w:autoSpaceDE w:val="0"/>
              <w:autoSpaceDN w:val="0"/>
              <w:jc w:val="center"/>
              <w:rPr>
                <w:bCs/>
                <w:kern w:val="0"/>
                <w:szCs w:val="21"/>
              </w:rPr>
            </w:pPr>
            <w:r>
              <w:rPr>
                <w:bCs/>
                <w:kern w:val="0"/>
                <w:szCs w:val="21"/>
              </w:rPr>
              <w:t>无机酸制酸工艺、焦化工艺</w:t>
            </w:r>
          </w:p>
        </w:tc>
        <w:tc>
          <w:tcPr>
            <w:tcW w:w="485" w:type="pct"/>
            <w:vAlign w:val="center"/>
          </w:tcPr>
          <w:p>
            <w:pPr>
              <w:autoSpaceDE w:val="0"/>
              <w:autoSpaceDN w:val="0"/>
              <w:jc w:val="center"/>
              <w:rPr>
                <w:bCs/>
                <w:kern w:val="0"/>
                <w:szCs w:val="21"/>
              </w:rPr>
            </w:pPr>
            <w:r>
              <w:rPr>
                <w:bCs/>
                <w:kern w:val="0"/>
                <w:szCs w:val="21"/>
              </w:rPr>
              <w:t>5/套</w:t>
            </w:r>
          </w:p>
        </w:tc>
        <w:tc>
          <w:tcPr>
            <w:tcW w:w="418" w:type="pct"/>
            <w:vAlign w:val="center"/>
          </w:tcPr>
          <w:p>
            <w:pPr>
              <w:autoSpaceDE w:val="0"/>
              <w:autoSpaceDN w:val="0"/>
              <w:jc w:val="center"/>
              <w:rPr>
                <w:bCs/>
                <w:kern w:val="0"/>
                <w:szCs w:val="21"/>
              </w:rPr>
            </w:pPr>
            <w:r>
              <w:rPr>
                <w:bCs/>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86" w:type="pct"/>
            <w:vMerge w:val="continue"/>
            <w:vAlign w:val="center"/>
          </w:tcPr>
          <w:p>
            <w:pPr>
              <w:widowControl/>
              <w:jc w:val="left"/>
              <w:rPr>
                <w:bCs/>
                <w:kern w:val="0"/>
                <w:szCs w:val="21"/>
              </w:rPr>
            </w:pPr>
          </w:p>
        </w:tc>
        <w:tc>
          <w:tcPr>
            <w:tcW w:w="3511" w:type="pct"/>
            <w:vAlign w:val="center"/>
          </w:tcPr>
          <w:p>
            <w:pPr>
              <w:autoSpaceDE w:val="0"/>
              <w:autoSpaceDN w:val="0"/>
              <w:jc w:val="center"/>
              <w:rPr>
                <w:bCs/>
                <w:kern w:val="0"/>
                <w:szCs w:val="21"/>
              </w:rPr>
            </w:pPr>
            <w:r>
              <w:rPr>
                <w:bCs/>
                <w:kern w:val="0"/>
                <w:szCs w:val="21"/>
              </w:rPr>
              <w:t>其他高温或高压，且涉及危险物质的工艺过程</w:t>
            </w:r>
            <w:r>
              <w:rPr>
                <w:bCs/>
                <w:kern w:val="0"/>
                <w:szCs w:val="21"/>
                <w:vertAlign w:val="superscript"/>
              </w:rPr>
              <w:t xml:space="preserve">a </w:t>
            </w:r>
            <w:r>
              <w:rPr>
                <w:bCs/>
                <w:kern w:val="0"/>
                <w:szCs w:val="21"/>
              </w:rPr>
              <w:t>、危险物质贮存罐区</w:t>
            </w:r>
          </w:p>
        </w:tc>
        <w:tc>
          <w:tcPr>
            <w:tcW w:w="485" w:type="pct"/>
            <w:vAlign w:val="center"/>
          </w:tcPr>
          <w:p>
            <w:pPr>
              <w:autoSpaceDE w:val="0"/>
              <w:autoSpaceDN w:val="0"/>
              <w:jc w:val="center"/>
              <w:rPr>
                <w:bCs/>
                <w:kern w:val="0"/>
                <w:szCs w:val="21"/>
              </w:rPr>
            </w:pPr>
            <w:r>
              <w:rPr>
                <w:bCs/>
                <w:kern w:val="0"/>
                <w:szCs w:val="21"/>
              </w:rPr>
              <w:t>5/套</w:t>
            </w:r>
          </w:p>
          <w:p>
            <w:pPr>
              <w:autoSpaceDE w:val="0"/>
              <w:autoSpaceDN w:val="0"/>
              <w:jc w:val="center"/>
              <w:rPr>
                <w:bCs/>
                <w:kern w:val="0"/>
                <w:szCs w:val="21"/>
              </w:rPr>
            </w:pPr>
            <w:r>
              <w:rPr>
                <w:bCs/>
                <w:kern w:val="0"/>
                <w:szCs w:val="21"/>
              </w:rPr>
              <w:t>（罐区）</w:t>
            </w:r>
          </w:p>
        </w:tc>
        <w:tc>
          <w:tcPr>
            <w:tcW w:w="418" w:type="pct"/>
            <w:vAlign w:val="center"/>
          </w:tcPr>
          <w:p>
            <w:pPr>
              <w:autoSpaceDE w:val="0"/>
              <w:autoSpaceDN w:val="0"/>
              <w:jc w:val="center"/>
              <w:rPr>
                <w:bCs/>
                <w:kern w:val="0"/>
                <w:szCs w:val="21"/>
              </w:rPr>
            </w:pPr>
            <w:r>
              <w:rPr>
                <w:bCs/>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86" w:type="pct"/>
            <w:vAlign w:val="center"/>
          </w:tcPr>
          <w:p>
            <w:pPr>
              <w:autoSpaceDE w:val="0"/>
              <w:autoSpaceDN w:val="0"/>
              <w:jc w:val="center"/>
              <w:rPr>
                <w:bCs/>
                <w:kern w:val="0"/>
                <w:szCs w:val="21"/>
              </w:rPr>
            </w:pPr>
            <w:r>
              <w:rPr>
                <w:bCs/>
                <w:kern w:val="0"/>
                <w:szCs w:val="21"/>
              </w:rPr>
              <w:t>管道、港口/码头等</w:t>
            </w:r>
          </w:p>
        </w:tc>
        <w:tc>
          <w:tcPr>
            <w:tcW w:w="3511" w:type="pct"/>
            <w:vAlign w:val="center"/>
          </w:tcPr>
          <w:p>
            <w:pPr>
              <w:autoSpaceDE w:val="0"/>
              <w:autoSpaceDN w:val="0"/>
              <w:jc w:val="center"/>
              <w:rPr>
                <w:bCs/>
                <w:kern w:val="0"/>
                <w:szCs w:val="21"/>
              </w:rPr>
            </w:pPr>
            <w:r>
              <w:rPr>
                <w:bCs/>
                <w:kern w:val="0"/>
                <w:szCs w:val="21"/>
              </w:rPr>
              <w:t>涉及危险物质管道运输项目、港口/码头等</w:t>
            </w:r>
          </w:p>
        </w:tc>
        <w:tc>
          <w:tcPr>
            <w:tcW w:w="485" w:type="pct"/>
            <w:vAlign w:val="center"/>
          </w:tcPr>
          <w:p>
            <w:pPr>
              <w:autoSpaceDE w:val="0"/>
              <w:autoSpaceDN w:val="0"/>
              <w:jc w:val="center"/>
              <w:rPr>
                <w:bCs/>
                <w:kern w:val="0"/>
                <w:szCs w:val="21"/>
              </w:rPr>
            </w:pPr>
            <w:r>
              <w:rPr>
                <w:bCs/>
                <w:kern w:val="0"/>
                <w:szCs w:val="21"/>
              </w:rPr>
              <w:t>10</w:t>
            </w:r>
          </w:p>
        </w:tc>
        <w:tc>
          <w:tcPr>
            <w:tcW w:w="418" w:type="pct"/>
            <w:vAlign w:val="center"/>
          </w:tcPr>
          <w:p>
            <w:pPr>
              <w:autoSpaceDE w:val="0"/>
              <w:autoSpaceDN w:val="0"/>
              <w:jc w:val="center"/>
              <w:rPr>
                <w:bCs/>
                <w:kern w:val="0"/>
                <w:szCs w:val="21"/>
              </w:rPr>
            </w:pPr>
            <w:r>
              <w:rPr>
                <w:bCs/>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86" w:type="pct"/>
            <w:vAlign w:val="center"/>
          </w:tcPr>
          <w:p>
            <w:pPr>
              <w:autoSpaceDE w:val="0"/>
              <w:autoSpaceDN w:val="0"/>
              <w:jc w:val="center"/>
              <w:rPr>
                <w:bCs/>
                <w:kern w:val="0"/>
                <w:szCs w:val="21"/>
              </w:rPr>
            </w:pPr>
            <w:r>
              <w:rPr>
                <w:bCs/>
                <w:kern w:val="0"/>
                <w:szCs w:val="21"/>
              </w:rPr>
              <w:t>石油天然气</w:t>
            </w:r>
          </w:p>
        </w:tc>
        <w:tc>
          <w:tcPr>
            <w:tcW w:w="3511" w:type="pct"/>
            <w:vAlign w:val="center"/>
          </w:tcPr>
          <w:p>
            <w:pPr>
              <w:autoSpaceDE w:val="0"/>
              <w:autoSpaceDN w:val="0"/>
              <w:jc w:val="center"/>
              <w:rPr>
                <w:bCs/>
                <w:kern w:val="0"/>
                <w:szCs w:val="21"/>
              </w:rPr>
            </w:pPr>
            <w:r>
              <w:rPr>
                <w:bCs/>
                <w:kern w:val="0"/>
                <w:szCs w:val="21"/>
              </w:rPr>
              <w:t>石油、天然气、页岩气开采（含净化），气库（不含加气站的气库），油库（不含加气站的油库）、油气管线</w:t>
            </w:r>
            <w:r>
              <w:rPr>
                <w:bCs/>
                <w:kern w:val="0"/>
                <w:szCs w:val="21"/>
                <w:vertAlign w:val="superscript"/>
              </w:rPr>
              <w:t>b</w:t>
            </w:r>
            <w:r>
              <w:rPr>
                <w:bCs/>
                <w:kern w:val="0"/>
                <w:szCs w:val="21"/>
              </w:rPr>
              <w:t>（不含城镇燃气管线）</w:t>
            </w:r>
          </w:p>
        </w:tc>
        <w:tc>
          <w:tcPr>
            <w:tcW w:w="485" w:type="pct"/>
            <w:vAlign w:val="center"/>
          </w:tcPr>
          <w:p>
            <w:pPr>
              <w:autoSpaceDE w:val="0"/>
              <w:autoSpaceDN w:val="0"/>
              <w:jc w:val="center"/>
              <w:rPr>
                <w:bCs/>
                <w:kern w:val="0"/>
                <w:szCs w:val="21"/>
              </w:rPr>
            </w:pPr>
            <w:r>
              <w:rPr>
                <w:bCs/>
                <w:kern w:val="0"/>
                <w:szCs w:val="21"/>
              </w:rPr>
              <w:t>10</w:t>
            </w:r>
          </w:p>
        </w:tc>
        <w:tc>
          <w:tcPr>
            <w:tcW w:w="418" w:type="pct"/>
            <w:vAlign w:val="center"/>
          </w:tcPr>
          <w:p>
            <w:pPr>
              <w:autoSpaceDE w:val="0"/>
              <w:autoSpaceDN w:val="0"/>
              <w:jc w:val="center"/>
              <w:rPr>
                <w:bCs/>
                <w:kern w:val="0"/>
                <w:szCs w:val="21"/>
              </w:rPr>
            </w:pPr>
            <w:r>
              <w:rPr>
                <w:bCs/>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86" w:type="pct"/>
            <w:vAlign w:val="center"/>
          </w:tcPr>
          <w:p>
            <w:pPr>
              <w:autoSpaceDE w:val="0"/>
              <w:autoSpaceDN w:val="0"/>
              <w:jc w:val="center"/>
              <w:rPr>
                <w:bCs/>
                <w:kern w:val="0"/>
                <w:szCs w:val="21"/>
              </w:rPr>
            </w:pPr>
            <w:r>
              <w:rPr>
                <w:bCs/>
                <w:kern w:val="0"/>
                <w:szCs w:val="21"/>
              </w:rPr>
              <w:t>其他</w:t>
            </w:r>
          </w:p>
        </w:tc>
        <w:tc>
          <w:tcPr>
            <w:tcW w:w="3511" w:type="pct"/>
            <w:vAlign w:val="center"/>
          </w:tcPr>
          <w:p>
            <w:pPr>
              <w:autoSpaceDE w:val="0"/>
              <w:autoSpaceDN w:val="0"/>
              <w:jc w:val="center"/>
              <w:rPr>
                <w:bCs/>
                <w:kern w:val="0"/>
                <w:szCs w:val="21"/>
              </w:rPr>
            </w:pPr>
            <w:r>
              <w:rPr>
                <w:bCs/>
                <w:kern w:val="0"/>
                <w:szCs w:val="21"/>
              </w:rPr>
              <w:t>涉及危险物质使用、贮存的项目</w:t>
            </w:r>
          </w:p>
        </w:tc>
        <w:tc>
          <w:tcPr>
            <w:tcW w:w="485" w:type="pct"/>
            <w:vAlign w:val="center"/>
          </w:tcPr>
          <w:p>
            <w:pPr>
              <w:autoSpaceDE w:val="0"/>
              <w:autoSpaceDN w:val="0"/>
              <w:jc w:val="center"/>
              <w:rPr>
                <w:bCs/>
                <w:kern w:val="0"/>
                <w:szCs w:val="21"/>
              </w:rPr>
            </w:pPr>
            <w:r>
              <w:rPr>
                <w:bCs/>
                <w:kern w:val="0"/>
                <w:szCs w:val="21"/>
              </w:rPr>
              <w:t>5</w:t>
            </w:r>
          </w:p>
        </w:tc>
        <w:tc>
          <w:tcPr>
            <w:tcW w:w="418" w:type="pct"/>
            <w:vAlign w:val="center"/>
          </w:tcPr>
          <w:p>
            <w:pPr>
              <w:autoSpaceDE w:val="0"/>
              <w:autoSpaceDN w:val="0"/>
              <w:jc w:val="center"/>
              <w:rPr>
                <w:bCs/>
                <w:kern w:val="0"/>
                <w:szCs w:val="21"/>
              </w:rPr>
            </w:pPr>
            <w:r>
              <w:rPr>
                <w:bCs/>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5" w:type="dxa"/>
            <w:bottom w:w="0" w:type="dxa"/>
            <w:right w:w="15" w:type="dxa"/>
          </w:tblCellMar>
        </w:tblPrEx>
        <w:trPr>
          <w:trHeight w:val="397" w:hRule="atLeast"/>
          <w:jc w:val="center"/>
        </w:trPr>
        <w:tc>
          <w:tcPr>
            <w:tcW w:w="5000" w:type="pct"/>
            <w:gridSpan w:val="4"/>
            <w:vAlign w:val="center"/>
          </w:tcPr>
          <w:p>
            <w:pPr>
              <w:autoSpaceDE w:val="0"/>
              <w:autoSpaceDN w:val="0"/>
              <w:jc w:val="center"/>
              <w:rPr>
                <w:bCs/>
                <w:kern w:val="0"/>
                <w:szCs w:val="21"/>
              </w:rPr>
            </w:pPr>
            <w:r>
              <w:rPr>
                <w:bCs/>
                <w:kern w:val="0"/>
                <w:szCs w:val="21"/>
              </w:rPr>
              <w:t>a高温指工艺温度≥300℃，高压指压力容器的设计压力（P）≥10.0MPa；</w:t>
            </w:r>
          </w:p>
          <w:p>
            <w:pPr>
              <w:autoSpaceDE w:val="0"/>
              <w:autoSpaceDN w:val="0"/>
              <w:jc w:val="center"/>
              <w:rPr>
                <w:bCs/>
                <w:kern w:val="0"/>
                <w:szCs w:val="21"/>
              </w:rPr>
            </w:pPr>
            <w:r>
              <w:rPr>
                <w:bCs/>
                <w:kern w:val="0"/>
                <w:szCs w:val="21"/>
              </w:rPr>
              <w:t>b长输管道运输项目应按站场、管线分段进行评价。</w:t>
            </w:r>
          </w:p>
        </w:tc>
      </w:tr>
    </w:tbl>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本项目M值</w:t>
      </w:r>
    </w:p>
    <w:p>
      <w:pPr>
        <w:adjustRightInd w:val="0"/>
        <w:snapToGrid w:val="0"/>
        <w:spacing w:line="360" w:lineRule="auto"/>
        <w:ind w:firstLine="480" w:firstLineChars="200"/>
        <w:rPr>
          <w:rFonts w:eastAsiaTheme="minorEastAsia"/>
          <w:bCs/>
          <w:sz w:val="24"/>
        </w:rPr>
      </w:pPr>
      <w:r>
        <w:rPr>
          <w:rFonts w:eastAsiaTheme="minorEastAsia"/>
          <w:bCs/>
          <w:sz w:val="24"/>
        </w:rPr>
        <w:t>本项目为“三废”治理环境保护项目，涉及危险物质使用，故本项目M=5，为M4。</w:t>
      </w:r>
    </w:p>
    <w:p>
      <w:pPr>
        <w:adjustRightInd w:val="0"/>
        <w:snapToGrid w:val="0"/>
        <w:spacing w:line="360" w:lineRule="auto"/>
        <w:jc w:val="center"/>
        <w:rPr>
          <w:rFonts w:eastAsiaTheme="minorEastAsia"/>
          <w:b/>
          <w:sz w:val="24"/>
        </w:rPr>
      </w:pPr>
      <w:r>
        <w:rPr>
          <w:rFonts w:eastAsiaTheme="minorEastAsia"/>
          <w:b/>
          <w:sz w:val="24"/>
        </w:rPr>
        <w:t>表7.1-9 建设项目M值确定表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7"/>
        <w:gridCol w:w="2886"/>
        <w:gridCol w:w="1624"/>
        <w:gridCol w:w="1695"/>
        <w:gridCol w:w="1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402" w:type="pct"/>
            <w:vAlign w:val="center"/>
          </w:tcPr>
          <w:p>
            <w:pPr>
              <w:autoSpaceDE w:val="0"/>
              <w:autoSpaceDN w:val="0"/>
              <w:jc w:val="center"/>
              <w:rPr>
                <w:b/>
                <w:bCs/>
                <w:kern w:val="0"/>
                <w:szCs w:val="21"/>
              </w:rPr>
            </w:pPr>
            <w:r>
              <w:rPr>
                <w:b/>
                <w:bCs/>
                <w:kern w:val="0"/>
                <w:szCs w:val="21"/>
              </w:rPr>
              <w:t>序号</w:t>
            </w:r>
          </w:p>
        </w:tc>
        <w:tc>
          <w:tcPr>
            <w:tcW w:w="1642" w:type="pct"/>
            <w:vAlign w:val="center"/>
          </w:tcPr>
          <w:p>
            <w:pPr>
              <w:autoSpaceDE w:val="0"/>
              <w:autoSpaceDN w:val="0"/>
              <w:jc w:val="center"/>
              <w:rPr>
                <w:b/>
                <w:bCs/>
                <w:kern w:val="0"/>
                <w:szCs w:val="21"/>
              </w:rPr>
            </w:pPr>
            <w:r>
              <w:rPr>
                <w:b/>
                <w:bCs/>
                <w:kern w:val="0"/>
                <w:szCs w:val="21"/>
              </w:rPr>
              <w:t>评估依据</w:t>
            </w:r>
          </w:p>
        </w:tc>
        <w:tc>
          <w:tcPr>
            <w:tcW w:w="924" w:type="pct"/>
            <w:vAlign w:val="center"/>
          </w:tcPr>
          <w:p>
            <w:pPr>
              <w:autoSpaceDE w:val="0"/>
              <w:autoSpaceDN w:val="0"/>
              <w:jc w:val="center"/>
              <w:rPr>
                <w:b/>
                <w:bCs/>
                <w:kern w:val="0"/>
                <w:szCs w:val="21"/>
              </w:rPr>
            </w:pPr>
            <w:r>
              <w:rPr>
                <w:b/>
                <w:bCs/>
                <w:kern w:val="0"/>
                <w:szCs w:val="21"/>
              </w:rPr>
              <w:t>分值</w:t>
            </w:r>
          </w:p>
        </w:tc>
        <w:tc>
          <w:tcPr>
            <w:tcW w:w="964" w:type="pct"/>
            <w:vAlign w:val="center"/>
          </w:tcPr>
          <w:p>
            <w:pPr>
              <w:autoSpaceDE w:val="0"/>
              <w:autoSpaceDN w:val="0"/>
              <w:jc w:val="center"/>
              <w:rPr>
                <w:b/>
                <w:bCs/>
                <w:kern w:val="0"/>
                <w:szCs w:val="21"/>
              </w:rPr>
            </w:pPr>
            <w:r>
              <w:rPr>
                <w:b/>
                <w:bCs/>
                <w:kern w:val="0"/>
                <w:szCs w:val="21"/>
              </w:rPr>
              <w:t>数量/套(罐区）</w:t>
            </w:r>
          </w:p>
        </w:tc>
        <w:tc>
          <w:tcPr>
            <w:tcW w:w="1068" w:type="pct"/>
            <w:vAlign w:val="center"/>
          </w:tcPr>
          <w:p>
            <w:pPr>
              <w:autoSpaceDE w:val="0"/>
              <w:autoSpaceDN w:val="0"/>
              <w:jc w:val="center"/>
              <w:rPr>
                <w:b/>
                <w:bCs/>
                <w:kern w:val="0"/>
                <w:szCs w:val="21"/>
              </w:rPr>
            </w:pPr>
            <w:r>
              <w:rPr>
                <w:b/>
                <w:bCs/>
                <w:kern w:val="0"/>
                <w:szCs w:val="21"/>
              </w:rPr>
              <w:t>M分值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2" w:type="pct"/>
            <w:vAlign w:val="center"/>
          </w:tcPr>
          <w:p>
            <w:pPr>
              <w:autoSpaceDE w:val="0"/>
              <w:autoSpaceDN w:val="0"/>
              <w:jc w:val="center"/>
              <w:rPr>
                <w:bCs/>
                <w:kern w:val="0"/>
                <w:szCs w:val="21"/>
              </w:rPr>
            </w:pPr>
            <w:r>
              <w:rPr>
                <w:bCs/>
                <w:kern w:val="0"/>
                <w:szCs w:val="21"/>
              </w:rPr>
              <w:t>1</w:t>
            </w:r>
          </w:p>
        </w:tc>
        <w:tc>
          <w:tcPr>
            <w:tcW w:w="1642" w:type="pct"/>
            <w:vAlign w:val="center"/>
          </w:tcPr>
          <w:p>
            <w:pPr>
              <w:autoSpaceDE w:val="0"/>
              <w:autoSpaceDN w:val="0"/>
              <w:jc w:val="center"/>
              <w:rPr>
                <w:bCs/>
                <w:kern w:val="0"/>
                <w:szCs w:val="21"/>
              </w:rPr>
            </w:pPr>
            <w:r>
              <w:rPr>
                <w:bCs/>
                <w:kern w:val="0"/>
                <w:szCs w:val="21"/>
              </w:rPr>
              <w:t>涉及危险物质使用、贮存</w:t>
            </w:r>
          </w:p>
        </w:tc>
        <w:tc>
          <w:tcPr>
            <w:tcW w:w="924" w:type="pct"/>
            <w:vAlign w:val="center"/>
          </w:tcPr>
          <w:p>
            <w:pPr>
              <w:autoSpaceDE w:val="0"/>
              <w:autoSpaceDN w:val="0"/>
              <w:jc w:val="center"/>
              <w:rPr>
                <w:bCs/>
                <w:kern w:val="0"/>
                <w:szCs w:val="21"/>
              </w:rPr>
            </w:pPr>
            <w:r>
              <w:rPr>
                <w:bCs/>
                <w:kern w:val="0"/>
                <w:szCs w:val="21"/>
              </w:rPr>
              <w:t>5</w:t>
            </w:r>
          </w:p>
        </w:tc>
        <w:tc>
          <w:tcPr>
            <w:tcW w:w="964" w:type="pct"/>
            <w:vAlign w:val="center"/>
          </w:tcPr>
          <w:p>
            <w:pPr>
              <w:autoSpaceDE w:val="0"/>
              <w:autoSpaceDN w:val="0"/>
              <w:jc w:val="center"/>
              <w:rPr>
                <w:bCs/>
                <w:kern w:val="0"/>
                <w:szCs w:val="21"/>
              </w:rPr>
            </w:pPr>
            <w:r>
              <w:rPr>
                <w:bCs/>
                <w:kern w:val="0"/>
                <w:szCs w:val="21"/>
              </w:rPr>
              <w:t>/</w:t>
            </w:r>
          </w:p>
        </w:tc>
        <w:tc>
          <w:tcPr>
            <w:tcW w:w="1068" w:type="pct"/>
            <w:vAlign w:val="center"/>
          </w:tcPr>
          <w:p>
            <w:pPr>
              <w:autoSpaceDE w:val="0"/>
              <w:autoSpaceDN w:val="0"/>
              <w:jc w:val="center"/>
              <w:rPr>
                <w:bCs/>
                <w:kern w:val="0"/>
                <w:szCs w:val="21"/>
              </w:rPr>
            </w:pPr>
            <w:r>
              <w:rPr>
                <w:bCs/>
                <w:kern w:val="0"/>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32" w:type="pct"/>
            <w:gridSpan w:val="4"/>
            <w:vAlign w:val="center"/>
          </w:tcPr>
          <w:p>
            <w:pPr>
              <w:autoSpaceDE w:val="0"/>
              <w:autoSpaceDN w:val="0"/>
              <w:jc w:val="center"/>
              <w:rPr>
                <w:bCs/>
                <w:kern w:val="0"/>
                <w:szCs w:val="21"/>
              </w:rPr>
            </w:pPr>
            <w:r>
              <w:rPr>
                <w:bCs/>
                <w:kern w:val="0"/>
                <w:szCs w:val="21"/>
              </w:rPr>
              <w:t>项目M值∑</w:t>
            </w:r>
          </w:p>
        </w:tc>
        <w:tc>
          <w:tcPr>
            <w:tcW w:w="1068" w:type="pct"/>
            <w:vAlign w:val="center"/>
          </w:tcPr>
          <w:p>
            <w:pPr>
              <w:autoSpaceDE w:val="0"/>
              <w:autoSpaceDN w:val="0"/>
              <w:jc w:val="center"/>
              <w:rPr>
                <w:bCs/>
                <w:kern w:val="0"/>
                <w:szCs w:val="21"/>
              </w:rPr>
            </w:pPr>
            <w:r>
              <w:rPr>
                <w:bCs/>
                <w:kern w:val="0"/>
                <w:szCs w:val="21"/>
              </w:rPr>
              <w:t>5</w:t>
            </w:r>
          </w:p>
        </w:tc>
      </w:tr>
    </w:tbl>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危险物质及工艺系统危险性（P）分级</w:t>
      </w:r>
    </w:p>
    <w:p>
      <w:pPr>
        <w:adjustRightInd w:val="0"/>
        <w:snapToGrid w:val="0"/>
        <w:spacing w:line="360" w:lineRule="auto"/>
        <w:ind w:firstLine="480" w:firstLineChars="200"/>
        <w:rPr>
          <w:rFonts w:eastAsiaTheme="minorEastAsia"/>
          <w:bCs/>
          <w:sz w:val="24"/>
        </w:rPr>
      </w:pPr>
      <w:r>
        <w:rPr>
          <w:rFonts w:eastAsiaTheme="minorEastAsia"/>
          <w:bCs/>
          <w:sz w:val="24"/>
        </w:rPr>
        <w:t>根据《建设项目环境风险评价技术导则》（HJ169-2018）中附录C可知：根据危险物质数量与临界量比值（Q）和行业及生产工艺（M），本项目临界量比值（Q）小1，风险项目环境风险潜势为I。</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7.1.4 环境敏感程度（E）的分级</w:t>
      </w:r>
    </w:p>
    <w:p>
      <w:pPr>
        <w:adjustRightInd w:val="0"/>
        <w:snapToGrid w:val="0"/>
        <w:spacing w:line="360" w:lineRule="auto"/>
        <w:ind w:firstLine="480" w:firstLineChars="200"/>
        <w:rPr>
          <w:rFonts w:eastAsiaTheme="minorEastAsia"/>
          <w:bCs/>
          <w:sz w:val="24"/>
        </w:rPr>
      </w:pPr>
      <w:r>
        <w:rPr>
          <w:rFonts w:eastAsiaTheme="minorEastAsia"/>
          <w:bCs/>
          <w:sz w:val="24"/>
        </w:rPr>
        <w:t>（1）大气环境</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分级原则</w:t>
      </w:r>
    </w:p>
    <w:p>
      <w:pPr>
        <w:adjustRightInd w:val="0"/>
        <w:snapToGrid w:val="0"/>
        <w:spacing w:line="360" w:lineRule="auto"/>
        <w:ind w:firstLine="480" w:firstLineChars="200"/>
        <w:rPr>
          <w:rFonts w:eastAsiaTheme="minorEastAsia"/>
          <w:bCs/>
          <w:sz w:val="24"/>
        </w:rPr>
      </w:pPr>
      <w:r>
        <w:rPr>
          <w:rFonts w:eastAsiaTheme="minorEastAsia"/>
          <w:bCs/>
          <w:sz w:val="24"/>
        </w:rPr>
        <w:t>根据《建设项目环境风险评价技术导则》（HJ169-2018）附录D可知：依据环境敏感目标环境敏感性及人口密度划分环境风险受体的敏感性，共分为三种类型，E1为环境高度敏感区，E2为环境中度敏感区，E3为环境低度敏感区，分级原则详见下表。</w:t>
      </w:r>
    </w:p>
    <w:p>
      <w:pPr>
        <w:adjustRightInd w:val="0"/>
        <w:snapToGrid w:val="0"/>
        <w:spacing w:line="360" w:lineRule="auto"/>
        <w:jc w:val="center"/>
        <w:rPr>
          <w:rFonts w:eastAsiaTheme="minorEastAsia"/>
          <w:b/>
          <w:sz w:val="24"/>
        </w:rPr>
      </w:pPr>
      <w:r>
        <w:rPr>
          <w:rFonts w:eastAsiaTheme="minorEastAsia"/>
          <w:b/>
          <w:sz w:val="24"/>
        </w:rPr>
        <w:t>表7.1-10 大气环境敏感程度分级</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80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utoSpaceDE w:val="0"/>
              <w:autoSpaceDN w:val="0"/>
              <w:snapToGrid w:val="0"/>
              <w:jc w:val="center"/>
              <w:rPr>
                <w:b/>
                <w:bCs/>
                <w:kern w:val="0"/>
                <w:szCs w:val="21"/>
              </w:rPr>
            </w:pPr>
            <w:r>
              <w:rPr>
                <w:b/>
                <w:bCs/>
                <w:kern w:val="0"/>
                <w:szCs w:val="21"/>
              </w:rPr>
              <w:t>分级</w:t>
            </w:r>
          </w:p>
        </w:tc>
        <w:tc>
          <w:tcPr>
            <w:tcW w:w="4604" w:type="pct"/>
            <w:vAlign w:val="center"/>
          </w:tcPr>
          <w:p>
            <w:pPr>
              <w:autoSpaceDE w:val="0"/>
              <w:autoSpaceDN w:val="0"/>
              <w:snapToGrid w:val="0"/>
              <w:jc w:val="center"/>
              <w:rPr>
                <w:b/>
                <w:bCs/>
                <w:kern w:val="0"/>
                <w:szCs w:val="21"/>
              </w:rPr>
            </w:pPr>
            <w:r>
              <w:rPr>
                <w:b/>
                <w:bCs/>
                <w:kern w:val="0"/>
                <w:szCs w:val="21"/>
              </w:rPr>
              <w:t>大气环境敏感性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utoSpaceDE w:val="0"/>
              <w:autoSpaceDN w:val="0"/>
              <w:snapToGrid w:val="0"/>
              <w:jc w:val="center"/>
              <w:rPr>
                <w:bCs/>
                <w:kern w:val="0"/>
                <w:szCs w:val="21"/>
              </w:rPr>
            </w:pPr>
            <w:r>
              <w:rPr>
                <w:bCs/>
                <w:kern w:val="0"/>
                <w:szCs w:val="21"/>
              </w:rPr>
              <w:t>E1</w:t>
            </w:r>
          </w:p>
        </w:tc>
        <w:tc>
          <w:tcPr>
            <w:tcW w:w="4604" w:type="pct"/>
            <w:vAlign w:val="center"/>
          </w:tcPr>
          <w:p>
            <w:pPr>
              <w:autoSpaceDE w:val="0"/>
              <w:autoSpaceDN w:val="0"/>
              <w:snapToGrid w:val="0"/>
              <w:jc w:val="center"/>
              <w:rPr>
                <w:bCs/>
                <w:kern w:val="0"/>
                <w:szCs w:val="21"/>
              </w:rPr>
            </w:pPr>
            <w:r>
              <w:rPr>
                <w:bCs/>
                <w:kern w:val="0"/>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utoSpaceDE w:val="0"/>
              <w:autoSpaceDN w:val="0"/>
              <w:snapToGrid w:val="0"/>
              <w:jc w:val="center"/>
              <w:rPr>
                <w:bCs/>
                <w:kern w:val="0"/>
                <w:szCs w:val="21"/>
              </w:rPr>
            </w:pPr>
            <w:r>
              <w:rPr>
                <w:bCs/>
                <w:kern w:val="0"/>
                <w:szCs w:val="21"/>
              </w:rPr>
              <w:t>E2</w:t>
            </w:r>
          </w:p>
        </w:tc>
        <w:tc>
          <w:tcPr>
            <w:tcW w:w="4604" w:type="pct"/>
            <w:vAlign w:val="center"/>
          </w:tcPr>
          <w:p>
            <w:pPr>
              <w:autoSpaceDE w:val="0"/>
              <w:autoSpaceDN w:val="0"/>
              <w:snapToGrid w:val="0"/>
              <w:jc w:val="center"/>
              <w:rPr>
                <w:bCs/>
                <w:kern w:val="0"/>
                <w:szCs w:val="21"/>
              </w:rPr>
            </w:pPr>
            <w:r>
              <w:rPr>
                <w:bCs/>
                <w:kern w:val="0"/>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96" w:type="pct"/>
            <w:vAlign w:val="center"/>
          </w:tcPr>
          <w:p>
            <w:pPr>
              <w:autoSpaceDE w:val="0"/>
              <w:autoSpaceDN w:val="0"/>
              <w:snapToGrid w:val="0"/>
              <w:jc w:val="center"/>
              <w:rPr>
                <w:bCs/>
                <w:kern w:val="0"/>
                <w:szCs w:val="21"/>
              </w:rPr>
            </w:pPr>
            <w:r>
              <w:rPr>
                <w:bCs/>
                <w:kern w:val="0"/>
                <w:szCs w:val="21"/>
              </w:rPr>
              <w:t>E3</w:t>
            </w:r>
          </w:p>
        </w:tc>
        <w:tc>
          <w:tcPr>
            <w:tcW w:w="4604" w:type="pct"/>
            <w:vAlign w:val="center"/>
          </w:tcPr>
          <w:p>
            <w:pPr>
              <w:autoSpaceDE w:val="0"/>
              <w:autoSpaceDN w:val="0"/>
              <w:snapToGrid w:val="0"/>
              <w:jc w:val="center"/>
              <w:rPr>
                <w:bCs/>
                <w:kern w:val="0"/>
                <w:szCs w:val="21"/>
              </w:rPr>
            </w:pPr>
            <w:r>
              <w:rPr>
                <w:bCs/>
                <w:kern w:val="0"/>
                <w:szCs w:val="21"/>
              </w:rPr>
              <w:t>周边5km范围内居住区、医疗卫生、文化教育、科研、行政办公等机构人口总数小于1万人，或其他需要特殊保护区域；或周边500m范围内人口总数小于500人；油气、化学品输送管线管段周边200m范围内，每千米管段人口数小于100人。</w:t>
            </w:r>
          </w:p>
        </w:tc>
      </w:tr>
    </w:tbl>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本项目大气环境敏感程度</w:t>
      </w:r>
    </w:p>
    <w:p>
      <w:pPr>
        <w:adjustRightInd w:val="0"/>
        <w:snapToGrid w:val="0"/>
        <w:spacing w:line="360" w:lineRule="auto"/>
        <w:ind w:firstLine="480" w:firstLineChars="200"/>
        <w:rPr>
          <w:rFonts w:eastAsiaTheme="minorEastAsia"/>
          <w:bCs/>
          <w:sz w:val="24"/>
        </w:rPr>
      </w:pPr>
      <w:r>
        <w:rPr>
          <w:rFonts w:eastAsiaTheme="minorEastAsia"/>
          <w:bCs/>
          <w:sz w:val="24"/>
        </w:rPr>
        <w:t>根据调查，本项目周边5km范围内居住区、医疗卫生、文化教育、科研、行政办公等机构人口总数大于1万人，周边500m范围内人口总数大于1000人。故本项目大气环境敏感程度为E1环境中度敏感区。</w:t>
      </w:r>
    </w:p>
    <w:p>
      <w:pPr>
        <w:adjustRightInd w:val="0"/>
        <w:snapToGrid w:val="0"/>
        <w:spacing w:line="360" w:lineRule="auto"/>
        <w:jc w:val="center"/>
        <w:rPr>
          <w:rFonts w:eastAsiaTheme="minorEastAsia"/>
          <w:b/>
          <w:sz w:val="24"/>
        </w:rPr>
      </w:pPr>
      <w:r>
        <w:rPr>
          <w:rFonts w:eastAsiaTheme="minorEastAsia"/>
          <w:b/>
          <w:sz w:val="24"/>
        </w:rPr>
        <w:t>表7.1-11建设项目大气环境敏感特征表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6"/>
        <w:gridCol w:w="693"/>
        <w:gridCol w:w="1818"/>
        <w:gridCol w:w="1255"/>
        <w:gridCol w:w="1255"/>
        <w:gridCol w:w="1260"/>
        <w:gridCol w:w="125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Align w:val="center"/>
          </w:tcPr>
          <w:p>
            <w:pPr>
              <w:autoSpaceDE w:val="0"/>
              <w:autoSpaceDN w:val="0"/>
              <w:jc w:val="center"/>
              <w:rPr>
                <w:b/>
                <w:bCs/>
                <w:kern w:val="0"/>
                <w:szCs w:val="21"/>
              </w:rPr>
            </w:pPr>
            <w:r>
              <w:rPr>
                <w:b/>
                <w:bCs/>
                <w:kern w:val="0"/>
                <w:szCs w:val="21"/>
              </w:rPr>
              <w:t>类别</w:t>
            </w:r>
          </w:p>
        </w:tc>
        <w:tc>
          <w:tcPr>
            <w:tcW w:w="4285" w:type="pct"/>
            <w:gridSpan w:val="6"/>
            <w:vAlign w:val="center"/>
          </w:tcPr>
          <w:p>
            <w:pPr>
              <w:autoSpaceDE w:val="0"/>
              <w:autoSpaceDN w:val="0"/>
              <w:jc w:val="center"/>
              <w:rPr>
                <w:b/>
                <w:bCs/>
                <w:kern w:val="0"/>
                <w:szCs w:val="21"/>
              </w:rPr>
            </w:pPr>
            <w:r>
              <w:rPr>
                <w:b/>
                <w:bCs/>
                <w:kern w:val="0"/>
                <w:szCs w:val="21"/>
              </w:rPr>
              <w:t>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restart"/>
            <w:vAlign w:val="center"/>
          </w:tcPr>
          <w:p>
            <w:pPr>
              <w:autoSpaceDE w:val="0"/>
              <w:autoSpaceDN w:val="0"/>
              <w:jc w:val="center"/>
              <w:rPr>
                <w:bCs/>
                <w:kern w:val="0"/>
                <w:szCs w:val="21"/>
              </w:rPr>
            </w:pPr>
            <w:r>
              <w:rPr>
                <w:bCs/>
                <w:kern w:val="0"/>
                <w:szCs w:val="21"/>
              </w:rPr>
              <w:t>环境空气</w:t>
            </w:r>
          </w:p>
        </w:tc>
        <w:tc>
          <w:tcPr>
            <w:tcW w:w="4285" w:type="pct"/>
            <w:gridSpan w:val="6"/>
            <w:vAlign w:val="center"/>
          </w:tcPr>
          <w:p>
            <w:pPr>
              <w:autoSpaceDE w:val="0"/>
              <w:autoSpaceDN w:val="0"/>
              <w:jc w:val="center"/>
              <w:rPr>
                <w:bCs/>
                <w:kern w:val="0"/>
                <w:szCs w:val="21"/>
              </w:rPr>
            </w:pPr>
            <w:r>
              <w:rPr>
                <w:bCs/>
                <w:kern w:val="0"/>
                <w:szCs w:val="21"/>
              </w:rPr>
              <w:t>厂址周边5km范围内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szCs w:val="21"/>
              </w:rPr>
            </w:pPr>
          </w:p>
        </w:tc>
        <w:tc>
          <w:tcPr>
            <w:tcW w:w="394" w:type="pct"/>
            <w:vAlign w:val="center"/>
          </w:tcPr>
          <w:p>
            <w:pPr>
              <w:autoSpaceDE w:val="0"/>
              <w:autoSpaceDN w:val="0"/>
              <w:jc w:val="center"/>
              <w:rPr>
                <w:bCs/>
                <w:kern w:val="0"/>
                <w:szCs w:val="21"/>
              </w:rPr>
            </w:pPr>
            <w:r>
              <w:rPr>
                <w:bCs/>
                <w:kern w:val="0"/>
                <w:szCs w:val="21"/>
              </w:rPr>
              <w:t>序号</w:t>
            </w:r>
          </w:p>
        </w:tc>
        <w:tc>
          <w:tcPr>
            <w:tcW w:w="1034" w:type="pct"/>
            <w:vAlign w:val="center"/>
          </w:tcPr>
          <w:p>
            <w:pPr>
              <w:autoSpaceDE w:val="0"/>
              <w:autoSpaceDN w:val="0"/>
              <w:jc w:val="center"/>
              <w:rPr>
                <w:bCs/>
                <w:kern w:val="0"/>
                <w:szCs w:val="21"/>
              </w:rPr>
            </w:pPr>
            <w:r>
              <w:rPr>
                <w:bCs/>
                <w:kern w:val="0"/>
                <w:szCs w:val="21"/>
              </w:rPr>
              <w:t>敏感目标名称</w:t>
            </w:r>
          </w:p>
        </w:tc>
        <w:tc>
          <w:tcPr>
            <w:tcW w:w="714" w:type="pct"/>
            <w:vAlign w:val="center"/>
          </w:tcPr>
          <w:p>
            <w:pPr>
              <w:autoSpaceDE w:val="0"/>
              <w:autoSpaceDN w:val="0"/>
              <w:jc w:val="center"/>
              <w:rPr>
                <w:bCs/>
                <w:kern w:val="0"/>
                <w:szCs w:val="21"/>
              </w:rPr>
            </w:pPr>
            <w:r>
              <w:rPr>
                <w:bCs/>
                <w:kern w:val="0"/>
                <w:szCs w:val="21"/>
              </w:rPr>
              <w:t>相对方位</w:t>
            </w:r>
          </w:p>
        </w:tc>
        <w:tc>
          <w:tcPr>
            <w:tcW w:w="714" w:type="pct"/>
            <w:vAlign w:val="center"/>
          </w:tcPr>
          <w:p>
            <w:pPr>
              <w:autoSpaceDE w:val="0"/>
              <w:autoSpaceDN w:val="0"/>
              <w:jc w:val="center"/>
              <w:rPr>
                <w:bCs/>
                <w:kern w:val="0"/>
                <w:szCs w:val="21"/>
              </w:rPr>
            </w:pPr>
            <w:r>
              <w:rPr>
                <w:bCs/>
                <w:kern w:val="0"/>
                <w:szCs w:val="21"/>
              </w:rPr>
              <w:t>距离/m</w:t>
            </w:r>
          </w:p>
        </w:tc>
        <w:tc>
          <w:tcPr>
            <w:tcW w:w="716" w:type="pct"/>
            <w:vAlign w:val="center"/>
          </w:tcPr>
          <w:p>
            <w:pPr>
              <w:autoSpaceDE w:val="0"/>
              <w:autoSpaceDN w:val="0"/>
              <w:jc w:val="center"/>
              <w:rPr>
                <w:bCs/>
                <w:kern w:val="0"/>
                <w:szCs w:val="21"/>
              </w:rPr>
            </w:pPr>
            <w:r>
              <w:rPr>
                <w:bCs/>
                <w:kern w:val="0"/>
                <w:szCs w:val="21"/>
              </w:rPr>
              <w:t>属性</w:t>
            </w:r>
          </w:p>
        </w:tc>
        <w:tc>
          <w:tcPr>
            <w:tcW w:w="713" w:type="pct"/>
            <w:vAlign w:val="center"/>
          </w:tcPr>
          <w:p>
            <w:pPr>
              <w:autoSpaceDE w:val="0"/>
              <w:autoSpaceDN w:val="0"/>
              <w:jc w:val="center"/>
              <w:rPr>
                <w:bCs/>
                <w:kern w:val="0"/>
                <w:szCs w:val="21"/>
              </w:rPr>
            </w:pPr>
            <w:r>
              <w:rPr>
                <w:bCs/>
                <w:kern w:val="0"/>
                <w:szCs w:val="21"/>
              </w:rPr>
              <w:t>人口数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szCs w:val="21"/>
              </w:rPr>
            </w:pPr>
          </w:p>
        </w:tc>
        <w:tc>
          <w:tcPr>
            <w:tcW w:w="3573" w:type="pct"/>
            <w:gridSpan w:val="5"/>
            <w:vAlign w:val="center"/>
          </w:tcPr>
          <w:p>
            <w:pPr>
              <w:autoSpaceDE w:val="0"/>
              <w:autoSpaceDN w:val="0"/>
              <w:jc w:val="center"/>
              <w:rPr>
                <w:bCs/>
                <w:kern w:val="0"/>
                <w:szCs w:val="21"/>
              </w:rPr>
            </w:pPr>
            <w:r>
              <w:rPr>
                <w:bCs/>
                <w:kern w:val="0"/>
                <w:szCs w:val="21"/>
              </w:rPr>
              <w:t>厂址周边500m范围内人口数小计</w:t>
            </w:r>
          </w:p>
        </w:tc>
        <w:tc>
          <w:tcPr>
            <w:tcW w:w="713" w:type="pct"/>
            <w:vAlign w:val="center"/>
          </w:tcPr>
          <w:p>
            <w:pPr>
              <w:autoSpaceDE w:val="0"/>
              <w:autoSpaceDN w:val="0"/>
              <w:jc w:val="center"/>
              <w:rPr>
                <w:bCs/>
                <w:kern w:val="0"/>
                <w:szCs w:val="21"/>
              </w:rPr>
            </w:pPr>
            <w:r>
              <w:rPr>
                <w:bCs/>
                <w:kern w:val="0"/>
                <w:szCs w:val="21"/>
              </w:rPr>
              <w:t>5000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szCs w:val="21"/>
              </w:rPr>
            </w:pPr>
          </w:p>
        </w:tc>
        <w:tc>
          <w:tcPr>
            <w:tcW w:w="3573" w:type="pct"/>
            <w:gridSpan w:val="5"/>
            <w:vAlign w:val="center"/>
          </w:tcPr>
          <w:p>
            <w:pPr>
              <w:autoSpaceDE w:val="0"/>
              <w:autoSpaceDN w:val="0"/>
              <w:jc w:val="center"/>
              <w:rPr>
                <w:bCs/>
                <w:kern w:val="0"/>
                <w:szCs w:val="21"/>
              </w:rPr>
            </w:pPr>
            <w:r>
              <w:rPr>
                <w:bCs/>
                <w:kern w:val="0"/>
                <w:szCs w:val="21"/>
              </w:rPr>
              <w:t>厂址周边5km范围内人口数小计</w:t>
            </w:r>
          </w:p>
        </w:tc>
        <w:tc>
          <w:tcPr>
            <w:tcW w:w="713" w:type="pct"/>
            <w:vAlign w:val="center"/>
          </w:tcPr>
          <w:p>
            <w:pPr>
              <w:autoSpaceDE w:val="0"/>
              <w:autoSpaceDN w:val="0"/>
              <w:jc w:val="center"/>
              <w:rPr>
                <w:bCs/>
                <w:kern w:val="0"/>
                <w:szCs w:val="21"/>
              </w:rPr>
            </w:pPr>
            <w:r>
              <w:rPr>
                <w:bCs/>
                <w:kern w:val="0"/>
                <w:szCs w:val="21"/>
              </w:rPr>
              <w:t>大于10000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szCs w:val="21"/>
              </w:rPr>
            </w:pPr>
          </w:p>
        </w:tc>
        <w:tc>
          <w:tcPr>
            <w:tcW w:w="3573" w:type="pct"/>
            <w:gridSpan w:val="5"/>
            <w:vAlign w:val="center"/>
          </w:tcPr>
          <w:p>
            <w:pPr>
              <w:autoSpaceDE w:val="0"/>
              <w:autoSpaceDN w:val="0"/>
              <w:jc w:val="center"/>
              <w:rPr>
                <w:bCs/>
                <w:kern w:val="0"/>
                <w:szCs w:val="21"/>
              </w:rPr>
            </w:pPr>
            <w:r>
              <w:rPr>
                <w:bCs/>
                <w:kern w:val="0"/>
                <w:szCs w:val="21"/>
              </w:rPr>
              <w:t>大气环境敏感程度E值</w:t>
            </w:r>
          </w:p>
        </w:tc>
        <w:tc>
          <w:tcPr>
            <w:tcW w:w="713" w:type="pct"/>
            <w:vAlign w:val="center"/>
          </w:tcPr>
          <w:p>
            <w:pPr>
              <w:autoSpaceDE w:val="0"/>
              <w:autoSpaceDN w:val="0"/>
              <w:jc w:val="center"/>
              <w:rPr>
                <w:bCs/>
                <w:kern w:val="0"/>
                <w:szCs w:val="21"/>
              </w:rPr>
            </w:pPr>
            <w:r>
              <w:rPr>
                <w:bCs/>
                <w:kern w:val="0"/>
                <w:szCs w:val="21"/>
              </w:rPr>
              <w:t>E1</w:t>
            </w:r>
          </w:p>
        </w:tc>
      </w:tr>
    </w:tbl>
    <w:p>
      <w:pPr>
        <w:adjustRightInd w:val="0"/>
        <w:snapToGrid w:val="0"/>
        <w:spacing w:line="360" w:lineRule="auto"/>
        <w:ind w:firstLine="480" w:firstLineChars="200"/>
        <w:rPr>
          <w:rFonts w:eastAsiaTheme="minorEastAsia"/>
          <w:bCs/>
          <w:sz w:val="24"/>
        </w:rPr>
      </w:pPr>
      <w:r>
        <w:rPr>
          <w:rFonts w:eastAsiaTheme="minorEastAsia"/>
          <w:bCs/>
          <w:sz w:val="24"/>
        </w:rPr>
        <w:t>（2）地表水环境</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分析原则</w:t>
      </w:r>
    </w:p>
    <w:p>
      <w:pPr>
        <w:adjustRightInd w:val="0"/>
        <w:snapToGrid w:val="0"/>
        <w:spacing w:line="360" w:lineRule="auto"/>
        <w:ind w:firstLine="480" w:firstLineChars="200"/>
        <w:rPr>
          <w:rFonts w:eastAsiaTheme="minorEastAsia"/>
          <w:bCs/>
          <w:sz w:val="24"/>
        </w:rPr>
      </w:pPr>
      <w:r>
        <w:rPr>
          <w:rFonts w:eastAsiaTheme="minorEastAsia"/>
          <w:bCs/>
          <w:sz w:val="24"/>
        </w:rPr>
        <w:t>根据《建设项目环境风险评价技术导则》（HJ169-2018）附录D可知：依据事故情况下危险物质泄漏到水体的排放点受纳地表水体功能敏感性，与下游环境敏感目标情况，共分为三种类型，E1为环境高度敏感区，E2为环境中度敏感区，E3为环境低度敏感区，分级原则详见下表。其中地表水功能敏感性分区和环境敏感目标分级详见下表。</w:t>
      </w:r>
    </w:p>
    <w:p>
      <w:pPr>
        <w:adjustRightInd w:val="0"/>
        <w:snapToGrid w:val="0"/>
        <w:spacing w:line="360" w:lineRule="auto"/>
        <w:jc w:val="center"/>
        <w:rPr>
          <w:rFonts w:eastAsiaTheme="minorEastAsia"/>
          <w:b/>
          <w:sz w:val="24"/>
        </w:rPr>
      </w:pPr>
      <w:r>
        <w:rPr>
          <w:rFonts w:eastAsiaTheme="minorEastAsia"/>
          <w:b/>
          <w:sz w:val="24"/>
        </w:rPr>
        <w:t>表7.2-3 地表水环境敏感程度分级</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91"/>
        <w:gridCol w:w="1874"/>
        <w:gridCol w:w="2062"/>
        <w:gridCol w:w="20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88" w:type="pct"/>
            <w:vMerge w:val="restart"/>
            <w:vAlign w:val="center"/>
          </w:tcPr>
          <w:p>
            <w:pPr>
              <w:autoSpaceDE w:val="0"/>
              <w:autoSpaceDN w:val="0"/>
              <w:jc w:val="center"/>
              <w:rPr>
                <w:b/>
                <w:kern w:val="0"/>
              </w:rPr>
            </w:pPr>
            <w:r>
              <w:rPr>
                <w:b/>
                <w:kern w:val="0"/>
              </w:rPr>
              <w:t>环境敏感目标</w:t>
            </w:r>
          </w:p>
        </w:tc>
        <w:tc>
          <w:tcPr>
            <w:tcW w:w="3412" w:type="pct"/>
            <w:gridSpan w:val="3"/>
            <w:vAlign w:val="center"/>
          </w:tcPr>
          <w:p>
            <w:pPr>
              <w:autoSpaceDE w:val="0"/>
              <w:autoSpaceDN w:val="0"/>
              <w:jc w:val="center"/>
              <w:rPr>
                <w:b/>
                <w:kern w:val="0"/>
              </w:rPr>
            </w:pPr>
            <w:r>
              <w:rPr>
                <w:b/>
                <w:kern w:val="0"/>
              </w:rPr>
              <w:t>地表水功能敏感性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88" w:type="pct"/>
            <w:vMerge w:val="continue"/>
            <w:vAlign w:val="center"/>
          </w:tcPr>
          <w:p>
            <w:pPr>
              <w:widowControl/>
              <w:jc w:val="left"/>
              <w:rPr>
                <w:b/>
                <w:kern w:val="0"/>
              </w:rPr>
            </w:pPr>
          </w:p>
        </w:tc>
        <w:tc>
          <w:tcPr>
            <w:tcW w:w="1066" w:type="pct"/>
            <w:vAlign w:val="center"/>
          </w:tcPr>
          <w:p>
            <w:pPr>
              <w:autoSpaceDE w:val="0"/>
              <w:autoSpaceDN w:val="0"/>
              <w:jc w:val="center"/>
              <w:rPr>
                <w:b/>
                <w:kern w:val="0"/>
              </w:rPr>
            </w:pPr>
            <w:r>
              <w:rPr>
                <w:b/>
                <w:kern w:val="0"/>
              </w:rPr>
              <w:t>F1</w:t>
            </w:r>
          </w:p>
        </w:tc>
        <w:tc>
          <w:tcPr>
            <w:tcW w:w="1173" w:type="pct"/>
            <w:vAlign w:val="center"/>
          </w:tcPr>
          <w:p>
            <w:pPr>
              <w:autoSpaceDE w:val="0"/>
              <w:autoSpaceDN w:val="0"/>
              <w:jc w:val="center"/>
              <w:rPr>
                <w:b/>
                <w:kern w:val="0"/>
              </w:rPr>
            </w:pPr>
            <w:r>
              <w:rPr>
                <w:b/>
                <w:kern w:val="0"/>
              </w:rPr>
              <w:t>F2</w:t>
            </w:r>
          </w:p>
        </w:tc>
        <w:tc>
          <w:tcPr>
            <w:tcW w:w="1173" w:type="pct"/>
            <w:vAlign w:val="center"/>
          </w:tcPr>
          <w:p>
            <w:pPr>
              <w:autoSpaceDE w:val="0"/>
              <w:autoSpaceDN w:val="0"/>
              <w:jc w:val="center"/>
              <w:rPr>
                <w:b/>
                <w:kern w:val="0"/>
              </w:rPr>
            </w:pPr>
            <w:r>
              <w:rPr>
                <w:b/>
                <w:kern w:val="0"/>
              </w:rPr>
              <w:t>F3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88" w:type="pct"/>
            <w:vAlign w:val="center"/>
          </w:tcPr>
          <w:p>
            <w:pPr>
              <w:autoSpaceDE w:val="0"/>
              <w:autoSpaceDN w:val="0"/>
              <w:jc w:val="center"/>
              <w:rPr>
                <w:bCs/>
                <w:kern w:val="0"/>
              </w:rPr>
            </w:pPr>
            <w:r>
              <w:rPr>
                <w:bCs/>
                <w:kern w:val="0"/>
              </w:rPr>
              <w:t>S1</w:t>
            </w:r>
          </w:p>
        </w:tc>
        <w:tc>
          <w:tcPr>
            <w:tcW w:w="1066" w:type="pct"/>
            <w:vAlign w:val="center"/>
          </w:tcPr>
          <w:p>
            <w:pPr>
              <w:autoSpaceDE w:val="0"/>
              <w:autoSpaceDN w:val="0"/>
              <w:jc w:val="center"/>
              <w:rPr>
                <w:bCs/>
                <w:kern w:val="0"/>
              </w:rPr>
            </w:pPr>
            <w:r>
              <w:rPr>
                <w:bCs/>
                <w:kern w:val="0"/>
              </w:rPr>
              <w:t>E1</w:t>
            </w:r>
          </w:p>
        </w:tc>
        <w:tc>
          <w:tcPr>
            <w:tcW w:w="1173" w:type="pct"/>
            <w:vAlign w:val="center"/>
          </w:tcPr>
          <w:p>
            <w:pPr>
              <w:autoSpaceDE w:val="0"/>
              <w:autoSpaceDN w:val="0"/>
              <w:jc w:val="center"/>
              <w:rPr>
                <w:bCs/>
                <w:kern w:val="0"/>
              </w:rPr>
            </w:pPr>
            <w:r>
              <w:rPr>
                <w:bCs/>
                <w:kern w:val="0"/>
              </w:rPr>
              <w:t>E1</w:t>
            </w:r>
          </w:p>
        </w:tc>
        <w:tc>
          <w:tcPr>
            <w:tcW w:w="1173" w:type="pct"/>
            <w:vAlign w:val="center"/>
          </w:tcPr>
          <w:p>
            <w:pPr>
              <w:autoSpaceDE w:val="0"/>
              <w:autoSpaceDN w:val="0"/>
              <w:jc w:val="center"/>
              <w:rPr>
                <w:bCs/>
                <w:kern w:val="0"/>
              </w:rPr>
            </w:pPr>
            <w:r>
              <w:rPr>
                <w:bCs/>
                <w:kern w:val="0"/>
              </w:rPr>
              <w:t>E2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88" w:type="pct"/>
            <w:vAlign w:val="center"/>
          </w:tcPr>
          <w:p>
            <w:pPr>
              <w:autoSpaceDE w:val="0"/>
              <w:autoSpaceDN w:val="0"/>
              <w:jc w:val="center"/>
              <w:rPr>
                <w:bCs/>
                <w:kern w:val="0"/>
              </w:rPr>
            </w:pPr>
            <w:r>
              <w:rPr>
                <w:bCs/>
                <w:kern w:val="0"/>
              </w:rPr>
              <w:t>S2</w:t>
            </w:r>
          </w:p>
        </w:tc>
        <w:tc>
          <w:tcPr>
            <w:tcW w:w="1066" w:type="pct"/>
            <w:vAlign w:val="center"/>
          </w:tcPr>
          <w:p>
            <w:pPr>
              <w:autoSpaceDE w:val="0"/>
              <w:autoSpaceDN w:val="0"/>
              <w:jc w:val="center"/>
              <w:rPr>
                <w:bCs/>
                <w:kern w:val="0"/>
              </w:rPr>
            </w:pPr>
            <w:r>
              <w:rPr>
                <w:bCs/>
                <w:kern w:val="0"/>
              </w:rPr>
              <w:t>E1</w:t>
            </w:r>
          </w:p>
        </w:tc>
        <w:tc>
          <w:tcPr>
            <w:tcW w:w="1173" w:type="pct"/>
            <w:vAlign w:val="center"/>
          </w:tcPr>
          <w:p>
            <w:pPr>
              <w:autoSpaceDE w:val="0"/>
              <w:autoSpaceDN w:val="0"/>
              <w:jc w:val="center"/>
              <w:rPr>
                <w:bCs/>
                <w:kern w:val="0"/>
              </w:rPr>
            </w:pPr>
            <w:r>
              <w:rPr>
                <w:bCs/>
                <w:kern w:val="0"/>
              </w:rPr>
              <w:t>E2</w:t>
            </w:r>
          </w:p>
        </w:tc>
        <w:tc>
          <w:tcPr>
            <w:tcW w:w="1173" w:type="pct"/>
            <w:vAlign w:val="center"/>
          </w:tcPr>
          <w:p>
            <w:pPr>
              <w:autoSpaceDE w:val="0"/>
              <w:autoSpaceDN w:val="0"/>
              <w:jc w:val="center"/>
              <w:rPr>
                <w:bCs/>
                <w:kern w:val="0"/>
              </w:rPr>
            </w:pPr>
            <w:r>
              <w:rPr>
                <w:bCs/>
                <w:kern w:val="0"/>
              </w:rPr>
              <w:t>E3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88" w:type="pct"/>
            <w:vAlign w:val="center"/>
          </w:tcPr>
          <w:p>
            <w:pPr>
              <w:autoSpaceDE w:val="0"/>
              <w:autoSpaceDN w:val="0"/>
              <w:jc w:val="center"/>
              <w:rPr>
                <w:bCs/>
                <w:kern w:val="0"/>
              </w:rPr>
            </w:pPr>
            <w:r>
              <w:rPr>
                <w:bCs/>
                <w:kern w:val="0"/>
              </w:rPr>
              <w:t>S3</w:t>
            </w:r>
          </w:p>
        </w:tc>
        <w:tc>
          <w:tcPr>
            <w:tcW w:w="1066" w:type="pct"/>
            <w:vAlign w:val="center"/>
          </w:tcPr>
          <w:p>
            <w:pPr>
              <w:autoSpaceDE w:val="0"/>
              <w:autoSpaceDN w:val="0"/>
              <w:jc w:val="center"/>
              <w:rPr>
                <w:bCs/>
                <w:kern w:val="0"/>
              </w:rPr>
            </w:pPr>
            <w:r>
              <w:rPr>
                <w:bCs/>
                <w:kern w:val="0"/>
              </w:rPr>
              <w:t>E1</w:t>
            </w:r>
          </w:p>
        </w:tc>
        <w:tc>
          <w:tcPr>
            <w:tcW w:w="1173" w:type="pct"/>
            <w:vAlign w:val="center"/>
          </w:tcPr>
          <w:p>
            <w:pPr>
              <w:autoSpaceDE w:val="0"/>
              <w:autoSpaceDN w:val="0"/>
              <w:jc w:val="center"/>
              <w:rPr>
                <w:bCs/>
                <w:kern w:val="0"/>
              </w:rPr>
            </w:pPr>
            <w:r>
              <w:rPr>
                <w:bCs/>
                <w:kern w:val="0"/>
              </w:rPr>
              <w:t>E2</w:t>
            </w:r>
          </w:p>
        </w:tc>
        <w:tc>
          <w:tcPr>
            <w:tcW w:w="1173" w:type="pct"/>
            <w:vAlign w:val="center"/>
          </w:tcPr>
          <w:p>
            <w:pPr>
              <w:autoSpaceDE w:val="0"/>
              <w:autoSpaceDN w:val="0"/>
              <w:jc w:val="center"/>
              <w:rPr>
                <w:bCs/>
                <w:kern w:val="0"/>
              </w:rPr>
            </w:pPr>
            <w:r>
              <w:rPr>
                <w:bCs/>
                <w:kern w:val="0"/>
              </w:rPr>
              <w:t>E3</w:t>
            </w:r>
          </w:p>
        </w:tc>
      </w:tr>
    </w:tbl>
    <w:p>
      <w:pPr>
        <w:adjustRightInd w:val="0"/>
        <w:snapToGrid w:val="0"/>
        <w:spacing w:line="360" w:lineRule="auto"/>
        <w:jc w:val="center"/>
        <w:rPr>
          <w:rFonts w:eastAsiaTheme="minorEastAsia"/>
          <w:b/>
          <w:sz w:val="24"/>
        </w:rPr>
      </w:pPr>
    </w:p>
    <w:p>
      <w:pPr>
        <w:adjustRightInd w:val="0"/>
        <w:snapToGrid w:val="0"/>
        <w:spacing w:line="360" w:lineRule="auto"/>
        <w:jc w:val="center"/>
        <w:rPr>
          <w:rFonts w:eastAsiaTheme="minorEastAsia"/>
          <w:b/>
          <w:sz w:val="24"/>
        </w:rPr>
      </w:pPr>
      <w:r>
        <w:rPr>
          <w:rFonts w:eastAsiaTheme="minorEastAsia"/>
          <w:b/>
          <w:sz w:val="24"/>
        </w:rPr>
        <w:t>表</w:t>
      </w:r>
      <w:r>
        <w:rPr>
          <w:rFonts w:eastAsiaTheme="minorEastAsia"/>
          <w:b/>
          <w:sz w:val="24"/>
        </w:rPr>
        <w:fldChar w:fldCharType="begin"/>
      </w:r>
      <w:r>
        <w:rPr>
          <w:rFonts w:eastAsiaTheme="minorEastAsia"/>
          <w:b/>
          <w:sz w:val="24"/>
        </w:rPr>
        <w:instrText xml:space="preserve"> STYLEREF 2 \s </w:instrText>
      </w:r>
      <w:r>
        <w:rPr>
          <w:rFonts w:eastAsiaTheme="minorEastAsia"/>
          <w:b/>
          <w:sz w:val="24"/>
        </w:rPr>
        <w:fldChar w:fldCharType="separate"/>
      </w:r>
      <w:r>
        <w:rPr>
          <w:rFonts w:eastAsiaTheme="minorEastAsia"/>
          <w:b/>
          <w:sz w:val="24"/>
        </w:rPr>
        <w:t>7.2</w:t>
      </w:r>
      <w:r>
        <w:rPr>
          <w:rFonts w:eastAsiaTheme="minorEastAsia"/>
          <w:b/>
          <w:sz w:val="24"/>
        </w:rPr>
        <w:fldChar w:fldCharType="end"/>
      </w:r>
      <w:r>
        <w:rPr>
          <w:rFonts w:eastAsiaTheme="minorEastAsia"/>
          <w:b/>
          <w:sz w:val="24"/>
        </w:rPr>
        <w:noBreakHyphen/>
      </w:r>
      <w:r>
        <w:rPr>
          <w:rFonts w:eastAsiaTheme="minorEastAsia"/>
          <w:b/>
          <w:sz w:val="24"/>
        </w:rPr>
        <w:fldChar w:fldCharType="begin"/>
      </w:r>
      <w:r>
        <w:rPr>
          <w:rFonts w:eastAsiaTheme="minorEastAsia"/>
          <w:b/>
          <w:sz w:val="24"/>
        </w:rPr>
        <w:instrText xml:space="preserve"> SEQ 表 \* ARABIC \s 2 </w:instrText>
      </w:r>
      <w:r>
        <w:rPr>
          <w:rFonts w:eastAsiaTheme="minorEastAsia"/>
          <w:b/>
          <w:sz w:val="24"/>
        </w:rPr>
        <w:fldChar w:fldCharType="separate"/>
      </w:r>
      <w:r>
        <w:rPr>
          <w:rFonts w:eastAsiaTheme="minorEastAsia"/>
          <w:b/>
          <w:sz w:val="24"/>
        </w:rPr>
        <w:t>4</w:t>
      </w:r>
      <w:r>
        <w:rPr>
          <w:rFonts w:eastAsiaTheme="minorEastAsia"/>
          <w:b/>
          <w:sz w:val="24"/>
        </w:rPr>
        <w:fldChar w:fldCharType="end"/>
      </w:r>
      <w:r>
        <w:rPr>
          <w:rFonts w:eastAsiaTheme="minorEastAsia"/>
          <w:b/>
          <w:sz w:val="24"/>
        </w:rPr>
        <w:t xml:space="preserve"> 地表水功能敏感性分析</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6"/>
        <w:gridCol w:w="76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
                <w:bCs/>
                <w:kern w:val="0"/>
              </w:rPr>
            </w:pPr>
            <w:r>
              <w:rPr>
                <w:b/>
                <w:bCs/>
                <w:kern w:val="0"/>
              </w:rPr>
              <w:t>分级</w:t>
            </w:r>
          </w:p>
        </w:tc>
        <w:tc>
          <w:tcPr>
            <w:tcW w:w="4354" w:type="pct"/>
            <w:vAlign w:val="center"/>
          </w:tcPr>
          <w:p>
            <w:pPr>
              <w:autoSpaceDE w:val="0"/>
              <w:autoSpaceDN w:val="0"/>
              <w:jc w:val="center"/>
              <w:rPr>
                <w:b/>
                <w:bCs/>
                <w:kern w:val="0"/>
              </w:rPr>
            </w:pPr>
            <w:r>
              <w:rPr>
                <w:b/>
                <w:bCs/>
                <w:kern w:val="0"/>
              </w:rPr>
              <w:t>地表水环境敏感特征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Cs/>
                <w:kern w:val="0"/>
              </w:rPr>
            </w:pPr>
            <w:r>
              <w:rPr>
                <w:bCs/>
                <w:kern w:val="0"/>
              </w:rPr>
              <w:t>F1</w:t>
            </w:r>
          </w:p>
        </w:tc>
        <w:tc>
          <w:tcPr>
            <w:tcW w:w="4354" w:type="pct"/>
            <w:vAlign w:val="center"/>
          </w:tcPr>
          <w:p>
            <w:pPr>
              <w:autoSpaceDE w:val="0"/>
              <w:autoSpaceDN w:val="0"/>
              <w:jc w:val="center"/>
              <w:rPr>
                <w:bCs/>
                <w:kern w:val="0"/>
              </w:rPr>
            </w:pPr>
            <w:r>
              <w:rPr>
                <w:bCs/>
                <w:kern w:val="0"/>
              </w:rPr>
              <w:t>排放点进入地表水水域环境功能为II类及以上，或海水水质分类第一类；</w:t>
            </w:r>
          </w:p>
          <w:p>
            <w:pPr>
              <w:autoSpaceDE w:val="0"/>
              <w:autoSpaceDN w:val="0"/>
              <w:jc w:val="center"/>
              <w:rPr>
                <w:bCs/>
                <w:kern w:val="0"/>
              </w:rPr>
            </w:pPr>
            <w:r>
              <w:rPr>
                <w:bCs/>
                <w:kern w:val="0"/>
              </w:rPr>
              <w:t>或以发生事故时，危险物质泄漏到水体的排放点算起，排放进入受纳河流最大流速时，24h流经范围内跨国界的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Cs/>
                <w:kern w:val="0"/>
              </w:rPr>
            </w:pPr>
            <w:r>
              <w:rPr>
                <w:bCs/>
                <w:kern w:val="0"/>
              </w:rPr>
              <w:t>F2</w:t>
            </w:r>
          </w:p>
        </w:tc>
        <w:tc>
          <w:tcPr>
            <w:tcW w:w="4354" w:type="pct"/>
            <w:vAlign w:val="center"/>
          </w:tcPr>
          <w:p>
            <w:pPr>
              <w:autoSpaceDE w:val="0"/>
              <w:autoSpaceDN w:val="0"/>
              <w:jc w:val="center"/>
              <w:rPr>
                <w:bCs/>
                <w:kern w:val="0"/>
              </w:rPr>
            </w:pPr>
            <w:r>
              <w:rPr>
                <w:bCs/>
                <w:kern w:val="0"/>
              </w:rPr>
              <w:t>排放点进入地表水水域环境功能为III类及以上，或海水水质分类第二类；</w:t>
            </w:r>
          </w:p>
          <w:p>
            <w:pPr>
              <w:autoSpaceDE w:val="0"/>
              <w:autoSpaceDN w:val="0"/>
              <w:jc w:val="center"/>
              <w:rPr>
                <w:bCs/>
                <w:kern w:val="0"/>
              </w:rPr>
            </w:pPr>
            <w:r>
              <w:rPr>
                <w:bCs/>
                <w:kern w:val="0"/>
              </w:rPr>
              <w:t>或以发生事故时，危险物质泄漏到水体的排放点算起，排放进入受纳河流最大流速时，24h流经范围内跨省界的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Cs/>
                <w:kern w:val="0"/>
              </w:rPr>
            </w:pPr>
            <w:r>
              <w:rPr>
                <w:bCs/>
                <w:kern w:val="0"/>
              </w:rPr>
              <w:t>F3</w:t>
            </w:r>
          </w:p>
        </w:tc>
        <w:tc>
          <w:tcPr>
            <w:tcW w:w="4354" w:type="pct"/>
            <w:vAlign w:val="center"/>
          </w:tcPr>
          <w:p>
            <w:pPr>
              <w:autoSpaceDE w:val="0"/>
              <w:autoSpaceDN w:val="0"/>
              <w:jc w:val="center"/>
              <w:rPr>
                <w:bCs/>
                <w:kern w:val="0"/>
              </w:rPr>
            </w:pPr>
            <w:r>
              <w:rPr>
                <w:bCs/>
                <w:kern w:val="0"/>
              </w:rPr>
              <w:t>上述地区之外的其他地区</w:t>
            </w:r>
          </w:p>
        </w:tc>
      </w:tr>
    </w:tbl>
    <w:p>
      <w:pPr>
        <w:adjustRightInd w:val="0"/>
        <w:snapToGrid w:val="0"/>
        <w:spacing w:line="360" w:lineRule="auto"/>
        <w:jc w:val="center"/>
        <w:rPr>
          <w:rFonts w:eastAsiaTheme="minorEastAsia"/>
          <w:b/>
          <w:sz w:val="24"/>
        </w:rPr>
      </w:pPr>
      <w:r>
        <w:rPr>
          <w:rFonts w:eastAsiaTheme="minorEastAsia"/>
          <w:b/>
          <w:sz w:val="24"/>
        </w:rPr>
        <w:t>表</w:t>
      </w:r>
      <w:r>
        <w:rPr>
          <w:rFonts w:eastAsiaTheme="minorEastAsia"/>
          <w:b/>
          <w:sz w:val="24"/>
        </w:rPr>
        <w:fldChar w:fldCharType="begin"/>
      </w:r>
      <w:r>
        <w:rPr>
          <w:rFonts w:eastAsiaTheme="minorEastAsia"/>
          <w:b/>
          <w:sz w:val="24"/>
        </w:rPr>
        <w:instrText xml:space="preserve"> STYLEREF 2 \s </w:instrText>
      </w:r>
      <w:r>
        <w:rPr>
          <w:rFonts w:eastAsiaTheme="minorEastAsia"/>
          <w:b/>
          <w:sz w:val="24"/>
        </w:rPr>
        <w:fldChar w:fldCharType="separate"/>
      </w:r>
      <w:r>
        <w:rPr>
          <w:rFonts w:eastAsiaTheme="minorEastAsia"/>
          <w:b/>
          <w:sz w:val="24"/>
        </w:rPr>
        <w:t>7.2</w:t>
      </w:r>
      <w:r>
        <w:rPr>
          <w:rFonts w:eastAsiaTheme="minorEastAsia"/>
          <w:b/>
          <w:sz w:val="24"/>
        </w:rPr>
        <w:fldChar w:fldCharType="end"/>
      </w:r>
      <w:r>
        <w:rPr>
          <w:rFonts w:eastAsiaTheme="minorEastAsia"/>
          <w:b/>
          <w:sz w:val="24"/>
        </w:rPr>
        <w:noBreakHyphen/>
      </w:r>
      <w:r>
        <w:rPr>
          <w:rFonts w:eastAsiaTheme="minorEastAsia"/>
          <w:b/>
          <w:sz w:val="24"/>
        </w:rPr>
        <w:fldChar w:fldCharType="begin"/>
      </w:r>
      <w:r>
        <w:rPr>
          <w:rFonts w:eastAsiaTheme="minorEastAsia"/>
          <w:b/>
          <w:sz w:val="24"/>
        </w:rPr>
        <w:instrText xml:space="preserve"> SEQ 表 \* ARABIC \s 2 </w:instrText>
      </w:r>
      <w:r>
        <w:rPr>
          <w:rFonts w:eastAsiaTheme="minorEastAsia"/>
          <w:b/>
          <w:sz w:val="24"/>
        </w:rPr>
        <w:fldChar w:fldCharType="separate"/>
      </w:r>
      <w:r>
        <w:rPr>
          <w:rFonts w:eastAsiaTheme="minorEastAsia"/>
          <w:b/>
          <w:sz w:val="24"/>
        </w:rPr>
        <w:t>5</w:t>
      </w:r>
      <w:r>
        <w:rPr>
          <w:rFonts w:eastAsiaTheme="minorEastAsia"/>
          <w:b/>
          <w:sz w:val="24"/>
        </w:rPr>
        <w:fldChar w:fldCharType="end"/>
      </w:r>
      <w:r>
        <w:rPr>
          <w:rFonts w:eastAsiaTheme="minorEastAsia"/>
          <w:b/>
          <w:sz w:val="24"/>
        </w:rPr>
        <w:t xml:space="preserve"> 环境敏感目标分级</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36"/>
        <w:gridCol w:w="76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
                <w:kern w:val="0"/>
              </w:rPr>
            </w:pPr>
            <w:r>
              <w:rPr>
                <w:b/>
                <w:kern w:val="0"/>
              </w:rPr>
              <w:t>分级</w:t>
            </w:r>
          </w:p>
        </w:tc>
        <w:tc>
          <w:tcPr>
            <w:tcW w:w="4354" w:type="pct"/>
            <w:vAlign w:val="center"/>
          </w:tcPr>
          <w:p>
            <w:pPr>
              <w:autoSpaceDE w:val="0"/>
              <w:autoSpaceDN w:val="0"/>
              <w:jc w:val="center"/>
              <w:rPr>
                <w:b/>
                <w:kern w:val="0"/>
              </w:rPr>
            </w:pPr>
            <w:r>
              <w:rPr>
                <w:b/>
                <w:kern w:val="0"/>
              </w:rPr>
              <w:t>环境敏感目标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Cs/>
                <w:kern w:val="0"/>
              </w:rPr>
            </w:pPr>
            <w:r>
              <w:rPr>
                <w:bCs/>
                <w:kern w:val="0"/>
              </w:rPr>
              <w:t>S1</w:t>
            </w:r>
          </w:p>
        </w:tc>
        <w:tc>
          <w:tcPr>
            <w:tcW w:w="4354" w:type="pct"/>
            <w:vAlign w:val="center"/>
          </w:tcPr>
          <w:p>
            <w:pPr>
              <w:autoSpaceDE w:val="0"/>
              <w:autoSpaceDN w:val="0"/>
              <w:jc w:val="center"/>
              <w:rPr>
                <w:bCs/>
                <w:kern w:val="0"/>
              </w:rPr>
            </w:pPr>
            <w:r>
              <w:rPr>
                <w:bCs/>
                <w:kern w:val="0"/>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Cs/>
                <w:kern w:val="0"/>
              </w:rPr>
            </w:pPr>
            <w:r>
              <w:rPr>
                <w:bCs/>
                <w:kern w:val="0"/>
              </w:rPr>
              <w:t>S2</w:t>
            </w:r>
          </w:p>
        </w:tc>
        <w:tc>
          <w:tcPr>
            <w:tcW w:w="4354" w:type="pct"/>
            <w:vAlign w:val="center"/>
          </w:tcPr>
          <w:p>
            <w:pPr>
              <w:autoSpaceDE w:val="0"/>
              <w:autoSpaceDN w:val="0"/>
              <w:jc w:val="center"/>
              <w:rPr>
                <w:bCs/>
                <w:kern w:val="0"/>
              </w:rPr>
            </w:pPr>
            <w:r>
              <w:rPr>
                <w:bCs/>
                <w:kern w:val="0"/>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Align w:val="center"/>
          </w:tcPr>
          <w:p>
            <w:pPr>
              <w:autoSpaceDE w:val="0"/>
              <w:autoSpaceDN w:val="0"/>
              <w:jc w:val="center"/>
              <w:rPr>
                <w:bCs/>
                <w:kern w:val="0"/>
              </w:rPr>
            </w:pPr>
            <w:r>
              <w:rPr>
                <w:bCs/>
                <w:kern w:val="0"/>
              </w:rPr>
              <w:t>S3</w:t>
            </w:r>
          </w:p>
        </w:tc>
        <w:tc>
          <w:tcPr>
            <w:tcW w:w="4354" w:type="pct"/>
            <w:vAlign w:val="center"/>
          </w:tcPr>
          <w:p>
            <w:pPr>
              <w:autoSpaceDE w:val="0"/>
              <w:autoSpaceDN w:val="0"/>
              <w:jc w:val="center"/>
              <w:rPr>
                <w:bCs/>
                <w:kern w:val="0"/>
              </w:rPr>
            </w:pPr>
            <w:r>
              <w:rPr>
                <w:bCs/>
                <w:kern w:val="0"/>
              </w:rPr>
              <w:t>排放点下游（顺水流向）10km范围内、近岸海域一个潮周期水质点可能达到的最大水平距离的两倍范围内无上述类型1和类型2包括的敏感保护目标</w:t>
            </w:r>
          </w:p>
        </w:tc>
      </w:tr>
    </w:tbl>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本项目地表水环境敏感程度</w:t>
      </w:r>
    </w:p>
    <w:p>
      <w:pPr>
        <w:adjustRightInd w:val="0"/>
        <w:snapToGrid w:val="0"/>
        <w:spacing w:line="360" w:lineRule="auto"/>
        <w:ind w:firstLine="480" w:firstLineChars="200"/>
        <w:rPr>
          <w:rFonts w:eastAsiaTheme="minorEastAsia"/>
          <w:bCs/>
          <w:sz w:val="24"/>
        </w:rPr>
      </w:pPr>
      <w:r>
        <w:rPr>
          <w:rFonts w:eastAsiaTheme="minorEastAsia"/>
          <w:bCs/>
          <w:sz w:val="24"/>
        </w:rPr>
        <w:t>本项目地表水功能敏感性分区为F2（低敏感），环境敏感目标分级为S3。由此可知本项目地表水环境敏感程度为E2（环境低度敏感区）。</w:t>
      </w:r>
    </w:p>
    <w:p>
      <w:pPr>
        <w:adjustRightInd w:val="0"/>
        <w:snapToGrid w:val="0"/>
        <w:spacing w:line="360" w:lineRule="auto"/>
        <w:jc w:val="center"/>
        <w:rPr>
          <w:rFonts w:eastAsiaTheme="minorEastAsia"/>
          <w:b/>
          <w:sz w:val="24"/>
        </w:rPr>
      </w:pPr>
      <w:r>
        <w:rPr>
          <w:rFonts w:eastAsiaTheme="minorEastAsia"/>
          <w:b/>
          <w:sz w:val="24"/>
        </w:rPr>
        <w:t>表7.2 6 建设项目地表水环境敏感特征表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6"/>
        <w:gridCol w:w="693"/>
        <w:gridCol w:w="1946"/>
        <w:gridCol w:w="1508"/>
        <w:gridCol w:w="874"/>
        <w:gridCol w:w="635"/>
        <w:gridCol w:w="18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Align w:val="center"/>
          </w:tcPr>
          <w:p>
            <w:pPr>
              <w:autoSpaceDE w:val="0"/>
              <w:autoSpaceDN w:val="0"/>
              <w:jc w:val="center"/>
              <w:rPr>
                <w:b/>
                <w:bCs/>
                <w:kern w:val="0"/>
              </w:rPr>
            </w:pPr>
            <w:r>
              <w:rPr>
                <w:b/>
                <w:bCs/>
                <w:kern w:val="0"/>
              </w:rPr>
              <w:t>类别</w:t>
            </w:r>
          </w:p>
        </w:tc>
        <w:tc>
          <w:tcPr>
            <w:tcW w:w="4285" w:type="pct"/>
            <w:gridSpan w:val="6"/>
            <w:vAlign w:val="center"/>
          </w:tcPr>
          <w:p>
            <w:pPr>
              <w:autoSpaceDE w:val="0"/>
              <w:autoSpaceDN w:val="0"/>
              <w:jc w:val="center"/>
              <w:rPr>
                <w:b/>
                <w:bCs/>
                <w:kern w:val="0"/>
              </w:rPr>
            </w:pPr>
            <w:r>
              <w:rPr>
                <w:b/>
                <w:bCs/>
                <w:kern w:val="0"/>
              </w:rPr>
              <w:t>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restart"/>
            <w:vAlign w:val="center"/>
          </w:tcPr>
          <w:p>
            <w:pPr>
              <w:autoSpaceDE w:val="0"/>
              <w:autoSpaceDN w:val="0"/>
              <w:jc w:val="center"/>
              <w:rPr>
                <w:bCs/>
                <w:kern w:val="0"/>
              </w:rPr>
            </w:pPr>
            <w:r>
              <w:rPr>
                <w:bCs/>
                <w:kern w:val="0"/>
              </w:rPr>
              <w:t>地表水</w:t>
            </w:r>
          </w:p>
        </w:tc>
        <w:tc>
          <w:tcPr>
            <w:tcW w:w="4285" w:type="pct"/>
            <w:gridSpan w:val="6"/>
            <w:vAlign w:val="center"/>
          </w:tcPr>
          <w:p>
            <w:pPr>
              <w:autoSpaceDE w:val="0"/>
              <w:autoSpaceDN w:val="0"/>
              <w:jc w:val="center"/>
              <w:rPr>
                <w:bCs/>
                <w:kern w:val="0"/>
              </w:rPr>
            </w:pPr>
            <w:r>
              <w:rPr>
                <w:bCs/>
                <w:kern w:val="0"/>
              </w:rPr>
              <w:t>受纳水体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rPr>
            </w:pPr>
          </w:p>
        </w:tc>
        <w:tc>
          <w:tcPr>
            <w:tcW w:w="394" w:type="pct"/>
            <w:vAlign w:val="center"/>
          </w:tcPr>
          <w:p>
            <w:pPr>
              <w:autoSpaceDE w:val="0"/>
              <w:autoSpaceDN w:val="0"/>
              <w:jc w:val="center"/>
              <w:rPr>
                <w:bCs/>
                <w:kern w:val="0"/>
              </w:rPr>
            </w:pPr>
            <w:r>
              <w:rPr>
                <w:bCs/>
                <w:kern w:val="0"/>
              </w:rPr>
              <w:t>序号</w:t>
            </w:r>
          </w:p>
        </w:tc>
        <w:tc>
          <w:tcPr>
            <w:tcW w:w="1107" w:type="pct"/>
            <w:vAlign w:val="center"/>
          </w:tcPr>
          <w:p>
            <w:pPr>
              <w:autoSpaceDE w:val="0"/>
              <w:autoSpaceDN w:val="0"/>
              <w:jc w:val="center"/>
              <w:rPr>
                <w:bCs/>
                <w:kern w:val="0"/>
              </w:rPr>
            </w:pPr>
            <w:r>
              <w:rPr>
                <w:bCs/>
                <w:kern w:val="0"/>
              </w:rPr>
              <w:t>最终受纳水体名称</w:t>
            </w:r>
          </w:p>
        </w:tc>
        <w:tc>
          <w:tcPr>
            <w:tcW w:w="1355" w:type="pct"/>
            <w:gridSpan w:val="2"/>
            <w:vAlign w:val="center"/>
          </w:tcPr>
          <w:p>
            <w:pPr>
              <w:autoSpaceDE w:val="0"/>
              <w:autoSpaceDN w:val="0"/>
              <w:jc w:val="center"/>
              <w:rPr>
                <w:bCs/>
                <w:kern w:val="0"/>
              </w:rPr>
            </w:pPr>
            <w:r>
              <w:rPr>
                <w:bCs/>
                <w:kern w:val="0"/>
              </w:rPr>
              <w:t>排放点水域环境功能</w:t>
            </w:r>
          </w:p>
        </w:tc>
        <w:tc>
          <w:tcPr>
            <w:tcW w:w="1429" w:type="pct"/>
            <w:gridSpan w:val="2"/>
            <w:vAlign w:val="center"/>
          </w:tcPr>
          <w:p>
            <w:pPr>
              <w:autoSpaceDE w:val="0"/>
              <w:autoSpaceDN w:val="0"/>
              <w:jc w:val="center"/>
              <w:rPr>
                <w:bCs/>
                <w:kern w:val="0"/>
              </w:rPr>
            </w:pPr>
            <w:r>
              <w:rPr>
                <w:bCs/>
                <w:kern w:val="0"/>
              </w:rPr>
              <w:t>24h内流经范围/km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rPr>
            </w:pPr>
          </w:p>
        </w:tc>
        <w:tc>
          <w:tcPr>
            <w:tcW w:w="394" w:type="pct"/>
            <w:vAlign w:val="center"/>
          </w:tcPr>
          <w:p>
            <w:pPr>
              <w:autoSpaceDE w:val="0"/>
              <w:autoSpaceDN w:val="0"/>
              <w:jc w:val="center"/>
              <w:rPr>
                <w:bCs/>
                <w:kern w:val="0"/>
              </w:rPr>
            </w:pPr>
            <w:r>
              <w:rPr>
                <w:bCs/>
                <w:kern w:val="0"/>
              </w:rPr>
              <w:t>1</w:t>
            </w:r>
          </w:p>
        </w:tc>
        <w:tc>
          <w:tcPr>
            <w:tcW w:w="1107" w:type="pct"/>
            <w:vAlign w:val="center"/>
          </w:tcPr>
          <w:p>
            <w:pPr>
              <w:autoSpaceDE w:val="0"/>
              <w:autoSpaceDN w:val="0"/>
              <w:jc w:val="center"/>
              <w:rPr>
                <w:bCs/>
                <w:kern w:val="0"/>
              </w:rPr>
            </w:pPr>
            <w:r>
              <w:rPr>
                <w:bCs/>
                <w:kern w:val="0"/>
              </w:rPr>
              <w:t>湘江</w:t>
            </w:r>
          </w:p>
        </w:tc>
        <w:tc>
          <w:tcPr>
            <w:tcW w:w="1355" w:type="pct"/>
            <w:gridSpan w:val="2"/>
            <w:vAlign w:val="center"/>
          </w:tcPr>
          <w:p>
            <w:pPr>
              <w:autoSpaceDE w:val="0"/>
              <w:autoSpaceDN w:val="0"/>
              <w:jc w:val="center"/>
              <w:rPr>
                <w:bCs/>
                <w:kern w:val="0"/>
              </w:rPr>
            </w:pPr>
            <w:r>
              <w:rPr>
                <w:bCs/>
                <w:kern w:val="0"/>
              </w:rPr>
              <w:t>Ⅲ类</w:t>
            </w:r>
          </w:p>
        </w:tc>
        <w:tc>
          <w:tcPr>
            <w:tcW w:w="1429" w:type="pct"/>
            <w:gridSpan w:val="2"/>
            <w:vAlign w:val="center"/>
          </w:tcPr>
          <w:p>
            <w:pPr>
              <w:autoSpaceDE w:val="0"/>
              <w:autoSpaceDN w:val="0"/>
              <w:jc w:val="center"/>
              <w:rPr>
                <w:bCs/>
                <w:kern w:val="0"/>
              </w:rPr>
            </w:pPr>
            <w:r>
              <w:rPr>
                <w:bCs/>
                <w:kern w:val="0"/>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rPr>
            </w:pPr>
          </w:p>
        </w:tc>
        <w:tc>
          <w:tcPr>
            <w:tcW w:w="394" w:type="pct"/>
            <w:vAlign w:val="center"/>
          </w:tcPr>
          <w:p>
            <w:pPr>
              <w:autoSpaceDE w:val="0"/>
              <w:autoSpaceDN w:val="0"/>
              <w:jc w:val="center"/>
              <w:rPr>
                <w:bCs/>
                <w:kern w:val="0"/>
              </w:rPr>
            </w:pPr>
            <w:r>
              <w:rPr>
                <w:rFonts w:hint="eastAsia"/>
                <w:bCs/>
                <w:kern w:val="0"/>
              </w:rPr>
              <w:t>2</w:t>
            </w:r>
          </w:p>
        </w:tc>
        <w:tc>
          <w:tcPr>
            <w:tcW w:w="1107" w:type="pct"/>
            <w:vAlign w:val="center"/>
          </w:tcPr>
          <w:p>
            <w:pPr>
              <w:autoSpaceDE w:val="0"/>
              <w:autoSpaceDN w:val="0"/>
              <w:jc w:val="center"/>
              <w:rPr>
                <w:bCs/>
                <w:kern w:val="0"/>
              </w:rPr>
            </w:pPr>
            <w:r>
              <w:rPr>
                <w:rFonts w:hint="eastAsia"/>
                <w:bCs/>
                <w:kern w:val="0"/>
              </w:rPr>
              <w:t>东湖</w:t>
            </w:r>
          </w:p>
        </w:tc>
        <w:tc>
          <w:tcPr>
            <w:tcW w:w="1355" w:type="pct"/>
            <w:gridSpan w:val="2"/>
            <w:vAlign w:val="center"/>
          </w:tcPr>
          <w:p>
            <w:pPr>
              <w:autoSpaceDE w:val="0"/>
              <w:autoSpaceDN w:val="0"/>
              <w:jc w:val="center"/>
              <w:rPr>
                <w:bCs/>
                <w:kern w:val="0"/>
              </w:rPr>
            </w:pPr>
            <w:r>
              <w:rPr>
                <w:bCs/>
                <w:kern w:val="0"/>
              </w:rPr>
              <w:t>Ⅲ类</w:t>
            </w:r>
          </w:p>
        </w:tc>
        <w:tc>
          <w:tcPr>
            <w:tcW w:w="1429" w:type="pct"/>
            <w:gridSpan w:val="2"/>
            <w:vAlign w:val="center"/>
          </w:tcPr>
          <w:p>
            <w:pPr>
              <w:autoSpaceDE w:val="0"/>
              <w:autoSpaceDN w:val="0"/>
              <w:jc w:val="center"/>
              <w:rPr>
                <w:bCs/>
                <w:kern w:val="0"/>
              </w:rPr>
            </w:pPr>
            <w:r>
              <w:rPr>
                <w:bCs/>
                <w:kern w:val="0"/>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rPr>
            </w:pPr>
          </w:p>
        </w:tc>
        <w:tc>
          <w:tcPr>
            <w:tcW w:w="4285" w:type="pct"/>
            <w:gridSpan w:val="6"/>
            <w:vAlign w:val="center"/>
          </w:tcPr>
          <w:p>
            <w:pPr>
              <w:autoSpaceDE w:val="0"/>
              <w:autoSpaceDN w:val="0"/>
              <w:jc w:val="center"/>
              <w:rPr>
                <w:bCs/>
                <w:kern w:val="0"/>
              </w:rPr>
            </w:pPr>
            <w:r>
              <w:rPr>
                <w:bCs/>
                <w:kern w:val="0"/>
              </w:rPr>
              <w:t>内陆水体排放点下游10km范围内敏感目标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rPr>
            </w:pPr>
          </w:p>
        </w:tc>
        <w:tc>
          <w:tcPr>
            <w:tcW w:w="394" w:type="pct"/>
            <w:vAlign w:val="center"/>
          </w:tcPr>
          <w:p>
            <w:pPr>
              <w:autoSpaceDE w:val="0"/>
              <w:autoSpaceDN w:val="0"/>
              <w:jc w:val="center"/>
              <w:rPr>
                <w:bCs/>
                <w:kern w:val="0"/>
              </w:rPr>
            </w:pPr>
            <w:r>
              <w:rPr>
                <w:bCs/>
                <w:kern w:val="0"/>
              </w:rPr>
              <w:t>序号</w:t>
            </w:r>
          </w:p>
        </w:tc>
        <w:tc>
          <w:tcPr>
            <w:tcW w:w="1107" w:type="pct"/>
            <w:vAlign w:val="center"/>
          </w:tcPr>
          <w:p>
            <w:pPr>
              <w:autoSpaceDE w:val="0"/>
              <w:autoSpaceDN w:val="0"/>
              <w:jc w:val="center"/>
              <w:rPr>
                <w:bCs/>
                <w:kern w:val="0"/>
              </w:rPr>
            </w:pPr>
            <w:r>
              <w:rPr>
                <w:bCs/>
                <w:kern w:val="0"/>
              </w:rPr>
              <w:t>敏感目标名称</w:t>
            </w:r>
          </w:p>
        </w:tc>
        <w:tc>
          <w:tcPr>
            <w:tcW w:w="858" w:type="pct"/>
            <w:vAlign w:val="center"/>
          </w:tcPr>
          <w:p>
            <w:pPr>
              <w:autoSpaceDE w:val="0"/>
              <w:autoSpaceDN w:val="0"/>
              <w:jc w:val="center"/>
              <w:rPr>
                <w:bCs/>
                <w:kern w:val="0"/>
              </w:rPr>
            </w:pPr>
            <w:r>
              <w:rPr>
                <w:bCs/>
                <w:kern w:val="0"/>
              </w:rPr>
              <w:t>环境敏感特征</w:t>
            </w:r>
          </w:p>
        </w:tc>
        <w:tc>
          <w:tcPr>
            <w:tcW w:w="857" w:type="pct"/>
            <w:gridSpan w:val="2"/>
            <w:vAlign w:val="center"/>
          </w:tcPr>
          <w:p>
            <w:pPr>
              <w:autoSpaceDE w:val="0"/>
              <w:autoSpaceDN w:val="0"/>
              <w:jc w:val="center"/>
              <w:rPr>
                <w:bCs/>
                <w:kern w:val="0"/>
              </w:rPr>
            </w:pPr>
            <w:r>
              <w:rPr>
                <w:bCs/>
                <w:kern w:val="0"/>
              </w:rPr>
              <w:t>水质目标</w:t>
            </w:r>
          </w:p>
        </w:tc>
        <w:tc>
          <w:tcPr>
            <w:tcW w:w="1069" w:type="pct"/>
            <w:vAlign w:val="center"/>
          </w:tcPr>
          <w:p>
            <w:pPr>
              <w:autoSpaceDE w:val="0"/>
              <w:autoSpaceDN w:val="0"/>
              <w:jc w:val="center"/>
              <w:rPr>
                <w:bCs/>
                <w:kern w:val="0"/>
              </w:rPr>
            </w:pPr>
            <w:r>
              <w:rPr>
                <w:bCs/>
                <w:kern w:val="0"/>
              </w:rPr>
              <w:t>与排放点距离/m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rPr>
            </w:pPr>
          </w:p>
        </w:tc>
        <w:tc>
          <w:tcPr>
            <w:tcW w:w="394" w:type="pct"/>
            <w:vAlign w:val="center"/>
          </w:tcPr>
          <w:p>
            <w:pPr>
              <w:autoSpaceDE w:val="0"/>
              <w:autoSpaceDN w:val="0"/>
              <w:jc w:val="center"/>
              <w:rPr>
                <w:bCs/>
                <w:kern w:val="0"/>
              </w:rPr>
            </w:pPr>
            <w:r>
              <w:rPr>
                <w:bCs/>
                <w:kern w:val="0"/>
              </w:rPr>
              <w:t>/</w:t>
            </w:r>
          </w:p>
        </w:tc>
        <w:tc>
          <w:tcPr>
            <w:tcW w:w="1107" w:type="pct"/>
            <w:vAlign w:val="center"/>
          </w:tcPr>
          <w:p>
            <w:pPr>
              <w:autoSpaceDE w:val="0"/>
              <w:autoSpaceDN w:val="0"/>
              <w:jc w:val="center"/>
              <w:rPr>
                <w:bCs/>
                <w:kern w:val="0"/>
              </w:rPr>
            </w:pPr>
            <w:r>
              <w:rPr>
                <w:bCs/>
                <w:kern w:val="0"/>
              </w:rPr>
              <w:t>/</w:t>
            </w:r>
          </w:p>
        </w:tc>
        <w:tc>
          <w:tcPr>
            <w:tcW w:w="858" w:type="pct"/>
            <w:vAlign w:val="center"/>
          </w:tcPr>
          <w:p>
            <w:pPr>
              <w:autoSpaceDE w:val="0"/>
              <w:autoSpaceDN w:val="0"/>
              <w:jc w:val="center"/>
              <w:rPr>
                <w:bCs/>
                <w:kern w:val="0"/>
              </w:rPr>
            </w:pPr>
            <w:r>
              <w:rPr>
                <w:bCs/>
                <w:kern w:val="0"/>
              </w:rPr>
              <w:t>/</w:t>
            </w:r>
          </w:p>
        </w:tc>
        <w:tc>
          <w:tcPr>
            <w:tcW w:w="857" w:type="pct"/>
            <w:gridSpan w:val="2"/>
            <w:vAlign w:val="center"/>
          </w:tcPr>
          <w:p>
            <w:pPr>
              <w:autoSpaceDE w:val="0"/>
              <w:autoSpaceDN w:val="0"/>
              <w:jc w:val="center"/>
              <w:rPr>
                <w:bCs/>
                <w:kern w:val="0"/>
              </w:rPr>
            </w:pPr>
            <w:r>
              <w:rPr>
                <w:bCs/>
                <w:kern w:val="0"/>
              </w:rPr>
              <w:t>/</w:t>
            </w:r>
          </w:p>
        </w:tc>
        <w:tc>
          <w:tcPr>
            <w:tcW w:w="1069" w:type="pct"/>
            <w:vAlign w:val="center"/>
          </w:tcPr>
          <w:p>
            <w:pPr>
              <w:autoSpaceDE w:val="0"/>
              <w:autoSpaceDN w:val="0"/>
              <w:jc w:val="center"/>
              <w:rPr>
                <w:bCs/>
                <w:kern w:val="0"/>
              </w:rPr>
            </w:pPr>
            <w:r>
              <w:rPr>
                <w:bCs/>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5" w:type="pct"/>
            <w:vMerge w:val="continue"/>
            <w:vAlign w:val="center"/>
          </w:tcPr>
          <w:p>
            <w:pPr>
              <w:widowControl/>
              <w:jc w:val="left"/>
              <w:rPr>
                <w:bCs/>
                <w:kern w:val="0"/>
              </w:rPr>
            </w:pPr>
          </w:p>
        </w:tc>
        <w:tc>
          <w:tcPr>
            <w:tcW w:w="3217" w:type="pct"/>
            <w:gridSpan w:val="5"/>
            <w:vAlign w:val="center"/>
          </w:tcPr>
          <w:p>
            <w:pPr>
              <w:autoSpaceDE w:val="0"/>
              <w:autoSpaceDN w:val="0"/>
              <w:jc w:val="center"/>
              <w:rPr>
                <w:bCs/>
                <w:kern w:val="0"/>
              </w:rPr>
            </w:pPr>
            <w:r>
              <w:rPr>
                <w:bCs/>
                <w:kern w:val="0"/>
              </w:rPr>
              <w:t>地表水环境敏感程度E值</w:t>
            </w:r>
          </w:p>
        </w:tc>
        <w:tc>
          <w:tcPr>
            <w:tcW w:w="1069" w:type="pct"/>
            <w:vAlign w:val="center"/>
          </w:tcPr>
          <w:p>
            <w:pPr>
              <w:autoSpaceDE w:val="0"/>
              <w:autoSpaceDN w:val="0"/>
              <w:jc w:val="center"/>
              <w:rPr>
                <w:bCs/>
                <w:kern w:val="0"/>
              </w:rPr>
            </w:pPr>
            <w:r>
              <w:rPr>
                <w:bCs/>
                <w:kern w:val="0"/>
              </w:rPr>
              <w:t>E2</w:t>
            </w:r>
          </w:p>
        </w:tc>
      </w:tr>
    </w:tbl>
    <w:p>
      <w:pPr>
        <w:adjustRightInd w:val="0"/>
        <w:snapToGrid w:val="0"/>
        <w:spacing w:line="360" w:lineRule="auto"/>
        <w:ind w:firstLine="480" w:firstLineChars="200"/>
        <w:rPr>
          <w:rFonts w:eastAsiaTheme="minorEastAsia"/>
          <w:bCs/>
          <w:sz w:val="24"/>
        </w:rPr>
      </w:pPr>
    </w:p>
    <w:p>
      <w:pPr>
        <w:adjustRightInd w:val="0"/>
        <w:snapToGrid w:val="0"/>
        <w:spacing w:line="360" w:lineRule="auto"/>
        <w:ind w:firstLine="480" w:firstLineChars="200"/>
        <w:rPr>
          <w:rFonts w:eastAsiaTheme="minorEastAsia"/>
          <w:bCs/>
          <w:sz w:val="24"/>
        </w:rPr>
      </w:pPr>
      <w:r>
        <w:rPr>
          <w:rFonts w:eastAsiaTheme="minorEastAsia"/>
          <w:bCs/>
          <w:sz w:val="24"/>
        </w:rPr>
        <w:t>（3）本项目地下水环境敏感程度</w:t>
      </w:r>
    </w:p>
    <w:p>
      <w:pPr>
        <w:adjustRightInd w:val="0"/>
        <w:snapToGrid w:val="0"/>
        <w:spacing w:line="360" w:lineRule="auto"/>
        <w:ind w:firstLine="480" w:firstLineChars="200"/>
        <w:rPr>
          <w:rFonts w:eastAsiaTheme="minorEastAsia"/>
          <w:bCs/>
          <w:sz w:val="24"/>
        </w:rPr>
      </w:pPr>
      <w:r>
        <w:rPr>
          <w:rFonts w:eastAsiaTheme="minorEastAsia"/>
          <w:bCs/>
          <w:sz w:val="24"/>
        </w:rPr>
        <w:t>本项目周边企业、居民饮用水均采用市政自来水供水，不涉及饮用水水源地，故本项目地下水功能不敏感（G3）。根据项目所在地的地质情况，评价区域及项目场区包气带主要为第四系全新统—更新统含砾粉质粘土，厚度一般10～20m，包气带厚度较厚，成分以粘、粉粒为主，颗粒较细。根据现场渗水试验，包气带渗透系数通过双环渗水试验渗透系数K＝1.42×10-5cm/s～4.62×10-5cm/s，微透水。由此可知，本项目包气带防污性能为D2。</w:t>
      </w:r>
    </w:p>
    <w:p>
      <w:pPr>
        <w:adjustRightInd w:val="0"/>
        <w:snapToGrid w:val="0"/>
        <w:spacing w:line="360" w:lineRule="auto"/>
        <w:jc w:val="center"/>
        <w:rPr>
          <w:rFonts w:eastAsiaTheme="minorEastAsia"/>
          <w:b/>
          <w:sz w:val="24"/>
        </w:rPr>
      </w:pPr>
      <w:r>
        <w:rPr>
          <w:rFonts w:eastAsiaTheme="minorEastAsia"/>
          <w:b/>
          <w:sz w:val="24"/>
        </w:rPr>
        <w:t>表7.1-12 建设项目地下水环境敏感特征表</w:t>
      </w:r>
    </w:p>
    <w:tbl>
      <w:tblPr>
        <w:tblStyle w:val="79"/>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426"/>
        <w:gridCol w:w="1624"/>
        <w:gridCol w:w="1424"/>
        <w:gridCol w:w="1025"/>
        <w:gridCol w:w="1626"/>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tcBorders>
              <w:top w:val="single" w:color="auto" w:sz="12" w:space="0"/>
              <w:left w:val="single" w:color="auto" w:sz="12" w:space="0"/>
              <w:bottom w:val="single" w:color="auto" w:sz="6" w:space="0"/>
              <w:right w:val="single" w:color="auto" w:sz="6" w:space="0"/>
            </w:tcBorders>
            <w:vAlign w:val="center"/>
          </w:tcPr>
          <w:p>
            <w:pPr>
              <w:autoSpaceDE w:val="0"/>
              <w:autoSpaceDN w:val="0"/>
              <w:jc w:val="center"/>
              <w:rPr>
                <w:b/>
                <w:kern w:val="0"/>
              </w:rPr>
            </w:pPr>
            <w:r>
              <w:rPr>
                <w:b/>
                <w:kern w:val="0"/>
              </w:rPr>
              <w:t>类别</w:t>
            </w:r>
          </w:p>
        </w:tc>
        <w:tc>
          <w:tcPr>
            <w:tcW w:w="4523" w:type="pct"/>
            <w:gridSpan w:val="6"/>
            <w:tcBorders>
              <w:top w:val="single" w:color="auto" w:sz="12" w:space="0"/>
              <w:left w:val="single" w:color="auto" w:sz="6" w:space="0"/>
              <w:bottom w:val="single" w:color="auto" w:sz="6" w:space="0"/>
              <w:right w:val="single" w:color="auto" w:sz="12" w:space="0"/>
            </w:tcBorders>
            <w:vAlign w:val="center"/>
          </w:tcPr>
          <w:p>
            <w:pPr>
              <w:autoSpaceDE w:val="0"/>
              <w:autoSpaceDN w:val="0"/>
              <w:jc w:val="center"/>
              <w:rPr>
                <w:b/>
                <w:kern w:val="0"/>
              </w:rPr>
            </w:pPr>
            <w:r>
              <w:rPr>
                <w:b/>
                <w:kern w:val="0"/>
              </w:rPr>
              <w:t>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7" w:type="pct"/>
            <w:vMerge w:val="restart"/>
            <w:tcBorders>
              <w:top w:val="single" w:color="auto" w:sz="6" w:space="0"/>
              <w:left w:val="single" w:color="auto" w:sz="12" w:space="0"/>
              <w:bottom w:val="single" w:color="auto" w:sz="6" w:space="0"/>
              <w:right w:val="single" w:color="auto" w:sz="6" w:space="0"/>
            </w:tcBorders>
            <w:vAlign w:val="center"/>
          </w:tcPr>
          <w:p>
            <w:pPr>
              <w:autoSpaceDE w:val="0"/>
              <w:autoSpaceDN w:val="0"/>
              <w:jc w:val="center"/>
              <w:rPr>
                <w:bCs/>
                <w:kern w:val="0"/>
              </w:rPr>
            </w:pPr>
            <w:r>
              <w:rPr>
                <w:bCs/>
                <w:kern w:val="0"/>
              </w:rPr>
              <w:t>地下水</w:t>
            </w:r>
          </w:p>
        </w:tc>
        <w:tc>
          <w:tcPr>
            <w:tcW w:w="242"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序号</w:t>
            </w:r>
          </w:p>
        </w:tc>
        <w:tc>
          <w:tcPr>
            <w:tcW w:w="924"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环境敏感区名称</w:t>
            </w:r>
          </w:p>
        </w:tc>
        <w:tc>
          <w:tcPr>
            <w:tcW w:w="810"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环境敏感特征</w:t>
            </w:r>
          </w:p>
        </w:tc>
        <w:tc>
          <w:tcPr>
            <w:tcW w:w="583"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水质目标</w:t>
            </w:r>
          </w:p>
        </w:tc>
        <w:tc>
          <w:tcPr>
            <w:tcW w:w="92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包气带防污性能</w:t>
            </w:r>
          </w:p>
        </w:tc>
        <w:tc>
          <w:tcPr>
            <w:tcW w:w="1039" w:type="pct"/>
            <w:tcBorders>
              <w:top w:val="single" w:color="auto" w:sz="6" w:space="0"/>
              <w:left w:val="single" w:color="auto" w:sz="6" w:space="0"/>
              <w:bottom w:val="single" w:color="auto" w:sz="6" w:space="0"/>
              <w:right w:val="single" w:color="auto" w:sz="12" w:space="0"/>
            </w:tcBorders>
            <w:vAlign w:val="center"/>
          </w:tcPr>
          <w:p>
            <w:pPr>
              <w:autoSpaceDE w:val="0"/>
              <w:autoSpaceDN w:val="0"/>
              <w:jc w:val="center"/>
              <w:rPr>
                <w:bCs/>
                <w:kern w:val="0"/>
              </w:rPr>
            </w:pPr>
            <w:r>
              <w:rPr>
                <w:bCs/>
                <w:kern w:val="0"/>
              </w:rPr>
              <w:t>与下游厂界距离/m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op w:val="single" w:color="auto" w:sz="6" w:space="0"/>
              <w:left w:val="single" w:color="auto" w:sz="12" w:space="0"/>
              <w:bottom w:val="single" w:color="auto" w:sz="6" w:space="0"/>
              <w:right w:val="single" w:color="auto" w:sz="6" w:space="0"/>
            </w:tcBorders>
            <w:vAlign w:val="center"/>
          </w:tcPr>
          <w:p>
            <w:pPr>
              <w:autoSpaceDE w:val="0"/>
              <w:autoSpaceDN w:val="0"/>
              <w:jc w:val="center"/>
              <w:rPr>
                <w:bCs/>
                <w:kern w:val="0"/>
              </w:rPr>
            </w:pPr>
          </w:p>
        </w:tc>
        <w:tc>
          <w:tcPr>
            <w:tcW w:w="242"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1</w:t>
            </w:r>
          </w:p>
        </w:tc>
        <w:tc>
          <w:tcPr>
            <w:tcW w:w="924"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w:t>
            </w:r>
          </w:p>
        </w:tc>
        <w:tc>
          <w:tcPr>
            <w:tcW w:w="810"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G3</w:t>
            </w:r>
          </w:p>
        </w:tc>
        <w:tc>
          <w:tcPr>
            <w:tcW w:w="583"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III类</w:t>
            </w:r>
          </w:p>
        </w:tc>
        <w:tc>
          <w:tcPr>
            <w:tcW w:w="92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bCs/>
                <w:kern w:val="0"/>
              </w:rPr>
            </w:pPr>
            <w:r>
              <w:rPr>
                <w:bCs/>
                <w:kern w:val="0"/>
              </w:rPr>
              <w:t>D2</w:t>
            </w:r>
          </w:p>
        </w:tc>
        <w:tc>
          <w:tcPr>
            <w:tcW w:w="1039" w:type="pct"/>
            <w:tcBorders>
              <w:top w:val="single" w:color="auto" w:sz="6" w:space="0"/>
              <w:left w:val="single" w:color="auto" w:sz="6" w:space="0"/>
              <w:bottom w:val="single" w:color="auto" w:sz="6" w:space="0"/>
              <w:right w:val="single" w:color="auto" w:sz="12" w:space="0"/>
            </w:tcBorders>
            <w:vAlign w:val="center"/>
          </w:tcPr>
          <w:p>
            <w:pPr>
              <w:autoSpaceDE w:val="0"/>
              <w:autoSpaceDN w:val="0"/>
              <w:jc w:val="center"/>
              <w:rPr>
                <w:bCs/>
                <w:kern w:val="0"/>
              </w:rPr>
            </w:pPr>
            <w:r>
              <w:rPr>
                <w:bCs/>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op w:val="single" w:color="auto" w:sz="6" w:space="0"/>
              <w:left w:val="single" w:color="auto" w:sz="12" w:space="0"/>
              <w:bottom w:val="single" w:color="auto" w:sz="12" w:space="0"/>
              <w:right w:val="single" w:color="auto" w:sz="6" w:space="0"/>
            </w:tcBorders>
            <w:vAlign w:val="center"/>
          </w:tcPr>
          <w:p>
            <w:pPr>
              <w:autoSpaceDE w:val="0"/>
              <w:autoSpaceDN w:val="0"/>
              <w:jc w:val="center"/>
              <w:rPr>
                <w:bCs/>
                <w:kern w:val="0"/>
              </w:rPr>
            </w:pPr>
          </w:p>
        </w:tc>
        <w:tc>
          <w:tcPr>
            <w:tcW w:w="3484" w:type="pct"/>
            <w:gridSpan w:val="5"/>
            <w:tcBorders>
              <w:top w:val="single" w:color="auto" w:sz="6" w:space="0"/>
              <w:left w:val="single" w:color="auto" w:sz="6" w:space="0"/>
              <w:bottom w:val="single" w:color="auto" w:sz="12" w:space="0"/>
              <w:right w:val="single" w:color="auto" w:sz="6" w:space="0"/>
            </w:tcBorders>
            <w:vAlign w:val="center"/>
          </w:tcPr>
          <w:p>
            <w:pPr>
              <w:autoSpaceDE w:val="0"/>
              <w:autoSpaceDN w:val="0"/>
              <w:jc w:val="center"/>
              <w:rPr>
                <w:bCs/>
                <w:kern w:val="0"/>
              </w:rPr>
            </w:pPr>
            <w:r>
              <w:rPr>
                <w:bCs/>
                <w:kern w:val="0"/>
              </w:rPr>
              <w:t>地下水环境敏感程度E值</w:t>
            </w:r>
          </w:p>
        </w:tc>
        <w:tc>
          <w:tcPr>
            <w:tcW w:w="1039" w:type="pct"/>
            <w:tcBorders>
              <w:top w:val="single" w:color="auto" w:sz="6" w:space="0"/>
              <w:left w:val="single" w:color="auto" w:sz="6" w:space="0"/>
              <w:bottom w:val="single" w:color="auto" w:sz="12" w:space="0"/>
              <w:right w:val="single" w:color="auto" w:sz="12" w:space="0"/>
            </w:tcBorders>
            <w:vAlign w:val="center"/>
          </w:tcPr>
          <w:p>
            <w:pPr>
              <w:autoSpaceDE w:val="0"/>
              <w:autoSpaceDN w:val="0"/>
              <w:jc w:val="center"/>
              <w:rPr>
                <w:bCs/>
                <w:kern w:val="0"/>
              </w:rPr>
            </w:pPr>
            <w:r>
              <w:rPr>
                <w:bCs/>
                <w:kern w:val="0"/>
              </w:rPr>
              <w:t>E3</w:t>
            </w:r>
          </w:p>
        </w:tc>
      </w:tr>
    </w:tbl>
    <w:p>
      <w:pPr>
        <w:pStyle w:val="4"/>
        <w:tabs>
          <w:tab w:val="left" w:pos="1701"/>
        </w:tabs>
        <w:snapToGrid w:val="0"/>
        <w:spacing w:before="0" w:after="0" w:line="360" w:lineRule="auto"/>
        <w:rPr>
          <w:rFonts w:eastAsiaTheme="minorEastAsia"/>
          <w:kern w:val="0"/>
          <w:sz w:val="24"/>
        </w:rPr>
      </w:pPr>
      <w:r>
        <w:rPr>
          <w:rFonts w:eastAsiaTheme="minorEastAsia"/>
          <w:kern w:val="0"/>
          <w:sz w:val="24"/>
        </w:rPr>
        <w:t>7.1.5 建设项目环境风险潜势判断</w:t>
      </w:r>
    </w:p>
    <w:p>
      <w:pPr>
        <w:adjustRightInd w:val="0"/>
        <w:snapToGrid w:val="0"/>
        <w:spacing w:line="360" w:lineRule="auto"/>
        <w:ind w:firstLine="480" w:firstLineChars="200"/>
        <w:rPr>
          <w:rFonts w:eastAsiaTheme="minorEastAsia"/>
          <w:bCs/>
          <w:sz w:val="24"/>
        </w:rPr>
      </w:pPr>
      <w:r>
        <w:rPr>
          <w:rFonts w:eastAsiaTheme="minorEastAsia"/>
          <w:bCs/>
          <w:sz w:val="24"/>
        </w:rPr>
        <w:t>（1）环境风险潜势划分</w:t>
      </w:r>
    </w:p>
    <w:p>
      <w:pPr>
        <w:adjustRightInd w:val="0"/>
        <w:snapToGrid w:val="0"/>
        <w:spacing w:line="360" w:lineRule="auto"/>
        <w:ind w:firstLine="480" w:firstLineChars="200"/>
        <w:rPr>
          <w:rFonts w:eastAsiaTheme="minorEastAsia"/>
          <w:bCs/>
          <w:sz w:val="24"/>
        </w:rPr>
      </w:pPr>
      <w:r>
        <w:rPr>
          <w:rFonts w:eastAsiaTheme="minorEastAsia"/>
          <w:bCs/>
          <w:sz w:val="24"/>
        </w:rPr>
        <w:t>根据HJ169-2018可知，建设项目环境风险潜势划分为I、II、III、IV/IV+级，环境风险评价工作等级划分为一级、二级、三级，</w:t>
      </w:r>
    </w:p>
    <w:p>
      <w:pPr>
        <w:adjustRightInd w:val="0"/>
        <w:snapToGrid w:val="0"/>
        <w:spacing w:line="360" w:lineRule="auto"/>
        <w:jc w:val="center"/>
        <w:rPr>
          <w:rFonts w:eastAsiaTheme="minorEastAsia"/>
          <w:b/>
          <w:sz w:val="24"/>
        </w:rPr>
      </w:pPr>
      <w:r>
        <w:rPr>
          <w:rFonts w:eastAsiaTheme="minorEastAsia"/>
          <w:b/>
          <w:sz w:val="24"/>
        </w:rPr>
        <w:t>表7.1-13  建设项目环境风险潜势划分</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94"/>
        <w:gridCol w:w="1439"/>
        <w:gridCol w:w="1584"/>
        <w:gridCol w:w="1586"/>
        <w:gridCol w:w="15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6" w:type="pct"/>
            <w:vMerge w:val="restart"/>
            <w:vAlign w:val="center"/>
          </w:tcPr>
          <w:p>
            <w:pPr>
              <w:autoSpaceDE w:val="0"/>
              <w:autoSpaceDN w:val="0"/>
              <w:jc w:val="center"/>
              <w:rPr>
                <w:b/>
                <w:bCs/>
                <w:kern w:val="0"/>
                <w:szCs w:val="21"/>
              </w:rPr>
            </w:pPr>
            <w:r>
              <w:rPr>
                <w:b/>
                <w:bCs/>
                <w:kern w:val="0"/>
                <w:szCs w:val="21"/>
              </w:rPr>
              <w:t>环境敏感程度（E）</w:t>
            </w:r>
          </w:p>
        </w:tc>
        <w:tc>
          <w:tcPr>
            <w:tcW w:w="3524" w:type="pct"/>
            <w:gridSpan w:val="4"/>
            <w:vAlign w:val="center"/>
          </w:tcPr>
          <w:p>
            <w:pPr>
              <w:autoSpaceDE w:val="0"/>
              <w:autoSpaceDN w:val="0"/>
              <w:jc w:val="center"/>
              <w:rPr>
                <w:b/>
                <w:bCs/>
                <w:kern w:val="0"/>
                <w:szCs w:val="21"/>
              </w:rPr>
            </w:pPr>
            <w:r>
              <w:rPr>
                <w:b/>
                <w:bCs/>
                <w:kern w:val="0"/>
                <w:szCs w:val="21"/>
              </w:rPr>
              <w:t>危险物质及工艺系统危险性（P）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6" w:type="pct"/>
            <w:vMerge w:val="continue"/>
            <w:vAlign w:val="center"/>
          </w:tcPr>
          <w:p>
            <w:pPr>
              <w:widowControl/>
              <w:jc w:val="left"/>
              <w:rPr>
                <w:b/>
                <w:bCs/>
                <w:kern w:val="0"/>
                <w:szCs w:val="21"/>
              </w:rPr>
            </w:pPr>
          </w:p>
        </w:tc>
        <w:tc>
          <w:tcPr>
            <w:tcW w:w="819" w:type="pct"/>
            <w:vAlign w:val="center"/>
          </w:tcPr>
          <w:p>
            <w:pPr>
              <w:autoSpaceDE w:val="0"/>
              <w:autoSpaceDN w:val="0"/>
              <w:jc w:val="center"/>
              <w:rPr>
                <w:b/>
                <w:bCs/>
                <w:kern w:val="0"/>
                <w:szCs w:val="21"/>
              </w:rPr>
            </w:pPr>
            <w:r>
              <w:rPr>
                <w:b/>
                <w:bCs/>
                <w:kern w:val="0"/>
                <w:szCs w:val="21"/>
              </w:rPr>
              <w:t>极高危害（P1）</w:t>
            </w:r>
          </w:p>
        </w:tc>
        <w:tc>
          <w:tcPr>
            <w:tcW w:w="901" w:type="pct"/>
            <w:vAlign w:val="center"/>
          </w:tcPr>
          <w:p>
            <w:pPr>
              <w:autoSpaceDE w:val="0"/>
              <w:autoSpaceDN w:val="0"/>
              <w:jc w:val="center"/>
              <w:rPr>
                <w:b/>
                <w:bCs/>
                <w:kern w:val="0"/>
                <w:szCs w:val="21"/>
              </w:rPr>
            </w:pPr>
            <w:r>
              <w:rPr>
                <w:b/>
                <w:bCs/>
                <w:kern w:val="0"/>
                <w:szCs w:val="21"/>
              </w:rPr>
              <w:t>高度危害（P2）</w:t>
            </w:r>
          </w:p>
        </w:tc>
        <w:tc>
          <w:tcPr>
            <w:tcW w:w="902" w:type="pct"/>
            <w:vAlign w:val="center"/>
          </w:tcPr>
          <w:p>
            <w:pPr>
              <w:autoSpaceDE w:val="0"/>
              <w:autoSpaceDN w:val="0"/>
              <w:jc w:val="center"/>
              <w:rPr>
                <w:b/>
                <w:bCs/>
                <w:kern w:val="0"/>
                <w:szCs w:val="21"/>
              </w:rPr>
            </w:pPr>
            <w:r>
              <w:rPr>
                <w:b/>
                <w:bCs/>
                <w:kern w:val="0"/>
                <w:szCs w:val="21"/>
              </w:rPr>
              <w:t>中度危害（P3）</w:t>
            </w:r>
          </w:p>
        </w:tc>
        <w:tc>
          <w:tcPr>
            <w:tcW w:w="902" w:type="pct"/>
            <w:vAlign w:val="center"/>
          </w:tcPr>
          <w:p>
            <w:pPr>
              <w:autoSpaceDE w:val="0"/>
              <w:autoSpaceDN w:val="0"/>
              <w:jc w:val="center"/>
              <w:rPr>
                <w:b/>
                <w:bCs/>
                <w:kern w:val="0"/>
                <w:szCs w:val="21"/>
              </w:rPr>
            </w:pPr>
            <w:r>
              <w:rPr>
                <w:b/>
                <w:bCs/>
                <w:kern w:val="0"/>
                <w:szCs w:val="21"/>
              </w:rPr>
              <w:t>轻度危害（P4）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6" w:type="pct"/>
            <w:vAlign w:val="center"/>
          </w:tcPr>
          <w:p>
            <w:pPr>
              <w:autoSpaceDE w:val="0"/>
              <w:autoSpaceDN w:val="0"/>
              <w:jc w:val="center"/>
              <w:rPr>
                <w:bCs/>
                <w:kern w:val="0"/>
                <w:szCs w:val="21"/>
              </w:rPr>
            </w:pPr>
            <w:r>
              <w:rPr>
                <w:bCs/>
                <w:kern w:val="0"/>
                <w:szCs w:val="21"/>
              </w:rPr>
              <w:t>环境高度敏感区（E1）</w:t>
            </w:r>
          </w:p>
        </w:tc>
        <w:tc>
          <w:tcPr>
            <w:tcW w:w="819" w:type="pct"/>
            <w:vAlign w:val="center"/>
          </w:tcPr>
          <w:p>
            <w:pPr>
              <w:autoSpaceDE w:val="0"/>
              <w:autoSpaceDN w:val="0"/>
              <w:jc w:val="center"/>
              <w:rPr>
                <w:bCs/>
                <w:kern w:val="0"/>
                <w:szCs w:val="21"/>
              </w:rPr>
            </w:pPr>
            <w:r>
              <w:rPr>
                <w:bCs/>
                <w:kern w:val="0"/>
                <w:szCs w:val="21"/>
              </w:rPr>
              <w:t>IV</w:t>
            </w:r>
            <w:r>
              <w:rPr>
                <w:bCs/>
                <w:kern w:val="0"/>
                <w:szCs w:val="21"/>
                <w:vertAlign w:val="superscript"/>
              </w:rPr>
              <w:t>+</w:t>
            </w:r>
          </w:p>
        </w:tc>
        <w:tc>
          <w:tcPr>
            <w:tcW w:w="901" w:type="pct"/>
            <w:vAlign w:val="center"/>
          </w:tcPr>
          <w:p>
            <w:pPr>
              <w:autoSpaceDE w:val="0"/>
              <w:autoSpaceDN w:val="0"/>
              <w:jc w:val="center"/>
              <w:rPr>
                <w:bCs/>
                <w:kern w:val="0"/>
                <w:szCs w:val="21"/>
              </w:rPr>
            </w:pPr>
            <w:r>
              <w:rPr>
                <w:bCs/>
                <w:kern w:val="0"/>
                <w:szCs w:val="21"/>
              </w:rPr>
              <w:t>IV</w:t>
            </w:r>
          </w:p>
        </w:tc>
        <w:tc>
          <w:tcPr>
            <w:tcW w:w="902" w:type="pct"/>
            <w:vAlign w:val="center"/>
          </w:tcPr>
          <w:p>
            <w:pPr>
              <w:autoSpaceDE w:val="0"/>
              <w:autoSpaceDN w:val="0"/>
              <w:jc w:val="center"/>
              <w:rPr>
                <w:bCs/>
                <w:kern w:val="0"/>
                <w:szCs w:val="21"/>
              </w:rPr>
            </w:pPr>
            <w:r>
              <w:rPr>
                <w:bCs/>
                <w:kern w:val="0"/>
                <w:szCs w:val="21"/>
              </w:rPr>
              <w:t>III</w:t>
            </w:r>
          </w:p>
        </w:tc>
        <w:tc>
          <w:tcPr>
            <w:tcW w:w="902" w:type="pct"/>
            <w:vAlign w:val="center"/>
          </w:tcPr>
          <w:p>
            <w:pPr>
              <w:autoSpaceDE w:val="0"/>
              <w:autoSpaceDN w:val="0"/>
              <w:jc w:val="center"/>
              <w:rPr>
                <w:bCs/>
                <w:kern w:val="0"/>
                <w:szCs w:val="21"/>
              </w:rPr>
            </w:pPr>
            <w:r>
              <w:rPr>
                <w:bCs/>
                <w:kern w:val="0"/>
                <w:szCs w:val="21"/>
              </w:rPr>
              <w:t>III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6" w:type="pct"/>
            <w:vAlign w:val="center"/>
          </w:tcPr>
          <w:p>
            <w:pPr>
              <w:autoSpaceDE w:val="0"/>
              <w:autoSpaceDN w:val="0"/>
              <w:jc w:val="center"/>
              <w:rPr>
                <w:bCs/>
                <w:kern w:val="0"/>
                <w:szCs w:val="21"/>
              </w:rPr>
            </w:pPr>
            <w:r>
              <w:rPr>
                <w:bCs/>
                <w:kern w:val="0"/>
                <w:szCs w:val="21"/>
              </w:rPr>
              <w:t>环境中度敏感区（E2）</w:t>
            </w:r>
          </w:p>
        </w:tc>
        <w:tc>
          <w:tcPr>
            <w:tcW w:w="819" w:type="pct"/>
            <w:vAlign w:val="center"/>
          </w:tcPr>
          <w:p>
            <w:pPr>
              <w:autoSpaceDE w:val="0"/>
              <w:autoSpaceDN w:val="0"/>
              <w:jc w:val="center"/>
              <w:rPr>
                <w:bCs/>
                <w:kern w:val="0"/>
                <w:szCs w:val="21"/>
              </w:rPr>
            </w:pPr>
            <w:r>
              <w:rPr>
                <w:bCs/>
                <w:kern w:val="0"/>
                <w:szCs w:val="21"/>
              </w:rPr>
              <w:t>IV</w:t>
            </w:r>
          </w:p>
        </w:tc>
        <w:tc>
          <w:tcPr>
            <w:tcW w:w="901" w:type="pct"/>
            <w:vAlign w:val="center"/>
          </w:tcPr>
          <w:p>
            <w:pPr>
              <w:autoSpaceDE w:val="0"/>
              <w:autoSpaceDN w:val="0"/>
              <w:jc w:val="center"/>
              <w:rPr>
                <w:bCs/>
                <w:kern w:val="0"/>
                <w:szCs w:val="21"/>
              </w:rPr>
            </w:pPr>
            <w:r>
              <w:rPr>
                <w:bCs/>
                <w:kern w:val="0"/>
                <w:szCs w:val="21"/>
              </w:rPr>
              <w:t>III</w:t>
            </w:r>
          </w:p>
        </w:tc>
        <w:tc>
          <w:tcPr>
            <w:tcW w:w="902" w:type="pct"/>
            <w:vAlign w:val="center"/>
          </w:tcPr>
          <w:p>
            <w:pPr>
              <w:autoSpaceDE w:val="0"/>
              <w:autoSpaceDN w:val="0"/>
              <w:jc w:val="center"/>
              <w:rPr>
                <w:bCs/>
                <w:kern w:val="0"/>
                <w:szCs w:val="21"/>
              </w:rPr>
            </w:pPr>
            <w:r>
              <w:rPr>
                <w:bCs/>
                <w:kern w:val="0"/>
                <w:szCs w:val="21"/>
              </w:rPr>
              <w:t>III</w:t>
            </w:r>
          </w:p>
        </w:tc>
        <w:tc>
          <w:tcPr>
            <w:tcW w:w="902" w:type="pct"/>
            <w:vAlign w:val="center"/>
          </w:tcPr>
          <w:p>
            <w:pPr>
              <w:autoSpaceDE w:val="0"/>
              <w:autoSpaceDN w:val="0"/>
              <w:jc w:val="center"/>
              <w:rPr>
                <w:bCs/>
                <w:kern w:val="0"/>
                <w:szCs w:val="21"/>
              </w:rPr>
            </w:pPr>
            <w:r>
              <w:rPr>
                <w:bCs/>
                <w:kern w:val="0"/>
                <w:szCs w:val="21"/>
              </w:rPr>
              <w:t>II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6" w:type="pct"/>
            <w:vAlign w:val="center"/>
          </w:tcPr>
          <w:p>
            <w:pPr>
              <w:autoSpaceDE w:val="0"/>
              <w:autoSpaceDN w:val="0"/>
              <w:jc w:val="center"/>
              <w:rPr>
                <w:bCs/>
                <w:kern w:val="0"/>
                <w:szCs w:val="21"/>
              </w:rPr>
            </w:pPr>
            <w:r>
              <w:rPr>
                <w:bCs/>
                <w:kern w:val="0"/>
                <w:szCs w:val="21"/>
              </w:rPr>
              <w:t>环境低度敏感区（E3）</w:t>
            </w:r>
          </w:p>
        </w:tc>
        <w:tc>
          <w:tcPr>
            <w:tcW w:w="819" w:type="pct"/>
            <w:vAlign w:val="center"/>
          </w:tcPr>
          <w:p>
            <w:pPr>
              <w:autoSpaceDE w:val="0"/>
              <w:autoSpaceDN w:val="0"/>
              <w:jc w:val="center"/>
              <w:rPr>
                <w:bCs/>
                <w:kern w:val="0"/>
                <w:szCs w:val="21"/>
              </w:rPr>
            </w:pPr>
            <w:r>
              <w:rPr>
                <w:bCs/>
                <w:kern w:val="0"/>
                <w:szCs w:val="21"/>
              </w:rPr>
              <w:t>III</w:t>
            </w:r>
          </w:p>
        </w:tc>
        <w:tc>
          <w:tcPr>
            <w:tcW w:w="901" w:type="pct"/>
            <w:vAlign w:val="center"/>
          </w:tcPr>
          <w:p>
            <w:pPr>
              <w:autoSpaceDE w:val="0"/>
              <w:autoSpaceDN w:val="0"/>
              <w:jc w:val="center"/>
              <w:rPr>
                <w:bCs/>
                <w:kern w:val="0"/>
                <w:szCs w:val="21"/>
              </w:rPr>
            </w:pPr>
            <w:r>
              <w:rPr>
                <w:bCs/>
                <w:kern w:val="0"/>
                <w:szCs w:val="21"/>
              </w:rPr>
              <w:t>III</w:t>
            </w:r>
          </w:p>
        </w:tc>
        <w:tc>
          <w:tcPr>
            <w:tcW w:w="902" w:type="pct"/>
            <w:vAlign w:val="center"/>
          </w:tcPr>
          <w:p>
            <w:pPr>
              <w:autoSpaceDE w:val="0"/>
              <w:autoSpaceDN w:val="0"/>
              <w:jc w:val="center"/>
              <w:rPr>
                <w:bCs/>
                <w:kern w:val="0"/>
                <w:szCs w:val="21"/>
              </w:rPr>
            </w:pPr>
            <w:r>
              <w:rPr>
                <w:bCs/>
                <w:kern w:val="0"/>
                <w:szCs w:val="21"/>
              </w:rPr>
              <w:t>II</w:t>
            </w:r>
          </w:p>
        </w:tc>
        <w:tc>
          <w:tcPr>
            <w:tcW w:w="902" w:type="pct"/>
            <w:vAlign w:val="center"/>
          </w:tcPr>
          <w:p>
            <w:pPr>
              <w:autoSpaceDE w:val="0"/>
              <w:autoSpaceDN w:val="0"/>
              <w:jc w:val="center"/>
              <w:rPr>
                <w:bCs/>
                <w:kern w:val="0"/>
                <w:szCs w:val="21"/>
              </w:rPr>
            </w:pPr>
            <w:r>
              <w:rPr>
                <w:bCs/>
                <w:kern w:val="0"/>
                <w:szCs w:val="21"/>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autoSpaceDE w:val="0"/>
              <w:autoSpaceDN w:val="0"/>
              <w:jc w:val="center"/>
              <w:rPr>
                <w:bCs/>
                <w:kern w:val="0"/>
                <w:szCs w:val="21"/>
              </w:rPr>
            </w:pPr>
            <w:r>
              <w:rPr>
                <w:bCs/>
                <w:kern w:val="0"/>
                <w:szCs w:val="21"/>
              </w:rPr>
              <w:t>注：IV</w:t>
            </w:r>
            <w:r>
              <w:rPr>
                <w:bCs/>
                <w:kern w:val="0"/>
                <w:szCs w:val="21"/>
                <w:vertAlign w:val="superscript"/>
              </w:rPr>
              <w:t>+</w:t>
            </w:r>
            <w:r>
              <w:rPr>
                <w:bCs/>
                <w:kern w:val="0"/>
                <w:szCs w:val="21"/>
              </w:rPr>
              <w:t>为极高环境风险。</w:t>
            </w:r>
          </w:p>
        </w:tc>
      </w:tr>
    </w:tbl>
    <w:p>
      <w:pPr>
        <w:adjustRightInd w:val="0"/>
        <w:snapToGrid w:val="0"/>
        <w:spacing w:line="360" w:lineRule="auto"/>
        <w:jc w:val="center"/>
        <w:rPr>
          <w:rFonts w:eastAsiaTheme="minorEastAsia"/>
          <w:b/>
          <w:sz w:val="24"/>
        </w:rPr>
      </w:pPr>
      <w:r>
        <w:rPr>
          <w:rFonts w:eastAsiaTheme="minorEastAsia"/>
          <w:b/>
          <w:sz w:val="24"/>
        </w:rPr>
        <w:t>表7.1-14  评价工作等级划分</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57"/>
        <w:gridCol w:w="1758"/>
        <w:gridCol w:w="1758"/>
        <w:gridCol w:w="1758"/>
        <w:gridCol w:w="1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snapToGrid w:val="0"/>
              <w:jc w:val="center"/>
              <w:rPr>
                <w:bCs/>
                <w:kern w:val="0"/>
                <w:szCs w:val="21"/>
              </w:rPr>
            </w:pPr>
            <w:r>
              <w:rPr>
                <w:kern w:val="0"/>
                <w:szCs w:val="21"/>
              </w:rPr>
              <w:t>环境风险潜势</w:t>
            </w:r>
          </w:p>
        </w:tc>
        <w:tc>
          <w:tcPr>
            <w:tcW w:w="1000" w:type="pct"/>
            <w:vAlign w:val="center"/>
          </w:tcPr>
          <w:p>
            <w:pPr>
              <w:snapToGrid w:val="0"/>
              <w:jc w:val="center"/>
              <w:rPr>
                <w:bCs/>
                <w:kern w:val="0"/>
                <w:szCs w:val="21"/>
              </w:rPr>
            </w:pPr>
            <w:r>
              <w:rPr>
                <w:kern w:val="0"/>
                <w:szCs w:val="21"/>
              </w:rPr>
              <w:t>Ⅳ、Ⅳ</w:t>
            </w:r>
            <w:r>
              <w:rPr>
                <w:kern w:val="0"/>
                <w:szCs w:val="21"/>
                <w:vertAlign w:val="superscript"/>
              </w:rPr>
              <w:t>+</w:t>
            </w:r>
          </w:p>
        </w:tc>
        <w:tc>
          <w:tcPr>
            <w:tcW w:w="1000" w:type="pct"/>
            <w:vAlign w:val="center"/>
          </w:tcPr>
          <w:p>
            <w:pPr>
              <w:snapToGrid w:val="0"/>
              <w:jc w:val="center"/>
              <w:rPr>
                <w:bCs/>
                <w:kern w:val="0"/>
                <w:szCs w:val="21"/>
              </w:rPr>
            </w:pPr>
            <w:r>
              <w:rPr>
                <w:kern w:val="0"/>
                <w:szCs w:val="21"/>
              </w:rPr>
              <w:t>Ⅲ</w:t>
            </w:r>
          </w:p>
        </w:tc>
        <w:tc>
          <w:tcPr>
            <w:tcW w:w="1000" w:type="pct"/>
            <w:vAlign w:val="center"/>
          </w:tcPr>
          <w:p>
            <w:pPr>
              <w:snapToGrid w:val="0"/>
              <w:jc w:val="center"/>
              <w:rPr>
                <w:bCs/>
                <w:kern w:val="0"/>
                <w:szCs w:val="21"/>
              </w:rPr>
            </w:pPr>
            <w:r>
              <w:rPr>
                <w:kern w:val="0"/>
                <w:szCs w:val="21"/>
              </w:rPr>
              <w:t>Ⅱ</w:t>
            </w:r>
          </w:p>
        </w:tc>
        <w:tc>
          <w:tcPr>
            <w:tcW w:w="1000" w:type="pct"/>
            <w:vAlign w:val="center"/>
          </w:tcPr>
          <w:p>
            <w:pPr>
              <w:snapToGrid w:val="0"/>
              <w:jc w:val="center"/>
              <w:rPr>
                <w:bCs/>
                <w:kern w:val="0"/>
                <w:szCs w:val="21"/>
              </w:rPr>
            </w:pPr>
            <w:r>
              <w:rPr>
                <w:kern w:val="0"/>
                <w:szCs w:val="21"/>
              </w:rPr>
              <w:t>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snapToGrid w:val="0"/>
              <w:jc w:val="center"/>
              <w:rPr>
                <w:bCs/>
                <w:kern w:val="0"/>
                <w:szCs w:val="21"/>
              </w:rPr>
            </w:pPr>
            <w:r>
              <w:rPr>
                <w:bCs/>
                <w:kern w:val="0"/>
                <w:szCs w:val="21"/>
              </w:rPr>
              <w:t>评价工作等级</w:t>
            </w:r>
          </w:p>
        </w:tc>
        <w:tc>
          <w:tcPr>
            <w:tcW w:w="1000" w:type="pct"/>
            <w:vAlign w:val="center"/>
          </w:tcPr>
          <w:p>
            <w:pPr>
              <w:snapToGrid w:val="0"/>
              <w:jc w:val="center"/>
              <w:rPr>
                <w:bCs/>
                <w:kern w:val="0"/>
                <w:szCs w:val="21"/>
              </w:rPr>
            </w:pPr>
            <w:r>
              <w:rPr>
                <w:bCs/>
                <w:kern w:val="0"/>
                <w:szCs w:val="21"/>
              </w:rPr>
              <w:t>一</w:t>
            </w:r>
          </w:p>
        </w:tc>
        <w:tc>
          <w:tcPr>
            <w:tcW w:w="1000" w:type="pct"/>
            <w:vAlign w:val="center"/>
          </w:tcPr>
          <w:p>
            <w:pPr>
              <w:snapToGrid w:val="0"/>
              <w:jc w:val="center"/>
              <w:rPr>
                <w:bCs/>
                <w:kern w:val="0"/>
                <w:szCs w:val="21"/>
              </w:rPr>
            </w:pPr>
            <w:r>
              <w:rPr>
                <w:bCs/>
                <w:kern w:val="0"/>
                <w:szCs w:val="21"/>
              </w:rPr>
              <w:t>二</w:t>
            </w:r>
          </w:p>
        </w:tc>
        <w:tc>
          <w:tcPr>
            <w:tcW w:w="1000" w:type="pct"/>
            <w:vAlign w:val="center"/>
          </w:tcPr>
          <w:p>
            <w:pPr>
              <w:snapToGrid w:val="0"/>
              <w:jc w:val="center"/>
              <w:rPr>
                <w:bCs/>
                <w:kern w:val="0"/>
                <w:szCs w:val="21"/>
              </w:rPr>
            </w:pPr>
            <w:r>
              <w:rPr>
                <w:bCs/>
                <w:kern w:val="0"/>
                <w:szCs w:val="21"/>
              </w:rPr>
              <w:t>三</w:t>
            </w:r>
          </w:p>
        </w:tc>
        <w:tc>
          <w:tcPr>
            <w:tcW w:w="1000" w:type="pct"/>
            <w:vAlign w:val="center"/>
          </w:tcPr>
          <w:p>
            <w:pPr>
              <w:snapToGrid w:val="0"/>
              <w:jc w:val="center"/>
              <w:rPr>
                <w:bCs/>
                <w:kern w:val="0"/>
                <w:szCs w:val="21"/>
              </w:rPr>
            </w:pPr>
            <w:r>
              <w:rPr>
                <w:bCs/>
                <w:kern w:val="0"/>
                <w:szCs w:val="21"/>
              </w:rPr>
              <w:t>简单分析a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5"/>
            <w:vAlign w:val="center"/>
          </w:tcPr>
          <w:p>
            <w:pPr>
              <w:snapToGrid w:val="0"/>
              <w:jc w:val="left"/>
              <w:rPr>
                <w:bCs/>
                <w:kern w:val="0"/>
                <w:szCs w:val="21"/>
              </w:rPr>
            </w:pPr>
            <w:r>
              <w:rPr>
                <w:bCs/>
                <w:kern w:val="0"/>
                <w:szCs w:val="21"/>
              </w:rPr>
              <w:t>a 是相对于详细评价工作内容而言，在描述危险物质、环境影响途径、环境危害后果、风险防范措施等方面给出定性的说明。见附录A。</w:t>
            </w:r>
          </w:p>
        </w:tc>
      </w:tr>
    </w:tbl>
    <w:p>
      <w:pPr>
        <w:adjustRightInd w:val="0"/>
        <w:snapToGrid w:val="0"/>
        <w:spacing w:line="360" w:lineRule="auto"/>
        <w:ind w:firstLine="480" w:firstLineChars="200"/>
        <w:rPr>
          <w:rFonts w:eastAsiaTheme="minorEastAsia"/>
          <w:bCs/>
          <w:sz w:val="24"/>
        </w:rPr>
      </w:pPr>
      <w:r>
        <w:rPr>
          <w:rFonts w:eastAsiaTheme="minorEastAsia"/>
          <w:bCs/>
          <w:sz w:val="24"/>
        </w:rPr>
        <w:t>（2）本项目环境风险潜势和评价等级划分</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大气环境风险潜势和评价等级划分</w:t>
      </w:r>
    </w:p>
    <w:p>
      <w:pPr>
        <w:adjustRightInd w:val="0"/>
        <w:snapToGrid w:val="0"/>
        <w:spacing w:line="360" w:lineRule="auto"/>
        <w:ind w:firstLine="480" w:firstLineChars="200"/>
        <w:rPr>
          <w:rFonts w:eastAsiaTheme="minorEastAsia"/>
          <w:bCs/>
          <w:sz w:val="24"/>
        </w:rPr>
      </w:pPr>
      <w:r>
        <w:rPr>
          <w:rFonts w:eastAsiaTheme="minorEastAsia"/>
          <w:bCs/>
          <w:sz w:val="24"/>
        </w:rPr>
        <w:t>本项目Q小于1，大气环境敏感程度为环境中度敏感区（E1），由Q＜1可知，本项目环境风险潜势划分为Ⅰ级，环境风险评价工作等级划分为简单分析。</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地表水环境风险潜势和评价等级划分</w:t>
      </w:r>
    </w:p>
    <w:p>
      <w:pPr>
        <w:adjustRightInd w:val="0"/>
        <w:snapToGrid w:val="0"/>
        <w:spacing w:line="360" w:lineRule="auto"/>
        <w:ind w:firstLine="480" w:firstLineChars="200"/>
        <w:rPr>
          <w:rFonts w:eastAsiaTheme="minorEastAsia"/>
          <w:bCs/>
          <w:sz w:val="24"/>
        </w:rPr>
      </w:pPr>
      <w:r>
        <w:rPr>
          <w:rFonts w:eastAsiaTheme="minorEastAsia"/>
          <w:bCs/>
          <w:sz w:val="24"/>
        </w:rPr>
        <w:t>本项目Q小于1，地表水环境敏感程度为环境中度敏感区（E2），由Q＜1可知，本项目环境风险潜势划分为Ⅰ级，环境风险评价工作等级划分为简单分析。</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地下水环境风险潜势和评价等级划分</w:t>
      </w:r>
    </w:p>
    <w:p>
      <w:pPr>
        <w:adjustRightInd w:val="0"/>
        <w:snapToGrid w:val="0"/>
        <w:spacing w:line="360" w:lineRule="auto"/>
        <w:ind w:firstLine="480" w:firstLineChars="200"/>
        <w:rPr>
          <w:rFonts w:eastAsiaTheme="minorEastAsia"/>
          <w:bCs/>
          <w:sz w:val="24"/>
        </w:rPr>
      </w:pPr>
      <w:r>
        <w:rPr>
          <w:rFonts w:eastAsiaTheme="minorEastAsia"/>
          <w:bCs/>
          <w:sz w:val="24"/>
        </w:rPr>
        <w:t>本项目Q小于1，地表水环境敏感程度为环境中度敏感区（E3），由Q＜1可知，本项目环境风险潜势划分为Ⅰ级，环境风险评价工作等级划分为简单分析。</w:t>
      </w:r>
    </w:p>
    <w:p>
      <w:pPr>
        <w:pStyle w:val="3"/>
        <w:tabs>
          <w:tab w:val="left" w:pos="1418"/>
        </w:tabs>
        <w:snapToGrid w:val="0"/>
        <w:spacing w:before="0" w:after="0" w:line="360" w:lineRule="auto"/>
        <w:rPr>
          <w:rFonts w:ascii="Times New Roman" w:hAnsi="Times New Roman" w:eastAsiaTheme="minorEastAsia"/>
          <w:sz w:val="28"/>
          <w:lang w:val="zh-CN"/>
        </w:rPr>
      </w:pPr>
      <w:bookmarkStart w:id="170" w:name="_Toc61026618"/>
      <w:r>
        <w:rPr>
          <w:rFonts w:ascii="Times New Roman" w:hAnsi="Times New Roman" w:eastAsiaTheme="minorEastAsia"/>
          <w:sz w:val="28"/>
          <w:lang w:val="zh-CN"/>
        </w:rPr>
        <w:t>7.2 最大可信事故</w:t>
      </w:r>
      <w:bookmarkEnd w:id="170"/>
    </w:p>
    <w:p>
      <w:pPr>
        <w:adjustRightInd w:val="0"/>
        <w:snapToGrid w:val="0"/>
        <w:spacing w:line="360" w:lineRule="auto"/>
        <w:ind w:firstLine="480" w:firstLineChars="200"/>
        <w:rPr>
          <w:rFonts w:eastAsiaTheme="minorEastAsia"/>
          <w:bCs/>
          <w:sz w:val="24"/>
        </w:rPr>
      </w:pPr>
      <w:r>
        <w:rPr>
          <w:rFonts w:eastAsiaTheme="minorEastAsia"/>
          <w:bCs/>
          <w:sz w:val="24"/>
        </w:rPr>
        <w:t>按照《建设项目环境风险评价技术导则》（HJ169-2018）中的定义，最大可信事故指：在所有预测的概率不为零的事故中，对环境（或健康）危害最严重的重大事故。</w:t>
      </w:r>
    </w:p>
    <w:p>
      <w:pPr>
        <w:adjustRightInd w:val="0"/>
        <w:snapToGrid w:val="0"/>
        <w:spacing w:line="360" w:lineRule="auto"/>
        <w:ind w:firstLine="480" w:firstLineChars="200"/>
        <w:rPr>
          <w:rFonts w:eastAsiaTheme="minorEastAsia"/>
          <w:bCs/>
          <w:sz w:val="24"/>
        </w:rPr>
      </w:pPr>
      <w:r>
        <w:rPr>
          <w:rFonts w:eastAsiaTheme="minorEastAsia"/>
          <w:bCs/>
          <w:sz w:val="24"/>
        </w:rPr>
        <w:t>根据前面分析，项目污水处理设施事故状态下的排污，医疗废物在收集、贮存、运送过程中的存在的风险，二氧化氯、盐酸可能因泄漏而大量挥发进入环境空气污染，医用化学品出现事故造成泄漏或引起火灾爆炸等事件的发生概率均不为零。其中，对环境（或健康）危害最严重的重大事故为废水事故，二氧化氯、盐酸可能因泄漏而大量挥发进入环境空气污染。</w:t>
      </w:r>
    </w:p>
    <w:p>
      <w:pPr>
        <w:pStyle w:val="3"/>
        <w:tabs>
          <w:tab w:val="left" w:pos="1418"/>
        </w:tabs>
        <w:snapToGrid w:val="0"/>
        <w:spacing w:before="0" w:after="0" w:line="360" w:lineRule="auto"/>
        <w:rPr>
          <w:rFonts w:ascii="Times New Roman" w:hAnsi="Times New Roman" w:eastAsiaTheme="minorEastAsia"/>
          <w:sz w:val="28"/>
          <w:lang w:val="zh-CN"/>
        </w:rPr>
      </w:pPr>
      <w:bookmarkStart w:id="171" w:name="_Toc61026619"/>
      <w:r>
        <w:rPr>
          <w:rFonts w:ascii="Times New Roman" w:hAnsi="Times New Roman" w:eastAsiaTheme="minorEastAsia"/>
          <w:sz w:val="28"/>
          <w:lang w:val="zh-CN"/>
        </w:rPr>
        <w:t>7.3 环境风险影响分析</w:t>
      </w:r>
      <w:bookmarkEnd w:id="171"/>
    </w:p>
    <w:p>
      <w:pPr>
        <w:pStyle w:val="4"/>
        <w:tabs>
          <w:tab w:val="left" w:pos="1701"/>
        </w:tabs>
        <w:snapToGrid w:val="0"/>
        <w:spacing w:before="0" w:after="0" w:line="360" w:lineRule="auto"/>
        <w:rPr>
          <w:rFonts w:eastAsiaTheme="minorEastAsia"/>
          <w:kern w:val="0"/>
          <w:sz w:val="24"/>
        </w:rPr>
      </w:pPr>
      <w:r>
        <w:rPr>
          <w:rFonts w:eastAsiaTheme="minorEastAsia"/>
          <w:kern w:val="0"/>
          <w:sz w:val="24"/>
        </w:rPr>
        <w:t>7.3.1 医院污水排放风险分析</w:t>
      </w:r>
    </w:p>
    <w:p>
      <w:pPr>
        <w:adjustRightInd w:val="0"/>
        <w:snapToGrid w:val="0"/>
        <w:spacing w:line="360" w:lineRule="auto"/>
        <w:ind w:firstLine="480" w:firstLineChars="200"/>
        <w:rPr>
          <w:rFonts w:eastAsiaTheme="minorEastAsia"/>
          <w:bCs/>
          <w:sz w:val="24"/>
        </w:rPr>
      </w:pPr>
      <w:r>
        <w:rPr>
          <w:rFonts w:eastAsiaTheme="minorEastAsia"/>
          <w:bCs/>
          <w:sz w:val="24"/>
        </w:rPr>
        <w:t>（1）医院污水排放情况</w:t>
      </w:r>
    </w:p>
    <w:p>
      <w:pPr>
        <w:adjustRightInd w:val="0"/>
        <w:snapToGrid w:val="0"/>
        <w:spacing w:line="360" w:lineRule="auto"/>
        <w:ind w:firstLine="480" w:firstLineChars="200"/>
        <w:rPr>
          <w:rFonts w:eastAsiaTheme="minorEastAsia"/>
          <w:bCs/>
          <w:sz w:val="24"/>
        </w:rPr>
      </w:pPr>
      <w:r>
        <w:rPr>
          <w:rFonts w:eastAsiaTheme="minorEastAsia"/>
          <w:bCs/>
          <w:sz w:val="24"/>
        </w:rPr>
        <w:t>本项目医院污水经自建污水处理站处理后，再通过市政排污管网，排入湘阴县第一污水处理厂处理，最后达标尾水再排入湘江。事故排放情况下，即视为未经自建污水处理站处理达标而直接排至市政污水管网。</w:t>
      </w:r>
    </w:p>
    <w:p>
      <w:pPr>
        <w:adjustRightInd w:val="0"/>
        <w:snapToGrid w:val="0"/>
        <w:spacing w:line="360" w:lineRule="auto"/>
        <w:ind w:firstLine="480" w:firstLineChars="200"/>
        <w:rPr>
          <w:rFonts w:eastAsiaTheme="minorEastAsia"/>
          <w:bCs/>
          <w:sz w:val="24"/>
        </w:rPr>
      </w:pPr>
      <w:r>
        <w:rPr>
          <w:rFonts w:eastAsiaTheme="minorEastAsia"/>
          <w:bCs/>
          <w:sz w:val="24"/>
        </w:rPr>
        <w:t>（2）医院污水处理过程中的事故因素</w:t>
      </w:r>
    </w:p>
    <w:p>
      <w:pPr>
        <w:adjustRightInd w:val="0"/>
        <w:snapToGrid w:val="0"/>
        <w:spacing w:line="360" w:lineRule="auto"/>
        <w:ind w:firstLine="480" w:firstLineChars="200"/>
        <w:rPr>
          <w:rFonts w:eastAsiaTheme="minorEastAsia"/>
          <w:bCs/>
          <w:sz w:val="24"/>
        </w:rPr>
      </w:pPr>
      <w:r>
        <w:rPr>
          <w:rFonts w:eastAsiaTheme="minorEastAsia"/>
          <w:bCs/>
          <w:sz w:val="24"/>
        </w:rPr>
        <w:t>医院污水处理过程中的事故因素包括两方面：一是操作不当或处理设施失灵，废水不能达标而直接排放。医院污水可沾染病人的血、尿、便，或受到粪便、感染性细菌和病毒等病原性微生物污染，具有感染性，可以诱发疾病或造成伤害；含有酸、碱、悬浮固体、BOD</w:t>
      </w:r>
      <w:r>
        <w:rPr>
          <w:rFonts w:eastAsiaTheme="minorEastAsia"/>
          <w:bCs/>
          <w:sz w:val="24"/>
          <w:vertAlign w:val="subscript"/>
        </w:rPr>
        <w:t>5</w:t>
      </w:r>
      <w:r>
        <w:rPr>
          <w:rFonts w:eastAsiaTheme="minorEastAsia"/>
          <w:bCs/>
          <w:sz w:val="24"/>
        </w:rPr>
        <w:t>、COD等有毒、有害物质和多种致病菌、病毒和寄生虫卵，它们在环境中具有一定的适应力，有的甚至在污水中存活较长，危害性较大；二是虽然废水水质处理达标，但未能较好的控制水量，使过多的余氯、大肠杆菌排放水体，影响湘阴县第一污水处理厂的处理效率，进一步影响湘江的水质。</w:t>
      </w:r>
    </w:p>
    <w:p>
      <w:pPr>
        <w:adjustRightInd w:val="0"/>
        <w:snapToGrid w:val="0"/>
        <w:spacing w:line="360" w:lineRule="auto"/>
        <w:ind w:firstLine="480" w:firstLineChars="200"/>
        <w:rPr>
          <w:rFonts w:eastAsiaTheme="minorEastAsia"/>
          <w:bCs/>
          <w:sz w:val="24"/>
        </w:rPr>
      </w:pPr>
      <w:r>
        <w:rPr>
          <w:rFonts w:eastAsiaTheme="minorEastAsia"/>
          <w:bCs/>
          <w:sz w:val="24"/>
        </w:rPr>
        <w:t>（3）对水体的影响</w:t>
      </w:r>
    </w:p>
    <w:p>
      <w:pPr>
        <w:adjustRightInd w:val="0"/>
        <w:snapToGrid w:val="0"/>
        <w:spacing w:line="360" w:lineRule="auto"/>
        <w:ind w:firstLine="480" w:firstLineChars="200"/>
        <w:rPr>
          <w:rFonts w:eastAsiaTheme="minorEastAsia"/>
          <w:bCs/>
          <w:sz w:val="24"/>
        </w:rPr>
      </w:pPr>
      <w:r>
        <w:rPr>
          <w:rFonts w:eastAsiaTheme="minorEastAsia"/>
          <w:bCs/>
          <w:sz w:val="24"/>
        </w:rPr>
        <w:t>项目所排废水未经污水处理厂处理达标而直接排入湘江，加重湘江的水质负荷。医院每日接触各种病人，因而不可避免的会在医院的污水中存在各种细菌、病毒和寄生虫卵。</w:t>
      </w:r>
    </w:p>
    <w:p>
      <w:pPr>
        <w:adjustRightInd w:val="0"/>
        <w:snapToGrid w:val="0"/>
        <w:spacing w:line="360" w:lineRule="auto"/>
        <w:ind w:firstLine="480" w:firstLineChars="200"/>
        <w:rPr>
          <w:rFonts w:eastAsiaTheme="minorEastAsia"/>
          <w:bCs/>
          <w:sz w:val="24"/>
        </w:rPr>
      </w:pPr>
      <w:r>
        <w:rPr>
          <w:rFonts w:eastAsiaTheme="minorEastAsia"/>
          <w:bCs/>
          <w:sz w:val="24"/>
        </w:rPr>
        <w:t>当废水事故性排放时，废水中除含有上述各种细菌、病毒和寄生虫卵外，同时还含有消毒剂、药剂、试剂等多种化学物质，不经有效处理会成为一条疫病扩散的重要途径和严重污染环境，危害人体健康并对环境有长远影响，排放的废水将会导致环境污染事故。</w:t>
      </w:r>
    </w:p>
    <w:p>
      <w:pPr>
        <w:adjustRightInd w:val="0"/>
        <w:snapToGrid w:val="0"/>
        <w:spacing w:line="360" w:lineRule="auto"/>
        <w:ind w:firstLine="480" w:firstLineChars="200"/>
        <w:rPr>
          <w:rFonts w:eastAsiaTheme="minorEastAsia"/>
          <w:bCs/>
          <w:sz w:val="24"/>
        </w:rPr>
      </w:pPr>
      <w:r>
        <w:rPr>
          <w:rFonts w:eastAsiaTheme="minorEastAsia"/>
          <w:bCs/>
          <w:sz w:val="24"/>
        </w:rPr>
        <w:t>因此，如果医院污水病原细菌、病毒、化学物质排入市政排污管网进入湘阴县第一污水处理厂，由于湘阴县第一污水处理厂处理工艺只针对一般生活污水，对于医院污水中病原细菌、病毒、化学物质等处理效率不高，致使排入污水处理厂的医院污水未能得到有效处理，对水环境的影响较大。病菌、化学物质等特征污染物的影响很大，为减轻湘江污染负荷，应避免出现事故排放。</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7.3.2 医疗废物排放风险分析</w:t>
      </w:r>
    </w:p>
    <w:p>
      <w:pPr>
        <w:adjustRightInd w:val="0"/>
        <w:snapToGrid w:val="0"/>
        <w:spacing w:line="360" w:lineRule="auto"/>
        <w:ind w:firstLine="480" w:firstLineChars="200"/>
        <w:rPr>
          <w:rFonts w:eastAsiaTheme="minorEastAsia"/>
          <w:bCs/>
          <w:sz w:val="24"/>
        </w:rPr>
      </w:pPr>
      <w:r>
        <w:rPr>
          <w:rFonts w:eastAsiaTheme="minorEastAsia"/>
          <w:bCs/>
          <w:sz w:val="24"/>
        </w:rPr>
        <w:t>医疗废物中可能存在感染性病菌、病毒、化学污染物等有害物质，由于医疗废物具有空间污染、急性传染和潜伏性污染等特征，其病毒、病菌的危害性是普通生活垃圾的几十、几百甚至上千倍，且基本没有回收再利用的价值。在国外，医疗废物被视为“顶级危险”和“致命杀手”。据检测，医疗废物中存在着大量的病菌、病毒等，如乙肝表面抗原阳性率在未经浓缩的样品中为7.42%，医疗废物的阳性率则高达8.9%。有关资料证实，医疗废物引起的交叉感染占社会交叉感染率的20%。在我国，也早已将其列为头号危险废物，且我国明文规定，医疗废物必须采用“焚烧法”处理，以确保杀菌和避免环境污染。</w:t>
      </w:r>
    </w:p>
    <w:p>
      <w:pPr>
        <w:adjustRightInd w:val="0"/>
        <w:snapToGrid w:val="0"/>
        <w:spacing w:line="360" w:lineRule="auto"/>
        <w:ind w:firstLine="480" w:firstLineChars="200"/>
        <w:rPr>
          <w:rFonts w:eastAsiaTheme="minorEastAsia"/>
          <w:bCs/>
          <w:sz w:val="24"/>
        </w:rPr>
      </w:pPr>
      <w:r>
        <w:rPr>
          <w:rFonts w:eastAsiaTheme="minorEastAsia"/>
          <w:bCs/>
          <w:sz w:val="24"/>
        </w:rPr>
        <w:t>医疗废物残留及衍生的大量病菌是十分有害有毒的物质，如果不经分类收集等有效处理的话，很容易引起各种疾病的传播和蔓延。例如，如果项目医疗废物和生活垃圾混合一起的话，则可能会将还有血肉、病毒细菌的医疗废物经非法收集回收加工后成为人们需要的日常生活用品，如：纱布、绷带、带血棉球制成棉被、医疗废弃石膏做成豆腐等。将极大地危害人们身心健康，成为疫病流行的源头，后果是不可想象的。</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7.3.3 污水处理站消毒剂引起的风险影响</w:t>
      </w:r>
    </w:p>
    <w:p>
      <w:pPr>
        <w:adjustRightInd w:val="0"/>
        <w:snapToGrid w:val="0"/>
        <w:spacing w:line="360" w:lineRule="auto"/>
        <w:ind w:firstLine="480" w:firstLineChars="200"/>
        <w:rPr>
          <w:rFonts w:eastAsiaTheme="minorEastAsia"/>
          <w:bCs/>
          <w:sz w:val="24"/>
        </w:rPr>
      </w:pPr>
      <w:r>
        <w:rPr>
          <w:rFonts w:eastAsiaTheme="minorEastAsia"/>
          <w:bCs/>
          <w:sz w:val="24"/>
        </w:rPr>
        <w:t>（1）二氧化氯风险分析</w:t>
      </w:r>
    </w:p>
    <w:p>
      <w:pPr>
        <w:adjustRightInd w:val="0"/>
        <w:snapToGrid w:val="0"/>
        <w:spacing w:line="360" w:lineRule="auto"/>
        <w:ind w:firstLine="480" w:firstLineChars="200"/>
        <w:rPr>
          <w:rFonts w:eastAsiaTheme="minorEastAsia"/>
          <w:bCs/>
          <w:sz w:val="24"/>
        </w:rPr>
      </w:pPr>
      <w:r>
        <w:rPr>
          <w:rFonts w:eastAsiaTheme="minorEastAsia"/>
          <w:bCs/>
          <w:sz w:val="24"/>
        </w:rPr>
        <w:t>二氧化氯是一种重要的无机化工产品，二氧化氯是目前国际上公认的最新一代的高效、广谱、安全的杀菌、保鲜剂，是氯制剂最理想的替代品，在世界发达国家己得到广泛的应用。但由于本品有强氧化性，而且具刺激性，遇太阳光、热与汞或一氧化碳接触当空气中浓度超过10%容易引起爆炸。遇到有机物等能促进氧化作用的物质时也可产生爆炸。与还原剂、有机物、易燃物如硫、磷或金属粉末等混合可形成爆炸性混合物。急剧加热时可发生爆炸。在实际的充装和使用中，如果操作管理不当，二氧化氯稳定性溶液有可能会引起泄露继而产生爆炸事故。</w:t>
      </w:r>
    </w:p>
    <w:p>
      <w:pPr>
        <w:adjustRightInd w:val="0"/>
        <w:snapToGrid w:val="0"/>
        <w:spacing w:line="360" w:lineRule="auto"/>
        <w:ind w:firstLine="480" w:firstLineChars="200"/>
        <w:rPr>
          <w:rFonts w:eastAsiaTheme="minorEastAsia"/>
          <w:bCs/>
          <w:sz w:val="24"/>
        </w:rPr>
      </w:pPr>
      <w:r>
        <w:rPr>
          <w:rFonts w:eastAsiaTheme="minorEastAsia"/>
          <w:bCs/>
          <w:sz w:val="24"/>
        </w:rPr>
        <w:t>项目加药间不贮存二氧化氯，二氧化氯采用氯酸钠、盐酸及二氧化氯发生器现用现制，因此，本项目可能发生的事故为二氧化氯使用过程中的泄露，二氧化氯蓄积遇光热或与有机物等发生氧化反应放热，引发火灾和爆炸事故。二氧化氯气体发生爆炸的起因，主要是由于二氧化氯气体自身浓度超过10%遇光热或者遇到外界因素影响、温度和压力急剧上升而引起的。</w:t>
      </w:r>
    </w:p>
    <w:p>
      <w:pPr>
        <w:adjustRightInd w:val="0"/>
        <w:snapToGrid w:val="0"/>
        <w:spacing w:line="360" w:lineRule="auto"/>
        <w:ind w:firstLine="480" w:firstLineChars="200"/>
        <w:rPr>
          <w:rFonts w:eastAsiaTheme="minorEastAsia"/>
          <w:bCs/>
          <w:sz w:val="24"/>
        </w:rPr>
      </w:pPr>
      <w:r>
        <w:rPr>
          <w:rFonts w:eastAsiaTheme="minorEastAsia"/>
          <w:bCs/>
          <w:sz w:val="24"/>
        </w:rPr>
        <w:t>根据危险源识别，本项目发生火灾爆炸的风险源主要为二氧化氯爆炸风险。</w:t>
      </w:r>
    </w:p>
    <w:p>
      <w:pPr>
        <w:adjustRightInd w:val="0"/>
        <w:snapToGrid w:val="0"/>
        <w:spacing w:line="360" w:lineRule="auto"/>
        <w:ind w:firstLine="480" w:firstLineChars="200"/>
        <w:rPr>
          <w:rFonts w:eastAsiaTheme="minorEastAsia"/>
          <w:bCs/>
          <w:sz w:val="24"/>
        </w:rPr>
      </w:pPr>
      <w:r>
        <w:rPr>
          <w:rFonts w:eastAsiaTheme="minorEastAsia"/>
          <w:bCs/>
          <w:sz w:val="24"/>
        </w:rPr>
        <w:t>火灾事故的燃烧半径D和持续时间T可由下面公式计算：</w:t>
      </w:r>
    </w:p>
    <w:p>
      <w:pPr>
        <w:adjustRightInd w:val="0"/>
        <w:snapToGrid w:val="0"/>
        <w:spacing w:line="360" w:lineRule="auto"/>
        <w:ind w:firstLine="480" w:firstLineChars="200"/>
        <w:jc w:val="center"/>
        <w:rPr>
          <w:rFonts w:eastAsiaTheme="minorEastAsia"/>
          <w:bCs/>
          <w:sz w:val="24"/>
          <w:vertAlign w:val="superscript"/>
        </w:rPr>
      </w:pPr>
      <w:r>
        <w:rPr>
          <w:rFonts w:eastAsiaTheme="minorEastAsia"/>
          <w:bCs/>
          <w:sz w:val="24"/>
        </w:rPr>
        <w:t>D(m)=2.66M</w:t>
      </w:r>
      <w:r>
        <w:rPr>
          <w:rFonts w:eastAsiaTheme="minorEastAsia"/>
          <w:bCs/>
          <w:sz w:val="24"/>
          <w:vertAlign w:val="superscript"/>
        </w:rPr>
        <w:t>0.327</w:t>
      </w:r>
    </w:p>
    <w:p>
      <w:pPr>
        <w:adjustRightInd w:val="0"/>
        <w:snapToGrid w:val="0"/>
        <w:spacing w:line="360" w:lineRule="auto"/>
        <w:ind w:firstLine="480" w:firstLineChars="200"/>
        <w:jc w:val="center"/>
        <w:rPr>
          <w:rFonts w:eastAsiaTheme="minorEastAsia"/>
          <w:bCs/>
          <w:sz w:val="24"/>
          <w:vertAlign w:val="superscript"/>
        </w:rPr>
      </w:pPr>
      <w:r>
        <w:rPr>
          <w:rFonts w:eastAsiaTheme="minorEastAsia"/>
          <w:bCs/>
          <w:sz w:val="24"/>
        </w:rPr>
        <w:t>T(m)=1.098M</w:t>
      </w:r>
      <w:r>
        <w:rPr>
          <w:rFonts w:eastAsiaTheme="minorEastAsia"/>
          <w:bCs/>
          <w:sz w:val="24"/>
          <w:vertAlign w:val="superscript"/>
        </w:rPr>
        <w:t>0.327</w:t>
      </w:r>
    </w:p>
    <w:p>
      <w:pPr>
        <w:adjustRightInd w:val="0"/>
        <w:snapToGrid w:val="0"/>
        <w:spacing w:line="360" w:lineRule="auto"/>
        <w:ind w:firstLine="480" w:firstLineChars="200"/>
        <w:rPr>
          <w:rFonts w:eastAsiaTheme="minorEastAsia"/>
          <w:bCs/>
          <w:sz w:val="24"/>
        </w:rPr>
      </w:pPr>
      <w:r>
        <w:rPr>
          <w:rFonts w:eastAsiaTheme="minorEastAsia"/>
          <w:bCs/>
          <w:sz w:val="24"/>
        </w:rPr>
        <w:t>式中：M为燃烧物质的质量(kg)。</w:t>
      </w:r>
    </w:p>
    <w:p>
      <w:pPr>
        <w:adjustRightInd w:val="0"/>
        <w:snapToGrid w:val="0"/>
        <w:spacing w:line="360" w:lineRule="auto"/>
        <w:ind w:firstLine="480" w:firstLineChars="200"/>
        <w:rPr>
          <w:rFonts w:eastAsiaTheme="minorEastAsia"/>
          <w:bCs/>
          <w:sz w:val="24"/>
        </w:rPr>
      </w:pPr>
      <w:r>
        <w:rPr>
          <w:rFonts w:eastAsiaTheme="minorEastAsia"/>
          <w:bCs/>
          <w:sz w:val="24"/>
        </w:rPr>
        <w:t>本项目采用氯酸钠、盐酸制备二氧化氯，二氧化氯短时间内最大的产生量约为0.162kg，经计算，其燃烧半径为1.467m，燃烧时间为0.605S。根据上述计算，火灾燃烧的最大范围为1.467m。因此，发生火灾时，该范围内主要是清水池等区域，伤害对象为污水处理站职工约2人。</w:t>
      </w:r>
    </w:p>
    <w:p>
      <w:pPr>
        <w:adjustRightInd w:val="0"/>
        <w:snapToGrid w:val="0"/>
        <w:spacing w:line="360" w:lineRule="auto"/>
        <w:ind w:firstLine="480" w:firstLineChars="200"/>
        <w:rPr>
          <w:rFonts w:eastAsiaTheme="minorEastAsia"/>
          <w:bCs/>
          <w:sz w:val="24"/>
        </w:rPr>
      </w:pPr>
      <w:r>
        <w:rPr>
          <w:rFonts w:eastAsiaTheme="minorEastAsia"/>
          <w:bCs/>
          <w:sz w:val="24"/>
        </w:rPr>
        <w:t>爆炸是突发性的能量释放，会造成大气中破坏性的冲击波、爆炸碎片等形成抛射物，造成危害。发生火灾时，火场的温度很高，辐射热强烈。且火灾蔓延速度较快，如果不及时抢救，极易造成大面积火灾。火灾、爆炸事故对环境的危害是热辐射、冲击波和抛射物造成的后果。此外，火灾燃烧过程产生的烟雾和有害气体可造成较大范围的环境污染。</w:t>
      </w:r>
    </w:p>
    <w:p>
      <w:pPr>
        <w:adjustRightInd w:val="0"/>
        <w:snapToGrid w:val="0"/>
        <w:spacing w:line="360" w:lineRule="auto"/>
        <w:ind w:firstLine="480" w:firstLineChars="200"/>
        <w:rPr>
          <w:rFonts w:eastAsiaTheme="minorEastAsia"/>
          <w:bCs/>
          <w:sz w:val="24"/>
        </w:rPr>
      </w:pPr>
      <w:r>
        <w:rPr>
          <w:rFonts w:eastAsiaTheme="minorEastAsia"/>
          <w:bCs/>
          <w:sz w:val="24"/>
        </w:rPr>
        <w:t>项目二氧化氯为盐酸与氯酸钠的反应产物，正常情况下无储存，本项目拟将二氧化氯发生器、氯酸钠和盐酸原料分开单独存放，因此，加药间内分设二氧化氯间、氯酸钠间、盐酸间，并根据防爆要求，设置防爆墙和泄爆墙。二氧化氯间内设有漏二氧化氯检测和报警装置，则本项目发生二氧化氯泄漏引发爆炸的风险概率较低。基本不会产生二氧化氯泄漏风险影响。</w:t>
      </w:r>
    </w:p>
    <w:p>
      <w:pPr>
        <w:adjustRightInd w:val="0"/>
        <w:snapToGrid w:val="0"/>
        <w:spacing w:line="360" w:lineRule="auto"/>
        <w:ind w:firstLine="480" w:firstLineChars="200"/>
        <w:rPr>
          <w:rFonts w:eastAsiaTheme="minorEastAsia"/>
          <w:bCs/>
          <w:sz w:val="24"/>
        </w:rPr>
      </w:pPr>
      <w:r>
        <w:rPr>
          <w:rFonts w:eastAsiaTheme="minorEastAsia"/>
          <w:bCs/>
          <w:sz w:val="24"/>
        </w:rPr>
        <w:t>（2）盐酸酸雾泄漏风险分析</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盐酸酸雾的产生量</w:t>
      </w:r>
    </w:p>
    <w:p>
      <w:pPr>
        <w:adjustRightInd w:val="0"/>
        <w:snapToGrid w:val="0"/>
        <w:spacing w:line="360" w:lineRule="auto"/>
        <w:ind w:firstLine="480" w:firstLineChars="200"/>
        <w:rPr>
          <w:rFonts w:eastAsiaTheme="minorEastAsia"/>
          <w:bCs/>
          <w:sz w:val="24"/>
        </w:rPr>
      </w:pPr>
      <w:r>
        <w:rPr>
          <w:rFonts w:eastAsiaTheme="minorEastAsia"/>
          <w:bCs/>
          <w:sz w:val="24"/>
        </w:rPr>
        <w:t>项目在事故发生时产生的气相毒物主要是泄漏的盐酸。盐酸共贮存0.15t，由70L容积的小罐分储，大大降低泄漏的概率，本评价选择适用于硫酸、硝酸和盐酸等酸液蒸发量的计算公式来分析本次项目盐酸泄露后酸雾的产生量，计算公式如下：</w:t>
      </w:r>
    </w:p>
    <w:p>
      <w:pPr>
        <w:spacing w:line="360" w:lineRule="auto"/>
        <w:jc w:val="center"/>
        <w:rPr>
          <w:i/>
          <w:color w:val="000000"/>
          <w:sz w:val="24"/>
        </w:rPr>
      </w:pPr>
      <w:r>
        <w:rPr>
          <w:i/>
          <w:color w:val="000000"/>
          <w:sz w:val="24"/>
        </w:rPr>
        <w:t>G</w:t>
      </w:r>
      <w:r>
        <w:rPr>
          <w:i/>
          <w:color w:val="000000"/>
          <w:sz w:val="24"/>
          <w:vertAlign w:val="subscript"/>
        </w:rPr>
        <w:t>z</w:t>
      </w:r>
      <w:r>
        <w:rPr>
          <w:i/>
          <w:color w:val="000000"/>
          <w:sz w:val="24"/>
        </w:rPr>
        <w:t>=M（0.000352+0.000786V）P×F</w:t>
      </w:r>
    </w:p>
    <w:p>
      <w:pPr>
        <w:adjustRightInd w:val="0"/>
        <w:snapToGrid w:val="0"/>
        <w:spacing w:line="360" w:lineRule="auto"/>
        <w:ind w:firstLine="480" w:firstLineChars="200"/>
        <w:rPr>
          <w:rFonts w:eastAsiaTheme="minorEastAsia"/>
          <w:bCs/>
          <w:sz w:val="24"/>
        </w:rPr>
      </w:pPr>
      <w:r>
        <w:rPr>
          <w:rFonts w:eastAsiaTheme="minorEastAsia"/>
          <w:bCs/>
          <w:sz w:val="24"/>
        </w:rPr>
        <w:t>式中：</w:t>
      </w:r>
    </w:p>
    <w:p>
      <w:pPr>
        <w:adjustRightInd w:val="0"/>
        <w:snapToGrid w:val="0"/>
        <w:spacing w:line="360" w:lineRule="auto"/>
        <w:ind w:firstLine="480" w:firstLineChars="200"/>
        <w:rPr>
          <w:rFonts w:eastAsiaTheme="minorEastAsia"/>
          <w:bCs/>
          <w:sz w:val="24"/>
        </w:rPr>
      </w:pPr>
      <w:r>
        <w:rPr>
          <w:rFonts w:eastAsiaTheme="minorEastAsia"/>
          <w:bCs/>
          <w:sz w:val="24"/>
        </w:rPr>
        <w:t>Gz——酸雾量，kg/h；</w:t>
      </w:r>
    </w:p>
    <w:p>
      <w:pPr>
        <w:adjustRightInd w:val="0"/>
        <w:snapToGrid w:val="0"/>
        <w:spacing w:line="360" w:lineRule="auto"/>
        <w:ind w:firstLine="480" w:firstLineChars="200"/>
        <w:rPr>
          <w:rFonts w:eastAsiaTheme="minorEastAsia"/>
          <w:bCs/>
          <w:sz w:val="24"/>
        </w:rPr>
      </w:pPr>
      <w:r>
        <w:rPr>
          <w:rFonts w:eastAsiaTheme="minorEastAsia"/>
          <w:bCs/>
          <w:sz w:val="24"/>
        </w:rPr>
        <w:t>M——液体分子量；</w:t>
      </w:r>
    </w:p>
    <w:p>
      <w:pPr>
        <w:adjustRightInd w:val="0"/>
        <w:snapToGrid w:val="0"/>
        <w:spacing w:line="360" w:lineRule="auto"/>
        <w:ind w:firstLine="480" w:firstLineChars="200"/>
        <w:rPr>
          <w:rFonts w:eastAsiaTheme="minorEastAsia"/>
          <w:bCs/>
          <w:sz w:val="24"/>
        </w:rPr>
      </w:pPr>
      <w:r>
        <w:rPr>
          <w:rFonts w:eastAsiaTheme="minorEastAsia"/>
          <w:bCs/>
          <w:sz w:val="24"/>
        </w:rPr>
        <w:t>V——蒸发液体表面上的空气流速（m/s），应以实测数据为准。无条件实测时，可取0.2～0.5 m/s或查表计算；</w:t>
      </w:r>
    </w:p>
    <w:p>
      <w:pPr>
        <w:adjustRightInd w:val="0"/>
        <w:snapToGrid w:val="0"/>
        <w:spacing w:line="360" w:lineRule="auto"/>
        <w:ind w:firstLine="480" w:firstLineChars="200"/>
        <w:rPr>
          <w:rFonts w:eastAsiaTheme="minorEastAsia"/>
          <w:bCs/>
          <w:sz w:val="24"/>
        </w:rPr>
      </w:pPr>
      <w:r>
        <w:rPr>
          <w:rFonts w:eastAsiaTheme="minorEastAsia"/>
          <w:bCs/>
          <w:sz w:val="24"/>
        </w:rPr>
        <w:t>P——相应于液体温度下空气中的饱和蒸汽分压力(mmHg)；</w:t>
      </w:r>
    </w:p>
    <w:p>
      <w:pPr>
        <w:adjustRightInd w:val="0"/>
        <w:snapToGrid w:val="0"/>
        <w:spacing w:line="360" w:lineRule="auto"/>
        <w:ind w:firstLine="480" w:firstLineChars="200"/>
        <w:rPr>
          <w:rFonts w:eastAsiaTheme="minorEastAsia"/>
          <w:bCs/>
          <w:sz w:val="24"/>
        </w:rPr>
      </w:pPr>
      <w:r>
        <w:rPr>
          <w:rFonts w:eastAsiaTheme="minorEastAsia"/>
          <w:bCs/>
          <w:sz w:val="24"/>
        </w:rPr>
        <w:t>F——蒸发面的面积，m</w:t>
      </w:r>
      <w:r>
        <w:rPr>
          <w:rFonts w:eastAsiaTheme="minorEastAsia"/>
          <w:bCs/>
          <w:sz w:val="24"/>
          <w:vertAlign w:val="superscript"/>
        </w:rPr>
        <w:t>2</w:t>
      </w:r>
      <w:r>
        <w:rPr>
          <w:rFonts w:eastAsiaTheme="minorEastAsia"/>
          <w:bCs/>
          <w:sz w:val="24"/>
        </w:rPr>
        <w:t>。</w:t>
      </w:r>
    </w:p>
    <w:p>
      <w:pPr>
        <w:adjustRightInd w:val="0"/>
        <w:snapToGrid w:val="0"/>
        <w:spacing w:line="360" w:lineRule="auto"/>
        <w:ind w:firstLine="480" w:firstLineChars="200"/>
        <w:rPr>
          <w:rFonts w:eastAsiaTheme="minorEastAsia"/>
          <w:bCs/>
          <w:sz w:val="24"/>
        </w:rPr>
      </w:pPr>
      <w:r>
        <w:rPr>
          <w:rFonts w:eastAsiaTheme="minorEastAsia"/>
          <w:bCs/>
          <w:sz w:val="24"/>
        </w:rPr>
        <w:t>根据《环境统计手册》，本次评价蒸发液体表面上的空气流速取0.3，相应与液体温度下空气中的饱和蒸汽分压力取10.6。则本次项目盐酸罐泄露所形成的盐酸酸雾的产生量为：Gz=36.5×(0.000352+0.000786×0.3)×10.6×20=4.548kg/h</w:t>
      </w:r>
    </w:p>
    <w:p>
      <w:pPr>
        <w:adjustRightInd w:val="0"/>
        <w:snapToGrid w:val="0"/>
        <w:spacing w:line="360" w:lineRule="auto"/>
        <w:ind w:firstLine="480" w:firstLineChars="200"/>
        <w:rPr>
          <w:rFonts w:eastAsiaTheme="minorEastAsia"/>
          <w:bCs/>
          <w:sz w:val="24"/>
        </w:rPr>
      </w:pPr>
      <w:r>
        <w:rPr>
          <w:rFonts w:eastAsiaTheme="minorEastAsia"/>
          <w:bCs/>
          <w:sz w:val="24"/>
        </w:rPr>
        <w:t>（2）盐酸酸雾的毒性范围计算</w:t>
      </w:r>
    </w:p>
    <w:p>
      <w:pPr>
        <w:adjustRightInd w:val="0"/>
        <w:snapToGrid w:val="0"/>
        <w:spacing w:line="360" w:lineRule="auto"/>
        <w:ind w:firstLine="480" w:firstLineChars="200"/>
        <w:rPr>
          <w:rFonts w:eastAsiaTheme="minorEastAsia"/>
          <w:bCs/>
          <w:sz w:val="24"/>
        </w:rPr>
      </w:pPr>
      <w:r>
        <w:rPr>
          <w:rFonts w:eastAsiaTheme="minorEastAsia"/>
          <w:bCs/>
          <w:sz w:val="24"/>
        </w:rPr>
        <w:t>国家规定盐酸的车间最高允许浓度(MAC)为15mg/m</w:t>
      </w:r>
      <w:r>
        <w:rPr>
          <w:rFonts w:eastAsiaTheme="minorEastAsia"/>
          <w:bCs/>
          <w:sz w:val="24"/>
          <w:vertAlign w:val="superscript"/>
        </w:rPr>
        <w:t>3</w:t>
      </w:r>
      <w:r>
        <w:rPr>
          <w:rFonts w:eastAsiaTheme="minorEastAsia"/>
          <w:bCs/>
          <w:sz w:val="24"/>
        </w:rPr>
        <w:t>，盐酸的半致死浓度为4.6g/m</w:t>
      </w:r>
      <w:r>
        <w:rPr>
          <w:rFonts w:eastAsiaTheme="minorEastAsia"/>
          <w:bCs/>
          <w:sz w:val="24"/>
          <w:vertAlign w:val="superscript"/>
        </w:rPr>
        <w:t>3</w:t>
      </w:r>
      <w:r>
        <w:rPr>
          <w:rFonts w:eastAsiaTheme="minorEastAsia"/>
          <w:bCs/>
          <w:sz w:val="24"/>
        </w:rPr>
        <w:t>，当泄露的风速为常年风速1.9m/s，在各种大气稳定度条件下，预测排放历时30min，储罐下风向不同距离处的酸雾浓度范围，见下表。</w:t>
      </w:r>
    </w:p>
    <w:p>
      <w:pPr>
        <w:adjustRightInd w:val="0"/>
        <w:snapToGrid w:val="0"/>
        <w:spacing w:line="360" w:lineRule="auto"/>
        <w:jc w:val="center"/>
        <w:rPr>
          <w:rFonts w:eastAsiaTheme="minorEastAsia"/>
          <w:bCs/>
          <w:sz w:val="24"/>
        </w:rPr>
      </w:pPr>
      <w:r>
        <w:rPr>
          <w:rFonts w:eastAsiaTheme="minorEastAsia"/>
          <w:b/>
          <w:sz w:val="24"/>
        </w:rPr>
        <w:t>表7.3-1  储罐下风向不同距离处的盐酸酸雾的浓度</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95"/>
        <w:gridCol w:w="2198"/>
        <w:gridCol w:w="2198"/>
        <w:gridCol w:w="21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b/>
                <w:bCs/>
                <w:color w:val="000000"/>
              </w:rPr>
            </w:pPr>
            <w:r>
              <w:rPr>
                <w:b/>
                <w:bCs/>
                <w:color w:val="000000"/>
              </w:rPr>
              <w:t>距离m</w:t>
            </w:r>
          </w:p>
        </w:tc>
        <w:tc>
          <w:tcPr>
            <w:tcW w:w="2198" w:type="dxa"/>
            <w:vAlign w:val="center"/>
          </w:tcPr>
          <w:p>
            <w:pPr>
              <w:jc w:val="center"/>
              <w:rPr>
                <w:b/>
                <w:bCs/>
                <w:color w:val="000000"/>
              </w:rPr>
            </w:pPr>
            <w:r>
              <w:rPr>
                <w:b/>
                <w:bCs/>
                <w:color w:val="000000"/>
              </w:rPr>
              <w:t>云羽半宽m</w:t>
            </w:r>
          </w:p>
        </w:tc>
        <w:tc>
          <w:tcPr>
            <w:tcW w:w="2198" w:type="dxa"/>
            <w:vAlign w:val="center"/>
          </w:tcPr>
          <w:p>
            <w:pPr>
              <w:jc w:val="center"/>
              <w:rPr>
                <w:b/>
                <w:bCs/>
                <w:color w:val="000000"/>
              </w:rPr>
            </w:pPr>
            <w:r>
              <w:rPr>
                <w:b/>
                <w:bCs/>
                <w:color w:val="000000"/>
              </w:rPr>
              <w:t>云羽高度m</w:t>
            </w:r>
          </w:p>
        </w:tc>
        <w:tc>
          <w:tcPr>
            <w:tcW w:w="2198" w:type="dxa"/>
            <w:vAlign w:val="center"/>
          </w:tcPr>
          <w:p>
            <w:pPr>
              <w:jc w:val="center"/>
              <w:rPr>
                <w:b/>
                <w:bCs/>
                <w:color w:val="000000"/>
              </w:rPr>
            </w:pPr>
            <w:r>
              <w:rPr>
                <w:b/>
                <w:bCs/>
                <w:color w:val="000000"/>
              </w:rPr>
              <w:t>平均浓度(mg/m</w:t>
            </w:r>
            <w:r>
              <w:rPr>
                <w:b/>
                <w:bCs/>
                <w:color w:val="000000"/>
                <w:vertAlign w:val="superscript"/>
              </w:rPr>
              <w:t>3</w:t>
            </w:r>
            <w:r>
              <w:rPr>
                <w:b/>
                <w:bCs/>
                <w:color w:val="00000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10</w:t>
            </w:r>
          </w:p>
        </w:tc>
        <w:tc>
          <w:tcPr>
            <w:tcW w:w="2198" w:type="dxa"/>
            <w:vAlign w:val="center"/>
          </w:tcPr>
          <w:p>
            <w:pPr>
              <w:jc w:val="center"/>
              <w:rPr>
                <w:color w:val="000000"/>
              </w:rPr>
            </w:pPr>
            <w:r>
              <w:rPr>
                <w:color w:val="000000"/>
              </w:rPr>
              <w:t>4.53</w:t>
            </w:r>
          </w:p>
        </w:tc>
        <w:tc>
          <w:tcPr>
            <w:tcW w:w="2198" w:type="dxa"/>
            <w:vAlign w:val="center"/>
          </w:tcPr>
          <w:p>
            <w:pPr>
              <w:jc w:val="center"/>
              <w:rPr>
                <w:color w:val="000000"/>
              </w:rPr>
            </w:pPr>
            <w:r>
              <w:rPr>
                <w:color w:val="000000"/>
              </w:rPr>
              <w:t>2.5</w:t>
            </w:r>
          </w:p>
        </w:tc>
        <w:tc>
          <w:tcPr>
            <w:tcW w:w="2198" w:type="dxa"/>
            <w:vAlign w:val="center"/>
          </w:tcPr>
          <w:p>
            <w:pPr>
              <w:jc w:val="center"/>
              <w:rPr>
                <w:color w:val="000000"/>
              </w:rPr>
            </w:pPr>
            <w:r>
              <w:rPr>
                <w:color w:val="000000"/>
              </w:rPr>
              <w:t>30.099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20</w:t>
            </w:r>
          </w:p>
        </w:tc>
        <w:tc>
          <w:tcPr>
            <w:tcW w:w="2198" w:type="dxa"/>
            <w:vAlign w:val="center"/>
          </w:tcPr>
          <w:p>
            <w:pPr>
              <w:jc w:val="center"/>
              <w:rPr>
                <w:color w:val="000000"/>
              </w:rPr>
            </w:pPr>
            <w:r>
              <w:rPr>
                <w:color w:val="000000"/>
              </w:rPr>
              <w:t>4.59</w:t>
            </w:r>
          </w:p>
        </w:tc>
        <w:tc>
          <w:tcPr>
            <w:tcW w:w="2198" w:type="dxa"/>
            <w:vAlign w:val="center"/>
          </w:tcPr>
          <w:p>
            <w:pPr>
              <w:jc w:val="center"/>
              <w:rPr>
                <w:color w:val="000000"/>
              </w:rPr>
            </w:pPr>
            <w:r>
              <w:rPr>
                <w:color w:val="000000"/>
              </w:rPr>
              <w:t>2.76</w:t>
            </w:r>
          </w:p>
        </w:tc>
        <w:tc>
          <w:tcPr>
            <w:tcW w:w="2198" w:type="dxa"/>
            <w:vAlign w:val="center"/>
          </w:tcPr>
          <w:p>
            <w:pPr>
              <w:jc w:val="center"/>
              <w:rPr>
                <w:color w:val="000000"/>
              </w:rPr>
            </w:pPr>
            <w:r>
              <w:rPr>
                <w:color w:val="000000"/>
              </w:rPr>
              <w:t>26.902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30</w:t>
            </w:r>
          </w:p>
        </w:tc>
        <w:tc>
          <w:tcPr>
            <w:tcW w:w="2198" w:type="dxa"/>
            <w:vAlign w:val="center"/>
          </w:tcPr>
          <w:p>
            <w:pPr>
              <w:jc w:val="center"/>
              <w:rPr>
                <w:color w:val="000000"/>
              </w:rPr>
            </w:pPr>
            <w:r>
              <w:rPr>
                <w:color w:val="000000"/>
              </w:rPr>
              <w:t>4.65</w:t>
            </w:r>
          </w:p>
        </w:tc>
        <w:tc>
          <w:tcPr>
            <w:tcW w:w="2198" w:type="dxa"/>
            <w:vAlign w:val="center"/>
          </w:tcPr>
          <w:p>
            <w:pPr>
              <w:jc w:val="center"/>
              <w:rPr>
                <w:color w:val="000000"/>
              </w:rPr>
            </w:pPr>
            <w:r>
              <w:rPr>
                <w:color w:val="000000"/>
              </w:rPr>
              <w:t>3.02</w:t>
            </w:r>
          </w:p>
        </w:tc>
        <w:tc>
          <w:tcPr>
            <w:tcW w:w="2198" w:type="dxa"/>
            <w:vAlign w:val="center"/>
          </w:tcPr>
          <w:p>
            <w:pPr>
              <w:jc w:val="center"/>
              <w:rPr>
                <w:color w:val="000000"/>
              </w:rPr>
            </w:pPr>
            <w:r>
              <w:rPr>
                <w:color w:val="000000"/>
              </w:rPr>
              <w:t>24.266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40</w:t>
            </w:r>
          </w:p>
        </w:tc>
        <w:tc>
          <w:tcPr>
            <w:tcW w:w="2198" w:type="dxa"/>
            <w:vAlign w:val="center"/>
          </w:tcPr>
          <w:p>
            <w:pPr>
              <w:jc w:val="center"/>
              <w:rPr>
                <w:color w:val="000000"/>
              </w:rPr>
            </w:pPr>
            <w:r>
              <w:rPr>
                <w:color w:val="000000"/>
              </w:rPr>
              <w:t>4.71</w:t>
            </w:r>
          </w:p>
        </w:tc>
        <w:tc>
          <w:tcPr>
            <w:tcW w:w="2198" w:type="dxa"/>
            <w:vAlign w:val="center"/>
          </w:tcPr>
          <w:p>
            <w:pPr>
              <w:jc w:val="center"/>
              <w:rPr>
                <w:color w:val="000000"/>
              </w:rPr>
            </w:pPr>
            <w:r>
              <w:rPr>
                <w:color w:val="000000"/>
              </w:rPr>
              <w:t>3.28</w:t>
            </w:r>
          </w:p>
        </w:tc>
        <w:tc>
          <w:tcPr>
            <w:tcW w:w="2198" w:type="dxa"/>
            <w:vAlign w:val="center"/>
          </w:tcPr>
          <w:p>
            <w:pPr>
              <w:jc w:val="center"/>
              <w:rPr>
                <w:color w:val="000000"/>
              </w:rPr>
            </w:pPr>
            <w:r>
              <w:rPr>
                <w:color w:val="000000"/>
              </w:rPr>
              <w:t>22.058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50</w:t>
            </w:r>
          </w:p>
        </w:tc>
        <w:tc>
          <w:tcPr>
            <w:tcW w:w="2198" w:type="dxa"/>
            <w:vAlign w:val="center"/>
          </w:tcPr>
          <w:p>
            <w:pPr>
              <w:jc w:val="center"/>
              <w:rPr>
                <w:color w:val="000000"/>
              </w:rPr>
            </w:pPr>
            <w:r>
              <w:rPr>
                <w:color w:val="000000"/>
              </w:rPr>
              <w:t>4.77</w:t>
            </w:r>
          </w:p>
        </w:tc>
        <w:tc>
          <w:tcPr>
            <w:tcW w:w="2198" w:type="dxa"/>
            <w:vAlign w:val="center"/>
          </w:tcPr>
          <w:p>
            <w:pPr>
              <w:jc w:val="center"/>
              <w:rPr>
                <w:color w:val="000000"/>
              </w:rPr>
            </w:pPr>
            <w:r>
              <w:rPr>
                <w:color w:val="000000"/>
              </w:rPr>
              <w:t>3.54</w:t>
            </w:r>
          </w:p>
        </w:tc>
        <w:tc>
          <w:tcPr>
            <w:tcW w:w="2198" w:type="dxa"/>
            <w:vAlign w:val="center"/>
          </w:tcPr>
          <w:p>
            <w:pPr>
              <w:jc w:val="center"/>
              <w:rPr>
                <w:color w:val="000000"/>
              </w:rPr>
            </w:pPr>
            <w:r>
              <w:rPr>
                <w:color w:val="000000"/>
              </w:rPr>
              <w:t>20.183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60</w:t>
            </w:r>
          </w:p>
        </w:tc>
        <w:tc>
          <w:tcPr>
            <w:tcW w:w="2198" w:type="dxa"/>
            <w:vAlign w:val="center"/>
          </w:tcPr>
          <w:p>
            <w:pPr>
              <w:jc w:val="center"/>
              <w:rPr>
                <w:color w:val="000000"/>
              </w:rPr>
            </w:pPr>
            <w:r>
              <w:rPr>
                <w:color w:val="000000"/>
              </w:rPr>
              <w:t>4.83</w:t>
            </w:r>
          </w:p>
        </w:tc>
        <w:tc>
          <w:tcPr>
            <w:tcW w:w="2198" w:type="dxa"/>
            <w:vAlign w:val="center"/>
          </w:tcPr>
          <w:p>
            <w:pPr>
              <w:jc w:val="center"/>
              <w:rPr>
                <w:color w:val="000000"/>
              </w:rPr>
            </w:pPr>
            <w:r>
              <w:rPr>
                <w:color w:val="000000"/>
              </w:rPr>
              <w:t>3.80</w:t>
            </w:r>
          </w:p>
        </w:tc>
        <w:tc>
          <w:tcPr>
            <w:tcW w:w="2198" w:type="dxa"/>
            <w:vAlign w:val="center"/>
          </w:tcPr>
          <w:p>
            <w:pPr>
              <w:jc w:val="center"/>
              <w:rPr>
                <w:color w:val="000000"/>
              </w:rPr>
            </w:pPr>
            <w:r>
              <w:rPr>
                <w:color w:val="000000"/>
              </w:rPr>
              <w:t>18.571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70</w:t>
            </w:r>
          </w:p>
        </w:tc>
        <w:tc>
          <w:tcPr>
            <w:tcW w:w="2198" w:type="dxa"/>
            <w:vAlign w:val="center"/>
          </w:tcPr>
          <w:p>
            <w:pPr>
              <w:jc w:val="center"/>
              <w:rPr>
                <w:color w:val="000000"/>
              </w:rPr>
            </w:pPr>
            <w:r>
              <w:rPr>
                <w:color w:val="000000"/>
              </w:rPr>
              <w:t>4.89</w:t>
            </w:r>
          </w:p>
        </w:tc>
        <w:tc>
          <w:tcPr>
            <w:tcW w:w="2198" w:type="dxa"/>
            <w:vAlign w:val="center"/>
          </w:tcPr>
          <w:p>
            <w:pPr>
              <w:jc w:val="center"/>
              <w:rPr>
                <w:color w:val="000000"/>
              </w:rPr>
            </w:pPr>
            <w:r>
              <w:rPr>
                <w:color w:val="000000"/>
              </w:rPr>
              <w:t>4.05</w:t>
            </w:r>
          </w:p>
        </w:tc>
        <w:tc>
          <w:tcPr>
            <w:tcW w:w="2198" w:type="dxa"/>
            <w:vAlign w:val="center"/>
          </w:tcPr>
          <w:p>
            <w:pPr>
              <w:jc w:val="center"/>
              <w:rPr>
                <w:color w:val="000000"/>
              </w:rPr>
            </w:pPr>
            <w:r>
              <w:rPr>
                <w:color w:val="000000"/>
              </w:rPr>
              <w:t>17.173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80</w:t>
            </w:r>
          </w:p>
        </w:tc>
        <w:tc>
          <w:tcPr>
            <w:tcW w:w="2198" w:type="dxa"/>
            <w:vAlign w:val="center"/>
          </w:tcPr>
          <w:p>
            <w:pPr>
              <w:jc w:val="center"/>
              <w:rPr>
                <w:color w:val="000000"/>
              </w:rPr>
            </w:pPr>
            <w:r>
              <w:rPr>
                <w:color w:val="000000"/>
              </w:rPr>
              <w:t>4.95</w:t>
            </w:r>
          </w:p>
        </w:tc>
        <w:tc>
          <w:tcPr>
            <w:tcW w:w="2198" w:type="dxa"/>
            <w:vAlign w:val="center"/>
          </w:tcPr>
          <w:p>
            <w:pPr>
              <w:jc w:val="center"/>
              <w:rPr>
                <w:color w:val="000000"/>
              </w:rPr>
            </w:pPr>
            <w:r>
              <w:rPr>
                <w:color w:val="000000"/>
              </w:rPr>
              <w:t>4.31</w:t>
            </w:r>
          </w:p>
        </w:tc>
        <w:tc>
          <w:tcPr>
            <w:tcW w:w="2198" w:type="dxa"/>
            <w:vAlign w:val="center"/>
          </w:tcPr>
          <w:p>
            <w:pPr>
              <w:jc w:val="center"/>
              <w:rPr>
                <w:color w:val="000000"/>
              </w:rPr>
            </w:pPr>
            <w:r>
              <w:rPr>
                <w:color w:val="000000"/>
              </w:rPr>
              <w:t>15.948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90</w:t>
            </w:r>
          </w:p>
        </w:tc>
        <w:tc>
          <w:tcPr>
            <w:tcW w:w="2198" w:type="dxa"/>
            <w:vAlign w:val="center"/>
          </w:tcPr>
          <w:p>
            <w:pPr>
              <w:jc w:val="center"/>
              <w:rPr>
                <w:color w:val="000000"/>
              </w:rPr>
            </w:pPr>
            <w:r>
              <w:rPr>
                <w:color w:val="000000"/>
              </w:rPr>
              <w:t>5.01</w:t>
            </w:r>
          </w:p>
        </w:tc>
        <w:tc>
          <w:tcPr>
            <w:tcW w:w="2198" w:type="dxa"/>
            <w:vAlign w:val="center"/>
          </w:tcPr>
          <w:p>
            <w:pPr>
              <w:jc w:val="center"/>
              <w:rPr>
                <w:color w:val="000000"/>
              </w:rPr>
            </w:pPr>
            <w:r>
              <w:rPr>
                <w:color w:val="000000"/>
              </w:rPr>
              <w:t>4.57</w:t>
            </w:r>
          </w:p>
        </w:tc>
        <w:tc>
          <w:tcPr>
            <w:tcW w:w="2198" w:type="dxa"/>
            <w:vAlign w:val="center"/>
          </w:tcPr>
          <w:p>
            <w:pPr>
              <w:jc w:val="center"/>
              <w:rPr>
                <w:color w:val="000000"/>
              </w:rPr>
            </w:pPr>
            <w:r>
              <w:rPr>
                <w:color w:val="000000"/>
              </w:rPr>
              <w:t>14.868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195" w:type="dxa"/>
            <w:vAlign w:val="center"/>
          </w:tcPr>
          <w:p>
            <w:pPr>
              <w:jc w:val="center"/>
              <w:rPr>
                <w:color w:val="000000"/>
              </w:rPr>
            </w:pPr>
            <w:r>
              <w:rPr>
                <w:color w:val="000000"/>
              </w:rPr>
              <w:t>100</w:t>
            </w:r>
          </w:p>
        </w:tc>
        <w:tc>
          <w:tcPr>
            <w:tcW w:w="2198" w:type="dxa"/>
            <w:vAlign w:val="center"/>
          </w:tcPr>
          <w:p>
            <w:pPr>
              <w:jc w:val="center"/>
              <w:rPr>
                <w:color w:val="000000"/>
              </w:rPr>
            </w:pPr>
            <w:r>
              <w:rPr>
                <w:color w:val="000000"/>
              </w:rPr>
              <w:t>1.06</w:t>
            </w:r>
          </w:p>
        </w:tc>
        <w:tc>
          <w:tcPr>
            <w:tcW w:w="2198" w:type="dxa"/>
            <w:vAlign w:val="center"/>
          </w:tcPr>
          <w:p>
            <w:pPr>
              <w:jc w:val="center"/>
              <w:rPr>
                <w:color w:val="000000"/>
              </w:rPr>
            </w:pPr>
            <w:r>
              <w:rPr>
                <w:color w:val="000000"/>
              </w:rPr>
              <w:t>4.83</w:t>
            </w:r>
          </w:p>
        </w:tc>
        <w:tc>
          <w:tcPr>
            <w:tcW w:w="2198" w:type="dxa"/>
            <w:vAlign w:val="center"/>
          </w:tcPr>
          <w:p>
            <w:pPr>
              <w:jc w:val="center"/>
              <w:rPr>
                <w:color w:val="000000"/>
              </w:rPr>
            </w:pPr>
            <w:r>
              <w:rPr>
                <w:color w:val="000000"/>
              </w:rPr>
              <w:t>13.909</w:t>
            </w:r>
          </w:p>
        </w:tc>
      </w:tr>
    </w:tbl>
    <w:p>
      <w:pPr>
        <w:adjustRightInd w:val="0"/>
        <w:snapToGrid w:val="0"/>
        <w:spacing w:line="360" w:lineRule="auto"/>
        <w:ind w:firstLine="480" w:firstLineChars="200"/>
        <w:rPr>
          <w:rFonts w:eastAsiaTheme="minorEastAsia"/>
          <w:bCs/>
          <w:sz w:val="24"/>
        </w:rPr>
      </w:pPr>
      <w:r>
        <w:rPr>
          <w:rFonts w:eastAsiaTheme="minorEastAsia"/>
          <w:bCs/>
          <w:sz w:val="24"/>
        </w:rPr>
        <w:t>对照国家规定的盐酸的车间最高允许浓度(MAC)为15mg/m</w:t>
      </w:r>
      <w:r>
        <w:rPr>
          <w:rFonts w:eastAsiaTheme="minorEastAsia"/>
          <w:bCs/>
          <w:sz w:val="24"/>
          <w:vertAlign w:val="superscript"/>
        </w:rPr>
        <w:t>3</w:t>
      </w:r>
      <w:r>
        <w:rPr>
          <w:rFonts w:eastAsiaTheme="minorEastAsia"/>
          <w:bCs/>
          <w:sz w:val="24"/>
        </w:rPr>
        <w:t>，盐酸的半致死浓度为4.6g/m</w:t>
      </w:r>
      <w:r>
        <w:rPr>
          <w:rFonts w:eastAsiaTheme="minorEastAsia"/>
          <w:bCs/>
          <w:sz w:val="24"/>
          <w:vertAlign w:val="superscript"/>
        </w:rPr>
        <w:t>3</w:t>
      </w:r>
      <w:r>
        <w:rPr>
          <w:rFonts w:eastAsiaTheme="minorEastAsia"/>
          <w:bCs/>
          <w:sz w:val="24"/>
        </w:rPr>
        <w:t>，本次盐酸泄露所造成的储罐下风向盐酸酸雾的浓度均未超过盐酸酸雾的半致死浓度，因此，盐酸泄漏的风险对附近敏感点基本没影响。</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7.3.4 消防废水排放风险分析</w:t>
      </w:r>
    </w:p>
    <w:p>
      <w:pPr>
        <w:adjustRightInd w:val="0"/>
        <w:snapToGrid w:val="0"/>
        <w:spacing w:line="360" w:lineRule="auto"/>
        <w:ind w:firstLine="480" w:firstLineChars="200"/>
        <w:rPr>
          <w:rFonts w:eastAsiaTheme="minorEastAsia"/>
          <w:bCs/>
          <w:sz w:val="24"/>
        </w:rPr>
      </w:pPr>
      <w:r>
        <w:rPr>
          <w:rFonts w:eastAsiaTheme="minorEastAsia"/>
          <w:bCs/>
          <w:sz w:val="24"/>
        </w:rPr>
        <w:t>医院发生火灾爆炸或者泄漏等事故时，消防废水是一个不容忽视的二次污染问题，由于消防水在灭火时产生，产生时间短，产生量巨大，不易控制和导向，一般进入火灾厂区雨水管网后进入外界水体环境，从而使带有化学品的消防废水对外界水体环境造成严重的污染事故，根据这些事故特征，提出如下预防措施：</w:t>
      </w:r>
    </w:p>
    <w:p>
      <w:pPr>
        <w:adjustRightInd w:val="0"/>
        <w:snapToGrid w:val="0"/>
        <w:spacing w:line="360" w:lineRule="auto"/>
        <w:ind w:firstLine="480" w:firstLineChars="200"/>
        <w:rPr>
          <w:rFonts w:eastAsiaTheme="minorEastAsia"/>
          <w:bCs/>
          <w:sz w:val="24"/>
        </w:rPr>
      </w:pPr>
      <w:r>
        <w:rPr>
          <w:rFonts w:eastAsiaTheme="minorEastAsia"/>
          <w:bCs/>
          <w:sz w:val="24"/>
        </w:rPr>
        <w:t>（1）在医院雨水管网聚中汇入河涌的节点上安装可靠的隔断措施，例如阀门等，可在灭火时将此隔断措施关闭，将消防废水引入污水处理池内，防止消防废水直接进入水体；</w:t>
      </w:r>
    </w:p>
    <w:p>
      <w:pPr>
        <w:adjustRightInd w:val="0"/>
        <w:snapToGrid w:val="0"/>
        <w:spacing w:line="360" w:lineRule="auto"/>
        <w:ind w:firstLine="480" w:firstLineChars="200"/>
        <w:rPr>
          <w:rFonts w:eastAsiaTheme="minorEastAsia"/>
          <w:bCs/>
          <w:sz w:val="24"/>
        </w:rPr>
      </w:pPr>
      <w:r>
        <w:rPr>
          <w:rFonts w:eastAsiaTheme="minorEastAsia"/>
          <w:bCs/>
          <w:sz w:val="24"/>
        </w:rPr>
        <w:t>（2）在项目厂界预先准备适量的沙包，在灭火时堵住围墙有泄漏的地方，防止消防废水向场外泄漏；</w:t>
      </w:r>
    </w:p>
    <w:p>
      <w:pPr>
        <w:adjustRightInd w:val="0"/>
        <w:snapToGrid w:val="0"/>
        <w:spacing w:line="360" w:lineRule="auto"/>
        <w:ind w:firstLine="480" w:firstLineChars="200"/>
        <w:rPr>
          <w:rFonts w:eastAsiaTheme="minorEastAsia"/>
          <w:bCs/>
          <w:sz w:val="24"/>
          <w:u w:val="single"/>
        </w:rPr>
      </w:pPr>
      <w:r>
        <w:rPr>
          <w:rFonts w:eastAsiaTheme="minorEastAsia"/>
          <w:bCs/>
          <w:sz w:val="24"/>
          <w:u w:val="single"/>
        </w:rPr>
        <w:t>（3）《医院污水处理工程技术规范》（HJ2029-2013）中“传染病医院污水处理工程事故应急池容积不小于排放量的100%，非传染病医院污水处理工程事故应急池容积不小于排放量的30%。”，湘阴县中医院为非传染病医院，建成后污废水排放总量为286.68m</w:t>
      </w:r>
      <w:r>
        <w:rPr>
          <w:rFonts w:eastAsiaTheme="minorEastAsia"/>
          <w:bCs/>
          <w:sz w:val="24"/>
          <w:u w:val="single"/>
          <w:vertAlign w:val="superscript"/>
        </w:rPr>
        <w:t>3</w:t>
      </w:r>
      <w:r>
        <w:rPr>
          <w:rFonts w:eastAsiaTheme="minorEastAsia"/>
          <w:bCs/>
          <w:sz w:val="24"/>
          <w:u w:val="single"/>
        </w:rPr>
        <w:t>/d，应设应急事故池85.185m</w:t>
      </w:r>
      <w:r>
        <w:rPr>
          <w:rFonts w:eastAsiaTheme="minorEastAsia"/>
          <w:bCs/>
          <w:sz w:val="24"/>
          <w:u w:val="single"/>
          <w:vertAlign w:val="superscript"/>
        </w:rPr>
        <w:t>3</w:t>
      </w:r>
      <w:r>
        <w:rPr>
          <w:rFonts w:eastAsiaTheme="minorEastAsia"/>
          <w:bCs/>
          <w:sz w:val="24"/>
          <w:u w:val="single"/>
        </w:rPr>
        <w:t>（理论值）</w:t>
      </w:r>
      <w:r>
        <w:rPr>
          <w:rFonts w:hint="eastAsia" w:eastAsiaTheme="minorEastAsia"/>
          <w:bCs/>
          <w:sz w:val="24"/>
          <w:u w:val="single"/>
        </w:rPr>
        <w:t>。本项目拟在污水处理站附近新建一个事故应急池（兼做消防废水池），容积约为100m</w:t>
      </w:r>
      <w:r>
        <w:rPr>
          <w:rFonts w:hint="eastAsia" w:eastAsiaTheme="minorEastAsia"/>
          <w:bCs/>
          <w:sz w:val="24"/>
          <w:u w:val="single"/>
          <w:vertAlign w:val="superscript"/>
        </w:rPr>
        <w:t>3</w:t>
      </w:r>
      <w:r>
        <w:rPr>
          <w:rFonts w:hint="eastAsia" w:eastAsiaTheme="minorEastAsia"/>
          <w:bCs/>
          <w:sz w:val="24"/>
          <w:u w:val="single"/>
        </w:rPr>
        <w:t>，避免污水处理站发生事故时废水泄露。</w:t>
      </w:r>
    </w:p>
    <w:p>
      <w:pPr>
        <w:adjustRightInd w:val="0"/>
        <w:snapToGrid w:val="0"/>
        <w:spacing w:line="360" w:lineRule="auto"/>
        <w:ind w:firstLine="480" w:firstLineChars="200"/>
        <w:rPr>
          <w:rFonts w:eastAsiaTheme="minorEastAsia"/>
          <w:bCs/>
          <w:sz w:val="24"/>
        </w:rPr>
      </w:pPr>
      <w:r>
        <w:rPr>
          <w:rFonts w:eastAsiaTheme="minorEastAsia"/>
          <w:bCs/>
          <w:sz w:val="24"/>
          <w:u w:val="single"/>
        </w:rPr>
        <w:t>事故应急池应配套设置应急阀（一般情况下为关闭状态），在突发环境污染事故中配</w:t>
      </w:r>
      <w:r>
        <w:rPr>
          <w:rFonts w:eastAsiaTheme="minorEastAsia"/>
          <w:bCs/>
          <w:sz w:val="24"/>
        </w:rPr>
        <w:t>合雨水阀使用，具体操作如下：</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 xml:space="preserve"> 正常情况下，保持雨水总排放口阀门（简称雨水阀）打开状态，事故应急池阀门（简称应急阀或截止阀）关闭状态。应急阀门有手动、电动操作方式，一般默认为电动操作，如需手动操作时应根据机器身上箭头所示按下切换手柄完成手/电动的转换，再转动手轮进行手动操作；当需电动操作时可直接按动控制开关操作，无需切换手柄；注意不得蛮干，强行将手柄由手动切换至电动位置，否则会使内部机构损坏。</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 xml:space="preserve"> 当出现突发环境污染事故等可能有受污水进入雨水管网的应急状态时，应立刻关闭雨水阀和打开应急阀，将受污染水全部纳入事故应急池中。若事故发生后，事故应急池收集的废水需要及时进行处理、处置。</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 xml:space="preserve"> 院方应安排专人负责阀门日常检查保养工作，定期检查阀门性能，确保出现紧急情况时能顺利启动阀门，防止事态进一步扩大。</w:t>
      </w:r>
    </w:p>
    <w:p>
      <w:pPr>
        <w:pStyle w:val="3"/>
        <w:tabs>
          <w:tab w:val="left" w:pos="1418"/>
        </w:tabs>
        <w:snapToGrid w:val="0"/>
        <w:spacing w:before="0" w:after="0" w:line="360" w:lineRule="auto"/>
        <w:rPr>
          <w:rFonts w:ascii="Times New Roman" w:hAnsi="Times New Roman" w:eastAsiaTheme="minorEastAsia"/>
          <w:sz w:val="28"/>
          <w:lang w:val="zh-CN"/>
        </w:rPr>
      </w:pPr>
      <w:bookmarkStart w:id="172" w:name="_Toc61026620"/>
      <w:r>
        <w:rPr>
          <w:rFonts w:ascii="Times New Roman" w:hAnsi="Times New Roman" w:eastAsiaTheme="minorEastAsia"/>
          <w:sz w:val="28"/>
          <w:lang w:val="zh-CN"/>
        </w:rPr>
        <w:t>7.4 环境风险管理措施</w:t>
      </w:r>
      <w:bookmarkEnd w:id="172"/>
    </w:p>
    <w:p>
      <w:pPr>
        <w:pStyle w:val="4"/>
        <w:tabs>
          <w:tab w:val="left" w:pos="1701"/>
        </w:tabs>
        <w:snapToGrid w:val="0"/>
        <w:spacing w:before="0" w:after="0" w:line="360" w:lineRule="auto"/>
        <w:rPr>
          <w:rFonts w:eastAsiaTheme="minorEastAsia"/>
          <w:kern w:val="0"/>
          <w:sz w:val="24"/>
        </w:rPr>
      </w:pPr>
      <w:r>
        <w:rPr>
          <w:rFonts w:eastAsiaTheme="minorEastAsia"/>
          <w:kern w:val="0"/>
          <w:sz w:val="24"/>
        </w:rPr>
        <w:t>7.4.1 重大疫情时医院内部的风险防范</w:t>
      </w:r>
    </w:p>
    <w:p>
      <w:pPr>
        <w:adjustRightInd w:val="0"/>
        <w:snapToGrid w:val="0"/>
        <w:spacing w:line="360" w:lineRule="auto"/>
        <w:ind w:firstLine="480" w:firstLineChars="200"/>
        <w:rPr>
          <w:rFonts w:eastAsiaTheme="minorEastAsia"/>
          <w:bCs/>
          <w:sz w:val="24"/>
        </w:rPr>
      </w:pPr>
      <w:r>
        <w:rPr>
          <w:rFonts w:eastAsiaTheme="minorEastAsia"/>
          <w:bCs/>
          <w:sz w:val="24"/>
        </w:rPr>
        <w:t>1、隔离的原则</w:t>
      </w:r>
    </w:p>
    <w:p>
      <w:pPr>
        <w:adjustRightInd w:val="0"/>
        <w:snapToGrid w:val="0"/>
        <w:spacing w:line="360" w:lineRule="auto"/>
        <w:ind w:firstLine="480" w:firstLineChars="200"/>
        <w:rPr>
          <w:rFonts w:eastAsiaTheme="minorEastAsia"/>
          <w:bCs/>
          <w:sz w:val="24"/>
        </w:rPr>
      </w:pPr>
      <w:r>
        <w:rPr>
          <w:rFonts w:eastAsiaTheme="minorEastAsia"/>
          <w:bCs/>
          <w:sz w:val="24"/>
        </w:rPr>
        <w:t>（1）医院对患者和确诊患者及时采取隔离措施，对疑似患者和确诊患者分开安置，并进行单间隔离。确诊患者可以置于多人房间，不设陪护。患者的活动限制在隔离病房内进行。与患者相关的诊疗活动尽量在病区内进行。</w:t>
      </w:r>
    </w:p>
    <w:p>
      <w:pPr>
        <w:adjustRightInd w:val="0"/>
        <w:snapToGrid w:val="0"/>
        <w:spacing w:line="360" w:lineRule="auto"/>
        <w:ind w:firstLine="480" w:firstLineChars="200"/>
        <w:rPr>
          <w:rFonts w:eastAsiaTheme="minorEastAsia"/>
          <w:bCs/>
          <w:sz w:val="24"/>
        </w:rPr>
      </w:pPr>
      <w:r>
        <w:rPr>
          <w:rFonts w:eastAsiaTheme="minorEastAsia"/>
          <w:bCs/>
          <w:sz w:val="24"/>
        </w:rPr>
        <w:t>（2）根据疫情的传播途径，在实施标准预防的基础上，医院采取飞沫隔离与接触隔离措施。具体措施包括：</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患者安置在具备有效通风条件(至少每5分钟空气交换1次)的隔离病房内。</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隔离病房的门随时保持关闭状态。</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减少进入隔离病房的医务人员数量。</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④</w:t>
      </w:r>
      <w:r>
        <w:rPr>
          <w:rFonts w:eastAsiaTheme="minorEastAsia"/>
          <w:bCs/>
          <w:sz w:val="24"/>
        </w:rPr>
        <w:t>隔离病房应设有专用的卫生间、洗手池。</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⑤</w:t>
      </w:r>
      <w:r>
        <w:rPr>
          <w:rFonts w:eastAsiaTheme="minorEastAsia"/>
          <w:bCs/>
          <w:sz w:val="24"/>
        </w:rPr>
        <w:t>医疗设备、器械(如听诊器、温度计、血压计等)实行专人专用。用于其他患者前进行彻底清洁和消毒。</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⑥</w:t>
      </w:r>
      <w:r>
        <w:rPr>
          <w:rFonts w:eastAsiaTheme="minorEastAsia"/>
          <w:bCs/>
          <w:sz w:val="24"/>
        </w:rPr>
        <w:t>隔离病房门口放置速干手消毒剂。</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⑦</w:t>
      </w:r>
      <w:r>
        <w:rPr>
          <w:rFonts w:eastAsiaTheme="minorEastAsia"/>
          <w:bCs/>
          <w:sz w:val="24"/>
        </w:rPr>
        <w:t>隔离病房内放置免触式医疗废物容器及利器盒。</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⑧</w:t>
      </w:r>
      <w:r>
        <w:rPr>
          <w:rFonts w:eastAsiaTheme="minorEastAsia"/>
          <w:bCs/>
          <w:sz w:val="24"/>
        </w:rPr>
        <w:t>减少患者携带个人物品，餐具、杯子等日用品置于患者伸手可及之处。</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⑨</w:t>
      </w:r>
      <w:r>
        <w:rPr>
          <w:rFonts w:eastAsiaTheme="minorEastAsia"/>
          <w:bCs/>
          <w:sz w:val="24"/>
        </w:rPr>
        <w:t>隔离病房门外设有专用工作车或者工作台，放置个人防护用品。</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⑩</w:t>
      </w:r>
      <w:r>
        <w:rPr>
          <w:rFonts w:eastAsiaTheme="minorEastAsia"/>
          <w:bCs/>
          <w:sz w:val="24"/>
        </w:rPr>
        <w:t>隔离病房门外放置有盖容器，收集需要消毒的物品。</w:t>
      </w:r>
    </w:p>
    <w:p>
      <w:pPr>
        <w:adjustRightInd w:val="0"/>
        <w:snapToGrid w:val="0"/>
        <w:spacing w:line="360" w:lineRule="auto"/>
        <w:ind w:firstLine="480" w:firstLineChars="200"/>
        <w:rPr>
          <w:rFonts w:eastAsiaTheme="minorEastAsia"/>
          <w:bCs/>
          <w:sz w:val="24"/>
        </w:rPr>
      </w:pPr>
      <w:r>
        <w:rPr>
          <w:rFonts w:eastAsiaTheme="minorEastAsia"/>
          <w:bCs/>
          <w:sz w:val="24"/>
        </w:rPr>
        <w:t>（3）医院会对患者进行培训和指导。具体内容包括：</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病情允许时，患者必须佩戴外科口罩。</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在咳嗽或者打喷嚏时用卫生纸遮掩口鼻，然后将卫生纸丢入医疗废物桶。</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在接触呼吸道分泌物后必须使用肥皂洗手或者使用速干手消毒剂消毒双手。</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④</w:t>
      </w:r>
      <w:r>
        <w:rPr>
          <w:rFonts w:eastAsiaTheme="minorEastAsia"/>
          <w:bCs/>
          <w:sz w:val="24"/>
        </w:rPr>
        <w:t>与他人的距离保持1米以上的距离，防止通过空气传播感染。</w:t>
      </w:r>
    </w:p>
    <w:p>
      <w:pPr>
        <w:adjustRightInd w:val="0"/>
        <w:snapToGrid w:val="0"/>
        <w:spacing w:line="360" w:lineRule="auto"/>
        <w:ind w:firstLine="480" w:firstLineChars="200"/>
        <w:rPr>
          <w:rFonts w:eastAsiaTheme="minorEastAsia"/>
          <w:bCs/>
          <w:sz w:val="24"/>
        </w:rPr>
      </w:pPr>
      <w:r>
        <w:rPr>
          <w:rFonts w:eastAsiaTheme="minorEastAsia"/>
          <w:bCs/>
          <w:sz w:val="24"/>
        </w:rPr>
        <w:t>（4）医院根据实际工作条件采取区域隔离。具体要求包括：</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将整个病区分为清洁区、潜在污染区和污染区。清洁区包括医务人员的值班室、卫生间、男女更衣室、浴室以及储物间、配餐间等，潜在污染区包括医务人员的办公室、治疗室、护士站、内走廊等，污染区包括病室、处置室、污物间等。</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在清洁区和潜在污染区、潜在污染区和污染区之间分别设立缓冲带或者缓冲间，并有实际的隔离屏障(如隔离门)。</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各区之间使用颜色区分，清洁区划蓝色线，潜在污染区划黄色线，污染区划红色线，以警示医务人员。</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④</w:t>
      </w:r>
      <w:r>
        <w:rPr>
          <w:rFonts w:eastAsiaTheme="minorEastAsia"/>
          <w:bCs/>
          <w:sz w:val="24"/>
        </w:rPr>
        <w:t>分别设有医务人员和患者的专用通道。</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⑤</w:t>
      </w:r>
      <w:r>
        <w:rPr>
          <w:rFonts w:eastAsiaTheme="minorEastAsia"/>
          <w:bCs/>
          <w:sz w:val="24"/>
        </w:rPr>
        <w:t>个人防护用品置于不同区域，医务人员在不同区域穿戴和脱摘相应的防护用品。</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⑥</w:t>
      </w:r>
      <w:r>
        <w:rPr>
          <w:rFonts w:eastAsiaTheme="minorEastAsia"/>
          <w:bCs/>
          <w:sz w:val="24"/>
        </w:rPr>
        <w:t>整个病区保持通风良好，保证空气流向从清洁区→潜在污染区→污染区，不能逆流。</w:t>
      </w:r>
    </w:p>
    <w:p>
      <w:pPr>
        <w:adjustRightInd w:val="0"/>
        <w:snapToGrid w:val="0"/>
        <w:spacing w:line="360" w:lineRule="auto"/>
        <w:ind w:firstLine="480" w:firstLineChars="200"/>
        <w:rPr>
          <w:rFonts w:eastAsiaTheme="minorEastAsia"/>
          <w:bCs/>
          <w:sz w:val="24"/>
        </w:rPr>
      </w:pPr>
      <w:r>
        <w:rPr>
          <w:rFonts w:eastAsiaTheme="minorEastAsia"/>
          <w:bCs/>
          <w:sz w:val="24"/>
        </w:rPr>
        <w:t>2、不同部门的隔离措施</w:t>
      </w:r>
    </w:p>
    <w:p>
      <w:pPr>
        <w:adjustRightInd w:val="0"/>
        <w:snapToGrid w:val="0"/>
        <w:spacing w:line="360" w:lineRule="auto"/>
        <w:ind w:firstLine="480" w:firstLineChars="200"/>
        <w:rPr>
          <w:rFonts w:eastAsiaTheme="minorEastAsia"/>
          <w:bCs/>
          <w:sz w:val="24"/>
        </w:rPr>
      </w:pPr>
      <w:r>
        <w:rPr>
          <w:rFonts w:eastAsiaTheme="minorEastAsia"/>
          <w:bCs/>
          <w:sz w:val="24"/>
        </w:rPr>
        <w:t>（1）发热门(急)诊</w:t>
      </w:r>
    </w:p>
    <w:p>
      <w:pPr>
        <w:adjustRightInd w:val="0"/>
        <w:snapToGrid w:val="0"/>
        <w:spacing w:line="360" w:lineRule="auto"/>
        <w:ind w:firstLine="480" w:firstLineChars="200"/>
        <w:rPr>
          <w:rFonts w:eastAsiaTheme="minorEastAsia"/>
          <w:bCs/>
          <w:sz w:val="24"/>
        </w:rPr>
      </w:pPr>
      <w:r>
        <w:rPr>
          <w:rFonts w:eastAsiaTheme="minorEastAsia"/>
          <w:bCs/>
          <w:sz w:val="24"/>
        </w:rPr>
        <w:t>医院按规定设立有发热门(急)诊，建立预检分诊制度，及时引导相关患者到发热门(急)诊就诊。发热门(急)诊采取如下措施：</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远离其他门诊、急诊，独立设区，出入口与普通门急诊分开，标识明显。</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有备用诊室。</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设隔离卫生间。</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④</w:t>
      </w:r>
      <w:r>
        <w:rPr>
          <w:rFonts w:eastAsiaTheme="minorEastAsia"/>
          <w:bCs/>
          <w:sz w:val="24"/>
        </w:rPr>
        <w:t>挂号、就诊、检验、检查、取药等能全部在该区域内完成。</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⑤</w:t>
      </w:r>
      <w:r>
        <w:rPr>
          <w:rFonts w:eastAsiaTheme="minorEastAsia"/>
          <w:bCs/>
          <w:sz w:val="24"/>
        </w:rPr>
        <w:t>设立较独立的医护人员工作区域。</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⑥</w:t>
      </w:r>
      <w:r>
        <w:rPr>
          <w:rFonts w:eastAsiaTheme="minorEastAsia"/>
          <w:bCs/>
          <w:sz w:val="24"/>
        </w:rPr>
        <w:t>发热和急性呼吸道症状患者应当戴外科口罩，若病情不允许，在咳嗽或打喷嚏时用卫生纸遮掩口鼻，然后将卫生纸丢入医疗废物容器。</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⑦</w:t>
      </w:r>
      <w:r>
        <w:rPr>
          <w:rFonts w:eastAsiaTheme="minorEastAsia"/>
          <w:bCs/>
          <w:sz w:val="24"/>
        </w:rPr>
        <w:t>近距离接触(距离&lt;1米)急性发热性呼吸道症状患者，医务人员必须采用“标准预防+飞沫传播预防”的措施。</w:t>
      </w:r>
    </w:p>
    <w:p>
      <w:pPr>
        <w:adjustRightInd w:val="0"/>
        <w:snapToGrid w:val="0"/>
        <w:spacing w:line="360" w:lineRule="auto"/>
        <w:ind w:firstLine="480" w:firstLineChars="200"/>
        <w:rPr>
          <w:rFonts w:eastAsiaTheme="minorEastAsia"/>
          <w:bCs/>
          <w:sz w:val="24"/>
        </w:rPr>
      </w:pPr>
      <w:r>
        <w:rPr>
          <w:rFonts w:eastAsiaTheme="minorEastAsia"/>
          <w:bCs/>
          <w:sz w:val="24"/>
        </w:rPr>
        <w:t>（2）隔离留观室</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独立设区，标识明显。</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清洁区、潜在污染区、污染区分区明确，无交叉。办公室与留观室保持一定距离。</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留观患者单间隔离，房间内设有卫生间。</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④</w:t>
      </w:r>
      <w:r>
        <w:rPr>
          <w:rFonts w:eastAsiaTheme="minorEastAsia"/>
          <w:bCs/>
          <w:sz w:val="24"/>
        </w:rPr>
        <w:t>患者病情允许时，应当戴外科口罩，并限制在留观室内活动。</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7.4.2 医院污水排放风险防患措施</w:t>
      </w:r>
    </w:p>
    <w:p>
      <w:pPr>
        <w:adjustRightInd w:val="0"/>
        <w:snapToGrid w:val="0"/>
        <w:spacing w:line="360" w:lineRule="auto"/>
        <w:ind w:firstLine="480" w:firstLineChars="200"/>
        <w:rPr>
          <w:rFonts w:eastAsiaTheme="minorEastAsia"/>
          <w:bCs/>
          <w:sz w:val="24"/>
        </w:rPr>
      </w:pPr>
      <w:r>
        <w:rPr>
          <w:rFonts w:eastAsiaTheme="minorEastAsia"/>
          <w:bCs/>
          <w:sz w:val="24"/>
        </w:rPr>
        <w:t>（1）医院必须加强污水治理设施的运行管理。加强对生产设备、各种输液管道的维护保养，及时处理隐患、杜绝病区污水收集和处理过程中的跑、冒、滴、漏，确保废水处理系统正常运行。</w:t>
      </w:r>
    </w:p>
    <w:p>
      <w:pPr>
        <w:adjustRightInd w:val="0"/>
        <w:snapToGrid w:val="0"/>
        <w:spacing w:line="360" w:lineRule="auto"/>
        <w:ind w:firstLine="480" w:firstLineChars="200"/>
        <w:rPr>
          <w:rFonts w:eastAsiaTheme="minorEastAsia"/>
          <w:bCs/>
          <w:sz w:val="24"/>
        </w:rPr>
      </w:pPr>
      <w:r>
        <w:rPr>
          <w:rFonts w:eastAsiaTheme="minorEastAsia"/>
          <w:bCs/>
          <w:sz w:val="24"/>
        </w:rPr>
        <w:t>（2）加强污水处理效果的监控设施建设，主要为消毒剂投加自动控制措施的监控，消毒剂的投加量需根据实际水质水量进行调整，严禁医院污水不经处理直接排放。</w:t>
      </w:r>
    </w:p>
    <w:p>
      <w:pPr>
        <w:adjustRightInd w:val="0"/>
        <w:snapToGrid w:val="0"/>
        <w:spacing w:line="360" w:lineRule="auto"/>
        <w:ind w:firstLine="480" w:firstLineChars="200"/>
        <w:rPr>
          <w:rFonts w:eastAsiaTheme="minorEastAsia"/>
          <w:bCs/>
          <w:sz w:val="24"/>
        </w:rPr>
      </w:pPr>
      <w:r>
        <w:rPr>
          <w:rFonts w:eastAsiaTheme="minorEastAsia"/>
          <w:bCs/>
          <w:sz w:val="24"/>
        </w:rPr>
        <w:t>（3）处理后出水指标要按照环境管理工作制度的要求，定期、定时进行监测，以保证污水稳定达标排放。</w:t>
      </w:r>
    </w:p>
    <w:p>
      <w:pPr>
        <w:adjustRightInd w:val="0"/>
        <w:snapToGrid w:val="0"/>
        <w:spacing w:line="360" w:lineRule="auto"/>
        <w:ind w:firstLine="480" w:firstLineChars="200"/>
        <w:rPr>
          <w:rFonts w:eastAsiaTheme="minorEastAsia"/>
          <w:bCs/>
          <w:sz w:val="24"/>
        </w:rPr>
      </w:pPr>
      <w:r>
        <w:rPr>
          <w:rFonts w:eastAsiaTheme="minorEastAsia"/>
          <w:bCs/>
          <w:sz w:val="24"/>
        </w:rPr>
        <w:t>（4）针对医院污水事故排放所产生的风险，项目拟</w:t>
      </w:r>
      <w:r>
        <w:rPr>
          <w:rFonts w:hint="eastAsia" w:eastAsiaTheme="minorEastAsia"/>
          <w:bCs/>
          <w:sz w:val="24"/>
        </w:rPr>
        <w:t>新建</w:t>
      </w:r>
      <w:r>
        <w:rPr>
          <w:rFonts w:eastAsiaTheme="minorEastAsia"/>
          <w:bCs/>
          <w:sz w:val="24"/>
        </w:rPr>
        <w:t>事故</w:t>
      </w:r>
      <w:r>
        <w:rPr>
          <w:rFonts w:hint="eastAsia" w:eastAsiaTheme="minorEastAsia"/>
          <w:bCs/>
          <w:sz w:val="24"/>
        </w:rPr>
        <w:t>应急</w:t>
      </w:r>
      <w:r>
        <w:rPr>
          <w:rFonts w:eastAsiaTheme="minorEastAsia"/>
          <w:bCs/>
          <w:sz w:val="24"/>
        </w:rPr>
        <w:t>池（容积大于</w:t>
      </w:r>
      <w:r>
        <w:rPr>
          <w:rFonts w:hint="eastAsia" w:eastAsiaTheme="minorEastAsia"/>
          <w:bCs/>
          <w:sz w:val="24"/>
        </w:rPr>
        <w:t>1</w:t>
      </w:r>
      <w:r>
        <w:rPr>
          <w:rFonts w:eastAsiaTheme="minorEastAsia"/>
          <w:bCs/>
          <w:sz w:val="24"/>
        </w:rPr>
        <w:t>00m</w:t>
      </w:r>
      <w:r>
        <w:rPr>
          <w:rFonts w:eastAsiaTheme="minorEastAsia"/>
          <w:bCs/>
          <w:sz w:val="24"/>
          <w:vertAlign w:val="superscript"/>
        </w:rPr>
        <w:t>3</w:t>
      </w:r>
      <w:r>
        <w:rPr>
          <w:rFonts w:eastAsiaTheme="minorEastAsia"/>
          <w:bCs/>
          <w:sz w:val="24"/>
        </w:rPr>
        <w:t>），满足</w:t>
      </w:r>
      <w:r>
        <w:rPr>
          <w:rFonts w:hint="eastAsia" w:eastAsiaTheme="minorEastAsia"/>
          <w:bCs/>
          <w:sz w:val="24"/>
        </w:rPr>
        <w:t>10</w:t>
      </w:r>
      <w:r>
        <w:rPr>
          <w:rFonts w:eastAsiaTheme="minorEastAsia"/>
          <w:bCs/>
          <w:sz w:val="24"/>
        </w:rPr>
        <w:t>小时废水排放，事故应急池设在污水处理站的旁边，配套建设完善的排水系统管网和切换系统，以应对因管道破裂、泵设备损坏或失效、人为操作失误等事故，确保发生事故时的受污染消防水全部收集至事故池暂存，待事故结束后妥善处理。</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7.4.3 医疗固废的防范措施</w:t>
      </w:r>
    </w:p>
    <w:p>
      <w:pPr>
        <w:adjustRightInd w:val="0"/>
        <w:snapToGrid w:val="0"/>
        <w:spacing w:line="360" w:lineRule="auto"/>
        <w:ind w:firstLine="480" w:firstLineChars="200"/>
        <w:rPr>
          <w:rFonts w:eastAsiaTheme="minorEastAsia"/>
          <w:bCs/>
          <w:sz w:val="24"/>
        </w:rPr>
      </w:pPr>
      <w:r>
        <w:rPr>
          <w:rFonts w:eastAsiaTheme="minorEastAsia"/>
          <w:bCs/>
          <w:sz w:val="24"/>
        </w:rPr>
        <w:t>医疗废物的极大危害性，医院在收集、贮存、运送医疗废物的过程中存在着一定的风险。为保证医院产生的医疗废物得到安全处置，使其风险减少到最小程度，而不会对周围环境造成不良影响，应具体采取如下的措施进行防范。</w:t>
      </w:r>
    </w:p>
    <w:p>
      <w:pPr>
        <w:adjustRightInd w:val="0"/>
        <w:snapToGrid w:val="0"/>
        <w:spacing w:line="360" w:lineRule="auto"/>
        <w:ind w:firstLine="480" w:firstLineChars="200"/>
        <w:rPr>
          <w:rFonts w:eastAsiaTheme="minorEastAsia"/>
          <w:bCs/>
          <w:sz w:val="24"/>
        </w:rPr>
      </w:pPr>
      <w:r>
        <w:rPr>
          <w:rFonts w:eastAsiaTheme="minorEastAsia"/>
          <w:bCs/>
          <w:sz w:val="24"/>
        </w:rPr>
        <w:t>（1）应对医院产生的医疗废物进行科学的分类收集科学的分类是消除污染、无害化处置的保证，要采用专用容器，明确各类废弃物标识，分类包装，分类堆放，并本着及时、方便、安全、快捷的原则，进行收集。感染性废物、病理性废物、损伤性废物、药物性废物及化学性废物是不能混合收集；放入包装物或者容器内的感染性废物、病理性废物、损伤性废物不得取出。当盛装的医疗废物达到包装物或者容器的3/4时，应当使用有效的封口方式，使包装物或者容器的封口紧实、严密。对于盛装医疗废物的塑料包装袋应当符合下列规格：</w:t>
      </w:r>
    </w:p>
    <w:p>
      <w:pPr>
        <w:adjustRightInd w:val="0"/>
        <w:snapToGrid w:val="0"/>
        <w:spacing w:line="360" w:lineRule="auto"/>
        <w:ind w:firstLine="480" w:firstLineChars="200"/>
        <w:rPr>
          <w:rFonts w:eastAsiaTheme="minorEastAsia"/>
          <w:bCs/>
          <w:sz w:val="24"/>
        </w:rPr>
      </w:pPr>
      <w:r>
        <w:rPr>
          <w:rFonts w:eastAsiaTheme="minorEastAsia"/>
          <w:bCs/>
          <w:sz w:val="24"/>
        </w:rPr>
        <w:t>黄色—700×550mm塑料袋：感染性废物；红色—700×550mm塑料袋：传染性废物；</w:t>
      </w:r>
    </w:p>
    <w:p>
      <w:pPr>
        <w:adjustRightInd w:val="0"/>
        <w:snapToGrid w:val="0"/>
        <w:spacing w:line="360" w:lineRule="auto"/>
        <w:ind w:firstLine="480" w:firstLineChars="200"/>
        <w:rPr>
          <w:rFonts w:eastAsiaTheme="minorEastAsia"/>
          <w:bCs/>
          <w:sz w:val="24"/>
        </w:rPr>
      </w:pPr>
      <w:r>
        <w:rPr>
          <w:rFonts w:eastAsiaTheme="minorEastAsia"/>
          <w:bCs/>
          <w:sz w:val="24"/>
        </w:rPr>
        <w:t>绿色—400×300mm塑料袋：损伤性废物；</w:t>
      </w:r>
    </w:p>
    <w:p>
      <w:pPr>
        <w:adjustRightInd w:val="0"/>
        <w:snapToGrid w:val="0"/>
        <w:spacing w:line="360" w:lineRule="auto"/>
        <w:ind w:firstLine="480" w:firstLineChars="200"/>
        <w:rPr>
          <w:rFonts w:eastAsiaTheme="minorEastAsia"/>
          <w:bCs/>
          <w:sz w:val="24"/>
        </w:rPr>
      </w:pPr>
      <w:r>
        <w:rPr>
          <w:rFonts w:eastAsiaTheme="minorEastAsia"/>
          <w:bCs/>
          <w:sz w:val="24"/>
        </w:rPr>
        <w:t>红色—400×300mm塑料袋：传染性损伤性废物。</w:t>
      </w:r>
    </w:p>
    <w:p>
      <w:pPr>
        <w:adjustRightInd w:val="0"/>
        <w:snapToGrid w:val="0"/>
        <w:spacing w:line="360" w:lineRule="auto"/>
        <w:ind w:firstLine="480" w:firstLineChars="200"/>
        <w:rPr>
          <w:rFonts w:eastAsiaTheme="minorEastAsia"/>
          <w:bCs/>
          <w:sz w:val="24"/>
        </w:rPr>
      </w:pPr>
      <w:r>
        <w:rPr>
          <w:rFonts w:eastAsiaTheme="minorEastAsia"/>
          <w:bCs/>
          <w:sz w:val="24"/>
        </w:rPr>
        <w:t>而盛装医疗废物的外包装纸箱应符合下列要求：</w:t>
      </w:r>
    </w:p>
    <w:p>
      <w:pPr>
        <w:adjustRightInd w:val="0"/>
        <w:snapToGrid w:val="0"/>
        <w:spacing w:line="360" w:lineRule="auto"/>
        <w:ind w:firstLine="480" w:firstLineChars="200"/>
        <w:rPr>
          <w:rFonts w:eastAsiaTheme="minorEastAsia"/>
          <w:bCs/>
          <w:sz w:val="24"/>
        </w:rPr>
      </w:pPr>
      <w:r>
        <w:rPr>
          <w:rFonts w:eastAsiaTheme="minorEastAsia"/>
          <w:bCs/>
          <w:sz w:val="24"/>
        </w:rPr>
        <w:t>印有红色“传染性废物”—600×400×500mm纸箱；</w:t>
      </w:r>
    </w:p>
    <w:p>
      <w:pPr>
        <w:adjustRightInd w:val="0"/>
        <w:snapToGrid w:val="0"/>
        <w:spacing w:line="360" w:lineRule="auto"/>
        <w:ind w:firstLine="480" w:firstLineChars="200"/>
        <w:rPr>
          <w:rFonts w:eastAsiaTheme="minorEastAsia"/>
          <w:bCs/>
          <w:sz w:val="24"/>
        </w:rPr>
      </w:pPr>
      <w:r>
        <w:rPr>
          <w:rFonts w:eastAsiaTheme="minorEastAsia"/>
          <w:bCs/>
          <w:sz w:val="24"/>
        </w:rPr>
        <w:t>印有绿色“损伤性废物”—400×200×300mm纸箱；</w:t>
      </w:r>
    </w:p>
    <w:p>
      <w:pPr>
        <w:adjustRightInd w:val="0"/>
        <w:snapToGrid w:val="0"/>
        <w:spacing w:line="360" w:lineRule="auto"/>
        <w:ind w:firstLine="480" w:firstLineChars="200"/>
        <w:rPr>
          <w:rFonts w:eastAsiaTheme="minorEastAsia"/>
          <w:bCs/>
          <w:sz w:val="24"/>
        </w:rPr>
      </w:pPr>
      <w:r>
        <w:rPr>
          <w:rFonts w:eastAsiaTheme="minorEastAsia"/>
          <w:bCs/>
          <w:sz w:val="24"/>
        </w:rPr>
        <w:t>印有红色“传染性损伤性废物”—600×400×500mm纸箱。</w:t>
      </w:r>
    </w:p>
    <w:p>
      <w:pPr>
        <w:adjustRightInd w:val="0"/>
        <w:snapToGrid w:val="0"/>
        <w:spacing w:line="360" w:lineRule="auto"/>
        <w:ind w:firstLine="480" w:firstLineChars="200"/>
        <w:rPr>
          <w:rFonts w:eastAsiaTheme="minorEastAsia"/>
          <w:bCs/>
          <w:sz w:val="24"/>
        </w:rPr>
      </w:pPr>
      <w:r>
        <w:rPr>
          <w:rFonts w:eastAsiaTheme="minorEastAsia"/>
          <w:bCs/>
          <w:sz w:val="24"/>
        </w:rPr>
        <w:t>（2）医院产生的医疗废物中病原体的培养基、标本和菌种、毒种保存液等高危险废物，由检验科、病理科等产生单位首先在产生地点进行压力蒸汽灭菌或者化学消毒处理，然后按感染性废物收集处理；化学性废物中批量的废化学试剂、废消毒剂应当由药剂科交由专门机构处置；批量的含有汞的体温计、血压计等医疗器具报废时，应当由设备科交由专门机构处置。</w:t>
      </w:r>
    </w:p>
    <w:p>
      <w:pPr>
        <w:adjustRightInd w:val="0"/>
        <w:snapToGrid w:val="0"/>
        <w:spacing w:line="360" w:lineRule="auto"/>
        <w:ind w:firstLine="480" w:firstLineChars="200"/>
        <w:rPr>
          <w:rFonts w:eastAsiaTheme="minorEastAsia"/>
          <w:bCs/>
          <w:sz w:val="24"/>
        </w:rPr>
      </w:pPr>
      <w:r>
        <w:rPr>
          <w:rFonts w:eastAsiaTheme="minorEastAsia"/>
          <w:bCs/>
          <w:sz w:val="24"/>
        </w:rPr>
        <w:t>（3）对感染性废物必须采取安全、有效、经济的隔离和处理方法。操作感染性或任何有潜在危害的废物时，必须穿戴手套和防护服。对有多种成份混和的医学废料，应按危害等级较高者处理。感染性废物应分类丢入垃圾袋，还必须由专业人员严格区分感染性和非感染性废物，一旦分开后，感染性废物必须加以隔离。根据有关规定，所有收集感染性废物的容器都应有“生物危害”标志。有液体的感染性废料时，应确保容器无泄漏。</w:t>
      </w:r>
    </w:p>
    <w:p>
      <w:pPr>
        <w:adjustRightInd w:val="0"/>
        <w:snapToGrid w:val="0"/>
        <w:spacing w:line="360" w:lineRule="auto"/>
        <w:ind w:firstLine="480" w:firstLineChars="200"/>
        <w:rPr>
          <w:rFonts w:eastAsiaTheme="minorEastAsia"/>
          <w:bCs/>
          <w:sz w:val="24"/>
        </w:rPr>
      </w:pPr>
      <w:r>
        <w:rPr>
          <w:rFonts w:eastAsiaTheme="minorEastAsia"/>
          <w:bCs/>
          <w:sz w:val="24"/>
        </w:rPr>
        <w:t>（4）所有锐利物都必须单独存放，并统一按医学废物处理。收集锐利物日包装容器必须使用硬质、防漏、防刺破材料。针或刀应保存在有明显标记、防泄漏、防刺破的容器内。处理含有锐利物品的感染性废料时应使用防刺破手套。</w:t>
      </w:r>
    </w:p>
    <w:p>
      <w:pPr>
        <w:adjustRightInd w:val="0"/>
        <w:snapToGrid w:val="0"/>
        <w:spacing w:line="360" w:lineRule="auto"/>
        <w:ind w:firstLine="480" w:firstLineChars="200"/>
        <w:rPr>
          <w:rFonts w:eastAsiaTheme="minorEastAsia"/>
          <w:bCs/>
          <w:sz w:val="24"/>
        </w:rPr>
      </w:pPr>
      <w:r>
        <w:rPr>
          <w:rFonts w:eastAsiaTheme="minorEastAsia"/>
          <w:bCs/>
          <w:sz w:val="24"/>
        </w:rPr>
        <w:t>（5）另外，有害化学废物不能与一般废物、无害化学废物或感染性废物相混合。稀释通常不能使有害化学废物的毒性减低。有害化学废物在产生后应分别收集、运输、贮存和处理；必需混合时，应注意不兼容性。为保证有害废料在产生、堆集和保存期间不发生意外、泄漏、破损等，应采取必要的控制措施，如：通风措施、相对封闭及隔离系统、安全措施、防火措施和安全通道。在化学废料的产生、处理、堆集和保存期间，对其包装及标签要求如下：根据废物种类使用废物容器、使用“有害废物”的标签或标记、在任何时候都确保废物容器的密闭性。采用有皱的包装材料包装易碎的玻璃和塑料制品，在包装中同时加入吸附性材料。</w:t>
      </w:r>
    </w:p>
    <w:p>
      <w:pPr>
        <w:adjustRightInd w:val="0"/>
        <w:snapToGrid w:val="0"/>
        <w:spacing w:line="360" w:lineRule="auto"/>
        <w:ind w:firstLine="480" w:firstLineChars="200"/>
        <w:rPr>
          <w:rFonts w:eastAsiaTheme="minorEastAsia"/>
          <w:bCs/>
          <w:sz w:val="24"/>
          <w:u w:val="single"/>
        </w:rPr>
      </w:pPr>
      <w:r>
        <w:rPr>
          <w:rFonts w:eastAsiaTheme="minorEastAsia"/>
          <w:bCs/>
          <w:sz w:val="24"/>
          <w:u w:val="single"/>
        </w:rPr>
        <w:t>对于危险废液应使用特别的容器进行收集，具体要求如下：</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①</w:t>
      </w:r>
      <w:r>
        <w:rPr>
          <w:rFonts w:eastAsiaTheme="minorEastAsia"/>
          <w:bCs/>
          <w:sz w:val="24"/>
          <w:u w:val="single"/>
        </w:rPr>
        <w:t>废液储存容器每桶容量不得超过20L，且必须为聚丙烯材质，并能耐酸碱、防止泄漏及密封。</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②</w:t>
      </w:r>
      <w:r>
        <w:rPr>
          <w:rFonts w:eastAsiaTheme="minorEastAsia"/>
          <w:bCs/>
          <w:sz w:val="24"/>
          <w:u w:val="single"/>
        </w:rPr>
        <w:t>废液混和收集时，应考虑废液之兼容性，不具兼容性之废液应分别收集。</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③</w:t>
      </w:r>
      <w:r>
        <w:rPr>
          <w:rFonts w:eastAsiaTheme="minorEastAsia"/>
          <w:bCs/>
          <w:sz w:val="24"/>
          <w:u w:val="single"/>
        </w:rPr>
        <w:t>废液储存容器的外观，必须有明显标示，标示内容必须包括所属科室、废液类别、名称、成份、收集日期等相关数据。</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④</w:t>
      </w:r>
      <w:r>
        <w:rPr>
          <w:rFonts w:eastAsiaTheme="minorEastAsia"/>
          <w:bCs/>
          <w:sz w:val="24"/>
          <w:u w:val="single"/>
        </w:rPr>
        <w:t>废液桶必须放置于指定位置，并确实将废液桶固定。(2)医疗废物的贮存和运送</w:t>
      </w:r>
    </w:p>
    <w:p>
      <w:pPr>
        <w:adjustRightInd w:val="0"/>
        <w:snapToGrid w:val="0"/>
        <w:spacing w:line="360" w:lineRule="auto"/>
        <w:ind w:firstLine="480" w:firstLineChars="200"/>
        <w:rPr>
          <w:rFonts w:eastAsiaTheme="minorEastAsia"/>
          <w:bCs/>
          <w:sz w:val="24"/>
          <w:u w:val="single"/>
        </w:rPr>
      </w:pPr>
      <w:r>
        <w:rPr>
          <w:rFonts w:eastAsiaTheme="minorEastAsia"/>
          <w:bCs/>
          <w:sz w:val="24"/>
          <w:u w:val="single"/>
        </w:rPr>
        <w:t>医院必须建立有医疗废物暂时贮存设施、设备，不得露天存放医疗废物；医疗废物暂时贮存的时间不得超过2天，应得到及时、有效地处理。因为在医疗废物储存过程中，会有恶臭产生。恶臭强度和垃圾中有机物腐烂程度有很大关系，其中主要污染物为硫化氢、三甲胺、甲硫醇以及氨等。臭味有害于人体健康，恶臭对人的大脑皮层是一种恶性刺激，长期呆在恶臭环境里，会使人产生恶心、头晕、疲劳、食欲不振等症状。恶臭环境还会使某些疾病恶化。</w:t>
      </w:r>
    </w:p>
    <w:p>
      <w:pPr>
        <w:adjustRightInd w:val="0"/>
        <w:snapToGrid w:val="0"/>
        <w:spacing w:line="360" w:lineRule="auto"/>
        <w:ind w:firstLine="480" w:firstLineChars="200"/>
        <w:rPr>
          <w:rFonts w:eastAsiaTheme="minorEastAsia"/>
          <w:bCs/>
          <w:sz w:val="24"/>
          <w:u w:val="single"/>
        </w:rPr>
      </w:pPr>
      <w:r>
        <w:rPr>
          <w:rFonts w:eastAsiaTheme="minorEastAsia"/>
          <w:bCs/>
          <w:sz w:val="24"/>
          <w:u w:val="single"/>
        </w:rPr>
        <w:t>医院建立的医疗废物暂时贮存设施、设备应当达到以下要求：</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①</w:t>
      </w:r>
      <w:r>
        <w:rPr>
          <w:rFonts w:eastAsiaTheme="minorEastAsia"/>
          <w:bCs/>
          <w:sz w:val="24"/>
          <w:u w:val="single"/>
        </w:rPr>
        <w:t>暂时贮存场所须分办公室、医疗废物贮存间、车辆存放间。</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②</w:t>
      </w:r>
      <w:r>
        <w:rPr>
          <w:rFonts w:eastAsiaTheme="minorEastAsia"/>
          <w:bCs/>
          <w:sz w:val="24"/>
          <w:u w:val="single"/>
        </w:rPr>
        <w:t>远离医疗区、食品加工区、人员活动区和生活垃圾存放场所，方便医疗废物运送人员及运送工具、车辆的出入。</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③</w:t>
      </w:r>
      <w:r>
        <w:rPr>
          <w:rFonts w:eastAsiaTheme="minorEastAsia"/>
          <w:bCs/>
          <w:sz w:val="24"/>
          <w:u w:val="single"/>
        </w:rPr>
        <w:t>有严密的封闭措施，设专(兼)职人员管理，防止非工作人员接触医疗废物；</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④</w:t>
      </w:r>
      <w:r>
        <w:rPr>
          <w:rFonts w:eastAsiaTheme="minorEastAsia"/>
          <w:bCs/>
          <w:sz w:val="24"/>
          <w:u w:val="single"/>
        </w:rPr>
        <w:t>有防鼠、防蚊蝇、防蟑螂的安全措施；防止渗漏和雨水冲刷；易于清洁和消毒；避免阳光直射；</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⑤</w:t>
      </w:r>
      <w:r>
        <w:rPr>
          <w:rFonts w:eastAsiaTheme="minorEastAsia"/>
          <w:bCs/>
          <w:sz w:val="24"/>
          <w:u w:val="single"/>
        </w:rPr>
        <w:t>设有明显的医疗废物警示标识和“禁止吸烟、饮食”的警示标识。</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⑥</w:t>
      </w:r>
      <w:r>
        <w:rPr>
          <w:rFonts w:eastAsiaTheme="minorEastAsia"/>
          <w:bCs/>
          <w:sz w:val="24"/>
          <w:u w:val="single"/>
        </w:rPr>
        <w:t>暂时贮存病理性废物，应当具备低温贮存或者防腐条件。对于感染性废料和锐利废物，其贮存地应有“生物危险”标志和进入管理限制，</w:t>
      </w:r>
    </w:p>
    <w:p>
      <w:pPr>
        <w:adjustRightInd w:val="0"/>
        <w:snapToGrid w:val="0"/>
        <w:spacing w:line="360" w:lineRule="auto"/>
        <w:ind w:firstLine="480" w:firstLineChars="200"/>
        <w:rPr>
          <w:rFonts w:eastAsiaTheme="minorEastAsia"/>
          <w:bCs/>
          <w:sz w:val="24"/>
          <w:u w:val="single"/>
        </w:rPr>
      </w:pPr>
      <w:r>
        <w:rPr>
          <w:rFonts w:eastAsiaTheme="minorEastAsia"/>
          <w:bCs/>
          <w:sz w:val="24"/>
          <w:u w:val="single"/>
        </w:rPr>
        <w:t>且应位于产生废物地点附近。同时感染性废物和锐利废物的贮存应满足以下要求：</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①</w:t>
      </w:r>
      <w:r>
        <w:rPr>
          <w:rFonts w:eastAsiaTheme="minorEastAsia"/>
          <w:bCs/>
          <w:sz w:val="24"/>
          <w:u w:val="single"/>
        </w:rPr>
        <w:t>保证包装内容物不暴露于空气和受潮；</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②</w:t>
      </w:r>
      <w:r>
        <w:rPr>
          <w:rFonts w:eastAsiaTheme="minorEastAsia"/>
          <w:bCs/>
          <w:sz w:val="24"/>
          <w:u w:val="single"/>
        </w:rPr>
        <w:t>保存温度及时间应使保存物无腐败发生，必要时，可用低温保存，以防微生物生长和产生异味；</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③</w:t>
      </w:r>
      <w:r>
        <w:rPr>
          <w:rFonts w:eastAsiaTheme="minorEastAsia"/>
          <w:bCs/>
          <w:sz w:val="24"/>
          <w:u w:val="single"/>
        </w:rPr>
        <w:t>贮存地及包装应确保内容物不成为鼠类或其他生物的食物来源；</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④</w:t>
      </w:r>
      <w:r>
        <w:rPr>
          <w:rFonts w:eastAsiaTheme="minorEastAsia"/>
          <w:bCs/>
          <w:sz w:val="24"/>
          <w:u w:val="single"/>
        </w:rPr>
        <w:t>贮存地不得对公众开放。</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⑤</w:t>
      </w:r>
      <w:r>
        <w:rPr>
          <w:rFonts w:eastAsiaTheme="minorEastAsia"/>
          <w:bCs/>
          <w:sz w:val="24"/>
          <w:u w:val="single"/>
        </w:rPr>
        <w:t>工作人员必须穿工作服、带工作帽和口罩以及防护手套上岗，定期进行健康检查，必要时对有关人员进行免疫接种。</w:t>
      </w:r>
    </w:p>
    <w:p>
      <w:pPr>
        <w:adjustRightInd w:val="0"/>
        <w:snapToGrid w:val="0"/>
        <w:spacing w:line="360" w:lineRule="auto"/>
        <w:ind w:firstLine="480" w:firstLineChars="200"/>
        <w:rPr>
          <w:rFonts w:eastAsiaTheme="minorEastAsia"/>
          <w:bCs/>
          <w:sz w:val="24"/>
          <w:u w:val="single"/>
        </w:rPr>
      </w:pPr>
      <w:r>
        <w:rPr>
          <w:rFonts w:hint="eastAsia" w:ascii="宋体" w:hAnsi="宋体" w:cs="宋体"/>
          <w:bCs/>
          <w:sz w:val="24"/>
          <w:u w:val="single"/>
        </w:rPr>
        <w:t>⑥</w:t>
      </w:r>
      <w:r>
        <w:rPr>
          <w:rFonts w:eastAsiaTheme="minorEastAsia"/>
          <w:bCs/>
          <w:sz w:val="24"/>
          <w:u w:val="single"/>
        </w:rPr>
        <w:t>医疗废物运送人员应当对收集的医疗废物进行登记，登记的内容应当包括医疗废物的来源、种类、重量或数量、交接时间、最终去向以及经办人签名等项目。登记资料保存三年以上。</w:t>
      </w:r>
    </w:p>
    <w:p>
      <w:pPr>
        <w:adjustRightInd w:val="0"/>
        <w:snapToGrid w:val="0"/>
        <w:spacing w:line="360" w:lineRule="auto"/>
        <w:ind w:firstLine="480" w:firstLineChars="200"/>
        <w:rPr>
          <w:rFonts w:eastAsiaTheme="minorEastAsia"/>
          <w:bCs/>
          <w:sz w:val="24"/>
        </w:rPr>
      </w:pPr>
      <w:r>
        <w:rPr>
          <w:rFonts w:eastAsiaTheme="minorEastAsia"/>
          <w:bCs/>
          <w:sz w:val="24"/>
        </w:rPr>
        <w:t>医疗废物转交出去后，应当对暂时贮存地点、设施及时进行清洁和消毒处理。每天对院内运送工具进行清洁消毒。</w:t>
      </w:r>
    </w:p>
    <w:p>
      <w:pPr>
        <w:adjustRightInd w:val="0"/>
        <w:snapToGrid w:val="0"/>
        <w:spacing w:line="360" w:lineRule="auto"/>
        <w:ind w:firstLine="480" w:firstLineChars="200"/>
        <w:rPr>
          <w:rFonts w:eastAsiaTheme="minorEastAsia"/>
          <w:bCs/>
          <w:sz w:val="24"/>
        </w:rPr>
      </w:pPr>
      <w:r>
        <w:rPr>
          <w:rFonts w:eastAsiaTheme="minorEastAsia"/>
          <w:bCs/>
          <w:sz w:val="24"/>
        </w:rPr>
        <w:t>对于医疗固体废物，禁止将其在非收集、非暂时贮存地点倾倒、堆放；禁止将医疗废物混入其它废物和生活垃圾；禁止在内部运送过程中丢弃医疗废物。</w:t>
      </w:r>
    </w:p>
    <w:p>
      <w:pPr>
        <w:adjustRightInd w:val="0"/>
        <w:snapToGrid w:val="0"/>
        <w:spacing w:line="360" w:lineRule="auto"/>
        <w:ind w:firstLine="480" w:firstLineChars="200"/>
        <w:rPr>
          <w:rFonts w:eastAsiaTheme="minorEastAsia"/>
          <w:bCs/>
          <w:sz w:val="24"/>
        </w:rPr>
      </w:pPr>
      <w:r>
        <w:rPr>
          <w:rFonts w:eastAsiaTheme="minorEastAsia"/>
          <w:bCs/>
          <w:sz w:val="24"/>
        </w:rPr>
        <w:t>在转交及运送过程中，应当严格执行国家环境保护总局第5号令《危险废物转移联单管理办法》中的相关条款，确保危废安全转移运输。禁止在运送过程中丢弃医疗废物，禁止在非储存地点倾倒、堆放医疗废物或将医疗废物混入其他废物和生活垃圾。</w:t>
      </w:r>
    </w:p>
    <w:p>
      <w:pPr>
        <w:adjustRightInd w:val="0"/>
        <w:snapToGrid w:val="0"/>
        <w:spacing w:line="360" w:lineRule="auto"/>
        <w:ind w:firstLine="480" w:firstLineChars="200"/>
        <w:rPr>
          <w:rFonts w:eastAsiaTheme="minorEastAsia"/>
          <w:bCs/>
          <w:sz w:val="24"/>
        </w:rPr>
      </w:pPr>
      <w:r>
        <w:rPr>
          <w:rFonts w:eastAsiaTheme="minorEastAsia"/>
          <w:bCs/>
          <w:sz w:val="24"/>
        </w:rPr>
        <w:t>本项目医疗废物必须委托有资质单位处理。禁止转让、买卖医疗废物，在运营期间，院方应当将医疗废物妥善收集、封存后，放入医疗固废存放间，由医疗废物处置公司的车辆进行运输，运输过程采用全封闭方式。</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7.4.4 化学试剂的防范措施</w:t>
      </w:r>
    </w:p>
    <w:p>
      <w:pPr>
        <w:adjustRightInd w:val="0"/>
        <w:snapToGrid w:val="0"/>
        <w:spacing w:line="360" w:lineRule="auto"/>
        <w:ind w:firstLine="480" w:firstLineChars="200"/>
        <w:rPr>
          <w:rFonts w:eastAsiaTheme="minorEastAsia"/>
          <w:bCs/>
          <w:sz w:val="24"/>
        </w:rPr>
      </w:pPr>
      <w:r>
        <w:rPr>
          <w:rFonts w:eastAsiaTheme="minorEastAsia"/>
          <w:bCs/>
          <w:sz w:val="24"/>
        </w:rPr>
        <w:t>医院使用的化学试剂种类繁多，医院化学试剂主要包括乙醇、乙醚、氢氧化钠、盐酸、硫酸、麻醉药等试剂，其储存量和使用量均很小，化学试剂管理不善发生泄漏对环境和周围人群产生影响。</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做好防盗工作，库房建立与110联网的报警系统，每天上班开防，下班设防，有专人检查。</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闲杂人员一律不得进入库房重地。</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库房内严禁吸烟。</w:t>
      </w:r>
    </w:p>
    <w:p>
      <w:pPr>
        <w:adjustRightInd w:val="0"/>
        <w:snapToGrid w:val="0"/>
        <w:spacing w:line="360" w:lineRule="auto"/>
        <w:ind w:firstLine="480" w:firstLineChars="200"/>
        <w:rPr>
          <w:rFonts w:eastAsiaTheme="minorEastAsia"/>
          <w:bCs/>
          <w:sz w:val="24"/>
        </w:rPr>
      </w:pPr>
      <w:r>
        <w:rPr>
          <w:rFonts w:eastAsiaTheme="minorEastAsia"/>
          <w:bCs/>
          <w:sz w:val="24"/>
        </w:rPr>
        <w:t>(2)麻醉药品使用管理制度</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麻醉药品要专人负责、双人专柜加锁、专用帐册、专用处方、专册登记。</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麻醉药品单独领用；麻醉药品逐日消耗，逐日补给；麻醉处方保存三年备查。</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死亡病人未使用完毕的麻醉药品应及时回收并登记，集中销毁。</w:t>
      </w:r>
    </w:p>
    <w:p>
      <w:pPr>
        <w:adjustRightInd w:val="0"/>
        <w:snapToGrid w:val="0"/>
        <w:spacing w:line="360" w:lineRule="auto"/>
        <w:ind w:firstLine="480" w:firstLineChars="200"/>
        <w:rPr>
          <w:rFonts w:eastAsiaTheme="minorEastAsia"/>
          <w:bCs/>
          <w:sz w:val="24"/>
        </w:rPr>
      </w:pPr>
      <w:r>
        <w:rPr>
          <w:rFonts w:hint="eastAsia" w:ascii="宋体" w:hAnsi="宋体" w:cs="宋体"/>
          <w:bCs/>
          <w:sz w:val="24"/>
        </w:rPr>
        <w:t>④</w:t>
      </w:r>
      <w:r>
        <w:rPr>
          <w:rFonts w:eastAsiaTheme="minorEastAsia"/>
          <w:bCs/>
          <w:sz w:val="24"/>
        </w:rPr>
        <w:t>医师不得违反麻醉药品使用规定，不得滥用麻醉药品。</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7.4.5 二氧化氯风险控制防范措施</w:t>
      </w:r>
    </w:p>
    <w:p>
      <w:pPr>
        <w:adjustRightInd w:val="0"/>
        <w:snapToGrid w:val="0"/>
        <w:spacing w:line="360" w:lineRule="auto"/>
        <w:ind w:firstLine="480" w:firstLineChars="200"/>
        <w:rPr>
          <w:rFonts w:eastAsiaTheme="minorEastAsia"/>
          <w:bCs/>
          <w:sz w:val="24"/>
        </w:rPr>
      </w:pPr>
      <w:r>
        <w:rPr>
          <w:rFonts w:eastAsiaTheme="minorEastAsia"/>
          <w:bCs/>
          <w:sz w:val="24"/>
        </w:rPr>
        <w:t>(1)储存于阴凉、通风处，同时远离火种、热源，生产环境时刻保持通风完好。</w:t>
      </w:r>
    </w:p>
    <w:p>
      <w:pPr>
        <w:adjustRightInd w:val="0"/>
        <w:snapToGrid w:val="0"/>
        <w:spacing w:line="360" w:lineRule="auto"/>
        <w:ind w:firstLine="480" w:firstLineChars="200"/>
        <w:rPr>
          <w:rFonts w:eastAsiaTheme="minorEastAsia"/>
          <w:bCs/>
          <w:sz w:val="24"/>
        </w:rPr>
      </w:pPr>
      <w:r>
        <w:rPr>
          <w:rFonts w:eastAsiaTheme="minorEastAsia"/>
          <w:bCs/>
          <w:sz w:val="24"/>
        </w:rPr>
        <w:t>(2)保持吸收系统等容器密封，而且应与易(可)燃物、还原剂等分开存放。</w:t>
      </w:r>
    </w:p>
    <w:p>
      <w:pPr>
        <w:adjustRightInd w:val="0"/>
        <w:snapToGrid w:val="0"/>
        <w:spacing w:line="360" w:lineRule="auto"/>
        <w:ind w:firstLine="480" w:firstLineChars="200"/>
        <w:rPr>
          <w:rFonts w:eastAsiaTheme="minorEastAsia"/>
          <w:bCs/>
          <w:sz w:val="24"/>
        </w:rPr>
      </w:pPr>
      <w:r>
        <w:rPr>
          <w:rFonts w:eastAsiaTheme="minorEastAsia"/>
          <w:bCs/>
          <w:sz w:val="24"/>
        </w:rPr>
        <w:t>(3)原料添加：</w:t>
      </w:r>
      <w:r>
        <w:rPr>
          <w:rFonts w:hint="eastAsia" w:ascii="宋体" w:hAnsi="宋体" w:cs="宋体"/>
          <w:bCs/>
          <w:sz w:val="24"/>
        </w:rPr>
        <w:t>①</w:t>
      </w:r>
      <w:r>
        <w:rPr>
          <w:rFonts w:eastAsiaTheme="minorEastAsia"/>
          <w:bCs/>
          <w:sz w:val="24"/>
        </w:rPr>
        <w:t>调节原料进料比，控制好进料速度，做好规范操作；</w:t>
      </w:r>
      <w:r>
        <w:rPr>
          <w:rFonts w:hint="eastAsia" w:ascii="宋体" w:hAnsi="宋体" w:cs="宋体"/>
          <w:bCs/>
          <w:sz w:val="24"/>
        </w:rPr>
        <w:t>②</w:t>
      </w:r>
      <w:r>
        <w:rPr>
          <w:rFonts w:eastAsiaTheme="minorEastAsia"/>
          <w:bCs/>
          <w:sz w:val="24"/>
        </w:rPr>
        <w:t>填料前先停止计量泵供料，断开电源；</w:t>
      </w:r>
      <w:r>
        <w:rPr>
          <w:rFonts w:hint="eastAsia" w:ascii="宋体" w:hAnsi="宋体" w:cs="宋体"/>
          <w:bCs/>
          <w:sz w:val="24"/>
        </w:rPr>
        <w:t>③</w:t>
      </w:r>
      <w:r>
        <w:rPr>
          <w:rFonts w:eastAsiaTheme="minorEastAsia"/>
          <w:bCs/>
          <w:sz w:val="24"/>
        </w:rPr>
        <w:t>严禁将两个原料容器混用，防止因亚氯酸钠与盐酸剧烈反应发生爆炸事故；</w:t>
      </w:r>
      <w:r>
        <w:rPr>
          <w:rFonts w:hint="eastAsia" w:ascii="宋体" w:hAnsi="宋体" w:cs="宋体"/>
          <w:bCs/>
          <w:sz w:val="24"/>
        </w:rPr>
        <w:t>④</w:t>
      </w:r>
      <w:r>
        <w:rPr>
          <w:rFonts w:eastAsiaTheme="minorEastAsia"/>
          <w:bCs/>
          <w:sz w:val="24"/>
        </w:rPr>
        <w:t>两个原料容器不得同时加料；</w:t>
      </w:r>
      <w:r>
        <w:rPr>
          <w:rFonts w:hint="eastAsia" w:ascii="宋体" w:hAnsi="宋体" w:cs="宋体"/>
          <w:bCs/>
          <w:sz w:val="24"/>
        </w:rPr>
        <w:t>⑤</w:t>
      </w:r>
      <w:r>
        <w:rPr>
          <w:rFonts w:eastAsiaTheme="minorEastAsia"/>
          <w:bCs/>
          <w:sz w:val="24"/>
        </w:rPr>
        <w:t>操作相关阀门时，一定要严格遵守先开后关的顺序。</w:t>
      </w:r>
    </w:p>
    <w:p>
      <w:pPr>
        <w:adjustRightInd w:val="0"/>
        <w:snapToGrid w:val="0"/>
        <w:spacing w:line="360" w:lineRule="auto"/>
        <w:ind w:firstLine="480" w:firstLineChars="200"/>
        <w:rPr>
          <w:rFonts w:eastAsiaTheme="minorEastAsia"/>
          <w:bCs/>
          <w:sz w:val="24"/>
        </w:rPr>
      </w:pPr>
      <w:r>
        <w:rPr>
          <w:rFonts w:eastAsiaTheme="minorEastAsia"/>
          <w:bCs/>
          <w:sz w:val="24"/>
        </w:rPr>
        <w:t>(4)运行前的检查。</w:t>
      </w:r>
      <w:r>
        <w:rPr>
          <w:rFonts w:hint="eastAsia" w:ascii="宋体" w:hAnsi="宋体" w:cs="宋体"/>
          <w:bCs/>
          <w:sz w:val="24"/>
        </w:rPr>
        <w:t>①</w:t>
      </w:r>
      <w:r>
        <w:rPr>
          <w:rFonts w:eastAsiaTheme="minorEastAsia"/>
          <w:bCs/>
          <w:sz w:val="24"/>
        </w:rPr>
        <w:t>各阀门连接位置是否正确，有无泄漏；</w:t>
      </w:r>
      <w:r>
        <w:rPr>
          <w:rFonts w:hint="eastAsia" w:ascii="宋体" w:hAnsi="宋体" w:cs="宋体"/>
          <w:bCs/>
          <w:sz w:val="24"/>
        </w:rPr>
        <w:t>②</w:t>
      </w:r>
      <w:r>
        <w:rPr>
          <w:rFonts w:eastAsiaTheme="minorEastAsia"/>
          <w:bCs/>
          <w:sz w:val="24"/>
        </w:rPr>
        <w:t>安全阀橡皮塞是否塞紧，并加水；</w:t>
      </w:r>
      <w:r>
        <w:rPr>
          <w:rFonts w:hint="eastAsia" w:ascii="宋体" w:hAnsi="宋体" w:cs="宋体"/>
          <w:bCs/>
          <w:sz w:val="24"/>
        </w:rPr>
        <w:t>③</w:t>
      </w:r>
      <w:r>
        <w:rPr>
          <w:rFonts w:eastAsiaTheme="minorEastAsia"/>
          <w:bCs/>
          <w:sz w:val="24"/>
        </w:rPr>
        <w:t>各液位是否适当；</w:t>
      </w:r>
      <w:r>
        <w:rPr>
          <w:rFonts w:hint="eastAsia" w:ascii="宋体" w:hAnsi="宋体" w:cs="宋体"/>
          <w:bCs/>
          <w:sz w:val="24"/>
        </w:rPr>
        <w:t>④</w:t>
      </w:r>
      <w:r>
        <w:rPr>
          <w:rFonts w:eastAsiaTheme="minorEastAsia"/>
          <w:bCs/>
          <w:sz w:val="24"/>
        </w:rPr>
        <w:t>电源是否接通。</w:t>
      </w:r>
    </w:p>
    <w:p>
      <w:pPr>
        <w:adjustRightInd w:val="0"/>
        <w:snapToGrid w:val="0"/>
        <w:spacing w:line="360" w:lineRule="auto"/>
        <w:ind w:firstLine="480" w:firstLineChars="200"/>
        <w:rPr>
          <w:rFonts w:eastAsiaTheme="minorEastAsia"/>
          <w:bCs/>
          <w:sz w:val="24"/>
        </w:rPr>
      </w:pPr>
      <w:r>
        <w:rPr>
          <w:rFonts w:eastAsiaTheme="minorEastAsia"/>
          <w:bCs/>
          <w:sz w:val="24"/>
        </w:rPr>
        <w:t>(5)做好设备维护。</w:t>
      </w:r>
      <w:r>
        <w:rPr>
          <w:rFonts w:hint="eastAsia" w:ascii="宋体" w:hAnsi="宋体" w:cs="宋体"/>
          <w:bCs/>
          <w:sz w:val="24"/>
        </w:rPr>
        <w:t>①</w:t>
      </w:r>
      <w:r>
        <w:rPr>
          <w:rFonts w:eastAsiaTheme="minorEastAsia"/>
          <w:bCs/>
          <w:sz w:val="24"/>
        </w:rPr>
        <w:t>每天要检查，调整好动力水压；</w:t>
      </w:r>
      <w:r>
        <w:rPr>
          <w:rFonts w:hint="eastAsia" w:ascii="宋体" w:hAnsi="宋体" w:cs="宋体"/>
          <w:bCs/>
          <w:sz w:val="24"/>
        </w:rPr>
        <w:t>②</w:t>
      </w:r>
      <w:r>
        <w:rPr>
          <w:rFonts w:eastAsiaTheme="minorEastAsia"/>
          <w:bCs/>
          <w:sz w:val="24"/>
        </w:rPr>
        <w:t>设备进气口要经常检查，保持与外界通畅；</w:t>
      </w:r>
      <w:r>
        <w:rPr>
          <w:rFonts w:hint="eastAsia" w:ascii="宋体" w:hAnsi="宋体" w:cs="宋体"/>
          <w:bCs/>
          <w:sz w:val="24"/>
        </w:rPr>
        <w:t>③</w:t>
      </w:r>
      <w:r>
        <w:rPr>
          <w:rFonts w:eastAsiaTheme="minorEastAsia"/>
          <w:bCs/>
          <w:sz w:val="24"/>
        </w:rPr>
        <w:t>液位计玻璃管中如有气泡产生，应立即更换封圈；</w:t>
      </w:r>
      <w:r>
        <w:rPr>
          <w:rFonts w:hint="eastAsia" w:ascii="宋体" w:hAnsi="宋体" w:cs="宋体"/>
          <w:bCs/>
          <w:sz w:val="24"/>
        </w:rPr>
        <w:t>④</w:t>
      </w:r>
      <w:r>
        <w:rPr>
          <w:rFonts w:eastAsiaTheme="minorEastAsia"/>
          <w:bCs/>
          <w:sz w:val="24"/>
        </w:rPr>
        <w:t>保持水喷射器、单向阀的清洁以防堵塞；</w:t>
      </w:r>
      <w:r>
        <w:rPr>
          <w:rFonts w:hint="eastAsia" w:ascii="宋体" w:hAnsi="宋体" w:cs="宋体"/>
          <w:bCs/>
          <w:sz w:val="24"/>
        </w:rPr>
        <w:t>⑤</w:t>
      </w:r>
      <w:r>
        <w:rPr>
          <w:rFonts w:eastAsiaTheme="minorEastAsia"/>
          <w:bCs/>
          <w:sz w:val="24"/>
        </w:rPr>
        <w:t>每半年进行一次清洗，清洗时关闭设备电源。</w:t>
      </w:r>
    </w:p>
    <w:p>
      <w:pPr>
        <w:pStyle w:val="3"/>
        <w:tabs>
          <w:tab w:val="left" w:pos="1418"/>
        </w:tabs>
        <w:snapToGrid w:val="0"/>
        <w:spacing w:before="0" w:after="0" w:line="360" w:lineRule="auto"/>
        <w:rPr>
          <w:rFonts w:ascii="Times New Roman" w:hAnsi="Times New Roman" w:eastAsiaTheme="minorEastAsia"/>
          <w:sz w:val="28"/>
          <w:lang w:val="zh-CN"/>
        </w:rPr>
      </w:pPr>
      <w:bookmarkStart w:id="173" w:name="_Toc61026621"/>
      <w:r>
        <w:rPr>
          <w:rFonts w:ascii="Times New Roman" w:hAnsi="Times New Roman" w:eastAsiaTheme="minorEastAsia"/>
          <w:sz w:val="28"/>
          <w:lang w:val="zh-CN"/>
        </w:rPr>
        <w:t>7.5 环境防范措施</w:t>
      </w:r>
      <w:bookmarkEnd w:id="173"/>
    </w:p>
    <w:p>
      <w:pPr>
        <w:pStyle w:val="4"/>
        <w:tabs>
          <w:tab w:val="left" w:pos="1701"/>
        </w:tabs>
        <w:snapToGrid w:val="0"/>
        <w:spacing w:before="0" w:after="0" w:line="360" w:lineRule="auto"/>
        <w:rPr>
          <w:rFonts w:eastAsiaTheme="minorEastAsia"/>
          <w:kern w:val="0"/>
          <w:sz w:val="24"/>
        </w:rPr>
      </w:pPr>
      <w:r>
        <w:rPr>
          <w:rFonts w:eastAsiaTheme="minorEastAsia"/>
          <w:kern w:val="0"/>
          <w:sz w:val="24"/>
        </w:rPr>
        <w:t>7.5.1 医院污水事故应急措施</w:t>
      </w:r>
    </w:p>
    <w:p>
      <w:pPr>
        <w:adjustRightInd w:val="0"/>
        <w:snapToGrid w:val="0"/>
        <w:spacing w:line="360" w:lineRule="auto"/>
        <w:ind w:firstLine="480" w:firstLineChars="200"/>
        <w:rPr>
          <w:rFonts w:eastAsiaTheme="minorEastAsia"/>
          <w:bCs/>
          <w:sz w:val="24"/>
        </w:rPr>
      </w:pPr>
      <w:r>
        <w:rPr>
          <w:rFonts w:eastAsiaTheme="minorEastAsia"/>
          <w:bCs/>
          <w:sz w:val="24"/>
        </w:rPr>
        <w:t>若出现医疗污水处理设施处于非正常运行状况，或二氧化氯发生器处于事故状况下时，医疗污水外排将对外环境水体及湘阴县第一污水处理厂造成一定的影响。出现此类事故状况时，要采取以下应急措施：</w:t>
      </w:r>
    </w:p>
    <w:p>
      <w:pPr>
        <w:adjustRightInd w:val="0"/>
        <w:snapToGrid w:val="0"/>
        <w:spacing w:line="360" w:lineRule="auto"/>
        <w:ind w:firstLine="480" w:firstLineChars="200"/>
        <w:rPr>
          <w:rFonts w:eastAsiaTheme="minorEastAsia"/>
          <w:bCs/>
          <w:sz w:val="24"/>
        </w:rPr>
      </w:pPr>
      <w:r>
        <w:rPr>
          <w:rFonts w:eastAsiaTheme="minorEastAsia"/>
          <w:bCs/>
          <w:sz w:val="24"/>
        </w:rPr>
        <w:t>(1)为防止事故废水外排，立即关闭潜污泵，启用备用废水处理设施。即时查明原因，进行检修，并在24小时内向所在地环境保护部门报告。</w:t>
      </w:r>
    </w:p>
    <w:p>
      <w:pPr>
        <w:adjustRightInd w:val="0"/>
        <w:snapToGrid w:val="0"/>
        <w:spacing w:line="360" w:lineRule="auto"/>
        <w:ind w:firstLine="480" w:firstLineChars="200"/>
        <w:rPr>
          <w:rFonts w:eastAsiaTheme="minorEastAsia"/>
          <w:bCs/>
          <w:sz w:val="24"/>
        </w:rPr>
      </w:pPr>
      <w:r>
        <w:rPr>
          <w:rFonts w:eastAsiaTheme="minorEastAsia"/>
          <w:bCs/>
          <w:sz w:val="24"/>
        </w:rPr>
        <w:t>(2)处理后出水指标按照环境管理工作制度的要求，定期、定时进行监测，以确保污水达标排放。</w:t>
      </w:r>
    </w:p>
    <w:p>
      <w:pPr>
        <w:adjustRightInd w:val="0"/>
        <w:snapToGrid w:val="0"/>
        <w:spacing w:line="360" w:lineRule="auto"/>
        <w:ind w:firstLine="480" w:firstLineChars="200"/>
        <w:rPr>
          <w:rFonts w:eastAsiaTheme="minorEastAsia"/>
          <w:bCs/>
          <w:sz w:val="24"/>
        </w:rPr>
      </w:pPr>
      <w:r>
        <w:rPr>
          <w:rFonts w:eastAsiaTheme="minorEastAsia"/>
          <w:bCs/>
          <w:sz w:val="24"/>
        </w:rPr>
        <w:t>(3)保存好治理设施运行记录、现场记录。</w:t>
      </w:r>
    </w:p>
    <w:p>
      <w:pPr>
        <w:adjustRightInd w:val="0"/>
        <w:snapToGrid w:val="0"/>
        <w:spacing w:line="360" w:lineRule="auto"/>
        <w:ind w:firstLine="480" w:firstLineChars="200"/>
        <w:rPr>
          <w:rFonts w:eastAsiaTheme="minorEastAsia"/>
          <w:bCs/>
          <w:sz w:val="24"/>
        </w:rPr>
      </w:pPr>
      <w:r>
        <w:rPr>
          <w:rFonts w:eastAsiaTheme="minorEastAsia"/>
          <w:bCs/>
          <w:sz w:val="24"/>
        </w:rPr>
        <w:t>(4)建议污水处理加药、消毒、泵等设施均设置两台，一用一备，并设自动控制系统。当一台污水处理站消毒、泵等设施失效时，可自动切换到另一台设备，确保设施正常运行。并备有应急的消毒剂，避免在污水处理设备出现事故的时候所排放的污水无处理排放，也可以采用人工添加消毒剂的方式加以弥补。污水消毒的主要目的是杀灭污水中的各种致病菌，同时也可改善水质，应严格按《消毒技术规范》的要求执行，达到相应的医院污水排放标准方可排放。</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7.5.2 医疗废物事故应急措施</w:t>
      </w:r>
    </w:p>
    <w:p>
      <w:pPr>
        <w:adjustRightInd w:val="0"/>
        <w:snapToGrid w:val="0"/>
        <w:spacing w:line="360" w:lineRule="auto"/>
        <w:ind w:firstLine="480" w:firstLineChars="200"/>
        <w:rPr>
          <w:rFonts w:eastAsiaTheme="minorEastAsia"/>
          <w:bCs/>
          <w:sz w:val="24"/>
        </w:rPr>
      </w:pPr>
      <w:r>
        <w:rPr>
          <w:rFonts w:eastAsiaTheme="minorEastAsia"/>
          <w:bCs/>
          <w:sz w:val="24"/>
        </w:rPr>
        <w:t>若出现运送医疗废物车辆翻车、撞车事故，导致医疗废物大量溢出、散落时，运送人员要立即与本单位应急事故负责人取得联系，请求公安交警、卫生部门、环境保护部门的支持。感染管理科要第一时间赶到现场。同时运送人员应采取如下应急措施：</w:t>
      </w:r>
    </w:p>
    <w:p>
      <w:pPr>
        <w:adjustRightInd w:val="0"/>
        <w:snapToGrid w:val="0"/>
        <w:spacing w:line="360" w:lineRule="auto"/>
        <w:ind w:firstLine="480" w:firstLineChars="200"/>
        <w:rPr>
          <w:rFonts w:eastAsiaTheme="minorEastAsia"/>
          <w:bCs/>
          <w:sz w:val="24"/>
        </w:rPr>
      </w:pPr>
      <w:r>
        <w:rPr>
          <w:rFonts w:eastAsiaTheme="minorEastAsia"/>
          <w:bCs/>
          <w:sz w:val="24"/>
        </w:rPr>
        <w:t>(1)立即请求公安交警在受污染区域设立隔离区，避免污染物扩散和对周围居民生活造成影响；</w:t>
      </w:r>
    </w:p>
    <w:p>
      <w:pPr>
        <w:adjustRightInd w:val="0"/>
        <w:snapToGrid w:val="0"/>
        <w:spacing w:line="360" w:lineRule="auto"/>
        <w:ind w:firstLine="480" w:firstLineChars="200"/>
        <w:rPr>
          <w:rFonts w:eastAsiaTheme="minorEastAsia"/>
          <w:bCs/>
          <w:sz w:val="24"/>
        </w:rPr>
      </w:pPr>
      <w:r>
        <w:rPr>
          <w:rFonts w:eastAsiaTheme="minorEastAsia"/>
          <w:bCs/>
          <w:sz w:val="24"/>
        </w:rPr>
        <w:t>(2)穿戴防护服、手套、口罩、靴等用品，对溢出、散落的医疗废物迅速收集、清理和消毒处理，清洁结束后对防护用具进行消毒处理；</w:t>
      </w:r>
    </w:p>
    <w:p>
      <w:pPr>
        <w:adjustRightInd w:val="0"/>
        <w:snapToGrid w:val="0"/>
        <w:spacing w:line="360" w:lineRule="auto"/>
        <w:ind w:firstLine="480" w:firstLineChars="200"/>
        <w:rPr>
          <w:rFonts w:eastAsiaTheme="minorEastAsia"/>
          <w:bCs/>
          <w:sz w:val="24"/>
        </w:rPr>
      </w:pPr>
      <w:r>
        <w:rPr>
          <w:rFonts w:eastAsiaTheme="minorEastAsia"/>
          <w:bCs/>
          <w:sz w:val="24"/>
        </w:rPr>
        <w:t>(3)若清理人员的身体(皮肤)不慎受到伤害，应及时采取处理措施，并到医院接收救治。</w:t>
      </w:r>
    </w:p>
    <w:p>
      <w:pPr>
        <w:adjustRightInd w:val="0"/>
        <w:snapToGrid w:val="0"/>
        <w:spacing w:line="360" w:lineRule="auto"/>
        <w:ind w:firstLine="480" w:firstLineChars="200"/>
        <w:rPr>
          <w:rFonts w:eastAsiaTheme="minorEastAsia"/>
          <w:bCs/>
          <w:sz w:val="24"/>
        </w:rPr>
      </w:pPr>
      <w:r>
        <w:rPr>
          <w:rFonts w:eastAsiaTheme="minorEastAsia"/>
          <w:bCs/>
          <w:sz w:val="24"/>
        </w:rPr>
        <w:t>对发生的事故采取上述应急措施的同时，医院医疗废物管理人员必须向主管环保局和卫生局报告事故发生的情况，事故处理完毕后，医院医疗废物管理人员要向上述两个行政部门写出书面报告，报告内容主要包括：</w:t>
      </w:r>
    </w:p>
    <w:p>
      <w:pPr>
        <w:adjustRightInd w:val="0"/>
        <w:snapToGrid w:val="0"/>
        <w:spacing w:line="360" w:lineRule="auto"/>
        <w:ind w:firstLine="480" w:firstLineChars="200"/>
        <w:rPr>
          <w:rFonts w:eastAsiaTheme="minorEastAsia"/>
          <w:bCs/>
          <w:sz w:val="24"/>
        </w:rPr>
      </w:pPr>
      <w:r>
        <w:rPr>
          <w:rFonts w:eastAsiaTheme="minorEastAsia"/>
          <w:bCs/>
          <w:sz w:val="24"/>
        </w:rPr>
        <w:t>(1)事故发生时间、地点、原因及其简要经过；</w:t>
      </w:r>
    </w:p>
    <w:p>
      <w:pPr>
        <w:adjustRightInd w:val="0"/>
        <w:snapToGrid w:val="0"/>
        <w:spacing w:line="360" w:lineRule="auto"/>
        <w:ind w:firstLine="480" w:firstLineChars="200"/>
        <w:rPr>
          <w:rFonts w:eastAsiaTheme="minorEastAsia"/>
          <w:bCs/>
          <w:sz w:val="24"/>
        </w:rPr>
      </w:pPr>
      <w:r>
        <w:rPr>
          <w:rFonts w:eastAsiaTheme="minorEastAsia"/>
          <w:bCs/>
          <w:sz w:val="24"/>
        </w:rPr>
        <w:t>(2)溢出、散落医疗废物的类型、数量、受污染的原因及医疗废物产生的部门；</w:t>
      </w:r>
    </w:p>
    <w:p>
      <w:pPr>
        <w:adjustRightInd w:val="0"/>
        <w:snapToGrid w:val="0"/>
        <w:spacing w:line="360" w:lineRule="auto"/>
        <w:ind w:firstLine="480" w:firstLineChars="200"/>
        <w:rPr>
          <w:rFonts w:eastAsiaTheme="minorEastAsia"/>
          <w:bCs/>
          <w:sz w:val="24"/>
        </w:rPr>
      </w:pPr>
      <w:r>
        <w:rPr>
          <w:rFonts w:eastAsiaTheme="minorEastAsia"/>
          <w:bCs/>
          <w:sz w:val="24"/>
        </w:rPr>
        <w:t>(3)确定流失、泄漏、扩散的医疗废物的类别、数量、发生时间、影响范围及程度。</w:t>
      </w:r>
    </w:p>
    <w:p>
      <w:pPr>
        <w:adjustRightInd w:val="0"/>
        <w:snapToGrid w:val="0"/>
        <w:spacing w:line="360" w:lineRule="auto"/>
        <w:ind w:firstLine="480" w:firstLineChars="200"/>
        <w:rPr>
          <w:rFonts w:eastAsiaTheme="minorEastAsia"/>
          <w:bCs/>
          <w:sz w:val="24"/>
        </w:rPr>
      </w:pPr>
      <w:r>
        <w:rPr>
          <w:rFonts w:eastAsiaTheme="minorEastAsia"/>
          <w:bCs/>
          <w:sz w:val="24"/>
        </w:rPr>
        <w:t>(4)感染管理科尽快组织有关人员对发生医疗废物泄漏扩散的现场进行处理；</w:t>
      </w:r>
    </w:p>
    <w:p>
      <w:pPr>
        <w:adjustRightInd w:val="0"/>
        <w:snapToGrid w:val="0"/>
        <w:spacing w:line="360" w:lineRule="auto"/>
        <w:ind w:firstLine="480" w:firstLineChars="200"/>
        <w:rPr>
          <w:rFonts w:eastAsiaTheme="minorEastAsia"/>
          <w:bCs/>
          <w:sz w:val="24"/>
        </w:rPr>
      </w:pPr>
      <w:r>
        <w:rPr>
          <w:rFonts w:eastAsiaTheme="minorEastAsia"/>
          <w:bCs/>
          <w:sz w:val="24"/>
        </w:rPr>
        <w:t>(5)对被医疗废物污染的区域进行处理时，要尽量减少对病人、医务人员及现场其他人员和环境的影响；</w:t>
      </w:r>
    </w:p>
    <w:p>
      <w:pPr>
        <w:adjustRightInd w:val="0"/>
        <w:snapToGrid w:val="0"/>
        <w:spacing w:line="360" w:lineRule="auto"/>
        <w:ind w:firstLine="480" w:firstLineChars="200"/>
        <w:rPr>
          <w:rFonts w:eastAsiaTheme="minorEastAsia"/>
          <w:bCs/>
          <w:sz w:val="24"/>
        </w:rPr>
      </w:pPr>
      <w:r>
        <w:rPr>
          <w:rFonts w:eastAsiaTheme="minorEastAsia"/>
          <w:bCs/>
          <w:sz w:val="24"/>
        </w:rPr>
        <w:t>(6)转动人员对流失、泄漏、扩散的医疗废物迅速进行收集、清理和消毒处理。对于液体泄漏物采用木屑等吸附材料吸收处理。并对受污染的区域、物品进行无害化处理，必要时封锁污染区，以防扩大污染；</w:t>
      </w:r>
    </w:p>
    <w:p>
      <w:pPr>
        <w:adjustRightInd w:val="0"/>
        <w:snapToGrid w:val="0"/>
        <w:spacing w:line="360" w:lineRule="auto"/>
        <w:ind w:firstLine="480" w:firstLineChars="200"/>
        <w:rPr>
          <w:rFonts w:eastAsiaTheme="minorEastAsia"/>
          <w:bCs/>
          <w:sz w:val="24"/>
        </w:rPr>
      </w:pPr>
      <w:r>
        <w:rPr>
          <w:rFonts w:eastAsiaTheme="minorEastAsia"/>
          <w:bCs/>
          <w:sz w:val="24"/>
        </w:rPr>
        <w:t>(7)清理人员在进行清理时必须穿防护服、戴手套和口罩、穿靴子等防护用品，清理工作结束，用具和防护用品均须进行消毒处理。</w:t>
      </w:r>
    </w:p>
    <w:p>
      <w:pPr>
        <w:adjustRightInd w:val="0"/>
        <w:snapToGrid w:val="0"/>
        <w:spacing w:line="360" w:lineRule="auto"/>
        <w:ind w:firstLine="480" w:firstLineChars="200"/>
        <w:rPr>
          <w:rFonts w:eastAsiaTheme="minorEastAsia"/>
          <w:bCs/>
          <w:sz w:val="24"/>
        </w:rPr>
      </w:pPr>
      <w:r>
        <w:rPr>
          <w:rFonts w:eastAsiaTheme="minorEastAsia"/>
          <w:bCs/>
          <w:sz w:val="24"/>
        </w:rPr>
        <w:t>(8)如果在操作中清理人员的身体(皮肤)不慎受到伤害，应及时采取处理措施，更换防护用品，受污染皮肤部位用0.25%过氧乙酸擦拭3分钟后洗澡，必要时接受医护技术的救治。</w:t>
      </w:r>
    </w:p>
    <w:p>
      <w:pPr>
        <w:adjustRightInd w:val="0"/>
        <w:snapToGrid w:val="0"/>
        <w:spacing w:line="360" w:lineRule="auto"/>
        <w:ind w:firstLine="480" w:firstLineChars="200"/>
        <w:rPr>
          <w:rFonts w:eastAsiaTheme="minorEastAsia"/>
          <w:bCs/>
          <w:sz w:val="24"/>
        </w:rPr>
      </w:pPr>
      <w:r>
        <w:rPr>
          <w:rFonts w:eastAsiaTheme="minorEastAsia"/>
          <w:bCs/>
          <w:sz w:val="24"/>
        </w:rPr>
        <w:t>(9)清洁人员必须对污染的现场地面用0.1~0.2%的含氯消毒液进行喷洒、擦地消毒和清洁处理，消毒工作从污染最轻区域向污染最严重区域进行，对可能被污染的所有使用过的工具也应当进行消毒。</w:t>
      </w:r>
    </w:p>
    <w:p>
      <w:pPr>
        <w:adjustRightInd w:val="0"/>
        <w:snapToGrid w:val="0"/>
        <w:spacing w:line="360" w:lineRule="auto"/>
        <w:ind w:firstLine="480" w:firstLineChars="200"/>
        <w:rPr>
          <w:rFonts w:eastAsiaTheme="minorEastAsia"/>
          <w:bCs/>
          <w:sz w:val="24"/>
        </w:rPr>
      </w:pPr>
      <w:r>
        <w:rPr>
          <w:rFonts w:eastAsiaTheme="minorEastAsia"/>
          <w:bCs/>
          <w:sz w:val="24"/>
        </w:rPr>
        <w:t>(10)工作人员在工作中万一被医疗废物污染或刺伤时，立即向感染管理科报告，根据不同的感染源进行相应的处理措施，必要时接受医护技术救治，进行体格检查，防治传染疾病。</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7.5.3 化学药剂泄露应急措施</w:t>
      </w:r>
    </w:p>
    <w:p>
      <w:pPr>
        <w:adjustRightInd w:val="0"/>
        <w:snapToGrid w:val="0"/>
        <w:spacing w:line="360" w:lineRule="auto"/>
        <w:ind w:firstLine="480" w:firstLineChars="200"/>
        <w:rPr>
          <w:rFonts w:eastAsiaTheme="minorEastAsia"/>
          <w:bCs/>
          <w:sz w:val="24"/>
        </w:rPr>
      </w:pPr>
      <w:r>
        <w:rPr>
          <w:rFonts w:eastAsiaTheme="minorEastAsia"/>
          <w:bCs/>
          <w:sz w:val="24"/>
        </w:rPr>
        <w:t>医院使用的化学试剂种类繁多，医院化学试剂主要包括乙醇、乙醚、氢氧化钠、盐酸、硫酸、麻醉药等试剂，其储存量和使用量均很小，化学试剂管理不善发生泄漏产生影响。</w:t>
      </w:r>
    </w:p>
    <w:p>
      <w:pPr>
        <w:adjustRightInd w:val="0"/>
        <w:snapToGrid w:val="0"/>
        <w:spacing w:line="360" w:lineRule="auto"/>
        <w:ind w:firstLine="480" w:firstLineChars="200"/>
        <w:rPr>
          <w:rFonts w:eastAsiaTheme="minorEastAsia"/>
          <w:bCs/>
          <w:sz w:val="24"/>
        </w:rPr>
      </w:pPr>
      <w:r>
        <w:rPr>
          <w:rFonts w:eastAsiaTheme="minorEastAsia"/>
          <w:bCs/>
          <w:sz w:val="24"/>
        </w:rPr>
        <w:t>应急措施：根据化学药剂的特性，一旦发生泄露，立即用清水稀释药剂；若误与皮肤接触，应立即用大量清水冲洗，然后请有关医生救治。参加泄露处理人员应对泄露品的化学性质和反应特性有充分的了解，要处于高处和上风处进行处理，根据泄露品的性质，选择适当的防护用品，加强应急处理个人安全防护，防止处理过程发生中毒事故；同时为了防止有毒有害物质通过呼吸系统侵入人体，应根据不同场合选择不同的防护器具。</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7.5.4 制定建设项目突发环境事件应急预案</w:t>
      </w:r>
    </w:p>
    <w:p>
      <w:pPr>
        <w:adjustRightInd w:val="0"/>
        <w:snapToGrid w:val="0"/>
        <w:spacing w:line="360" w:lineRule="auto"/>
        <w:ind w:firstLine="480" w:firstLineChars="200"/>
        <w:rPr>
          <w:rFonts w:eastAsiaTheme="minorEastAsia"/>
          <w:bCs/>
          <w:sz w:val="24"/>
        </w:rPr>
      </w:pPr>
      <w:r>
        <w:rPr>
          <w:rFonts w:eastAsiaTheme="minorEastAsia"/>
          <w:bCs/>
          <w:sz w:val="24"/>
        </w:rPr>
        <w:t>为有效防范突发环境事件的发生，及时、合理处置可能发生的各类重大、特大环境污染事故，保障人民群众身心健康及正常生产、生活活动，本项目建成后，依据《中华人民共和国环境保护法》、《湖南省突发环境事件应急预案》和《湖南省环保局突发环境事件应急预案》的规定，应在现有项目备案的建设项目突发环境事件应急预案的基础上，根据变化及时修订建设项目突发环境事件应急预案，并按照应急预案中的相关要求落实各项风险防范措施和应急措施。</w:t>
      </w:r>
    </w:p>
    <w:p>
      <w:pPr>
        <w:pStyle w:val="3"/>
        <w:tabs>
          <w:tab w:val="left" w:pos="1418"/>
        </w:tabs>
        <w:snapToGrid w:val="0"/>
        <w:spacing w:before="0" w:after="0" w:line="360" w:lineRule="auto"/>
        <w:rPr>
          <w:rFonts w:ascii="Times New Roman" w:hAnsi="Times New Roman" w:eastAsiaTheme="minorEastAsia"/>
          <w:sz w:val="28"/>
          <w:lang w:val="zh-CN"/>
        </w:rPr>
      </w:pPr>
      <w:bookmarkStart w:id="174" w:name="_Toc61026622"/>
      <w:r>
        <w:rPr>
          <w:rFonts w:ascii="Times New Roman" w:hAnsi="Times New Roman" w:eastAsiaTheme="minorEastAsia"/>
          <w:sz w:val="28"/>
          <w:lang w:val="zh-CN"/>
        </w:rPr>
        <w:t>7.6 分析结论</w:t>
      </w:r>
      <w:bookmarkEnd w:id="174"/>
    </w:p>
    <w:p>
      <w:pPr>
        <w:adjustRightInd w:val="0"/>
        <w:snapToGrid w:val="0"/>
        <w:spacing w:line="360" w:lineRule="auto"/>
        <w:ind w:firstLine="480" w:firstLineChars="200"/>
        <w:rPr>
          <w:rFonts w:eastAsiaTheme="minorEastAsia"/>
          <w:bCs/>
          <w:sz w:val="24"/>
        </w:rPr>
      </w:pPr>
      <w:r>
        <w:rPr>
          <w:rFonts w:eastAsiaTheme="minorEastAsia"/>
          <w:bCs/>
          <w:sz w:val="24"/>
        </w:rPr>
        <w:t>本项目运行过程中，设计、设备、运行和管理等原因都可能导致医院各处理设施运行不正常，造成医院废水及废气污染物的非正常排放。经分析，本项目运行过程中虽然发生环境风险事故的可能性较低，但事故情形下仍将对周边环境造成一定的不良影响，本评价针对该项目的环境风险因素，充分考虑场地条件，从项目环境风险防范的设计、设备、运行管理等方面提出了措施及对策，经建设单位落实各项风险防范对策后，项目的环境风险可得到有效控制。</w:t>
      </w:r>
    </w:p>
    <w:p>
      <w:pPr>
        <w:adjustRightInd w:val="0"/>
        <w:snapToGrid w:val="0"/>
        <w:spacing w:line="360" w:lineRule="auto"/>
        <w:ind w:firstLine="480" w:firstLineChars="200"/>
        <w:rPr>
          <w:rFonts w:eastAsiaTheme="minorEastAsia"/>
          <w:bCs/>
          <w:sz w:val="24"/>
        </w:rPr>
      </w:pPr>
      <w:r>
        <w:rPr>
          <w:rFonts w:eastAsiaTheme="minorEastAsia"/>
          <w:bCs/>
          <w:sz w:val="24"/>
        </w:rPr>
        <w:t>综合潜在风险、经济效益等各方面考虑，在采取相应的风险防范措施后，本项目运营存在的风险是可以被接受的。</w:t>
      </w:r>
    </w:p>
    <w:p>
      <w:pPr>
        <w:adjustRightInd w:val="0"/>
        <w:snapToGrid w:val="0"/>
        <w:spacing w:line="360" w:lineRule="auto"/>
        <w:ind w:firstLine="480" w:firstLineChars="200"/>
        <w:rPr>
          <w:rFonts w:eastAsiaTheme="minorEastAsia"/>
          <w:bCs/>
          <w:sz w:val="24"/>
        </w:rPr>
      </w:pPr>
      <w:r>
        <w:rPr>
          <w:rFonts w:eastAsiaTheme="minorEastAsia"/>
          <w:bCs/>
          <w:sz w:val="24"/>
        </w:rPr>
        <w:t>本项目环境风险简单分析情况详见下表：</w:t>
      </w:r>
    </w:p>
    <w:p>
      <w:pPr>
        <w:adjustRightInd w:val="0"/>
        <w:snapToGrid w:val="0"/>
        <w:spacing w:line="360" w:lineRule="auto"/>
        <w:jc w:val="center"/>
        <w:rPr>
          <w:rFonts w:eastAsiaTheme="minorEastAsia"/>
          <w:b/>
          <w:sz w:val="24"/>
        </w:rPr>
      </w:pPr>
      <w:r>
        <w:rPr>
          <w:rFonts w:eastAsiaTheme="minorEastAsia"/>
          <w:b/>
          <w:sz w:val="24"/>
        </w:rPr>
        <w:t>表 7.6-1  建设项目环境风险简单分析内容表</w:t>
      </w:r>
    </w:p>
    <w:tbl>
      <w:tblPr>
        <w:tblStyle w:val="79"/>
        <w:tblW w:w="9072"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436"/>
        <w:gridCol w:w="2341"/>
        <w:gridCol w:w="1609"/>
        <w:gridCol w:w="1024"/>
        <w:gridCol w:w="1317"/>
        <w:gridCol w:w="134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91" w:type="dxa"/>
            <w:vAlign w:val="center"/>
          </w:tcPr>
          <w:p>
            <w:pPr>
              <w:adjustRightInd w:val="0"/>
              <w:snapToGrid w:val="0"/>
              <w:spacing w:line="300" w:lineRule="auto"/>
              <w:jc w:val="center"/>
              <w:rPr>
                <w:color w:val="000000"/>
              </w:rPr>
            </w:pPr>
            <w:r>
              <w:rPr>
                <w:color w:val="000000"/>
              </w:rPr>
              <w:t>建设项目名称</w:t>
            </w:r>
          </w:p>
        </w:tc>
        <w:tc>
          <w:tcPr>
            <w:tcW w:w="7398" w:type="dxa"/>
            <w:gridSpan w:val="5"/>
            <w:vAlign w:val="center"/>
          </w:tcPr>
          <w:p>
            <w:pPr>
              <w:adjustRightInd w:val="0"/>
              <w:snapToGrid w:val="0"/>
              <w:spacing w:line="300" w:lineRule="auto"/>
              <w:jc w:val="center"/>
              <w:rPr>
                <w:color w:val="000000"/>
              </w:rPr>
            </w:pPr>
            <w:r>
              <w:rPr>
                <w:color w:val="000000"/>
              </w:rPr>
              <w:t>湘阴县中医院整体搬迁项目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91" w:type="dxa"/>
            <w:vAlign w:val="center"/>
          </w:tcPr>
          <w:p>
            <w:pPr>
              <w:adjustRightInd w:val="0"/>
              <w:snapToGrid w:val="0"/>
              <w:spacing w:line="300" w:lineRule="auto"/>
              <w:jc w:val="center"/>
              <w:rPr>
                <w:color w:val="000000"/>
              </w:rPr>
            </w:pPr>
            <w:r>
              <w:rPr>
                <w:color w:val="000000"/>
              </w:rPr>
              <w:t>建设地点</w:t>
            </w:r>
          </w:p>
        </w:tc>
        <w:tc>
          <w:tcPr>
            <w:tcW w:w="2268" w:type="dxa"/>
            <w:vAlign w:val="center"/>
          </w:tcPr>
          <w:p>
            <w:pPr>
              <w:adjustRightInd w:val="0"/>
              <w:snapToGrid w:val="0"/>
              <w:spacing w:line="300" w:lineRule="auto"/>
              <w:jc w:val="center"/>
              <w:rPr>
                <w:color w:val="000000"/>
              </w:rPr>
            </w:pPr>
            <w:r>
              <w:rPr>
                <w:color w:val="000000"/>
              </w:rPr>
              <w:t>（湖南）省</w:t>
            </w:r>
          </w:p>
        </w:tc>
        <w:tc>
          <w:tcPr>
            <w:tcW w:w="1559" w:type="dxa"/>
            <w:vAlign w:val="center"/>
          </w:tcPr>
          <w:p>
            <w:pPr>
              <w:adjustRightInd w:val="0"/>
              <w:snapToGrid w:val="0"/>
              <w:spacing w:line="300" w:lineRule="auto"/>
              <w:jc w:val="center"/>
              <w:rPr>
                <w:color w:val="000000"/>
              </w:rPr>
            </w:pPr>
            <w:r>
              <w:rPr>
                <w:color w:val="000000"/>
              </w:rPr>
              <w:t>（岳阳）市</w:t>
            </w:r>
          </w:p>
        </w:tc>
        <w:tc>
          <w:tcPr>
            <w:tcW w:w="992" w:type="dxa"/>
            <w:vAlign w:val="center"/>
          </w:tcPr>
          <w:p>
            <w:pPr>
              <w:adjustRightInd w:val="0"/>
              <w:snapToGrid w:val="0"/>
              <w:spacing w:line="300" w:lineRule="auto"/>
              <w:jc w:val="center"/>
              <w:rPr>
                <w:color w:val="000000"/>
              </w:rPr>
            </w:pPr>
            <w:r>
              <w:rPr>
                <w:color w:val="000000"/>
              </w:rPr>
              <w:t>（）区</w:t>
            </w:r>
          </w:p>
        </w:tc>
        <w:tc>
          <w:tcPr>
            <w:tcW w:w="1276" w:type="dxa"/>
            <w:vAlign w:val="center"/>
          </w:tcPr>
          <w:p>
            <w:pPr>
              <w:adjustRightInd w:val="0"/>
              <w:snapToGrid w:val="0"/>
              <w:spacing w:line="300" w:lineRule="auto"/>
              <w:jc w:val="center"/>
              <w:rPr>
                <w:color w:val="000000"/>
              </w:rPr>
            </w:pPr>
            <w:r>
              <w:rPr>
                <w:color w:val="000000"/>
              </w:rPr>
              <w:t>（湘阴县）县</w:t>
            </w:r>
          </w:p>
        </w:tc>
        <w:tc>
          <w:tcPr>
            <w:tcW w:w="1303" w:type="dxa"/>
            <w:vAlign w:val="center"/>
          </w:tcPr>
          <w:p>
            <w:pPr>
              <w:adjustRightInd w:val="0"/>
              <w:snapToGrid w:val="0"/>
              <w:spacing w:line="300" w:lineRule="auto"/>
              <w:jc w:val="center"/>
              <w:rPr>
                <w:color w:val="000000"/>
              </w:rPr>
            </w:pPr>
            <w:r>
              <w:rPr>
                <w:color w:val="000000"/>
              </w:rPr>
              <w:t>先锋路69号</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91" w:type="dxa"/>
            <w:vAlign w:val="center"/>
          </w:tcPr>
          <w:p>
            <w:pPr>
              <w:adjustRightInd w:val="0"/>
              <w:snapToGrid w:val="0"/>
              <w:spacing w:line="300" w:lineRule="auto"/>
              <w:jc w:val="center"/>
              <w:rPr>
                <w:color w:val="000000"/>
              </w:rPr>
            </w:pPr>
            <w:r>
              <w:rPr>
                <w:color w:val="000000"/>
              </w:rPr>
              <w:t>地理坐标</w:t>
            </w:r>
          </w:p>
        </w:tc>
        <w:tc>
          <w:tcPr>
            <w:tcW w:w="2268" w:type="dxa"/>
            <w:vAlign w:val="center"/>
          </w:tcPr>
          <w:p>
            <w:pPr>
              <w:adjustRightInd w:val="0"/>
              <w:snapToGrid w:val="0"/>
              <w:spacing w:line="300" w:lineRule="auto"/>
              <w:jc w:val="center"/>
              <w:rPr>
                <w:color w:val="000000"/>
              </w:rPr>
            </w:pPr>
            <w:r>
              <w:rPr>
                <w:color w:val="000000"/>
              </w:rPr>
              <w:t>经度</w:t>
            </w:r>
          </w:p>
        </w:tc>
        <w:tc>
          <w:tcPr>
            <w:tcW w:w="1559" w:type="dxa"/>
            <w:vAlign w:val="center"/>
          </w:tcPr>
          <w:p>
            <w:pPr>
              <w:adjustRightInd w:val="0"/>
              <w:snapToGrid w:val="0"/>
              <w:spacing w:line="300" w:lineRule="auto"/>
              <w:jc w:val="center"/>
              <w:rPr>
                <w:color w:val="000000"/>
              </w:rPr>
            </w:pPr>
            <w:r>
              <w:rPr>
                <w:color w:val="000000"/>
              </w:rPr>
              <w:t>E112.887060</w:t>
            </w:r>
          </w:p>
          <w:p>
            <w:pPr>
              <w:adjustRightInd w:val="0"/>
              <w:snapToGrid w:val="0"/>
              <w:spacing w:line="300" w:lineRule="auto"/>
              <w:jc w:val="center"/>
              <w:rPr>
                <w:color w:val="000000"/>
              </w:rPr>
            </w:pPr>
            <w:r>
              <w:rPr>
                <w:color w:val="000000"/>
              </w:rPr>
              <w:t>53707884</w:t>
            </w:r>
          </w:p>
        </w:tc>
        <w:tc>
          <w:tcPr>
            <w:tcW w:w="992" w:type="dxa"/>
            <w:vAlign w:val="center"/>
          </w:tcPr>
          <w:p>
            <w:pPr>
              <w:adjustRightInd w:val="0"/>
              <w:snapToGrid w:val="0"/>
              <w:spacing w:line="300" w:lineRule="auto"/>
              <w:jc w:val="center"/>
              <w:rPr>
                <w:color w:val="000000"/>
              </w:rPr>
            </w:pPr>
            <w:r>
              <w:rPr>
                <w:color w:val="000000"/>
              </w:rPr>
              <w:t>纬度</w:t>
            </w:r>
          </w:p>
        </w:tc>
        <w:tc>
          <w:tcPr>
            <w:tcW w:w="2579" w:type="dxa"/>
            <w:gridSpan w:val="2"/>
            <w:vAlign w:val="center"/>
          </w:tcPr>
          <w:p>
            <w:pPr>
              <w:adjustRightInd w:val="0"/>
              <w:snapToGrid w:val="0"/>
              <w:spacing w:line="300" w:lineRule="auto"/>
              <w:jc w:val="center"/>
              <w:rPr>
                <w:color w:val="000000"/>
              </w:rPr>
            </w:pPr>
            <w:r>
              <w:rPr>
                <w:color w:val="000000"/>
              </w:rPr>
              <w:t>N28.6815822</w:t>
            </w:r>
          </w:p>
          <w:p>
            <w:pPr>
              <w:adjustRightInd w:val="0"/>
              <w:snapToGrid w:val="0"/>
              <w:spacing w:line="300" w:lineRule="auto"/>
              <w:jc w:val="center"/>
              <w:rPr>
                <w:color w:val="000000"/>
              </w:rPr>
            </w:pPr>
            <w:r>
              <w:rPr>
                <w:color w:val="000000"/>
              </w:rPr>
              <w:t>67530672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91" w:type="dxa"/>
            <w:vAlign w:val="center"/>
          </w:tcPr>
          <w:p>
            <w:pPr>
              <w:adjustRightInd w:val="0"/>
              <w:snapToGrid w:val="0"/>
              <w:spacing w:line="300" w:lineRule="auto"/>
              <w:jc w:val="center"/>
              <w:rPr>
                <w:color w:val="000000"/>
              </w:rPr>
            </w:pPr>
            <w:r>
              <w:rPr>
                <w:color w:val="000000"/>
              </w:rPr>
              <w:t>主要危险物质及分布</w:t>
            </w:r>
          </w:p>
        </w:tc>
        <w:tc>
          <w:tcPr>
            <w:tcW w:w="7398" w:type="dxa"/>
            <w:gridSpan w:val="5"/>
            <w:vAlign w:val="center"/>
          </w:tcPr>
          <w:p>
            <w:pPr>
              <w:adjustRightInd w:val="0"/>
              <w:snapToGrid w:val="0"/>
              <w:spacing w:line="300" w:lineRule="auto"/>
              <w:jc w:val="left"/>
              <w:rPr>
                <w:color w:val="000000"/>
              </w:rPr>
            </w:pPr>
            <w:r>
              <w:rPr>
                <w:color w:val="000000"/>
              </w:rPr>
              <w:t>废水事故，二氧化氯、盐酸可能泄漏而大量挥发污染环境空气，位于污水处理站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91" w:type="dxa"/>
            <w:vAlign w:val="center"/>
          </w:tcPr>
          <w:p>
            <w:pPr>
              <w:adjustRightInd w:val="0"/>
              <w:snapToGrid w:val="0"/>
              <w:spacing w:line="300" w:lineRule="auto"/>
              <w:jc w:val="center"/>
              <w:rPr>
                <w:color w:val="000000"/>
              </w:rPr>
            </w:pPr>
            <w:r>
              <w:rPr>
                <w:color w:val="000000"/>
              </w:rPr>
              <w:t>环境影响途径及危害后果（大气、地表水、地下水等）</w:t>
            </w:r>
          </w:p>
        </w:tc>
        <w:tc>
          <w:tcPr>
            <w:tcW w:w="7398" w:type="dxa"/>
            <w:gridSpan w:val="5"/>
            <w:vAlign w:val="center"/>
          </w:tcPr>
          <w:p>
            <w:pPr>
              <w:adjustRightInd w:val="0"/>
              <w:snapToGrid w:val="0"/>
              <w:spacing w:line="300" w:lineRule="auto"/>
              <w:jc w:val="left"/>
              <w:rPr>
                <w:color w:val="000000"/>
              </w:rPr>
            </w:pPr>
            <w:r>
              <w:rPr>
                <w:color w:val="000000"/>
              </w:rPr>
              <w:t>医院污水不达标而直接排放，污水中可沾染病人的血、尿、便，或受到粪便、感染性细菌和病毒等病原性微生物污染，具有感染性，可以诱发疾病或造成伤害；含有酸、碱、悬浮固体、BOD</w:t>
            </w:r>
            <w:r>
              <w:rPr>
                <w:color w:val="000000"/>
                <w:vertAlign w:val="subscript"/>
              </w:rPr>
              <w:t>5</w:t>
            </w:r>
            <w:r>
              <w:rPr>
                <w:color w:val="000000"/>
              </w:rPr>
              <w:t>、COD等有毒、有害物质和多种致病菌、病毒和寄生虫卵，影响湘阴县第一污水处理厂的处理效率，进一步影响附近湘江的水质。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391" w:type="dxa"/>
            <w:vAlign w:val="center"/>
          </w:tcPr>
          <w:p>
            <w:pPr>
              <w:adjustRightInd w:val="0"/>
              <w:snapToGrid w:val="0"/>
              <w:spacing w:line="300" w:lineRule="auto"/>
              <w:jc w:val="center"/>
              <w:rPr>
                <w:color w:val="000000"/>
              </w:rPr>
            </w:pPr>
            <w:r>
              <w:rPr>
                <w:color w:val="000000"/>
              </w:rPr>
              <w:t>风险防范措施要求</w:t>
            </w:r>
          </w:p>
        </w:tc>
        <w:tc>
          <w:tcPr>
            <w:tcW w:w="7398" w:type="dxa"/>
            <w:gridSpan w:val="5"/>
            <w:vAlign w:val="center"/>
          </w:tcPr>
          <w:p>
            <w:pPr>
              <w:adjustRightInd w:val="0"/>
              <w:snapToGrid w:val="0"/>
              <w:spacing w:line="300" w:lineRule="auto"/>
              <w:jc w:val="left"/>
              <w:rPr>
                <w:color w:val="000000"/>
              </w:rPr>
            </w:pPr>
            <w:r>
              <w:rPr>
                <w:color w:val="000000"/>
              </w:rPr>
              <w:t>(1)为防止事故废水外排，立即关闭潜污泵，启用备用废水处理设施。即时查明原因，进行检修，并在24小时内向所在地环境保护部门报告。</w:t>
            </w:r>
          </w:p>
          <w:p>
            <w:pPr>
              <w:adjustRightInd w:val="0"/>
              <w:snapToGrid w:val="0"/>
              <w:spacing w:line="300" w:lineRule="auto"/>
              <w:jc w:val="left"/>
              <w:rPr>
                <w:color w:val="000000"/>
              </w:rPr>
            </w:pPr>
            <w:r>
              <w:rPr>
                <w:color w:val="000000"/>
              </w:rPr>
              <w:t>(2)处理后出水指标按照环境管理工作制度的要求，定期、定时进行监测，以确保污水达标排放。</w:t>
            </w:r>
          </w:p>
          <w:p>
            <w:pPr>
              <w:adjustRightInd w:val="0"/>
              <w:snapToGrid w:val="0"/>
              <w:spacing w:line="300" w:lineRule="auto"/>
              <w:jc w:val="left"/>
              <w:rPr>
                <w:color w:val="000000"/>
              </w:rPr>
            </w:pPr>
            <w:r>
              <w:rPr>
                <w:color w:val="000000"/>
              </w:rPr>
              <w:t>(3)保存好治理设施运行记录、现场记录。</w:t>
            </w:r>
          </w:p>
          <w:p>
            <w:pPr>
              <w:adjustRightInd w:val="0"/>
              <w:snapToGrid w:val="0"/>
              <w:spacing w:line="300" w:lineRule="auto"/>
              <w:jc w:val="left"/>
              <w:rPr>
                <w:color w:val="000000"/>
              </w:rPr>
            </w:pPr>
            <w:r>
              <w:rPr>
                <w:color w:val="000000"/>
              </w:rPr>
              <w:t>(4)建议污水处理加药、消毒、泵等设施均设置两台，一用一备，并设自动控制系统。</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789" w:type="dxa"/>
            <w:gridSpan w:val="6"/>
            <w:vAlign w:val="center"/>
          </w:tcPr>
          <w:p>
            <w:pPr>
              <w:adjustRightInd w:val="0"/>
              <w:snapToGrid w:val="0"/>
              <w:spacing w:line="300" w:lineRule="auto"/>
              <w:jc w:val="left"/>
              <w:rPr>
                <w:color w:val="000000"/>
              </w:rPr>
            </w:pPr>
            <w:r>
              <w:rPr>
                <w:color w:val="000000"/>
              </w:rPr>
              <w:t>填表说明（列出项目相关信息及评价说明）：</w:t>
            </w:r>
          </w:p>
          <w:p>
            <w:pPr>
              <w:adjustRightInd w:val="0"/>
              <w:snapToGrid w:val="0"/>
              <w:spacing w:line="300" w:lineRule="auto"/>
              <w:ind w:firstLine="420" w:firstLineChars="200"/>
              <w:jc w:val="left"/>
              <w:rPr>
                <w:color w:val="000000"/>
              </w:rPr>
            </w:pPr>
            <w:r>
              <w:rPr>
                <w:color w:val="000000"/>
              </w:rPr>
              <w:t>根据风险识别和风险分析，本项目环境风险的最大可信事故为废水事故排放。建设单位应按照本报告书做好各项风险的预防和应急措施，并制定完善的风险事故应急预案。在项目严格落实环评提出各项措施和要求的前提下，本项目运营期的环境风险在可接受范围之内。</w:t>
            </w:r>
          </w:p>
        </w:tc>
      </w:tr>
    </w:tbl>
    <w:p>
      <w:pPr>
        <w:adjustRightInd w:val="0"/>
        <w:snapToGrid w:val="0"/>
        <w:spacing w:line="360" w:lineRule="auto"/>
        <w:ind w:firstLine="480" w:firstLineChars="200"/>
        <w:rPr>
          <w:rFonts w:eastAsiaTheme="minorEastAsia"/>
          <w:bCs/>
          <w:sz w:val="24"/>
        </w:rPr>
      </w:pPr>
    </w:p>
    <w:p>
      <w:pPr>
        <w:tabs>
          <w:tab w:val="left" w:pos="900"/>
          <w:tab w:val="left" w:pos="1080"/>
        </w:tabs>
        <w:snapToGrid w:val="0"/>
        <w:spacing w:line="360" w:lineRule="auto"/>
        <w:ind w:firstLine="480" w:firstLineChars="200"/>
        <w:rPr>
          <w:rFonts w:eastAsiaTheme="minorEastAsia"/>
          <w:color w:val="FF0000"/>
          <w:sz w:val="24"/>
        </w:rPr>
        <w:sectPr>
          <w:pgSz w:w="11906" w:h="16838"/>
          <w:pgMar w:top="1418" w:right="1304" w:bottom="1418" w:left="1474" w:header="851" w:footer="680" w:gutter="0"/>
          <w:cols w:space="720" w:num="1"/>
          <w:docGrid w:linePitch="312" w:charSpace="0"/>
        </w:sectPr>
      </w:pPr>
    </w:p>
    <w:p>
      <w:pPr>
        <w:pStyle w:val="2"/>
        <w:spacing w:after="0" w:line="480" w:lineRule="auto"/>
        <w:jc w:val="center"/>
        <w:rPr>
          <w:rFonts w:ascii="Times New Roman" w:eastAsiaTheme="minorEastAsia"/>
          <w:b/>
          <w:bCs/>
          <w:sz w:val="36"/>
          <w:szCs w:val="36"/>
          <w:lang w:val="zh-CN"/>
        </w:rPr>
      </w:pPr>
      <w:bookmarkStart w:id="175" w:name="_Toc61026623"/>
      <w:r>
        <w:rPr>
          <w:rFonts w:ascii="Times New Roman" w:eastAsiaTheme="minorEastAsia"/>
          <w:b/>
          <w:bCs/>
          <w:sz w:val="36"/>
          <w:szCs w:val="36"/>
          <w:lang w:val="zh-CN"/>
        </w:rPr>
        <w:t>8 环境保护措施及其可行性论证</w:t>
      </w:r>
      <w:bookmarkEnd w:id="175"/>
    </w:p>
    <w:p>
      <w:pPr>
        <w:pStyle w:val="3"/>
        <w:snapToGrid w:val="0"/>
        <w:spacing w:before="0" w:after="0" w:line="360" w:lineRule="auto"/>
        <w:rPr>
          <w:rFonts w:ascii="Times New Roman" w:hAnsi="Times New Roman" w:eastAsiaTheme="minorEastAsia"/>
          <w:kern w:val="0"/>
          <w:sz w:val="28"/>
        </w:rPr>
      </w:pPr>
      <w:bookmarkStart w:id="176" w:name="_Toc61026624"/>
      <w:r>
        <w:rPr>
          <w:rFonts w:ascii="Times New Roman" w:hAnsi="Times New Roman" w:eastAsiaTheme="minorEastAsia"/>
          <w:kern w:val="0"/>
          <w:sz w:val="28"/>
        </w:rPr>
        <w:t>8.1 施工期环境保护措施及其可行性分析</w:t>
      </w:r>
      <w:bookmarkEnd w:id="176"/>
    </w:p>
    <w:p>
      <w:pPr>
        <w:pStyle w:val="4"/>
        <w:tabs>
          <w:tab w:val="left" w:pos="1701"/>
        </w:tabs>
        <w:snapToGrid w:val="0"/>
        <w:spacing w:before="0" w:after="0" w:line="360" w:lineRule="auto"/>
        <w:rPr>
          <w:rFonts w:eastAsiaTheme="minorEastAsia"/>
          <w:kern w:val="0"/>
          <w:sz w:val="24"/>
        </w:rPr>
      </w:pPr>
      <w:r>
        <w:rPr>
          <w:rFonts w:eastAsiaTheme="minorEastAsia"/>
          <w:kern w:val="0"/>
          <w:sz w:val="24"/>
        </w:rPr>
        <w:t>8.1.1 施工期大气环境保护措施可行性分析</w:t>
      </w:r>
    </w:p>
    <w:p>
      <w:pPr>
        <w:widowControl/>
        <w:shd w:val="clear" w:color="auto" w:fill="FFFFFF"/>
        <w:snapToGrid w:val="0"/>
        <w:spacing w:line="360" w:lineRule="auto"/>
        <w:ind w:firstLine="482" w:firstLineChars="200"/>
        <w:rPr>
          <w:rFonts w:eastAsiaTheme="minorEastAsia"/>
          <w:b/>
          <w:sz w:val="24"/>
        </w:rPr>
      </w:pPr>
      <w:r>
        <w:rPr>
          <w:rFonts w:eastAsiaTheme="minorEastAsia"/>
          <w:b/>
          <w:sz w:val="24"/>
        </w:rPr>
        <w:t>1、施工扬尘</w:t>
      </w:r>
    </w:p>
    <w:p>
      <w:pPr>
        <w:widowControl/>
        <w:shd w:val="clear" w:color="auto" w:fill="FFFFFF"/>
        <w:snapToGrid w:val="0"/>
        <w:spacing w:line="360" w:lineRule="auto"/>
        <w:ind w:firstLine="482" w:firstLineChars="200"/>
        <w:rPr>
          <w:rFonts w:eastAsiaTheme="minorEastAsia"/>
          <w:b/>
          <w:sz w:val="24"/>
        </w:rPr>
      </w:pPr>
      <w:r>
        <w:rPr>
          <w:rFonts w:eastAsiaTheme="minorEastAsia"/>
          <w:b/>
          <w:sz w:val="24"/>
        </w:rPr>
        <w:t>1）施工期防治扬尘污染环境管理及相关责任</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为保证施工期防治扬尘环境管理任务的顺利实施，项目的法定负责人，又是控制环境污染，保护环境的法律责任者，项目应该设立专门的环保机构和专职负责人，负责项目的施工期防治扬尘环境管理。</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建设单位必须确定防治扬尘污染现场监督员，专门负责施工期环境管理与监督，监督施工单位落实各项扬尘污染防治措施，重点是地基处理和建筑物建设过程中防治施工扬尘环境管理，并明确各部门专门分共负责。</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施工单位须遵守《中华人民共和国环境影响评价法》和《建设项目环境保护管理条例》的相关规定，向当地环境保护行政主管部门提供施工扬尘防治实施方案，签订《建筑施工防治扬尘污染责任书》。建设单位应将建筑施工扬尘治理列入工程合同，并督促施工单位组织编制施工场地扬尘防治方案，</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向建设主管部门备案，严格落实施工扬尘污染防治“6个100%”抑尘措施：即施工工地周边围挡、物料堆放和裸露土地覆盖、土方开挖湿法作业、路面硬化、出入车辆冲洗、渣土车辆密闭运输。</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工程建设单位应按照《防治城市扬尘污染技术规范》条款制定施工扬尘污染防治方案，根据施工工序编制施工期内扬尘污染防治任务书，实施扬尘防治全过程管理，责任到每个施工工序。</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各施工队伍（承包商）应配备一名环保员负责逸散性材料、垃圾、渣土、裸地等密闭、覆盖、洒水作业以及车辆清洗作业等，根据承包工程的环境问题提出环保实施计划，并根据审批的计划进行实施、监督、管理，并记录扬尘控制措施的实施情况，对发生的它污染事故应组织处理，并及时向建设单位和地方环保部门报告。</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根据《关于进一步加强建设工地扬尘污染防治工作的通知（岳建质安监发〔2018〕18号）》，施工单位必须在施工现场每个出入口安装扬尘在线监测和远程视频监控设备，监测和视频监控设备必须能够与主管部门联网，并能清晰监控车辆出场冲洗情况及运输车辆车牌号码。</w:t>
      </w:r>
    </w:p>
    <w:p>
      <w:pPr>
        <w:widowControl/>
        <w:shd w:val="clear" w:color="auto" w:fill="FFFFFF"/>
        <w:snapToGrid w:val="0"/>
        <w:spacing w:line="360" w:lineRule="auto"/>
        <w:ind w:firstLine="482" w:firstLineChars="200"/>
        <w:rPr>
          <w:rFonts w:eastAsiaTheme="minorEastAsia"/>
          <w:b/>
          <w:sz w:val="24"/>
        </w:rPr>
      </w:pPr>
      <w:r>
        <w:rPr>
          <w:rFonts w:eastAsiaTheme="minorEastAsia"/>
          <w:b/>
          <w:sz w:val="24"/>
        </w:rPr>
        <w:t>2）项目施工期扬尘污染防治范围和管理</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施工单位扬尘污染控制区(保洁责任区）的范围</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应根据施工扬尘影响情况确定，一般设在施工工地周围20m范围内。</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设置施工环境保护标志牌，落实施工扬尘控制管理人员</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施工单位应根据《建筑施工防治扬尘污染责任书》的规定规格和内容设置项目施工环境保护标志牌，内容包括：建设单位、施工单位、工期、防治扬尘污染现场管理人员名单、监督电话牌及有关防尘措施等。</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本项目根据施工工期、阶段和进度，整个施工期必须设专职保洁员2人。主要职责：车辆进出场冲洗、项目施工场地洒水降尘、场内裸露堆场覆盖、场内裸露地面覆盖、道路冲洗清扫及日常扬尘控制管理。</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围挡、围栏及防溢座的设置</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施工期间，土建工地边界临敏感区应设置高度1.8m以上的围挡，围挡底端应设置防溢座，围挡之间以及围挡与防溢座之间无缝隙。</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施工场地防尘措施</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在施工期间，施工场地应根据不同空气污染指数范围和大风、高温、干燥、晴天、雨天等各种不同气象条件要求，明确防尘措施及管理责任制度。</w:t>
      </w:r>
    </w:p>
    <w:p>
      <w:pPr>
        <w:widowControl/>
        <w:shd w:val="clear" w:color="auto" w:fill="FFFFFF"/>
        <w:snapToGrid w:val="0"/>
        <w:spacing w:line="360" w:lineRule="auto"/>
        <w:ind w:firstLine="482" w:firstLineChars="200"/>
        <w:rPr>
          <w:rFonts w:eastAsiaTheme="minorEastAsia"/>
          <w:b/>
          <w:sz w:val="24"/>
        </w:rPr>
      </w:pPr>
      <w:r>
        <w:rPr>
          <w:rFonts w:eastAsiaTheme="minorEastAsia"/>
          <w:b/>
          <w:sz w:val="24"/>
        </w:rPr>
        <w:t>2、机械废气</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施工期各类燃油动力机械进行场地清理平整、挖、填土石方、运输、建筑结构等施工作业时，排出的各类废气，其主要污染物为SO</w:t>
      </w:r>
      <w:r>
        <w:rPr>
          <w:rFonts w:eastAsiaTheme="minorEastAsia"/>
          <w:sz w:val="24"/>
          <w:vertAlign w:val="subscript"/>
        </w:rPr>
        <w:t>2</w:t>
      </w:r>
      <w:r>
        <w:rPr>
          <w:rFonts w:eastAsiaTheme="minorEastAsia"/>
          <w:sz w:val="24"/>
        </w:rPr>
        <w:t>、NO</w:t>
      </w:r>
      <w:r>
        <w:rPr>
          <w:rFonts w:eastAsiaTheme="minorEastAsia"/>
          <w:sz w:val="24"/>
          <w:vertAlign w:val="subscript"/>
        </w:rPr>
        <w:t>x</w:t>
      </w:r>
      <w:r>
        <w:rPr>
          <w:rFonts w:eastAsiaTheme="minorEastAsia"/>
          <w:sz w:val="24"/>
        </w:rPr>
        <w:t>、CO。</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由于施工机械为间断作业，因此所排废气污染物仅对施工点的空气质量产生间断的较小的不利影响，施工机械使用无铅汽油、0#柴油等优质燃料、杜绝冒黑烟现象，同时应对施工机械加强管理，对施工机械定期检查维护，严禁施工机械的超负荷运行。</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在上述措施采取后，项目在施工期产生的扬尘和施工废气对外环境影响较小。施工扬尘及燃油废气将随着施工结束后影响逐渐消除。</w:t>
      </w:r>
    </w:p>
    <w:p>
      <w:pPr>
        <w:widowControl/>
        <w:shd w:val="clear" w:color="auto" w:fill="FFFFFF"/>
        <w:snapToGrid w:val="0"/>
        <w:spacing w:line="360" w:lineRule="auto"/>
        <w:ind w:firstLine="482" w:firstLineChars="200"/>
        <w:rPr>
          <w:rFonts w:eastAsiaTheme="minorEastAsia"/>
          <w:b/>
          <w:sz w:val="24"/>
        </w:rPr>
      </w:pPr>
      <w:r>
        <w:rPr>
          <w:rFonts w:eastAsiaTheme="minorEastAsia"/>
          <w:b/>
          <w:sz w:val="24"/>
        </w:rPr>
        <w:t>3、装修过程废气</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选择装修材料和涂料的时候应选用对环境污染小、有益于人体健康的建筑材料产品，室内装修材料应采用符合国家现行有关标准规定的环保型装修材料，应防止装修材料中有毒、有害气体的挥发导致室内空气污染，危害人体健康。建设单位只要采用符合标准的建筑材料，保证建材、有机溶剂和辅助添加剂无毒无害，做到健康设计原则，装修完成后应保持室内通风一段时间，室内空气质量必须控制在《室内空气质量标准》（GB/T18883-2002）中相应标准内再进行交房使用，采取上述措施后项目装修废气基本不会对环境产生较大的影响。</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8.1.2 施工期水环境保护措施可行性分析</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施工期废水主要有施工作业废水和生活污水，施工单位已采取下列减缓措施，以使施工活动对水环境的影响减少到最小限度。</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1、施工废水处理采用重力沉淀处理工艺，设置有隔油沉淀池1座。隔油沉淀池尺寸为：5×4×1m，污水沉淀时间应大于2小时，设置位置位于西侧建新路一侧，便于污水外排，在施工围墙（档）内四周应设置排水沟。在对冲洗废水进行沉淀处理后的废水循环使用。</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施工现场设置排水系统，围档内四周设置排水沟，洗车平台四周设置防溢座和污水倒流渠，将所有施工污水引至沉淀池，防止施工污水溢出工地，禁止将施工污水不经处理直接排入河道或市政管网。</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2、施工期生活污水：施工期食堂废水应经隔油沉淀池处理后与其他生活污水一同经化粪池进行初级处理后再排至西侧建新路市政污水管网。</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3、施工中采取临时防护措施，如在场地设置临时排水沟、泥浆沉淀设施，用草席、砂袋、挡土墙等对开挖坡面进行护坡，以稳定边坡，减少水土流失，控制施工期间污泥水悬浮物的浓度。</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8.1.3 施工期噪声保护措施可行性分析</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本项目在工程施工期间建筑施工噪声对周围声环境质量有一定影响，施工期产生噪声干扰无法完全避免，但还是可以采取一定的环保措施使施工噪声对周围环境的影响降低到一定程度。</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建筑施工由于各阶段使用的机械设备组合情况不同，所以噪声辐射影响的程度也不尽相同。在主体施工阶段，噪声特点是持续时间长，强度高。相比之下，装饰期间的噪声相对较弱，主要是一些噪声较强的木工机械作业噪声。由于建筑施工是露天作业，流动性和间歇性较强，对各生产环节中的噪声治理具有一定难度，结合施工特点</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对一些重点噪声设备和声源，提出一些治理措施：</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（1）选用低噪声设备及施工工艺</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采用低噪声施工机械设备和先进的施工技术是控制施工期噪声有效手段之一，如本工程拟采用静压、喷注式打桩机进行桩基工程，相对于冲击式打桩机，其噪声值可降低10~20dB（A）。其他施工机械进场应得到环保或有关部门的批准，对落后的施工设备进行淘汰。</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（2）采用局部吸声、隔声降噪技术</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对各施工环节中噪声较为突出且又难以对声源进行降噪可能的设备装置，应采取临时隔声屏障措施，隔声屏障最好敷以吸声材料，以此达到降噪效果。据相关研究资料表明，在打桩机、搅拌机、电锯、振捣棒等强噪声设备周围设临时隔声屏障（木板或珍珠岩板等），可降噪15dB（A）。</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（3）严格执行施工申报制度</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4）对于确需夜间施工的施工活动，施工单位必须事前报经城管部门批准，一同时执行建筑施工噪声申报登记制度，在工程开工15日前填写《建筑施工场地噪声管理审批表》，向当地环境保护主管部门申报。并于施工前两天公告附近启民。如有发出高分贝噪声的施工内容或必须进行夜间施工时，施工单位在施工前，应当主动地将发出高分贝噪声的施工及夜间施工的时间、内容、降噪措施以及应急情况处置等情况以“告示”形式张贴在施工现场周围，接受社会的监督。</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只要本项目建筑施工单位加强管理，严格执行以上有关的管理规定，本项目施工过程中产生噪声是可以得到有效的控制。尽管施工噪声和振动对外环境产生一定的不利影响，但是施工期影响是短暂的，一旦施工活动结束，施工噪声和振动也就随之结束。</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8.1.4 施工期固体废物保护措施可行性分析</w:t>
      </w:r>
    </w:p>
    <w:p>
      <w:pPr>
        <w:snapToGrid w:val="0"/>
        <w:spacing w:line="360" w:lineRule="auto"/>
        <w:ind w:firstLine="480" w:firstLineChars="200"/>
        <w:rPr>
          <w:rFonts w:eastAsiaTheme="minorEastAsia"/>
          <w:sz w:val="24"/>
        </w:rPr>
      </w:pPr>
      <w:r>
        <w:rPr>
          <w:rFonts w:eastAsiaTheme="minorEastAsia"/>
          <w:sz w:val="24"/>
        </w:rPr>
        <w:t>建筑垃圾包括砂石、石块、碎砖瓦、废木料、废金属、废钢筋等杂物，在长期堆存过程中，某些废物会因表面干燥风化而引起扬尘，造成危害，污染周围环境空气。为了控制建筑废物对环境的污染，减少堆放和运输过程中对环境的影响，建设单位需采取如下措施：</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施工单位应当及时回填、处置建筑施工过程中产生的垃圾，并采取有效措施，防止污染环境。</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若无法回填的材料应及时清运，车辆运输散体材料和废物时，必须密闭、包扎、覆盖，不得沿途漏撒；运载土方的车辆必须在规定的时间内，按指定路段行驶，不经过住宅区，以免污染。</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收集、贮存、运输、处置固体废物的单位和个人，必须采取防扬散、防流失、防渗漏或者其它防止污染环境的措施。</w:t>
      </w:r>
    </w:p>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项目弃土消纳场地由湘阴县渣土办统一调度处理，按照规定的数量、运输线路、时间、倾倒地点进行处置。不得超载运输，不得车轮带泥，不得遗撒、泄露。通过湘阴县渣土办严格管理，所有的施工渣土、废料和建筑垃圾可全部综合利用，使固体废物全部无害化处置，可最大限度减少废弃土方随意倾倒所产生的不良影响。通过当地渣土办、建设单位及工程施工单位加强管理，本项目所有的施工渣土、废料和建筑垃圾可全部综合利用，使固体废物全部无害化处置，可最大限度减少废弃土方随意倾倒所产生的不良影响。</w:t>
      </w:r>
    </w:p>
    <w:p>
      <w:pPr>
        <w:snapToGrid w:val="0"/>
        <w:spacing w:line="360" w:lineRule="auto"/>
        <w:ind w:firstLine="480" w:firstLineChars="200"/>
        <w:rPr>
          <w:rFonts w:eastAsiaTheme="minorEastAsia"/>
          <w:sz w:val="24"/>
        </w:rPr>
      </w:pPr>
      <w:r>
        <w:rPr>
          <w:rFonts w:eastAsiaTheme="minorEastAsia"/>
          <w:sz w:val="24"/>
        </w:rPr>
        <w:t>施工期生活垃圾集中存放委托环卫清运、卫生填埋处理。采取上述措施，本项目施工期固废均可得到妥善处置，措施可行。</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8.1.5 施工期生态环境保护措施可行性分析</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施工期难以避免对生态环境造成一定的破坏，应采取一些事中防治、事后恢复的措施，减轻项目建设对生态环境的影响。</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施工上，要尽量求得土石工程的平衡，减少弃土，做好各项排水、截水、防止水土流失的设计。建设单位在动土前在施工地段完成了拦土堤及护坡垒砌工程，在总体上形成整个区域内完整的挡土墙体系。在这总的体系内，应分区分期设置径流蓄洪池。</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在推挖填土工程完成后，工地往往还要裸露一个阶段才能完成建设或重新绿化，这就要及时地在地面的径流汇集线上设置缓流泥沙阻隔带。阻隔带可以采用透水的高强PVC编织带，用角铁或木桩将编织带固置于与汇流线相切的方向上，带高一般为50厘米就已足够，带长可以视地形而定，一般为数米至数十米不等。这样可以有效地阻止泥沙随径流的初始流动，控制住施工期的水土流失。</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要强调边施工边绿化的原则，实现绿化与主体工程同时规划设计、同时施工、同时达标验收使用。</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设备堆放场、材料堆放场的防径流冲刷措施应加强，废土、渣应及时运出填埋，不得随意堆放，并应注意挖填平衡，防止出现废土、渣处置不当而导致的水土流失。</w:t>
      </w:r>
    </w:p>
    <w:p>
      <w:pPr>
        <w:widowControl/>
        <w:shd w:val="clear" w:color="auto" w:fill="FFFFFF"/>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项目建成后，对建设中不需要再用水泥覆盖的地面进行绿化，大量种植乔、灌木、花草、人工草坪和绿化植物等，其绿地率不低于33.38%，生态破坏将得以补偿。</w:t>
      </w:r>
    </w:p>
    <w:p>
      <w:pPr>
        <w:pStyle w:val="3"/>
        <w:snapToGrid w:val="0"/>
        <w:spacing w:before="0" w:after="0" w:line="360" w:lineRule="auto"/>
        <w:rPr>
          <w:rFonts w:ascii="Times New Roman" w:hAnsi="Times New Roman" w:eastAsiaTheme="minorEastAsia"/>
          <w:kern w:val="0"/>
          <w:sz w:val="28"/>
        </w:rPr>
      </w:pPr>
      <w:bookmarkStart w:id="177" w:name="_Toc61026625"/>
      <w:bookmarkStart w:id="178" w:name="_Toc299451812"/>
      <w:bookmarkStart w:id="179" w:name="_Toc299450950"/>
      <w:bookmarkStart w:id="180" w:name="_Toc299450850"/>
      <w:bookmarkStart w:id="181" w:name="_Toc299451050"/>
      <w:bookmarkStart w:id="182" w:name="_Toc299451620"/>
      <w:r>
        <w:rPr>
          <w:rFonts w:ascii="Times New Roman" w:hAnsi="Times New Roman" w:eastAsiaTheme="minorEastAsia"/>
          <w:kern w:val="0"/>
          <w:sz w:val="28"/>
        </w:rPr>
        <w:t>8.2 营运期废水治理措施</w:t>
      </w:r>
      <w:bookmarkEnd w:id="177"/>
    </w:p>
    <w:p>
      <w:pPr>
        <w:pStyle w:val="4"/>
        <w:tabs>
          <w:tab w:val="left" w:pos="1701"/>
        </w:tabs>
        <w:snapToGrid w:val="0"/>
        <w:spacing w:before="0" w:after="0" w:line="360" w:lineRule="auto"/>
        <w:rPr>
          <w:rFonts w:eastAsiaTheme="minorEastAsia"/>
          <w:kern w:val="0"/>
          <w:sz w:val="24"/>
        </w:rPr>
      </w:pPr>
      <w:r>
        <w:rPr>
          <w:rFonts w:eastAsiaTheme="minorEastAsia"/>
          <w:kern w:val="0"/>
          <w:sz w:val="24"/>
        </w:rPr>
        <w:t>8.2.1 医院污水处理的要求</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按照《医院污水处理技术指南》（2013年版）及《医院污水处理工程技术规范》（HJ2029-2013）的要求，医院污水处理的要求为：</w:t>
      </w:r>
    </w:p>
    <w:p>
      <w:pPr>
        <w:widowControl/>
        <w:shd w:val="clear" w:color="auto" w:fill="FFFFFF"/>
        <w:snapToGrid w:val="0"/>
        <w:spacing w:line="360" w:lineRule="auto"/>
        <w:ind w:firstLine="480" w:firstLineChars="200"/>
        <w:rPr>
          <w:rFonts w:eastAsiaTheme="minorEastAsia"/>
          <w:bCs/>
          <w:sz w:val="24"/>
        </w:rPr>
      </w:pPr>
      <w:r>
        <w:rPr>
          <w:rFonts w:hint="eastAsia" w:ascii="宋体" w:hAnsi="宋体" w:cs="宋体"/>
          <w:bCs/>
          <w:sz w:val="24"/>
        </w:rPr>
        <w:t>①</w:t>
      </w:r>
      <w:r>
        <w:rPr>
          <w:rFonts w:eastAsiaTheme="minorEastAsia"/>
          <w:bCs/>
          <w:sz w:val="24"/>
        </w:rPr>
        <w:t>全过程控制原则。对医院污水产生、处理、排放的全过程进行控制。</w:t>
      </w:r>
    </w:p>
    <w:p>
      <w:pPr>
        <w:widowControl/>
        <w:shd w:val="clear" w:color="auto" w:fill="FFFFFF"/>
        <w:snapToGrid w:val="0"/>
        <w:spacing w:line="360" w:lineRule="auto"/>
        <w:ind w:firstLine="480" w:firstLineChars="200"/>
        <w:rPr>
          <w:rFonts w:eastAsiaTheme="minorEastAsia"/>
          <w:bCs/>
          <w:sz w:val="24"/>
        </w:rPr>
      </w:pPr>
      <w:r>
        <w:rPr>
          <w:rFonts w:hint="eastAsia" w:ascii="宋体" w:hAnsi="宋体" w:cs="宋体"/>
          <w:bCs/>
          <w:sz w:val="24"/>
        </w:rPr>
        <w:t>②</w:t>
      </w:r>
      <w:r>
        <w:rPr>
          <w:rFonts w:eastAsiaTheme="minorEastAsia"/>
          <w:bCs/>
          <w:sz w:val="24"/>
        </w:rPr>
        <w:t>减量化原则。严格医院内部卫生安全管理体系，在污水和污物发生源处进行严格控制和分离，医院内生活污水与病区污水分别收集，即源头控制、清污分流。严禁将医院的污水和污物随意弃置排入下水道。</w:t>
      </w:r>
    </w:p>
    <w:p>
      <w:pPr>
        <w:widowControl/>
        <w:shd w:val="clear" w:color="auto" w:fill="FFFFFF"/>
        <w:snapToGrid w:val="0"/>
        <w:spacing w:line="360" w:lineRule="auto"/>
        <w:ind w:firstLine="480" w:firstLineChars="200"/>
        <w:rPr>
          <w:rFonts w:eastAsiaTheme="minorEastAsia"/>
          <w:bCs/>
          <w:sz w:val="24"/>
        </w:rPr>
      </w:pPr>
      <w:r>
        <w:rPr>
          <w:rFonts w:hint="eastAsia" w:ascii="宋体" w:hAnsi="宋体" w:cs="宋体"/>
          <w:bCs/>
          <w:sz w:val="24"/>
        </w:rPr>
        <w:t>③</w:t>
      </w:r>
      <w:r>
        <w:rPr>
          <w:rFonts w:eastAsiaTheme="minorEastAsia"/>
          <w:bCs/>
          <w:sz w:val="24"/>
        </w:rPr>
        <w:t>就地处理原则。为防止医院污水输送过程中的污染与危害，在医院必须就地处理。</w:t>
      </w:r>
    </w:p>
    <w:p>
      <w:pPr>
        <w:widowControl/>
        <w:shd w:val="clear" w:color="auto" w:fill="FFFFFF"/>
        <w:snapToGrid w:val="0"/>
        <w:spacing w:line="360" w:lineRule="auto"/>
        <w:ind w:firstLine="480" w:firstLineChars="200"/>
        <w:rPr>
          <w:rFonts w:eastAsiaTheme="minorEastAsia"/>
          <w:bCs/>
          <w:sz w:val="24"/>
        </w:rPr>
      </w:pPr>
      <w:r>
        <w:rPr>
          <w:rFonts w:hint="eastAsia" w:ascii="宋体" w:hAnsi="宋体" w:cs="宋体"/>
          <w:bCs/>
          <w:sz w:val="24"/>
        </w:rPr>
        <w:t>④</w:t>
      </w:r>
      <w:r>
        <w:rPr>
          <w:rFonts w:eastAsiaTheme="minorEastAsia"/>
          <w:bCs/>
          <w:sz w:val="24"/>
        </w:rPr>
        <w:t>分类指导原则。根据医院性质、规模、污水排放去向和地区差异对医院污水处理进行分类指导。</w:t>
      </w:r>
    </w:p>
    <w:p>
      <w:pPr>
        <w:widowControl/>
        <w:shd w:val="clear" w:color="auto" w:fill="FFFFFF"/>
        <w:snapToGrid w:val="0"/>
        <w:spacing w:line="360" w:lineRule="auto"/>
        <w:ind w:firstLine="480" w:firstLineChars="200"/>
        <w:rPr>
          <w:rFonts w:eastAsiaTheme="minorEastAsia"/>
          <w:bCs/>
          <w:sz w:val="24"/>
        </w:rPr>
      </w:pPr>
      <w:r>
        <w:rPr>
          <w:rFonts w:hint="eastAsia" w:ascii="宋体" w:hAnsi="宋体" w:cs="宋体"/>
          <w:bCs/>
          <w:sz w:val="24"/>
        </w:rPr>
        <w:t>⑤</w:t>
      </w:r>
      <w:r>
        <w:rPr>
          <w:rFonts w:eastAsiaTheme="minorEastAsia"/>
          <w:bCs/>
          <w:sz w:val="24"/>
        </w:rPr>
        <w:t>达标与风险控制相结合原则。全面考虑综合性医院和传染病医院污水达标排放的基本要求，同时加强风险控制意识，从工艺技术、工程建设和监督管理等方面提高应对突发性事件的能力。</w:t>
      </w:r>
    </w:p>
    <w:p>
      <w:pPr>
        <w:widowControl/>
        <w:shd w:val="clear" w:color="auto" w:fill="FFFFFF"/>
        <w:snapToGrid w:val="0"/>
        <w:spacing w:line="360" w:lineRule="auto"/>
        <w:ind w:firstLine="480" w:firstLineChars="200"/>
        <w:rPr>
          <w:rFonts w:eastAsiaTheme="minorEastAsia"/>
          <w:bCs/>
          <w:sz w:val="24"/>
        </w:rPr>
      </w:pPr>
      <w:r>
        <w:rPr>
          <w:rFonts w:hint="eastAsia" w:ascii="宋体" w:hAnsi="宋体" w:cs="宋体"/>
          <w:bCs/>
          <w:sz w:val="24"/>
        </w:rPr>
        <w:t>⑥</w:t>
      </w:r>
      <w:r>
        <w:rPr>
          <w:rFonts w:eastAsiaTheme="minorEastAsia"/>
          <w:bCs/>
          <w:sz w:val="24"/>
        </w:rPr>
        <w:t>生态安全原则。有效去除污水中有毒有害物质，减少处理过程中消毒副产物产生和控制出水中过高余氯，保护生态环境安全。</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8.2.2 医院污水处理工艺原则</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根据《医疗机构水污染物排放标准》（GB18466-2005），医疗机构污水处理工艺与要求为：</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（1）医疗机构病区和非病区的污水，感染病区和非传染病区的污水应分流，不得将固体传染性废物，各种化学废液弃置和倾倒排入下水道；</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（2）医疗机构的各种特殊排水应单独收集并进行处理后，再排入污水处理站；</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（3）综合医疗机构污水排放执行预处理标准时宜采用一级处理或一级强化处理＋ 消毒工艺；</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（4）消毒剂应根据技术经济分析选用，通常使用的有：液氯、二氧化氯、次氯酸钠、紫外线和臭氧等。</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（5）医院内污水收集处理系统应按“清污分流、分质处理”的原则优化设置。</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8.2.3 医院废水的特性及常用的处理方法</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医院污水的水质特点是含有大量的病原体-病毒、病菌和寄生虫卵。医院污水的水 量与医院的性质、规模及所在地区气候等因素有关。</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医院污水处理方法可分为简单处理和生化处理，一级处理废水经过化粪池、混凝沉淀池处理后，再经消毒处理排放，通过一级处理废水可以达到三级入网标准要求；二级 处理废水在消毒处理之前还需经过生物处理，通常通过二级处理，污水可达到排放标准 要求。</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医院污水消毒是医院污水处理的重要工艺过程，其目的是杀灭污水中的致病菌。目前医院污水消毒常用的工艺有氯消毒（如氯气、二氧化氯、次氯酸钠等）、氧化剂消毒（如臭氧、过氧乙酸）、辐射消毒（如紫外线、γ射线）。现对采用这几种消毒方法的差异作一比较，具体见下表。</w:t>
      </w:r>
    </w:p>
    <w:p>
      <w:pPr>
        <w:widowControl/>
        <w:shd w:val="clear" w:color="auto" w:fill="FFFFFF"/>
        <w:snapToGrid w:val="0"/>
        <w:spacing w:line="360" w:lineRule="auto"/>
        <w:jc w:val="center"/>
        <w:rPr>
          <w:rFonts w:eastAsiaTheme="minorEastAsia"/>
          <w:b/>
          <w:sz w:val="24"/>
        </w:rPr>
      </w:pPr>
      <w:r>
        <w:rPr>
          <w:rFonts w:eastAsiaTheme="minorEastAsia"/>
          <w:b/>
          <w:sz w:val="24"/>
        </w:rPr>
        <w:t>表8.2-1  几种消毒方法的差异比较表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83"/>
        <w:gridCol w:w="2866"/>
        <w:gridCol w:w="3468"/>
        <w:gridCol w:w="137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083" w:type="dxa"/>
            <w:vAlign w:val="center"/>
          </w:tcPr>
          <w:p>
            <w:pPr>
              <w:adjustRightInd w:val="0"/>
              <w:snapToGrid w:val="0"/>
              <w:spacing w:line="276" w:lineRule="auto"/>
              <w:jc w:val="center"/>
              <w:rPr>
                <w:b/>
                <w:bCs/>
                <w:color w:val="000000"/>
              </w:rPr>
            </w:pPr>
            <w:r>
              <w:rPr>
                <w:b/>
                <w:bCs/>
                <w:color w:val="000000"/>
              </w:rPr>
              <w:t>方法</w:t>
            </w:r>
          </w:p>
        </w:tc>
        <w:tc>
          <w:tcPr>
            <w:tcW w:w="2866" w:type="dxa"/>
            <w:vAlign w:val="center"/>
          </w:tcPr>
          <w:p>
            <w:pPr>
              <w:adjustRightInd w:val="0"/>
              <w:snapToGrid w:val="0"/>
              <w:spacing w:line="276" w:lineRule="auto"/>
              <w:jc w:val="center"/>
              <w:rPr>
                <w:b/>
                <w:bCs/>
                <w:color w:val="000000"/>
              </w:rPr>
            </w:pPr>
            <w:r>
              <w:rPr>
                <w:b/>
                <w:bCs/>
                <w:color w:val="000000"/>
              </w:rPr>
              <w:t>优点</w:t>
            </w:r>
          </w:p>
        </w:tc>
        <w:tc>
          <w:tcPr>
            <w:tcW w:w="3468" w:type="dxa"/>
            <w:vAlign w:val="center"/>
          </w:tcPr>
          <w:p>
            <w:pPr>
              <w:adjustRightInd w:val="0"/>
              <w:snapToGrid w:val="0"/>
              <w:spacing w:line="276" w:lineRule="auto"/>
              <w:jc w:val="center"/>
              <w:rPr>
                <w:b/>
                <w:bCs/>
                <w:color w:val="000000"/>
              </w:rPr>
            </w:pPr>
            <w:r>
              <w:rPr>
                <w:b/>
                <w:bCs/>
                <w:color w:val="000000"/>
              </w:rPr>
              <w:t>缺点</w:t>
            </w:r>
          </w:p>
        </w:tc>
        <w:tc>
          <w:tcPr>
            <w:tcW w:w="1372" w:type="dxa"/>
            <w:vAlign w:val="center"/>
          </w:tcPr>
          <w:p>
            <w:pPr>
              <w:adjustRightInd w:val="0"/>
              <w:snapToGrid w:val="0"/>
              <w:spacing w:line="276" w:lineRule="auto"/>
              <w:jc w:val="center"/>
              <w:rPr>
                <w:b/>
                <w:bCs/>
                <w:color w:val="000000"/>
              </w:rPr>
            </w:pPr>
            <w:r>
              <w:rPr>
                <w:b/>
                <w:bCs/>
                <w:color w:val="000000"/>
              </w:rPr>
              <w:t>消毒效果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83" w:type="dxa"/>
            <w:vAlign w:val="center"/>
          </w:tcPr>
          <w:p>
            <w:pPr>
              <w:adjustRightInd w:val="0"/>
              <w:snapToGrid w:val="0"/>
              <w:spacing w:line="276" w:lineRule="auto"/>
              <w:jc w:val="center"/>
              <w:rPr>
                <w:color w:val="000000"/>
              </w:rPr>
            </w:pPr>
            <w:r>
              <w:rPr>
                <w:color w:val="000000"/>
              </w:rPr>
              <w:t>氯气Cl</w:t>
            </w:r>
            <w:r>
              <w:rPr>
                <w:color w:val="000000"/>
                <w:vertAlign w:val="subscript"/>
              </w:rPr>
              <w:t>2</w:t>
            </w:r>
          </w:p>
        </w:tc>
        <w:tc>
          <w:tcPr>
            <w:tcW w:w="2866" w:type="dxa"/>
            <w:vAlign w:val="center"/>
          </w:tcPr>
          <w:p>
            <w:pPr>
              <w:adjustRightInd w:val="0"/>
              <w:snapToGrid w:val="0"/>
              <w:spacing w:line="276" w:lineRule="auto"/>
              <w:jc w:val="center"/>
              <w:rPr>
                <w:color w:val="000000"/>
              </w:rPr>
            </w:pPr>
            <w:r>
              <w:rPr>
                <w:color w:val="000000"/>
              </w:rPr>
              <w:t>具有持续消毒作用；工艺简单，</w:t>
            </w:r>
          </w:p>
          <w:p>
            <w:pPr>
              <w:adjustRightInd w:val="0"/>
              <w:snapToGrid w:val="0"/>
              <w:spacing w:line="276" w:lineRule="auto"/>
              <w:jc w:val="center"/>
              <w:rPr>
                <w:color w:val="000000"/>
              </w:rPr>
            </w:pPr>
            <w:r>
              <w:rPr>
                <w:color w:val="000000"/>
              </w:rPr>
              <w:t>技术成熟；操作简单，投量准 确。</w:t>
            </w:r>
          </w:p>
        </w:tc>
        <w:tc>
          <w:tcPr>
            <w:tcW w:w="3468" w:type="dxa"/>
            <w:vAlign w:val="center"/>
          </w:tcPr>
          <w:p>
            <w:pPr>
              <w:adjustRightInd w:val="0"/>
              <w:snapToGrid w:val="0"/>
              <w:spacing w:line="276" w:lineRule="auto"/>
              <w:jc w:val="center"/>
              <w:rPr>
                <w:color w:val="000000"/>
              </w:rPr>
            </w:pPr>
            <w:r>
              <w:rPr>
                <w:color w:val="000000"/>
              </w:rPr>
              <w:t>产生具致癌、致畸作用的有机氯化物</w:t>
            </w:r>
          </w:p>
          <w:p>
            <w:pPr>
              <w:adjustRightInd w:val="0"/>
              <w:snapToGrid w:val="0"/>
              <w:spacing w:line="276" w:lineRule="auto"/>
              <w:jc w:val="center"/>
              <w:rPr>
                <w:color w:val="000000"/>
              </w:rPr>
            </w:pPr>
            <w:r>
              <w:rPr>
                <w:color w:val="000000"/>
              </w:rPr>
              <w:t>(THMs)；处理水有氯或氯酚味；氯气 腐蚀性强；运行管理有一定的危险性。</w:t>
            </w:r>
          </w:p>
        </w:tc>
        <w:tc>
          <w:tcPr>
            <w:tcW w:w="1372" w:type="dxa"/>
            <w:vAlign w:val="center"/>
          </w:tcPr>
          <w:p>
            <w:pPr>
              <w:adjustRightInd w:val="0"/>
              <w:snapToGrid w:val="0"/>
              <w:spacing w:line="276" w:lineRule="auto"/>
              <w:jc w:val="center"/>
              <w:rPr>
                <w:color w:val="000000"/>
              </w:rPr>
            </w:pPr>
            <w:r>
              <w:rPr>
                <w:color w:val="000000"/>
              </w:rPr>
              <w:t>能有效杀菌，</w:t>
            </w:r>
          </w:p>
          <w:p>
            <w:pPr>
              <w:adjustRightInd w:val="0"/>
              <w:snapToGrid w:val="0"/>
              <w:spacing w:line="276" w:lineRule="auto"/>
              <w:jc w:val="center"/>
              <w:rPr>
                <w:color w:val="000000"/>
              </w:rPr>
            </w:pPr>
            <w:r>
              <w:rPr>
                <w:color w:val="000000"/>
              </w:rPr>
              <w:t>但杀灭病毒 效果较差。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83" w:type="dxa"/>
            <w:vAlign w:val="center"/>
          </w:tcPr>
          <w:p>
            <w:pPr>
              <w:adjustRightInd w:val="0"/>
              <w:snapToGrid w:val="0"/>
              <w:spacing w:line="276" w:lineRule="auto"/>
              <w:jc w:val="center"/>
              <w:rPr>
                <w:color w:val="000000"/>
              </w:rPr>
            </w:pPr>
            <w:r>
              <w:rPr>
                <w:color w:val="000000"/>
              </w:rPr>
              <w:t>次氯酸钠</w:t>
            </w:r>
          </w:p>
          <w:p>
            <w:pPr>
              <w:adjustRightInd w:val="0"/>
              <w:snapToGrid w:val="0"/>
              <w:spacing w:line="276" w:lineRule="auto"/>
              <w:jc w:val="center"/>
              <w:rPr>
                <w:color w:val="000000"/>
              </w:rPr>
            </w:pPr>
            <w:r>
              <w:rPr>
                <w:color w:val="000000"/>
              </w:rPr>
              <w:t>NaClO</w:t>
            </w:r>
          </w:p>
        </w:tc>
        <w:tc>
          <w:tcPr>
            <w:tcW w:w="2866" w:type="dxa"/>
            <w:vAlign w:val="center"/>
          </w:tcPr>
          <w:p>
            <w:pPr>
              <w:adjustRightInd w:val="0"/>
              <w:snapToGrid w:val="0"/>
              <w:spacing w:line="276" w:lineRule="auto"/>
              <w:jc w:val="center"/>
              <w:rPr>
                <w:color w:val="000000"/>
              </w:rPr>
            </w:pPr>
            <w:r>
              <w:rPr>
                <w:color w:val="000000"/>
              </w:rPr>
              <w:t>无毒，运行、管理无危险性。</w:t>
            </w:r>
          </w:p>
        </w:tc>
        <w:tc>
          <w:tcPr>
            <w:tcW w:w="3468" w:type="dxa"/>
            <w:vAlign w:val="center"/>
          </w:tcPr>
          <w:p>
            <w:pPr>
              <w:adjustRightInd w:val="0"/>
              <w:snapToGrid w:val="0"/>
              <w:spacing w:line="276" w:lineRule="auto"/>
              <w:jc w:val="center"/>
              <w:rPr>
                <w:color w:val="000000"/>
              </w:rPr>
            </w:pPr>
            <w:r>
              <w:rPr>
                <w:color w:val="000000"/>
              </w:rPr>
              <w:t>产生具致癌、致畸作用的有机氯化物</w:t>
            </w:r>
          </w:p>
          <w:p>
            <w:pPr>
              <w:adjustRightInd w:val="0"/>
              <w:snapToGrid w:val="0"/>
              <w:spacing w:line="276" w:lineRule="auto"/>
              <w:jc w:val="center"/>
              <w:rPr>
                <w:color w:val="000000"/>
              </w:rPr>
            </w:pPr>
            <w:r>
              <w:rPr>
                <w:color w:val="000000"/>
              </w:rPr>
              <w:t>(THMs)；使水的pH值升高。</w:t>
            </w:r>
          </w:p>
        </w:tc>
        <w:tc>
          <w:tcPr>
            <w:tcW w:w="1372" w:type="dxa"/>
            <w:vAlign w:val="center"/>
          </w:tcPr>
          <w:p>
            <w:pPr>
              <w:adjustRightInd w:val="0"/>
              <w:snapToGrid w:val="0"/>
              <w:spacing w:line="276" w:lineRule="auto"/>
              <w:jc w:val="center"/>
              <w:rPr>
                <w:color w:val="000000"/>
              </w:rPr>
            </w:pPr>
            <w:r>
              <w:rPr>
                <w:color w:val="000000"/>
              </w:rPr>
              <w:t>与Cl2杀菌效 果相同。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83" w:type="dxa"/>
            <w:vAlign w:val="center"/>
          </w:tcPr>
          <w:p>
            <w:pPr>
              <w:adjustRightInd w:val="0"/>
              <w:snapToGrid w:val="0"/>
              <w:spacing w:line="276" w:lineRule="auto"/>
              <w:jc w:val="center"/>
              <w:rPr>
                <w:color w:val="000000"/>
              </w:rPr>
            </w:pPr>
            <w:r>
              <w:rPr>
                <w:color w:val="000000"/>
              </w:rPr>
              <w:t>二氧化氯</w:t>
            </w:r>
          </w:p>
          <w:p>
            <w:pPr>
              <w:adjustRightInd w:val="0"/>
              <w:snapToGrid w:val="0"/>
              <w:spacing w:line="276" w:lineRule="auto"/>
              <w:jc w:val="center"/>
              <w:rPr>
                <w:color w:val="000000"/>
              </w:rPr>
            </w:pPr>
            <w:r>
              <w:rPr>
                <w:color w:val="000000"/>
              </w:rPr>
              <w:t>ClO2</w:t>
            </w:r>
          </w:p>
        </w:tc>
        <w:tc>
          <w:tcPr>
            <w:tcW w:w="2866" w:type="dxa"/>
            <w:vAlign w:val="center"/>
          </w:tcPr>
          <w:p>
            <w:pPr>
              <w:adjustRightInd w:val="0"/>
              <w:snapToGrid w:val="0"/>
              <w:spacing w:line="276" w:lineRule="auto"/>
              <w:jc w:val="center"/>
              <w:rPr>
                <w:color w:val="000000"/>
              </w:rPr>
            </w:pPr>
            <w:r>
              <w:rPr>
                <w:color w:val="000000"/>
              </w:rPr>
              <w:t>具有强烈的氧化作用，不产生</w:t>
            </w:r>
          </w:p>
          <w:p>
            <w:pPr>
              <w:adjustRightInd w:val="0"/>
              <w:snapToGrid w:val="0"/>
              <w:spacing w:line="276" w:lineRule="auto"/>
              <w:jc w:val="center"/>
              <w:rPr>
                <w:color w:val="000000"/>
              </w:rPr>
            </w:pPr>
            <w:r>
              <w:rPr>
                <w:color w:val="000000"/>
              </w:rPr>
              <w:t>有机氯化物(THMs)；投放简单 方便；不受pH影响。</w:t>
            </w:r>
          </w:p>
        </w:tc>
        <w:tc>
          <w:tcPr>
            <w:tcW w:w="3468" w:type="dxa"/>
            <w:vAlign w:val="center"/>
          </w:tcPr>
          <w:p>
            <w:pPr>
              <w:adjustRightInd w:val="0"/>
              <w:snapToGrid w:val="0"/>
              <w:spacing w:line="276" w:lineRule="auto"/>
              <w:jc w:val="center"/>
              <w:rPr>
                <w:color w:val="000000"/>
              </w:rPr>
            </w:pPr>
            <w:r>
              <w:rPr>
                <w:color w:val="000000"/>
              </w:rPr>
              <w:t>ClO2运行、管理有一定的危险性；只能就地生产，就地使用；制取设备复</w:t>
            </w:r>
          </w:p>
          <w:p>
            <w:pPr>
              <w:adjustRightInd w:val="0"/>
              <w:snapToGrid w:val="0"/>
              <w:spacing w:line="276" w:lineRule="auto"/>
              <w:jc w:val="center"/>
              <w:rPr>
                <w:color w:val="000000"/>
              </w:rPr>
            </w:pPr>
            <w:r>
              <w:rPr>
                <w:color w:val="000000"/>
              </w:rPr>
              <w:t>杂；操作管理要求高。</w:t>
            </w:r>
          </w:p>
        </w:tc>
        <w:tc>
          <w:tcPr>
            <w:tcW w:w="1372" w:type="dxa"/>
            <w:vAlign w:val="center"/>
          </w:tcPr>
          <w:p>
            <w:pPr>
              <w:adjustRightInd w:val="0"/>
              <w:snapToGrid w:val="0"/>
              <w:spacing w:line="276" w:lineRule="auto"/>
              <w:jc w:val="center"/>
              <w:rPr>
                <w:color w:val="000000"/>
              </w:rPr>
            </w:pPr>
            <w:r>
              <w:rPr>
                <w:color w:val="000000"/>
              </w:rPr>
              <w:t>较Cl2杀菌效 果好。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83" w:type="dxa"/>
            <w:vAlign w:val="center"/>
          </w:tcPr>
          <w:p>
            <w:pPr>
              <w:adjustRightInd w:val="0"/>
              <w:snapToGrid w:val="0"/>
              <w:spacing w:line="276" w:lineRule="auto"/>
              <w:jc w:val="center"/>
              <w:rPr>
                <w:color w:val="000000"/>
              </w:rPr>
            </w:pPr>
            <w:r>
              <w:rPr>
                <w:color w:val="000000"/>
              </w:rPr>
              <w:t>臭氧O3</w:t>
            </w:r>
          </w:p>
        </w:tc>
        <w:tc>
          <w:tcPr>
            <w:tcW w:w="2866" w:type="dxa"/>
            <w:vAlign w:val="center"/>
          </w:tcPr>
          <w:p>
            <w:pPr>
              <w:adjustRightInd w:val="0"/>
              <w:snapToGrid w:val="0"/>
              <w:spacing w:line="276" w:lineRule="auto"/>
              <w:jc w:val="center"/>
              <w:rPr>
                <w:color w:val="000000"/>
              </w:rPr>
            </w:pPr>
            <w:r>
              <w:rPr>
                <w:color w:val="000000"/>
              </w:rPr>
              <w:t>有强氧化能力，接触时间短；</w:t>
            </w:r>
          </w:p>
          <w:p>
            <w:pPr>
              <w:adjustRightInd w:val="0"/>
              <w:snapToGrid w:val="0"/>
              <w:spacing w:line="276" w:lineRule="auto"/>
              <w:jc w:val="center"/>
              <w:rPr>
                <w:color w:val="000000"/>
              </w:rPr>
            </w:pPr>
            <w:r>
              <w:rPr>
                <w:color w:val="000000"/>
              </w:rPr>
              <w:t>不产生有机氯化物；不受pH影 响；能增加水中溶解氧。</w:t>
            </w:r>
          </w:p>
        </w:tc>
        <w:tc>
          <w:tcPr>
            <w:tcW w:w="3468" w:type="dxa"/>
            <w:vAlign w:val="center"/>
          </w:tcPr>
          <w:p>
            <w:pPr>
              <w:adjustRightInd w:val="0"/>
              <w:snapToGrid w:val="0"/>
              <w:spacing w:line="276" w:lineRule="auto"/>
              <w:jc w:val="center"/>
              <w:rPr>
                <w:color w:val="000000"/>
              </w:rPr>
            </w:pPr>
            <w:r>
              <w:rPr>
                <w:color w:val="000000"/>
              </w:rPr>
              <w:t>臭氧运行、管理有一定的危险性；操作复杂；制取臭氧的产率低；电能消耗大；基建投资较大；运行成本高。</w:t>
            </w:r>
          </w:p>
        </w:tc>
        <w:tc>
          <w:tcPr>
            <w:tcW w:w="1372" w:type="dxa"/>
            <w:vAlign w:val="center"/>
          </w:tcPr>
          <w:p>
            <w:pPr>
              <w:adjustRightInd w:val="0"/>
              <w:snapToGrid w:val="0"/>
              <w:spacing w:line="276" w:lineRule="auto"/>
              <w:jc w:val="center"/>
              <w:rPr>
                <w:color w:val="000000"/>
              </w:rPr>
            </w:pPr>
            <w:r>
              <w:rPr>
                <w:color w:val="000000"/>
              </w:rPr>
              <w:t>杀菌和杀灭</w:t>
            </w:r>
          </w:p>
          <w:p>
            <w:pPr>
              <w:adjustRightInd w:val="0"/>
              <w:snapToGrid w:val="0"/>
              <w:spacing w:line="276" w:lineRule="auto"/>
              <w:jc w:val="center"/>
              <w:rPr>
                <w:color w:val="000000"/>
              </w:rPr>
            </w:pPr>
            <w:r>
              <w:rPr>
                <w:color w:val="000000"/>
              </w:rPr>
              <w:t>病毒的效果均很好。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083" w:type="dxa"/>
            <w:vAlign w:val="center"/>
          </w:tcPr>
          <w:p>
            <w:pPr>
              <w:adjustRightInd w:val="0"/>
              <w:snapToGrid w:val="0"/>
              <w:spacing w:line="276" w:lineRule="auto"/>
              <w:jc w:val="center"/>
              <w:rPr>
                <w:color w:val="000000"/>
              </w:rPr>
            </w:pPr>
            <w:r>
              <w:rPr>
                <w:color w:val="000000"/>
              </w:rPr>
              <w:t>紫外线</w:t>
            </w:r>
          </w:p>
        </w:tc>
        <w:tc>
          <w:tcPr>
            <w:tcW w:w="2866" w:type="dxa"/>
            <w:vAlign w:val="center"/>
          </w:tcPr>
          <w:p>
            <w:pPr>
              <w:adjustRightInd w:val="0"/>
              <w:snapToGrid w:val="0"/>
              <w:spacing w:line="276" w:lineRule="auto"/>
              <w:jc w:val="center"/>
              <w:rPr>
                <w:color w:val="000000"/>
              </w:rPr>
            </w:pPr>
            <w:r>
              <w:rPr>
                <w:color w:val="000000"/>
              </w:rPr>
              <w:t>无有害的残余物质；无臭味；</w:t>
            </w:r>
          </w:p>
          <w:p>
            <w:pPr>
              <w:adjustRightInd w:val="0"/>
              <w:snapToGrid w:val="0"/>
              <w:spacing w:line="276" w:lineRule="auto"/>
              <w:jc w:val="center"/>
              <w:rPr>
                <w:color w:val="000000"/>
              </w:rPr>
            </w:pPr>
            <w:r>
              <w:rPr>
                <w:color w:val="000000"/>
              </w:rPr>
              <w:t>操作简单，易实现自动化；运 行管理和维修费用低。</w:t>
            </w:r>
          </w:p>
        </w:tc>
        <w:tc>
          <w:tcPr>
            <w:tcW w:w="3468" w:type="dxa"/>
            <w:vAlign w:val="center"/>
          </w:tcPr>
          <w:p>
            <w:pPr>
              <w:adjustRightInd w:val="0"/>
              <w:snapToGrid w:val="0"/>
              <w:spacing w:line="276" w:lineRule="auto"/>
              <w:jc w:val="center"/>
              <w:rPr>
                <w:color w:val="000000"/>
              </w:rPr>
            </w:pPr>
            <w:r>
              <w:rPr>
                <w:color w:val="000000"/>
              </w:rPr>
              <w:t>电耗大；紫外灯管与石英套管需定期</w:t>
            </w:r>
          </w:p>
          <w:p>
            <w:pPr>
              <w:adjustRightInd w:val="0"/>
              <w:snapToGrid w:val="0"/>
              <w:spacing w:line="276" w:lineRule="auto"/>
              <w:jc w:val="center"/>
              <w:rPr>
                <w:color w:val="000000"/>
              </w:rPr>
            </w:pPr>
            <w:r>
              <w:rPr>
                <w:color w:val="000000"/>
              </w:rPr>
              <w:t>更换；对处理水的水质要求较高；无 后续杀菌作用。</w:t>
            </w:r>
          </w:p>
        </w:tc>
        <w:tc>
          <w:tcPr>
            <w:tcW w:w="1372" w:type="dxa"/>
            <w:vAlign w:val="center"/>
          </w:tcPr>
          <w:p>
            <w:pPr>
              <w:adjustRightInd w:val="0"/>
              <w:snapToGrid w:val="0"/>
              <w:spacing w:line="276" w:lineRule="auto"/>
              <w:jc w:val="center"/>
              <w:rPr>
                <w:color w:val="000000"/>
              </w:rPr>
            </w:pPr>
            <w:r>
              <w:rPr>
                <w:color w:val="000000"/>
              </w:rPr>
              <w:t>效果好，但对</w:t>
            </w:r>
          </w:p>
          <w:p>
            <w:pPr>
              <w:adjustRightInd w:val="0"/>
              <w:snapToGrid w:val="0"/>
              <w:spacing w:line="276" w:lineRule="auto"/>
              <w:jc w:val="center"/>
              <w:rPr>
                <w:color w:val="000000"/>
              </w:rPr>
            </w:pPr>
            <w:r>
              <w:rPr>
                <w:color w:val="000000"/>
              </w:rPr>
              <w:t>悬浮物浓度 有要求。</w:t>
            </w:r>
          </w:p>
        </w:tc>
      </w:tr>
    </w:tbl>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项目采用二氧化氯发生器对医疗废水进行消毒。医院污水除一般城市生活污水污染物外，医院污水中还含有一些特殊的物质，如药物、消毒剂、诊断用剂，血等。医院污水是一种复杂的体系，采用常规消毒处理方法很难达到满意的效果。二氧化氯具有强的氧化能力，可以快速杀死大部分细菌、病毒等，另外还可降低生化耗氧量BOD</w:t>
      </w:r>
      <w:r>
        <w:rPr>
          <w:rFonts w:eastAsiaTheme="minorEastAsia"/>
          <w:bCs/>
          <w:sz w:val="24"/>
          <w:vertAlign w:val="subscript"/>
        </w:rPr>
        <w:t>5</w:t>
      </w:r>
      <w:r>
        <w:rPr>
          <w:rFonts w:eastAsiaTheme="minorEastAsia"/>
          <w:bCs/>
          <w:sz w:val="24"/>
        </w:rPr>
        <w:t>和化学耗氧量COD、去除亚硝酸盐和脱色、除臭等。故本项目使用二氧化氯发生器消毒工艺可行。</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8.2.4 污水处理站的选址合理性分析</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为防止医院污水输送过程中的污染与危害，在医院必须就地处理。由于本医院构筑物较多且分散，污水处理站的位置选择应满足各构筑物外排污水方便进入污水处理站的要求。本项目污水处理站建于项目地西侧，原理住院部楼及员工宿舍区，避免了污水处理过程的影响；此外，污水处理站拟建地点地势相对较低，便于院内废水进行收集。污水处理站靠近西侧建新路市政污水管网，处理后的污水便于排放。因此本项目污水处理站选址较为合理。</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8.2.5 污水处理站工艺方案</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1、污水处理工艺选择</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由于区域经济的差异，不同地方对环境保护的要求也有一定的差别，医院污水可以采用一级处理或二级生化处理。一级处理为消毒处理，投加ClO</w:t>
      </w:r>
      <w:r>
        <w:rPr>
          <w:rFonts w:eastAsiaTheme="minorEastAsia"/>
          <w:bCs/>
          <w:sz w:val="24"/>
          <w:vertAlign w:val="subscript"/>
        </w:rPr>
        <w:t>2</w:t>
      </w:r>
      <w:r>
        <w:rPr>
          <w:rFonts w:eastAsiaTheme="minorEastAsia"/>
          <w:bCs/>
          <w:sz w:val="24"/>
        </w:rPr>
        <w:t>、NaClO等杀灭粪大肠菌群等致病微生物、病毒，主要控制指标为粪大肠菌群，适用于环保要求不高的医院污水处理；二级处理为生化处理+消毒处理，利用微生物的新陈代谢作用降解污水中BOD</w:t>
      </w:r>
      <w:r>
        <w:rPr>
          <w:rFonts w:eastAsiaTheme="minorEastAsia"/>
          <w:bCs/>
          <w:sz w:val="24"/>
          <w:vertAlign w:val="subscript"/>
        </w:rPr>
        <w:t>5</w:t>
      </w:r>
      <w:r>
        <w:rPr>
          <w:rFonts w:eastAsiaTheme="minorEastAsia"/>
          <w:bCs/>
          <w:sz w:val="24"/>
        </w:rPr>
        <w:t>、COD等污染物，然后投加ClO</w:t>
      </w:r>
      <w:r>
        <w:rPr>
          <w:rFonts w:eastAsiaTheme="minorEastAsia"/>
          <w:bCs/>
          <w:sz w:val="24"/>
          <w:vertAlign w:val="subscript"/>
        </w:rPr>
        <w:t>2</w:t>
      </w:r>
      <w:r>
        <w:rPr>
          <w:rFonts w:eastAsiaTheme="minorEastAsia"/>
          <w:bCs/>
          <w:sz w:val="24"/>
        </w:rPr>
        <w:t>消毒、灭菌，主要控制指标为BOD</w:t>
      </w:r>
      <w:r>
        <w:rPr>
          <w:rFonts w:eastAsiaTheme="minorEastAsia"/>
          <w:bCs/>
          <w:sz w:val="24"/>
          <w:vertAlign w:val="subscript"/>
        </w:rPr>
        <w:t>5</w:t>
      </w:r>
      <w:r>
        <w:rPr>
          <w:rFonts w:eastAsiaTheme="minorEastAsia"/>
          <w:bCs/>
          <w:sz w:val="24"/>
        </w:rPr>
        <w:t>、COD、SS、NH</w:t>
      </w:r>
      <w:r>
        <w:rPr>
          <w:rFonts w:eastAsiaTheme="minorEastAsia"/>
          <w:bCs/>
          <w:sz w:val="24"/>
          <w:vertAlign w:val="subscript"/>
        </w:rPr>
        <w:t>3</w:t>
      </w:r>
      <w:r>
        <w:rPr>
          <w:rFonts w:eastAsiaTheme="minorEastAsia"/>
          <w:bCs/>
          <w:sz w:val="24"/>
        </w:rPr>
        <w:t>-N粪大肠菌群等，使污水出水指标完全达到国家排放标准。</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为了保证排水达标，本方案采用前置水解酸化法即厌氧—好氧处理工艺，厌氧工艺可以在短的停留时间和相对高的水力负荷下获得较高的悬浮物去除率，同时改善、提高污水的可生化性，以利于后续好氧的处理工艺。污水经过水解酸化池BOD</w:t>
      </w:r>
      <w:r>
        <w:rPr>
          <w:rFonts w:eastAsiaTheme="minorEastAsia"/>
          <w:bCs/>
          <w:sz w:val="24"/>
          <w:vertAlign w:val="subscript"/>
        </w:rPr>
        <w:t>5</w:t>
      </w:r>
      <w:r>
        <w:rPr>
          <w:rFonts w:eastAsiaTheme="minorEastAsia"/>
          <w:bCs/>
          <w:sz w:val="24"/>
        </w:rPr>
        <w:t>去除率可达35%、COD去除率达40%，SS去除率达70%以上，同时该工艺对氨氮有很好的去除效果，污水中的可溶性有机氮经过硝化菌（好氧菌）的消化作用，反硝化菌（厌氧菌）的反硝化作用转化为氮气。</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好氧段采用生物接触氧化法，将传统的生物接触氧化池分为二段：第一段充分利用微生物处于对数增长期的吸附特性，以低能耗、高负荷、快速的生物吸附和合成为主，能够去除污水中70%～80%的有机物，称为吸附合成期；第二段好氧在低负荷下利用微生物的氧化分解作用，对污水中残留的有机物进行氧化分解，以进一步改善出水水质，称为氧化分解阶段。由于进行了分段，可充分发挥同类微生物种群间的协同作用，克服不同微生物种群间的拮抗作用，故处理效率大大提高。</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本处理工艺既节省了占地和土建费用，又能方便操作管理和运行维护，并能减少水头损失，使厂区总体布局合理、工艺流程简洁流畅。</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消毒设备选用化学法二氧化氯发生器，该设备由反应系统、吸收系统、供给系统和控制系统组成，结构合理，操作安全方便。发生物中ClO</w:t>
      </w:r>
      <w:r>
        <w:rPr>
          <w:rFonts w:eastAsiaTheme="minorEastAsia"/>
          <w:bCs/>
          <w:sz w:val="24"/>
          <w:vertAlign w:val="subscript"/>
        </w:rPr>
        <w:t>2</w:t>
      </w:r>
      <w:r>
        <w:rPr>
          <w:rFonts w:eastAsiaTheme="minorEastAsia"/>
          <w:bCs/>
          <w:sz w:val="24"/>
        </w:rPr>
        <w:t>达到70%以上，维护简便、故障率低，在省内外各地医院的污水处理工程中被应用并得到很好的处理效果。根据《医院污水处理工程技术规范》（HJ2029-2013），接触消毒池的容积应满足接触时间和污泥沉积的要求，非传染病医院污水接触消毒时间不宜小于1.0h。</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综上所述：本项目自建污水处理站采用“水解酸化＋接触氧化+沉淀+二氧化氯消毒”的二级污水处理工艺，该污水处理工艺较成熟，运行稳定，符合《医院污水处理工程技术规范》（HJ2029-2013）的对医院污水处理的技术要求。</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2、废水处理工艺流程</w:t>
      </w:r>
    </w:p>
    <w:p>
      <w:pPr>
        <w:widowControl/>
        <w:shd w:val="clear" w:color="auto" w:fill="FFFFFF"/>
        <w:snapToGrid w:val="0"/>
        <w:jc w:val="center"/>
        <w:rPr>
          <w:rFonts w:eastAsia="等线"/>
          <w:b/>
          <w:color w:val="FF0000"/>
          <w:szCs w:val="21"/>
        </w:rPr>
      </w:pPr>
      <w:r>
        <w:rPr>
          <w:rFonts w:eastAsia="等线"/>
          <w:b/>
          <w:color w:val="FF0000"/>
          <w:szCs w:val="21"/>
        </w:rPr>
        <w:pict>
          <v:group id="画布 14" o:spid="_x0000_s1295" o:spt="203" style="height:453.5pt;width:415.15pt;" coordorigin="1800,1635" coordsize="8303,9070" editas="canvas">
            <o:lock v:ext="edit"/>
            <v:shape id="画布 14" o:spid="_x0000_s1296" o:spt="75" type="#_x0000_t75" style="position:absolute;left:1800;top:1635;height:9070;width:8303;" filled="f" o:preferrelative="f" stroked="t" coordsize="21600,21600">
              <v:fill on="f" focussize="0,0"/>
              <v:stroke color="#000000" joinstyle="miter"/>
              <v:imagedata o:title=""/>
              <o:lock v:ext="edit" aspectratio="t"/>
            </v:shape>
            <v:shape id="文本框 15" o:spid="_x0000_s1297" o:spt="202" type="#_x0000_t202" style="position:absolute;left:4763;top:4017;height:424;width:3411;"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化粪池</w:t>
                    </w:r>
                  </w:p>
                </w:txbxContent>
              </v:textbox>
            </v:shape>
            <v:shape id="直接箭头连接符 17" o:spid="_x0000_s1298" o:spt="32" type="#_x0000_t32" style="position:absolute;left:5937;top:3526;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hSsAAAADbAAAADwAAAGRycy9kb3ducmV2LnhtbERPTWsCMRC9C/6HMIXe3KyFVlmNooVi&#10;T0JV6HWajJulm8mSpOvaX28KBW/zeJ+zXA+uFT2F2HhWMC1KEMTam4ZrBafj22QOIiZkg61nUnCl&#10;COvVeLTEyvgLf1B/SLXIIRwrVGBT6iopo7bkMBa+I87c2QeHKcNQSxPwksNdK5/K8kU6bDg3WOzo&#10;1ZL+Pvw4Bfy128nttNdpeNaf13YfNvY3KPX4MGwWIBIN6S7+d7+bPH8Gf7/kA+Tq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RYUrAAAAA2wAAAA8AAAAAAAAAAAAAAAAA&#10;oQIAAGRycy9kb3ducmV2LnhtbFBLBQYAAAAABAAEAPkAAACOAwAAAAA=&#10;">
              <v:path arrowok="t"/>
              <v:fill on="f" focussize="0,0"/>
              <v:stroke color="#000000" startarrow="block"/>
              <v:imagedata o:title=""/>
              <o:lock v:ext="edit"/>
            </v:shape>
            <v:shape id="文本框 25" o:spid="_x0000_s1299" o:spt="202" type="#_x0000_t202" style="position:absolute;left:5513;top:2868;height:761;width:75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碱式氯化</w:t>
                    </w:r>
                  </w:p>
                </w:txbxContent>
              </v:textbox>
            </v:shape>
            <v:shape id="直接箭头连接符 275" o:spid="_x0000_s1300" o:spt="32" type="#_x0000_t32" style="position:absolute;left:5929;top:2368;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QBIcMAAADcAAAADwAAAGRycy9kb3ducmV2LnhtbESPQWsCMRSE74X+h/AK3mpWQSurUWxB&#10;9FSoCl6fyXOzdPOyJOm6+usbodDjMDPfMItV7xrRUYi1ZwWjYQGCWHtTc6XgeNi8zkDEhGyw8UwK&#10;bhRhtXx+WmBp/JW/qNunSmQIxxIV2JTaUsqoLTmMQ98SZ+/ig8OUZaikCXjNcNfIcVFMpcOa84LF&#10;lj4s6e/9j1PA5+1Wvo86nfqJPt2az7C296DU4KVfz0Ek6tN/+K+9MwrGbxN4nM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kASHDAAAA3AAAAA8AAAAAAAAAAAAA&#10;AAAAoQIAAGRycy9kb3ducmV2LnhtbFBLBQYAAAAABAAEAPkAAACRAwAAAAA=&#10;">
              <v:path arrowok="t"/>
              <v:fill on="f" focussize="0,0"/>
              <v:stroke color="#000000" startarrow="block"/>
              <v:imagedata o:title=""/>
              <o:lock v:ext="edit"/>
            </v:shape>
            <v:shape id="_x0000_s1301" o:spid="_x0000_s1301" o:spt="202" type="#_x0000_t202" style="position:absolute;left:5361;top:1886;height:699;width:116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检验科含氰废水</w:t>
                    </w:r>
                  </w:p>
                </w:txbxContent>
              </v:textbox>
            </v:shape>
            <v:shape id="直接箭头连接符 279" o:spid="_x0000_s1302" o:spt="32" type="#_x0000_t32" style="position:absolute;left:4863;top:3535;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LJMMAAADcAAAADwAAAGRycy9kb3ducmV2LnhtbESPQWsCMRSE74L/IbxCb5pVaLVbo2ih&#10;2JOgFnp9TV43SzcvS5Kua3+9EQSPw8x8wyxWvWtERyHWnhVMxgUIYu1NzZWCz+P7aA4iJmSDjWdS&#10;cKYIq+VwsMDS+BPvqTukSmQIxxIV2JTaUsqoLTmMY98SZ+/HB4cpy1BJE/CU4a6R06J4lg5rzgsW&#10;W3qzpH8Pf04Bf2+3cjPpdOqf9Ne52YW1/Q9KPT7061cQifp0D9/aH0bBdPYC1zP5CM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CyTDAAAA3AAAAA8AAAAAAAAAAAAA&#10;AAAAoQIAAGRycy9kb3ducmV2LnhtbFBLBQYAAAAABAAEAPkAAACRAwAAAAA=&#10;">
              <v:path arrowok="t"/>
              <v:fill on="f" focussize="0,0"/>
              <v:stroke color="#000000" startarrow="block"/>
              <v:imagedata o:title=""/>
              <o:lock v:ext="edit"/>
            </v:shape>
            <v:shape id="文本框 280" o:spid="_x0000_s1303" o:spt="202" type="#_x0000_t202" style="position:absolute;left:4472;top:2868;height:706;width:75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td78A&#10;AADcAAAADwAAAGRycy9kb3ducmV2LnhtbERPTWsCMRC9F/wPYYTealYPZbs1ShWVgqeq9DxsxiR0&#10;M1mSuG7/fXMoeHy87+V69J0YKCYXWMF8VoEgboN2bBRczvuXGkTKyBq7wKTglxKsV5OnJTY63PmL&#10;hlM2ooRwalCBzblvpEytJY9pFnriwl1D9JgLjEbqiPcS7ju5qKpX6dFxabDY09ZS+3O6eQW7jXkz&#10;bY3R7mrt3DB+X4/moNTzdPx4B5FpzA/xv/tTK1jUZX4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8e13vwAAANwAAAAPAAAAAAAAAAAAAAAAAJgCAABkcnMvZG93bnJl&#10;di54bWxQSwUGAAAAAAQABAD1AAAAhAM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酸碱中和</w:t>
                    </w:r>
                  </w:p>
                </w:txbxContent>
              </v:textbox>
            </v:shape>
            <v:shape id="直接箭头连接符 283" o:spid="_x0000_s1304" o:spt="32" type="#_x0000_t32" style="position:absolute;left:4855;top:2377;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M6cMAAADcAAAADwAAAGRycy9kb3ducmV2LnhtbESPT2sCMRTE7wW/Q3iCt5pVscjWKCoU&#10;eyr4B7y+Jq+bpZuXJUnXtZ++EYQeh5n5DbNc964RHYVYe1YwGRcgiLU3NVcKzqe35wWImJANNp5J&#10;wY0irFeDpyWWxl/5QN0xVSJDOJaowKbUllJGbclhHPuWOHtfPjhMWYZKmoDXDHeNnBbFi3RYc16w&#10;2NLOkv4+/jgF/Lnfy+2k06mf68ut+Qgb+xuUGg37zSuIRH36Dz/a70bBdDGD+5l8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UTOnDAAAA3AAAAA8AAAAAAAAAAAAA&#10;AAAAoQIAAGRycy9kb3ducmV2LnhtbFBLBQYAAAAABAAEAPkAAACRAwAAAAA=&#10;">
              <v:path arrowok="t"/>
              <v:fill on="f" focussize="0,0"/>
              <v:stroke color="#000000" startarrow="block"/>
              <v:imagedata o:title=""/>
              <o:lock v:ext="edit"/>
            </v:shape>
            <v:shape id="文本框 284" o:spid="_x0000_s1305" o:spt="202" type="#_x0000_t202" style="position:absolute;left:4165;top:1891;height:708;width:1289;"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uJscA&#10;AADcAAAADwAAAGRycy9kb3ducmV2LnhtbESPT2vCQBTE74V+h+UVeqsbQ1tCdCMSkEppD2ou3p7Z&#10;lz+YfZtmV0399G6h4HGYmd8w88VoOnGmwbWWFUwnEQji0uqWawXFbvWSgHAeWWNnmRT8koNF9vgw&#10;x1TbC2/ovPW1CBB2KSpovO9TKV3ZkEE3sT1x8Co7GPRBDrXUA14C3HQyjqJ3abDlsNBgT3lD5XF7&#10;Mgo+89U3bg6xSa5d/vFVLfufYv+m1PPTuJyB8DT6e/i/vdYK4uQV/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ZbibHAAAA3AAAAA8AAAAAAAAAAAAAAAAAmAIAAGRy&#10;cy9kb3ducmV2LnhtbFBLBQYAAAAABAAEAPUAAACMAw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检验科酸碱废水</w:t>
                    </w:r>
                  </w:p>
                </w:txbxContent>
              </v:textbox>
            </v:shape>
            <v:shape id="直接箭头连接符 285" o:spid="_x0000_s1306" o:spt="32" type="#_x0000_t32" style="position:absolute;left:6978;top:3543;flip:y;height:49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xBsMAAADcAAAADwAAAGRycy9kb3ducmV2LnhtbESPT2sCMRTE70K/Q3iF3jSroMhqFFso&#10;eir4B3p9TZ6bpZuXJYnr2k/fCILHYWZ+wyzXvWtERyHWnhWMRwUIYu1NzZWC0/FzOAcRE7LBxjMp&#10;uFGE9eplsMTS+CvvqTukSmQIxxIV2JTaUsqoLTmMI98SZ+/sg8OUZaikCXjNcNfISVHMpMOa84LF&#10;lj4s6d/DxSngn+1Wvo87nfqp/r41X2Fj/4JSb6/9ZgEiUZ+e4Ud7ZxRM5lO4n8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xcQbDAAAA3AAAAA8AAAAAAAAAAAAA&#10;AAAAoQIAAGRycy9kb3ducmV2LnhtbFBLBQYAAAAABAAEAPkAAACRAwAAAAA=&#10;">
              <v:path arrowok="t"/>
              <v:fill on="f" focussize="0,0"/>
              <v:stroke color="#000000" startarrow="block"/>
              <v:imagedata o:title=""/>
              <o:lock v:ext="edit"/>
            </v:shape>
            <v:shape id="文本框 286" o:spid="_x0000_s1307" o:spt="202" type="#_x0000_t202" style="position:absolute;left:6499;top:2877;height:728;width:982;"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QmMIA&#10;AADcAAAADwAAAGRycy9kb3ducmV2LnhtbESPQWsCMRSE74X+h/AKvdWsHmS7GkWLLYWequL5sXkm&#10;wc3LkqTr9t83BcHjMDPfMMv16DsxUEwusILppAJB3Abt2Cg4Ht5fahApI2vsApOCX0qwXj0+LLHR&#10;4crfNOyzEQXCqUEFNue+kTK1ljymSeiJi3cO0WMuMhqpI14L3HdyVlVz6dFxWbDY05ul9rL/8Qp2&#10;W/Nq2hqj3dXauWE8nb/Mh1LPT+NmASLTmO/hW/tTK5jVc/g/U4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NCYwgAAANwAAAAPAAAAAAAAAAAAAAAAAJgCAABkcnMvZG93&#10;bnJldi54bWxQSwUGAAAAAAQABAD1AAAAhwM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次氯酸钠消毒</w:t>
                    </w:r>
                  </w:p>
                </w:txbxContent>
              </v:textbox>
            </v:shape>
            <v:shape id="直接箭头连接符 287" o:spid="_x0000_s1308" o:spt="32" type="#_x0000_t32" style="position:absolute;left:6970;top:2386;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6sMAAADcAAAADwAAAGRycy9kb3ducmV2LnhtbESPT2sCMRTE7wW/Q3iCt5pV0MrWKCoU&#10;eyr4B7y+Jq+bpZuXJUnXtZ++EYQeh5n5DbNc964RHYVYe1YwGRcgiLU3NVcKzqe35wWImJANNp5J&#10;wY0irFeDpyWWxl/5QN0xVSJDOJaowKbUllJGbclhHPuWOHtfPjhMWYZKmoDXDHeNnBbFXDqsOS9Y&#10;bGlnSX8ff5wC/tzv5XbS6dTP9OXWfISN/Q1KjYb95hVEoj79hx/td6NguniB+5l8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vSurDAAAA3AAAAA8AAAAAAAAAAAAA&#10;AAAAoQIAAGRycy9kb3ducmV2LnhtbFBLBQYAAAAABAAEAPkAAACRAwAAAAA=&#10;">
              <v:path arrowok="t"/>
              <v:fill on="f" focussize="0,0"/>
              <v:stroke color="#000000" startarrow="block"/>
              <v:imagedata o:title=""/>
              <o:lock v:ext="edit"/>
            </v:shape>
            <v:shape id="文本框 288" o:spid="_x0000_s1309" o:spt="202" type="#_x0000_t202" style="position:absolute;left:6403;top:1635;height:992;width:1165;"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检验科生化标本清洗废水</w:t>
                    </w:r>
                  </w:p>
                </w:txbxContent>
              </v:textbox>
            </v:shape>
            <v:shape id="直接箭头连接符 26" o:spid="_x0000_s1310" o:spt="32" type="#_x0000_t32" style="position:absolute;left:4039;top:4233;height:0;width:725;"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xcQAAADbAAAADwAAAGRycy9kb3ducmV2LnhtbESPQWsCMRSE7wX/Q3iCt5rVg5TVKFUp&#10;FE92bZHeHpvXzdbNy5rE3fXfN4VCj8PMfMOsNoNtREc+1I4VzKYZCOLS6ZorBe+nl8cnECEia2wc&#10;k4I7BdisRw8rzLXr+Y26IlYiQTjkqMDE2OZShtKQxTB1LXHyvpy3GJP0ldQe+wS3jZxn2UJarDkt&#10;GGxpZ6i8FDeroOkO/fXj9n01+2N3KnbnT7P1rVKT8fC8BBFpiP/hv/arVjBf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FxAAAANsAAAAPAAAAAAAAAAAA&#10;AAAAAKECAABkcnMvZG93bnJldi54bWxQSwUGAAAAAAQABAD5AAAAkgMAAAAA&#10;">
              <v:path arrowok="t"/>
              <v:fill on="f" focussize="0,0"/>
              <v:stroke color="#000000" endarrow="block"/>
              <v:imagedata o:title=""/>
              <o:lock v:ext="edit"/>
            </v:shape>
            <v:shape id="文本框 289" o:spid="_x0000_s1311" o:spt="202" type="#_x0000_t202" style="position:absolute;left:3064;top:3977;height:522;width:975;"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E6sIA&#10;AADcAAAADwAAAGRycy9kb3ducmV2LnhtbESPQWsCMRSE74X+h/AKvdWsHsq6GkWLSqEnbfH82DyT&#10;4OZlSdJ1+++bQsHjMDPfMMv16DsxUEwusILppAJB3Abt2Cj4+ty/1CBSRtbYBSYFP5RgvXp8WGKj&#10;w42PNJyyEQXCqUEFNue+kTK1ljymSeiJi3cJ0WMuMhqpI94K3HdyVlWv0qPjsmCxpzdL7fX07RXs&#10;tmZu2hqj3dXauWE8Xz7MQannp3GzAJFpzPfwf/tdK5j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0TqwgAAANwAAAAPAAAAAAAAAAAAAAAAAJgCAABkcnMvZG93&#10;bnJldi54bWxQSwUGAAAAAAQABAD1AAAAhwM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隔油池</w:t>
                    </w:r>
                  </w:p>
                </w:txbxContent>
              </v:textbox>
            </v:shape>
            <v:shape id="直接箭头连接符 290" o:spid="_x0000_s1312" o:spt="32" type="#_x0000_t32" style="position:absolute;left:8079;top:3543;flip:y;height:49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9EQ8AAAADcAAAADwAAAGRycy9kb3ducmV2LnhtbERPTWsCMRC9F/wPYYTealbBUlejaEHs&#10;qVAVvI7JuFncTJYkXVd/vTkUeny878Wqd43oKMTas4LxqABBrL2puVJwPGzfPkDEhGyw8UwK7hRh&#10;tRy8LLA0/sY/1O1TJXIIxxIV2JTaUsqoLTmMI98SZ+7ig8OUYaikCXjL4a6Rk6J4lw5rzg0WW/q0&#10;pK/7X6eAz7ud3Iw7nfqpPt2b77C2j6DU67Bfz0Ek6tO/+M/9ZRRMZnl+Pp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fREPAAAAA3AAAAA8AAAAAAAAAAAAAAAAA&#10;oQIAAGRycy9kb3ducmV2LnhtbFBLBQYAAAAABAAEAPkAAACOAwAAAAA=&#10;">
              <v:path arrowok="t"/>
              <v:fill on="f" focussize="0,0"/>
              <v:stroke color="#000000" startarrow="block"/>
              <v:imagedata o:title=""/>
              <o:lock v:ext="edit"/>
            </v:shape>
            <v:shape id="文本框 291" o:spid="_x0000_s1313" o:spt="202" type="#_x0000_t202" style="position:absolute;left:7600;top:2877;height:697;width:982;"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eMcIA&#10;AADcAAAADwAAAGRycy9kb3ducmV2LnhtbESPQWsCMRSE70L/Q3gFb5rVg6xbo7RFReipWnp+bJ5J&#10;6OZlSdJ1++8bodDjMDPfMJvd6DsxUEwusILFvAJB3Abt2Cj4uBxmNYiUkTV2gUnBDyXYbR8mG2x0&#10;uPE7DedsRIFwalCBzblvpEytJY9pHnri4l1D9JiLjEbqiLcC951cVtVKenRcFiz29Gqp/Tp/ewX7&#10;F7M2bY3R7mvt3DB+Xt/MUanp4/j8BCLTmP/Df+2TVrBcL+B+p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4xwgAAANwAAAAPAAAAAAAAAAAAAAAAAJgCAABkcnMvZG93&#10;bnJldi54bWxQSwUGAAAAAAQABAD1AAAAhwM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次氯酸钠消毒</w:t>
                    </w:r>
                  </w:p>
                </w:txbxContent>
              </v:textbox>
            </v:shape>
            <v:shape id="直接箭头连接符 292" o:spid="_x0000_s1314" o:spt="32" type="#_x0000_t32" style="position:absolute;left:8070;top:2386;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r8MAAADcAAAADwAAAGRycy9kb3ducmV2LnhtbESPQWsCMRSE7wX/Q3iCt5p1wVK3RlFB&#10;9FSoLXh9TV43SzcvSxLX1V/fFAo9DjPzDbNcD64VPYXYeFYwmxYgiLU3DdcKPt73j88gYkI22Hom&#10;BTeKsF6NHpZYGX/lN+pPqRYZwrFCBTalrpIyaksO49R3xNn78sFhyjLU0gS8ZrhrZVkUT9Jhw3nB&#10;Ykc7S/r7dHEK+PNwkNtZr9Mw1+db+xo29h6UmoyHzQuIREP6D/+1j0ZBuSjh90w+AnL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Bf6/DAAAA3AAAAA8AAAAAAAAAAAAA&#10;AAAAoQIAAGRycy9kb3ducmV2LnhtbFBLBQYAAAAABAAEAPkAAACRAwAAAAA=&#10;">
              <v:path arrowok="t"/>
              <v:fill on="f" focussize="0,0"/>
              <v:stroke color="#000000" startarrow="block"/>
              <v:imagedata o:title=""/>
              <o:lock v:ext="edit"/>
            </v:shape>
            <v:shape id="文本框 297" o:spid="_x0000_s1315" o:spt="202" type="#_x0000_t202" style="position:absolute;left:7502;top:1854;height:717;width:116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mjMcA&#10;AADcAAAADwAAAGRycy9kb3ducmV2LnhtbESPzWvCQBTE7wX/h+UJ3urGQFuNWUUC0lLswY+Lt2f2&#10;5QOzb2N21dS/vlso9DjMzG+YdNmbRtyoc7VlBZNxBII4t7rmUsFhv36egnAeWWNjmRR8k4PlYvCU&#10;YqLtnbd02/lSBAi7BBVU3reJlC6vyKAb25Y4eIXtDPogu1LqDu8BbhoZR9GrNFhzWKiwpayi/Ly7&#10;GgWf2foLt6fYTB9N9r4pVu3lcHxRajTsV3MQnnr/H/5rf2gF8ewN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ZozHAAAA3AAAAA8AAAAAAAAAAAAAAAAAmAIAAGRy&#10;cy9kb3ducmV2LnhtbFBLBQYAAAAABAAEAPUAAACMAw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口腔科漱口废水</w:t>
                    </w:r>
                  </w:p>
                </w:txbxContent>
              </v:textbox>
            </v:shape>
            <v:shape id="直接箭头连接符 299" o:spid="_x0000_s1316" o:spt="32" type="#_x0000_t32" style="position:absolute;left:2390;top:4238;flip:y;height:4;width:67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BjsYAAADcAAAADwAAAGRycy9kb3ducmV2LnhtbESPQWsCMRSE7wX/Q3hCbzWrh1JXo1il&#10;UHpq1xbx9tg8N2s3L2sSd7f/vikUPA4z8w2zXA+2ER35UDtWMJ1kIIhLp2uuFHzuXx6eQISIrLFx&#10;TAp+KMB6NbpbYq5dzx/UFbESCcIhRwUmxjaXMpSGLIaJa4mTd3LeYkzSV1J77BPcNnKWZY/SYs1p&#10;wWBLW0Pld3G1Cprurb98Xc8Xs3vv9sX2cDTPvlXqfjxsFiAiDfEW/m+/agWz+Rz+zq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1QY7GAAAA3AAAAA8AAAAAAAAA&#10;AAAAAAAAoQIAAGRycy9kb3ducmV2LnhtbFBLBQYAAAAABAAEAPkAAACUAwAAAAA=&#10;">
              <v:path arrowok="t"/>
              <v:fill on="f" focussize="0,0"/>
              <v:stroke color="#000000" endarrow="block"/>
              <v:imagedata o:title=""/>
              <o:lock v:ext="edit"/>
            </v:shape>
            <v:shape id="文本框 301" o:spid="_x0000_s1317" o:spt="202" type="#_x0000_t202" style="position:absolute;left:1800;top:3925;height:708;width:758;"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食堂废水</w:t>
                    </w:r>
                  </w:p>
                </w:txbxContent>
              </v:textbox>
            </v:shape>
            <v:shape id="直接箭头连接符 307" o:spid="_x0000_s1318" o:spt="32" type="#_x0000_t32" style="position:absolute;left:8174;top:4210;height:0;width:72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hrMYAAADcAAAADwAAAGRycy9kb3ducmV2LnhtbESPzWrCQBSF94LvMNxCdzppQ2pNHUWE&#10;toJujAXp7jZzmwQzd0JmTNK3d4SCy8P5+TiL1WBq0VHrKssKnqYRCOLc6ooLBV/H98krCOeRNdaW&#10;ScEfOVgtx6MFptr2fKAu84UII+xSVFB636RSurwkg25qG+Lg/drWoA+yLaRusQ/jppbPUfQiDVYc&#10;CCU2tCkpP2cXE7j0Gc9+vj+6y+aUJHG8n693R63U48OwfgPhafD38H97qxXE0QxuZ8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LoazGAAAA3AAAAA8AAAAAAAAA&#10;AAAAAAAAoQIAAGRycy9kb3ducmV2LnhtbFBLBQYAAAAABAAEAPkAAACUAwAAAAA=&#10;">
              <v:path arrowok="t"/>
              <v:fill on="f" focussize="0,0"/>
              <v:stroke color="#000000" startarrow="block"/>
              <v:imagedata o:title=""/>
              <o:lock v:ext="edit"/>
            </v:shape>
            <v:shape id="文本框 309" o:spid="_x0000_s1319" o:spt="202" type="#_x0000_t202" style="position:absolute;left:8896;top:3877;height:707;width:94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v:path/>
              <v:fill on="f" focussize="0,0"/>
              <v:stroke on="f" weight="0.5pt" joinstyle="miter"/>
              <v:imagedata o:title=""/>
              <o:lock v:ext="edit"/>
              <v:textbox>
                <w:txbxContent>
                  <w:p>
                    <w:pPr>
                      <w:rPr>
                        <w:rFonts w:ascii="等线" w:hAnsi="等线" w:eastAsia="等线"/>
                      </w:rPr>
                    </w:pPr>
                    <w:r>
                      <w:rPr>
                        <w:rFonts w:hint="eastAsia" w:ascii="等线" w:hAnsi="等线" w:eastAsia="等线"/>
                      </w:rPr>
                      <w:t>常规医疗废水</w:t>
                    </w:r>
                  </w:p>
                </w:txbxContent>
              </v:textbox>
            </v:shape>
            <v:shape id="直接箭头连接符 311" o:spid="_x0000_s1320" o:spt="32" type="#_x0000_t32" style="position:absolute;left:6469;top:4441;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tH8MAAADcAAAADwAAAGRycy9kb3ducmV2LnhtbESPQWsCMRSE74X+h/AK3mp2Ky2yGsUW&#10;RE+FquD1mTw3SzcvSxLX1V/fFAo9DjPzDTNfDq4VPYXYeFZQjgsQxNqbhmsFh/36eQoiJmSDrWdS&#10;cKMIy8Xjwxwr46/8Rf0u1SJDOFaowKbUVVJGbclhHPuOOHtnHxymLEMtTcBrhrtWvhTFm3TYcF6w&#10;2NGHJf29uzgFfNps5HvZ6zS86uOt/Qwrew9KjZ6G1QxEoiH9h//aW6NgUpbweyYfAb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h7R/DAAAA3AAAAA8AAAAAAAAAAAAA&#10;AAAAoQIAAGRycy9kb3ducmV2LnhtbFBLBQYAAAAABAAEAPkAAACRAwAAAAA=&#10;">
              <v:path arrowok="t"/>
              <v:fill on="f" focussize="0,0"/>
              <v:stroke color="#000000" startarrow="block"/>
              <v:imagedata o:title=""/>
              <o:lock v:ext="edit"/>
            </v:shape>
            <v:shape id="文本框 313" o:spid="_x0000_s1321" o:spt="202" type="#_x0000_t202" style="position:absolute;left:5819;top:4925;height:401;width:132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pGsMA&#10;AADcAAAADwAAAGRycy9kb3ducmV2LnhtbESPQWsCMRSE74X+h/AKvdWsFWS7GsUWWwqeqsXzY/NM&#10;gpuXJUnX7b9vBKHHYWa+YZbr0XdioJhcYAXTSQWCuA3asVHwfXh/qkGkjKyxC0wKfinBenV/t8RG&#10;hwt/0bDPRhQIpwYV2Jz7RsrUWvKYJqEnLt4pRI+5yGikjngpcN/J56qaS4+Oy4LFnt4stef9j1ew&#10;fTUvpq0x2m2tnRvG42lnPpR6fBg3CxCZxvwfvrU/tYL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pGsMAAADcAAAADwAAAAAAAAAAAAAAAACYAgAAZHJzL2Rv&#10;d25yZXYueG1sUEsFBgAAAAAEAAQA9QAAAIgDA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格栅</w:t>
                    </w:r>
                  </w:p>
                </w:txbxContent>
              </v:textbox>
            </v:shape>
            <v:shape id="直接箭头连接符 335" o:spid="_x0000_s1326" o:spt="32" type="#_x0000_t32" style="position:absolute;left:6469;top:5335;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3fMMAAADcAAAADwAAAGRycy9kb3ducmV2LnhtbESPQWsCMRSE7wX/Q3iF3mpWxSKrUVQo&#10;9iRUhV5fk+dm6eZlSdJ19dcbodDjMDPfMItV7xrRUYi1ZwWjYQGCWHtTc6XgdHx/nYGICdlg45kU&#10;XCnCajl4WmBp/IU/qTukSmQIxxIV2JTaUsqoLTmMQ98SZ+/sg8OUZaikCXjJcNfIcVG8SYc15wWL&#10;LW0t6Z/Dr1PA37ud3Iw6nfqp/ro2+7C2t6DUy3O/noNI1Kf/8F/7wyiYTKbwOJ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vt3zDAAAA3AAAAA8AAAAAAAAAAAAA&#10;AAAAoQIAAGRycy9kb3ducmV2LnhtbFBLBQYAAAAABAAEAPkAAACRAwAAAAA=&#10;">
              <v:path arrowok="t"/>
              <v:fill on="f" focussize="0,0"/>
              <v:stroke color="#000000" startarrow="block"/>
              <v:imagedata o:title=""/>
              <o:lock v:ext="edit"/>
            </v:shape>
            <v:shape id="文本框 336" o:spid="_x0000_s1327" o:spt="202" type="#_x0000_t202" style="position:absolute;left:5819;top:5819;height:400;width:132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W4sMA&#10;AADcAAAADwAAAGRycy9kb3ducmV2LnhtbESPQWsCMRSE74X+h/AK3mq2FWS7GsUWLYWeqsXzY/NM&#10;gpuXJYnr+u+bQqHHYWa+YZbr0XdioJhcYAVP0woEcRu0Y6Pg+7B7rEGkjKyxC0wKbpRgvbq/W2Kj&#10;w5W/aNhnIwqEU4MKbM59I2VqLXlM09ATF+8UosdcZDRSR7wWuO/kc1XNpUfHZcFiT2+W2vP+4hVs&#10;X82LaWuMdltr54bxePo070pNHsbNAkSmMf+H/9ofWsFsNoffM+U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oW4sMAAADcAAAADwAAAAAAAAAAAAAAAACYAgAAZHJzL2Rv&#10;d25yZXYueG1sUEsFBgAAAAAEAAQA9QAAAIgDA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调节池</w:t>
                    </w:r>
                  </w:p>
                </w:txbxContent>
              </v:textbox>
            </v:shape>
            <v:shape id="直接箭头连接符 337" o:spid="_x0000_s1328" o:spt="32" type="#_x0000_t32" style="position:absolute;left:7161;top:5122;height:1;width:1259;"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EgwMYAAADcAAAADwAAAGRycy9kb3ducmV2LnhtbESPQUsDMRSE70L/Q3gFbzZrCypr02Ir&#10;gniqW6X09tg8N6ubl22S7m7/fVMoeBxm5htmvhxsIzryoXas4H6SgSAuna65UvC1fbt7AhEissbG&#10;MSk4UYDlYnQzx1y7nj+pK2IlEoRDjgpMjG0uZSgNWQwT1xIn78d5izFJX0ntsU9w28hplj1IizWn&#10;BYMtrQ2Vf8XRKmi6j/7wffw9mNdNty3Wu71Z+Vap2/Hw8gwi0hD/w9f2u1Ywmz3C5Uw6AnJx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hIMDGAAAA3AAAAA8AAAAAAAAA&#10;AAAAAAAAoQIAAGRycy9kb3ducmV2LnhtbFBLBQYAAAAABAAEAPkAAACUAwAAAAA=&#10;">
              <v:path arrowok="t"/>
              <v:fill on="f" focussize="0,0"/>
              <v:stroke color="#000000" endarrow="block"/>
              <v:imagedata o:title=""/>
              <o:lock v:ext="edit"/>
            </v:shape>
            <v:shape id="文本框 340" o:spid="_x0000_s1331" o:spt="202" type="#_x0000_t202" style="position:absolute;left:8367;top:4613;height:1335;width:1736;"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由岳阳市方向固废安全处置有限公司回收处置</w:t>
                    </w:r>
                  </w:p>
                </w:txbxContent>
              </v:textbox>
            </v:shape>
            <v:shape id="文本框 348" o:spid="_x0000_s1332" o:spt="202" type="#_x0000_t202" style="position:absolute;left:7177;top:4762;height:432;width:94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RJMIA&#10;AADcAAAADwAAAGRycy9kb3ducmV2LnhtbERPy4rCMBTdD/gP4QruxtTHiFSjSEEUcRY+Nu6uzbUt&#10;Nje1iVr9+sliwOXhvKfzxpTiQbUrLCvodSMQxKnVBWcKjofl9xiE88gaS8uk4EUO5rPW1xRjbZ+8&#10;o8feZyKEsItRQe59FUvp0pwMuq6tiAN3sbVBH2CdSV3jM4SbUvajaCQNFhwacqwoySm97u9GwSZZ&#10;/uLu3Dfjd5mstpdFdTuefpTqtJvFBISnxn/E/+61VjAYhr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NEkwgAAANwAAAAPAAAAAAAAAAAAAAAAAJgCAABkcnMvZG93&#10;bnJldi54bWxQSwUGAAAAAAQABAD1AAAAhwM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格栅渣</w:t>
                    </w:r>
                  </w:p>
                </w:txbxContent>
              </v:textbox>
            </v:shape>
            <v:shape id="直接箭头连接符 379" o:spid="_x0000_s1333" o:spt="32" type="#_x0000_t32" style="position:absolute;left:6469;top:6219;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EucQAAADcAAAADwAAAGRycy9kb3ducmV2LnhtbESPT2sCMRTE7wW/Q3hCbzWrpdVujaJC&#10;saeCf6DX1+S5Wdy8LElc1376plDocZiZ3zDzZe8a0VGItWcF41EBglh7U3Ol4Hh4e5iBiAnZYOOZ&#10;FNwownIxuJtjafyVd9TtUyUyhGOJCmxKbSll1JYcxpFvibN38sFhyjJU0gS8Zrhr5KQonqXDmvOC&#10;xZY2lvR5f3EK+Gu7letxp1P/pD9vzUdY2e+g1P2wX72CSNSn//Bf+90oeJy+wO+Zf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AS5xAAAANwAAAAPAAAAAAAAAAAA&#10;AAAAAKECAABkcnMvZG93bnJldi54bWxQSwUGAAAAAAQABAD5AAAAkgMAAAAA&#10;">
              <v:path arrowok="t"/>
              <v:fill on="f" focussize="0,0"/>
              <v:stroke color="#000000" startarrow="block"/>
              <v:imagedata o:title=""/>
              <o:lock v:ext="edit"/>
            </v:shape>
            <v:shape id="文本框 384" o:spid="_x0000_s1334" o:spt="202" type="#_x0000_t202" style="position:absolute;left:5819;top:6703;height:401;width:132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k6cMA&#10;AADcAAAADwAAAGRycy9kb3ducmV2LnhtbESPQUsDMRSE74L/ITzBm81qi6zbpkWlFsFTW+n5sXlN&#10;gpuXJUm36783QqHHYWa+YRar0XdioJhcYAWPkwoEcRu0Y6Pge//xUINIGVljF5gU/FKC1fL2ZoGN&#10;Dmfe0rDLRhQIpwYV2Jz7RsrUWvKYJqEnLt4xRI+5yGikjngucN/Jp6p6lh4dlwWLPb1ban92J69g&#10;/WZeTFtjtOtaOzeMh+OX2Sh1fze+zkFkGvM1fGl/agXTe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vk6cMAAADcAAAADwAAAAAAAAAAAAAAAACYAgAAZHJzL2Rv&#10;d25yZXYueG1sUEsFBgAAAAAEAAQA9QAAAIgDA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水解酸化</w:t>
                    </w:r>
                  </w:p>
                </w:txbxContent>
              </v:textbox>
            </v:shape>
            <v:shape id="直接箭头连接符 385" o:spid="_x0000_s1335" o:spt="32" type="#_x0000_t32" style="position:absolute;left:6483;top:7108;flip:y;height:492;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B+m8MAAADcAAAADwAAAGRycy9kb3ducmV2LnhtbESPQWsCMRSE7wX/Q3iCt5q1YpGtUVQQ&#10;PQlVwetr8rpZunlZknRd++sbodDjMDPfMItV7xrRUYi1ZwWTcQGCWHtTc6Xgct49z0HEhGyw8UwK&#10;7hRhtRw8LbA0/sbv1J1SJTKEY4kKbEptKWXUlhzGsW+Js/fpg8OUZaikCXjLcNfIl6J4lQ5rzgsW&#10;W9pa0l+nb6eAP/Z7uZl0OvUzfb03x7C2P0Gp0bBfv4FI1Kf/8F/7YBRM5zN4nM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QfpvDAAAA3AAAAA8AAAAAAAAAAAAA&#10;AAAAoQIAAGRycy9kb3ducmV2LnhtbFBLBQYAAAAABAAEAPkAAACRAwAAAAA=&#10;">
              <v:path arrowok="t"/>
              <v:fill on="f" focussize="0,0"/>
              <v:stroke color="#000000" startarrow="block"/>
              <v:imagedata o:title=""/>
              <o:lock v:ext="edit"/>
            </v:shape>
            <v:shape id="文本框 396" o:spid="_x0000_s1336" o:spt="202" type="#_x0000_t202" style="position:absolute;left:5670;top:7592;height:401;width:164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J2MMA&#10;AADcAAAADwAAAGRycy9kb3ducmV2LnhtbESPQWsCMRSE70L/Q3gFb5ptC7JujdIWWwRP1dLzY/NM&#10;QjcvS5Ku679vBKHHYWa+YVab0XdioJhcYAUP8woEcRu0Y6Pg6/g+q0GkjKyxC0wKLpRgs76brLDR&#10;4cyfNByyEQXCqUEFNue+kTK1ljymeeiJi3cK0WMuMhqpI54L3HfysaoW0qPjsmCxpzdL7c/h1yvY&#10;vpqlaWuMdltr54bx+7Q3H0pN78eXZxCZxvwfvrV3WsHTcg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J2MMAAADcAAAADwAAAAAAAAAAAAAAAACYAgAAZHJzL2Rv&#10;d25yZXYueG1sUEsFBgAAAAAEAAQA9QAAAIgDA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生物接触氧化</w:t>
                    </w:r>
                  </w:p>
                </w:txbxContent>
              </v:textbox>
            </v:shape>
            <v:shape id="直接箭头连接符 399" o:spid="_x0000_s1337" o:spt="32" type="#_x0000_t32" style="position:absolute;left:6483;top:7998;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iQ8MAAADcAAAADwAAAGRycy9kb3ducmV2LnhtbESPQWsCMRSE74X+h/AK3mpWi0W3RtFC&#10;0ZNQLfT6mrxulm5eliRdV3+9EQSPw8x8w8yXvWtERyHWnhWMhgUIYu1NzZWCr8PH8xRETMgGG8+k&#10;4EQRlovHhzmWxh/5k7p9qkSGcCxRgU2pLaWM2pLDOPQtcfZ+fXCYsgyVNAGPGe4aOS6KV+mw5rxg&#10;saV3S/pv/+8U8M9mI9ejTqd+or9PzS6s7DkoNXjqV28gEvXpHr61t0bBy2wG1zP5CM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E4kPDAAAA3AAAAA8AAAAAAAAAAAAA&#10;AAAAoQIAAGRycy9kb3ducmV2LnhtbFBLBQYAAAAABAAEAPkAAACRAwAAAAA=&#10;">
              <v:path arrowok="t"/>
              <v:fill on="f" focussize="0,0"/>
              <v:stroke color="#000000" startarrow="block"/>
              <v:imagedata o:title=""/>
              <o:lock v:ext="edit"/>
            </v:shape>
            <v:shape id="文本框 403" o:spid="_x0000_s1338" o:spt="202" type="#_x0000_t202" style="position:absolute;left:5833;top:8481;height:401;width:132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yosMA&#10;AADcAAAADwAAAGRycy9kb3ducmV2LnhtbESPQUsDMRSE74L/ITzBm81qi6zbpkWlFsFTW+n5sXlN&#10;gpuXJUm36783QqHHYWa+YRar0XdioJhcYAWPkwoEcRu0Y6Pge//xUINIGVljF5gU/FKC1fL2ZoGN&#10;Dmfe0rDLRhQIpwYV2Jz7RsrUWvKYJqEnLt4xRI+5yGikjngucN/Jp6p6lh4dlwWLPb1ban92J69g&#10;/WZeTFtjtOtaOzeMh+OX2Sh1fze+zkFkGvM1fGl/agWzagr/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uyosMAAADcAAAADwAAAAAAAAAAAAAAAACYAgAAZHJzL2Rv&#10;d25yZXYueG1sUEsFBgAAAAAEAAQA9QAAAIgDA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斜管沉淀</w:t>
                    </w:r>
                  </w:p>
                </w:txbxContent>
              </v:textbox>
            </v:shape>
            <v:shape id="直接箭头连接符 410" o:spid="_x0000_s1339" o:spt="32" type="#_x0000_t32" style="position:absolute;left:6483;top:8882;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F4cAAAADcAAAADwAAAGRycy9kb3ducmV2LnhtbERPTWsCMRC9F/wPYYTeanaLLbIaRQWx&#10;p0JtweuYjJvFzWRJ0nX115tDocfH+16sBteKnkJsPCsoJwUIYu1Nw7WCn+/dywxETMgGW8+k4EYR&#10;VsvR0wIr46/8Rf0h1SKHcKxQgU2pq6SM2pLDOPEdcebOPjhMGYZamoDXHO5a+VoU79Jhw7nBYkdb&#10;S/py+HUK+LTfy03Z6zS86eOt/Qxrew9KPY+H9RxEoiH9i//cH0bBtMzz85l8BO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2HheHAAAAA3AAAAA8AAAAAAAAAAAAAAAAA&#10;oQIAAGRycy9kb3ducmV2LnhtbFBLBQYAAAAABAAEAPkAAACOAwAAAAA=&#10;">
              <v:path arrowok="t"/>
              <v:fill on="f" focussize="0,0"/>
              <v:stroke color="#000000" startarrow="block"/>
              <v:imagedata o:title=""/>
              <o:lock v:ext="edit"/>
            </v:shape>
            <v:shape id="文本框 418" o:spid="_x0000_s1340" o:spt="202" type="#_x0000_t202" style="position:absolute;left:5833;top:9366;height:401;width:132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2DsAA&#10;AADcAAAADwAAAGRycy9kb3ducmV2LnhtbERPTWsCMRC9C/0PYQreNKsU2W6NYostQk/V0vOwGZPg&#10;ZrIkcV3/fXMo9Ph43+vt6DsxUEwusILFvAJB3Abt2Cj4Pr3PahApI2vsApOCOyXYbh4ma2x0uPEX&#10;DcdsRAnh1KACm3PfSJlaSx7TPPTEhTuH6DEXGI3UEW8l3HdyWVUr6dFxabDY05ul9nK8egX7V/Ns&#10;2hqj3dfauWH8OX+aD6Wmj+PuBUSmMf+L/9wHreBpUdaW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a2DsAAAADcAAAADwAAAAAAAAAAAAAAAACYAgAAZHJzL2Rvd25y&#10;ZXYueG1sUEsFBgAAAAAEAAQA9QAAAIUDAAAAAA==&#10;">
              <v:path/>
              <v:fill on="t" focussize="0,0"/>
              <v:stroke weight="0.5pt" joinstyle="miter"/>
              <v:imagedata o:title=""/>
              <o:lock v:ext="edit"/>
              <v:textbox>
                <w:txbxContent>
                  <w:p>
                    <w:pPr>
                      <w:jc w:val="center"/>
                    </w:pPr>
                    <w:r>
                      <w:rPr>
                        <w:rFonts w:hint="eastAsia" w:ascii="等线" w:hAnsi="等线" w:eastAsia="等线"/>
                      </w:rPr>
                      <w:t>接触消毒</w:t>
                    </w:r>
                    <w:r>
                      <w:rPr>
                        <w:rFonts w:hint="eastAsia"/>
                      </w:rPr>
                      <w:t>池</w:t>
                    </w:r>
                  </w:p>
                </w:txbxContent>
              </v:textbox>
            </v:shape>
            <v:shape id="直接箭头连接符 420" o:spid="_x0000_s1341" o:spt="32" type="#_x0000_t32" style="position:absolute;left:6500;top:9753;flip:x y;height:265;width:13;"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PXMAAAADcAAAADwAAAGRycy9kb3ducmV2LnhtbERPTWsCMRC9F/wPYYTealaxRVajaEHs&#10;qVAVvI7JuFncTJYkXVd/vTkUeny878Wqd43oKMTas4LxqABBrL2puVJwPGzfZiBiQjbYeCYFd4qw&#10;Wg5eFlgaf+Mf6vapEjmEY4kKbEptKWXUlhzGkW+JM3fxwWHKMFTSBLzlcNfISVF8SIc15waLLX1a&#10;0tf9r1PA591ObsadTv27Pt2b77C2j6DU67Bfz0Ek6tO/+M/9ZRRMJ3l+Pp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T1zAAAAA3AAAAA8AAAAAAAAAAAAAAAAA&#10;oQIAAGRycy9kb3ducmV2LnhtbFBLBQYAAAAABAAEAPkAAACOAwAAAAA=&#10;">
              <v:path arrowok="t"/>
              <v:fill on="f" focussize="0,0"/>
              <v:stroke color="#000000" startarrow="block"/>
              <v:imagedata o:title=""/>
              <o:lock v:ext="edit"/>
            </v:shape>
            <v:shape id="文本框 423" o:spid="_x0000_s1342" o:spt="202" type="#_x0000_t202" style="position:absolute;left:5849;top:10018;height:687;width:1328;" fillcolor="#FFFFFF" filled="f" stroked="f" coordsize="21600,2160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建新路污水管网</w:t>
                    </w:r>
                  </w:p>
                </w:txbxContent>
              </v:textbox>
            </v:shape>
            <v:shape id="直接箭头连接符 424" o:spid="_x0000_s1343" o:spt="32" type="#_x0000_t32" style="position:absolute;left:7182;top:8691;height:0;width:72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DlD8YAAADcAAAADwAAAGRycy9kb3ducmV2LnhtbESPQWsCMRSE7wX/Q3hCbzWrSCmrUaxS&#10;KD21a4t4e2yem7WblzWJu9t/3xQKHoeZ+YZZrgfbiI58qB0rmE4yEMSl0zVXCj73Lw9PIEJE1tg4&#10;JgU/FGC9Gt0tMdeu5w/qiliJBOGQowITY5tLGUpDFsPEtcTJOzlvMSbpK6k99gluGznLskdpsea0&#10;YLClraHyu7haBU331l++rueL2b13+2J7OJpn3yp1Px42CxCRhngL/7dftYL5bA5/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A5Q/GAAAA3AAAAA8AAAAAAAAA&#10;AAAAAAAAoQIAAGRycy9kb3ducmV2LnhtbFBLBQYAAAAABAAEAPkAAACUAwAAAAA=&#10;">
              <v:path arrowok="t"/>
              <v:fill on="f" focussize="0,0"/>
              <v:stroke color="#000000" endarrow="block"/>
              <v:imagedata o:title=""/>
              <o:lock v:ext="edit"/>
            </v:shape>
            <v:shape id="文本框 435" o:spid="_x0000_s1344" o:spt="202" type="#_x0000_t202" style="position:absolute;left:7889;top:8254;height:941;width:1008;" fillcolor="#FFFFFF" fill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F8MMA&#10;AADcAAAADwAAAGRycy9kb3ducmV2LnhtbESPQUsDMRSE74L/ITyhN5vVVlnXpkVLK0JPVvH82Lwm&#10;wc3LkqTb7b9vBMHjMDPfMIvV6DsxUEwusIK7aQWCuA3asVHw9bm9rUGkjKyxC0wKzpRgtby+WmCj&#10;w4k/aNhnIwqEU4MKbM59I2VqLXlM09ATF+8QosdcZDRSRzwVuO/kfVU9So+Oy4LFntaW2p/90SvY&#10;vJon09YY7abWzg3j92Fn3pSa3IwvzyAyjfk//Nd+1wrmswf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F8MMAAADcAAAADwAAAAAAAAAAAAAAAACYAgAAZHJzL2Rv&#10;d25yZXYueG1sUEsFBgAAAAAEAAQA9QAAAIgDAAAAAA==&#10;">
              <v:path/>
              <v:fill on="t" focussize="0,0"/>
              <v:stroke weight="0.5pt" joinstyle="miter"/>
              <v:imagedata o:title=""/>
              <o:lock v:ext="edit"/>
              <v:textbox>
                <w:txbxContent>
                  <w:p>
                    <w:pPr>
                      <w:jc w:val="center"/>
                      <w:rPr>
                        <w:rFonts w:ascii="等线" w:hAnsi="等线" w:eastAsia="等线"/>
                      </w:rPr>
                    </w:pPr>
                    <w:r>
                      <w:rPr>
                        <w:rFonts w:hint="eastAsia" w:ascii="等线" w:hAnsi="等线" w:eastAsia="等线"/>
                      </w:rPr>
                      <w:t>污泥浓缩消毒池</w:t>
                    </w:r>
                  </w:p>
                </w:txbxContent>
              </v:textbox>
            </v:shape>
            <v:shape id="直接箭头连接符 438" o:spid="_x0000_s1345" o:spt="32" type="#_x0000_t32" style="position:absolute;left:8912;top:8711;height:0;width:347;"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518MAAADcAAAADwAAAGRycy9kb3ducmV2LnhtbERPz0vDMBS+C/sfwht4c+mmiNRlw20I&#10;4mlrFfH2aJ5NtXnpkqzt/vvlIOz48f1erkfbip58aBwrmM8yEMSV0w3XCj7K17snECEia2wdk4Iz&#10;BVivJjdLzLUb+EB9EWuRQjjkqMDE2OVShsqQxTBzHXHifpy3GBP0tdQehxRuW7nIskdpseHUYLCj&#10;raHqrzhZBW3/Phw/T79Hs9v3ZbH9+jYb3yl1Ox1fnkFEGuNV/O9+0woe7tPadCYdAbm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UedfDAAAA3AAAAA8AAAAAAAAAAAAA&#10;AAAAoQIAAGRycy9kb3ducmV2LnhtbFBLBQYAAAAABAAEAPkAAACRAwAAAAA=&#10;">
              <v:path arrowok="t"/>
              <v:fill on="f" focussize="0,0"/>
              <v:stroke color="#000000" endarrow="block"/>
              <v:imagedata o:title=""/>
              <o:lock v:ext="edit"/>
            </v:shape>
            <v:shape id="文本框 439" o:spid="_x0000_s1346" o:spt="202" type="#_x0000_t202" style="position:absolute;left:7016;top:8317;height:708;width:944;"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p8cA&#10;AADcAAAADwAAAGRycy9kb3ducmV2LnhtbESPQWvCQBSE70L/w/IK3nRTtUXTbEQCUhE9mHrp7Zl9&#10;JqHZt2l2q7G/visUehxm5hsmWfamERfqXG1ZwdM4AkFcWF1zqeD4vh7NQTiPrLGxTApu5GCZPgwS&#10;jLW98oEuuS9FgLCLUUHlfRtL6YqKDLqxbYmDd7adQR9kV0rd4TXATSMnUfQiDdYcFipsKauo+My/&#10;jYJttt7j4TQx858me9udV+3X8eNZqeFjv3oF4an3/+G/9kYrmE0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yqfHAAAA3AAAAA8AAAAAAAAAAAAAAAAAmAIAAGRy&#10;cy9kb3ducmV2LnhtbFBLBQYAAAAABAAEAPUAAACMAw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污泥</w:t>
                    </w:r>
                  </w:p>
                </w:txbxContent>
              </v:textbox>
            </v:shape>
            <v:shape id="文本框 440" o:spid="_x0000_s1347" o:spt="202" type="#_x0000_t202" style="position:absolute;left:9172;top:7582;height:2223;width:931;"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QR8IA&#10;AADcAAAADwAAAGRycy9kb3ducmV2LnhtbERPy4rCMBTdC/5DuII7TUcc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BBHwgAAANwAAAAPAAAAAAAAAAAAAAAAAJgCAABkcnMvZG93&#10;bnJldi54bWxQSwUGAAAAAAQABAD1AAAAhwM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由岳阳市方向固废安全处置有限公司回收处置</w:t>
                    </w:r>
                  </w:p>
                </w:txbxContent>
              </v:textbox>
            </v:shape>
            <v:shape id="文本框 441" o:spid="_x0000_s1348" o:spt="202" type="#_x0000_t202" style="position:absolute;left:7481;top:7286;height:401;width:1738;"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AIcYA&#10;AADcAAAADwAAAGRycy9kb3ducmV2LnhtbESPQWvCQBSE74L/YXmFXqRurFolukoptRVvGlvx9si+&#10;JsHs25DdJum/dwuCx2FmvmGW686UoqHaFZYVjIYRCOLU6oIzBcdk8zQH4TyyxtIyKfgjB+tVv7fE&#10;WNuW99QcfCYChF2MCnLvq1hKl+Zk0A1tRRy8H1sb9EHWmdQ1tgFuSvkcRS/SYMFhIceK3nJKL4df&#10;o+A8yE471318tePpuHr/bJLZt06UenzoXhcgPHX+Hr61t1rBZDKC/zPhC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AIcYAAADcAAAADwAAAAAAAAAAAAAAAACYAgAAZHJz&#10;L2Rvd25yZXYueG1sUEsFBgAAAAAEAAQA9QAAAIsDAAAAAA==&#10;">
              <v:path/>
              <v:fill on="t" focussize="0,0"/>
              <v:stroke on="f" weight="0.5pt" joinstyle="miter"/>
              <v:imagedata o:title=""/>
              <o:lock v:ext="edit"/>
              <v:textbox>
                <w:txbxContent>
                  <w:p>
                    <w:pPr>
                      <w:jc w:val="center"/>
                      <w:rPr>
                        <w:rFonts w:ascii="等线" w:hAnsi="等线" w:eastAsia="等线"/>
                      </w:rPr>
                    </w:pPr>
                    <w:r>
                      <w:rPr>
                        <w:rFonts w:hint="eastAsia" w:ascii="等线" w:hAnsi="等线" w:eastAsia="等线"/>
                      </w:rPr>
                      <w:t>石灰消毒</w:t>
                    </w:r>
                  </w:p>
                </w:txbxContent>
              </v:textbox>
            </v:shape>
            <v:shape id="直接箭头连接符 442" o:spid="_x0000_s1349" o:spt="32" type="#_x0000_t32" style="position:absolute;left:8367;top:7763;flip:y;height:491;width:0;"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REMMAAADcAAAADwAAAGRycy9kb3ducmV2LnhtbESPQWsCMRSE74X+h/AK3mpW0SKrUWxB&#10;9FSoCl6fyXOzdPOyJOm6+usbodDjMDPfMItV7xrRUYi1ZwWjYQGCWHtTc6XgeNi8zkDEhGyw8UwK&#10;bhRhtXx+WmBp/JW/qNunSmQIxxIV2JTaUsqoLTmMQ98SZ+/ig8OUZaikCXjNcNfIcVG8SYc15wWL&#10;LX1Y0t/7H6eAz9utfB91OvVTfbo1n2Ft70GpwUu/noNI1Kf/8F97ZxRMJmN4nM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qkRDDAAAA3AAAAA8AAAAAAAAAAAAA&#10;AAAAoQIAAGRycy9kb3ducmV2LnhtbFBLBQYAAAAABAAEAPkAAACRAwAAAAA=&#10;">
              <v:path arrowok="t"/>
              <v:fill on="f" focussize="0,0"/>
              <v:stroke color="#000000" startarrow="block"/>
              <v:imagedata o:title=""/>
              <o:lock v:ext="edit"/>
            </v:shape>
            <v:shape id="直接箭头连接符 325" o:spid="_x0000_s1350" o:spt="32" type="#_x0000_t32" style="position:absolute;left:5095;top:9555;height:0;width:724;" o:connectortype="straight" filled="f" stroked="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aN8cYAAADcAAAADwAAAGRycy9kb3ducmV2LnhtbESPQUsDMRSE70L/Q3iF3mzWiiLbpkUr&#10;QvGk25bS22PzulndvGyTdHf990YoeBxm5htmsRpsIzryoXas4G6agSAuna65UrDbvt0+gQgRWWPj&#10;mBT8UIDVcnSzwFy7nj+pK2IlEoRDjgpMjG0uZSgNWQxT1xIn7+S8xZikr6T22Ce4beQsyx6lxZrT&#10;gsGW1obK7+JiFTTde3/eX77O5vWj2xbrw9G8+FapyXh4noOINMT/8LW90QruZw/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mjfHGAAAA3AAAAA8AAAAAAAAA&#10;AAAAAAAAoQIAAGRycy9kb3ducmV2LnhtbFBLBQYAAAAABAAEAPkAAACUAwAAAAA=&#10;">
              <v:path arrowok="t"/>
              <v:fill on="f" focussize="0,0"/>
              <v:stroke color="#000000" endarrow="block"/>
              <v:imagedata o:title=""/>
              <o:lock v:ext="edit"/>
            </v:shape>
            <v:shape id="文本框 334" o:spid="_x0000_s1351" o:spt="202" type="#_x0000_t202" style="position:absolute;left:4018;top:9351;height:467;width:1187;"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oXMcA&#10;AADcAAAADwAAAGRycy9kb3ducmV2LnhtbESPQWvCQBSE70L/w/IKvemmxhaJriIBqUh7iPXS2zP7&#10;TEKzb9PsNon99a4g9DjMzDfMcj2YWnTUusqygudJBII4t7riQsHxczueg3AeWWNtmRRcyMF69TBa&#10;YqJtzxl1B1+IAGGXoILS+yaR0uUlGXQT2xAH72xbgz7ItpC6xT7ATS2nUfQqDVYcFkpsKC0p/z78&#10;GgX7dPuB2Wlq5n91+vZ+3jQ/x68XpZ4eh80ChKfB/4fv7Z1WEMcz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HqFzHAAAA3AAAAA8AAAAAAAAAAAAAAAAAmAIAAGRy&#10;cy9kb3ducmV2LnhtbFBLBQYAAAAABAAEAPUAAACMAwAAAAA=&#10;">
              <v:path/>
              <v:fill on="f" focussize="0,0"/>
              <v:stroke on="f" weight="0.5pt" joinstyle="miter"/>
              <v:imagedata o:title=""/>
              <o:lock v:ext="edit"/>
              <v:textbox>
                <w:txbxContent>
                  <w:p>
                    <w:pPr>
                      <w:jc w:val="center"/>
                      <w:rPr>
                        <w:rFonts w:ascii="等线" w:hAnsi="等线" w:eastAsia="等线"/>
                      </w:rPr>
                    </w:pPr>
                    <w:r>
                      <w:rPr>
                        <w:rFonts w:hint="eastAsia" w:ascii="等线" w:hAnsi="等线" w:eastAsia="等线"/>
                      </w:rPr>
                      <w:t>二氧化氯</w:t>
                    </w:r>
                  </w:p>
                </w:txbxContent>
              </v:textbox>
            </v:shape>
            <w10:wrap type="none"/>
            <w10:anchorlock/>
          </v:group>
        </w:pict>
      </w:r>
    </w:p>
    <w:p>
      <w:pPr>
        <w:widowControl/>
        <w:shd w:val="clear" w:color="auto" w:fill="FFFFFF"/>
        <w:snapToGrid w:val="0"/>
        <w:spacing w:line="360" w:lineRule="auto"/>
        <w:jc w:val="center"/>
        <w:rPr>
          <w:rFonts w:eastAsiaTheme="minorEastAsia"/>
          <w:b/>
          <w:sz w:val="24"/>
        </w:rPr>
      </w:pPr>
      <w:r>
        <w:rPr>
          <w:rFonts w:eastAsiaTheme="minorEastAsia"/>
          <w:b/>
          <w:sz w:val="24"/>
        </w:rPr>
        <w:t>图 8.2-1 本项目污水处理</w:t>
      </w:r>
      <w:r>
        <w:rPr>
          <w:rFonts w:hint="eastAsia" w:eastAsiaTheme="minorEastAsia"/>
          <w:b/>
          <w:sz w:val="24"/>
        </w:rPr>
        <w:t>站</w:t>
      </w:r>
      <w:r>
        <w:rPr>
          <w:rFonts w:eastAsiaTheme="minorEastAsia"/>
          <w:b/>
          <w:sz w:val="24"/>
        </w:rPr>
        <w:t>工艺流程</w:t>
      </w:r>
    </w:p>
    <w:p>
      <w:pPr>
        <w:widowControl/>
        <w:shd w:val="clear" w:color="auto" w:fill="FFFFFF"/>
        <w:snapToGrid w:val="0"/>
        <w:spacing w:line="360" w:lineRule="auto"/>
        <w:jc w:val="center"/>
        <w:rPr>
          <w:rFonts w:eastAsiaTheme="minorEastAsia"/>
          <w:bCs/>
          <w:sz w:val="24"/>
        </w:rPr>
      </w:pPr>
      <w:r>
        <w:drawing>
          <wp:inline distT="0" distB="0" distL="0" distR="0">
            <wp:extent cx="4761230" cy="21996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4">
                      <a:extLst>
                        <a:ext uri="{28A0092B-C50C-407E-A947-70E740481C1C}">
                          <a14:useLocalDpi xmlns:a14="http://schemas.microsoft.com/office/drawing/2010/main" val="0"/>
                        </a:ext>
                      </a:extLst>
                    </a:blip>
                    <a:srcRect t="5063" b="33323"/>
                    <a:stretch>
                      <a:fillRect/>
                    </a:stretch>
                  </pic:blipFill>
                  <pic:spPr>
                    <a:xfrm>
                      <a:off x="0" y="0"/>
                      <a:ext cx="4761865" cy="2199903"/>
                    </a:xfrm>
                    <a:prstGeom prst="rect">
                      <a:avLst/>
                    </a:prstGeom>
                    <a:noFill/>
                    <a:ln>
                      <a:noFill/>
                    </a:ln>
                  </pic:spPr>
                </pic:pic>
              </a:graphicData>
            </a:graphic>
          </wp:inline>
        </w:drawing>
      </w:r>
    </w:p>
    <w:p>
      <w:pPr>
        <w:widowControl/>
        <w:shd w:val="clear" w:color="auto" w:fill="FFFFFF"/>
        <w:snapToGrid w:val="0"/>
        <w:spacing w:line="360" w:lineRule="auto"/>
        <w:jc w:val="center"/>
        <w:rPr>
          <w:rFonts w:eastAsiaTheme="minorEastAsia"/>
          <w:b/>
          <w:sz w:val="24"/>
        </w:rPr>
      </w:pPr>
      <w:r>
        <w:rPr>
          <w:rFonts w:hint="eastAsia" w:eastAsiaTheme="minorEastAsia"/>
          <w:b/>
          <w:sz w:val="24"/>
        </w:rPr>
        <w:t>图</w:t>
      </w:r>
      <w:r>
        <w:rPr>
          <w:rFonts w:eastAsiaTheme="minorEastAsia"/>
          <w:b/>
          <w:sz w:val="24"/>
        </w:rPr>
        <w:t>8.2-2</w:t>
      </w:r>
      <w:r>
        <w:rPr>
          <w:rFonts w:hint="eastAsia" w:eastAsiaTheme="minorEastAsia"/>
          <w:b/>
          <w:sz w:val="24"/>
        </w:rPr>
        <w:t xml:space="preserve"> 本项目化粪池内部结构图</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3、废水处理工艺简述</w:t>
      </w:r>
    </w:p>
    <w:p>
      <w:pPr>
        <w:widowControl/>
        <w:shd w:val="clear" w:color="auto" w:fill="FFFFFF"/>
        <w:snapToGrid w:val="0"/>
        <w:spacing w:line="360" w:lineRule="auto"/>
        <w:ind w:firstLine="482" w:firstLineChars="200"/>
        <w:rPr>
          <w:rFonts w:eastAsiaTheme="minorEastAsia"/>
          <w:bCs/>
          <w:sz w:val="24"/>
          <w:u w:val="single"/>
        </w:rPr>
      </w:pPr>
      <w:r>
        <w:rPr>
          <w:rFonts w:hint="eastAsia" w:eastAsiaTheme="minorEastAsia"/>
          <w:b/>
          <w:sz w:val="24"/>
          <w:u w:val="single"/>
        </w:rPr>
        <w:t>本项目化粪池工艺流程：</w:t>
      </w:r>
      <w:r>
        <w:rPr>
          <w:rFonts w:hint="eastAsia" w:eastAsiaTheme="minorEastAsia"/>
          <w:bCs/>
          <w:sz w:val="24"/>
          <w:u w:val="single"/>
        </w:rPr>
        <w:t>生活污水先由进水口排到第一格（1#），在第一格里比重较大的固体物及寄生虫卵等物沉淀下来，利用池水中的厌氧细菌开始初步的发酵分解，经第一格处理过的污水可分为三层：糊状粪皮、比较澄清的粪液和固体状的粪渣。</w:t>
      </w:r>
    </w:p>
    <w:p>
      <w:pPr>
        <w:widowControl/>
        <w:shd w:val="clear" w:color="auto" w:fill="FFFFFF"/>
        <w:snapToGrid w:val="0"/>
        <w:spacing w:line="360" w:lineRule="auto"/>
        <w:ind w:firstLine="480" w:firstLineChars="200"/>
        <w:rPr>
          <w:rFonts w:eastAsiaTheme="minorEastAsia"/>
          <w:bCs/>
          <w:sz w:val="24"/>
          <w:u w:val="single"/>
        </w:rPr>
      </w:pPr>
      <w:r>
        <w:rPr>
          <w:rFonts w:hint="eastAsia" w:eastAsiaTheme="minorEastAsia"/>
          <w:bCs/>
          <w:sz w:val="24"/>
          <w:u w:val="single"/>
        </w:rPr>
        <w:t>经过初步分解的粪液流入第二格（2#），而漂浮在上面的粪皮和沉积在下面的粪渣则留在第一格继续发酵。在第二格中，粪液继续发酵分解，虫卵继续下沉，病原体逐渐死亡，粪液得到进一步无害化，产生的粪皮和粪渣厚度比第一格显着减少。</w:t>
      </w:r>
    </w:p>
    <w:p>
      <w:pPr>
        <w:widowControl/>
        <w:shd w:val="clear" w:color="auto" w:fill="FFFFFF"/>
        <w:snapToGrid w:val="0"/>
        <w:spacing w:line="360" w:lineRule="auto"/>
        <w:ind w:firstLine="480" w:firstLineChars="200"/>
        <w:rPr>
          <w:rFonts w:eastAsiaTheme="minorEastAsia"/>
          <w:bCs/>
          <w:sz w:val="24"/>
          <w:u w:val="single"/>
        </w:rPr>
      </w:pPr>
      <w:r>
        <w:rPr>
          <w:rFonts w:hint="eastAsia" w:eastAsiaTheme="minorEastAsia"/>
          <w:bCs/>
          <w:sz w:val="24"/>
          <w:u w:val="single"/>
        </w:rPr>
        <w:t>流入第三格的粪液一般已经腐熟，其中部分病菌和寄生虫卵已被杀灭。第三格处理完的污水上清液各类污染物浓度以及病菌和寄生虫卵浓度已大大降低，最终通入缺氧池进行后续处理。</w:t>
      </w:r>
    </w:p>
    <w:p>
      <w:pPr>
        <w:widowControl/>
        <w:shd w:val="clear" w:color="auto" w:fill="FFFFFF"/>
        <w:snapToGrid w:val="0"/>
        <w:spacing w:line="360" w:lineRule="auto"/>
        <w:ind w:firstLine="480" w:firstLineChars="200"/>
        <w:rPr>
          <w:rFonts w:eastAsiaTheme="minorEastAsia"/>
          <w:bCs/>
          <w:sz w:val="24"/>
          <w:u w:val="single"/>
        </w:rPr>
      </w:pPr>
      <w:r>
        <w:rPr>
          <w:rFonts w:hint="eastAsia" w:eastAsiaTheme="minorEastAsia"/>
          <w:bCs/>
          <w:sz w:val="24"/>
          <w:u w:val="single"/>
        </w:rPr>
        <w:t>操作内容、方法与控制指标：每天定时观察化粪池第三格液位是否正常，检测调节池pH值至少三次；pH值控制在6~9；定期清理化粪池（也可根据需要清理）。</w:t>
      </w:r>
    </w:p>
    <w:p>
      <w:pPr>
        <w:widowControl/>
        <w:shd w:val="clear" w:color="auto" w:fill="FFFFFF"/>
        <w:snapToGrid w:val="0"/>
        <w:spacing w:line="360" w:lineRule="auto"/>
        <w:ind w:firstLine="482" w:firstLineChars="200"/>
        <w:rPr>
          <w:rFonts w:eastAsiaTheme="minorEastAsia"/>
          <w:bCs/>
          <w:sz w:val="24"/>
        </w:rPr>
      </w:pPr>
      <w:r>
        <w:rPr>
          <w:rFonts w:hint="eastAsia" w:eastAsiaTheme="minorEastAsia"/>
          <w:b/>
          <w:sz w:val="24"/>
        </w:rPr>
        <w:t>本项目污水处理站工艺流程：</w:t>
      </w:r>
      <w:r>
        <w:rPr>
          <w:rFonts w:eastAsiaTheme="minorEastAsia"/>
          <w:bCs/>
          <w:sz w:val="24"/>
        </w:rPr>
        <w:t>医院污水分区处理后汇总再由排污总管流入格栅井，通过格栅拦截较大悬浮物，以保证后续处理设施、设备正常运行。格栅井出水然后自流进入调节池，调节池起到调节水质水量的作用，调节池的水通过提升泵打入水解酸化池，池内挂满生化填料，通过吸附在填料上的厌氧细菌的吸附水解作用，降解污水中有机污染物，提高污水的生化可降解性，并去除大部分氨氮，同时在池内调节水量、调均水质，经调节后的污水由提升泵提升至生物接触氧化池，在三叶罗茨鼓风机曝气状态下，池内微生物通过好氧作用将水中污染物质分解消化，将有机物降解为水和二氧化碳，使水质得到净化。经接触氧化后，含微生物悬浮颗粒的污水进入二沉池进行泥水分离，沉降下来的污泥由污泥泵回流至生物接触氧化池，剩余污泥抽入污泥池，污泥在污泥池中浓缩消化，上清液回流至调节池，池底蓄积的污泥经消毒后定期外运处理。由二氧化氯发生器产生的ClO</w:t>
      </w:r>
      <w:r>
        <w:rPr>
          <w:rFonts w:eastAsiaTheme="minorEastAsia"/>
          <w:bCs/>
          <w:sz w:val="24"/>
          <w:vertAlign w:val="subscript"/>
        </w:rPr>
        <w:t>2</w:t>
      </w:r>
      <w:r>
        <w:rPr>
          <w:rFonts w:eastAsiaTheme="minorEastAsia"/>
          <w:bCs/>
          <w:sz w:val="24"/>
        </w:rPr>
        <w:t>在消毒池进行消毒处理，同时将残留于水中的其它污染物进一步氧化分解，最后污水即可实现达标排放。</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 xml:space="preserve">4、主要处理单元说明 </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 xml:space="preserve">调节池：设立调节池可使污水处理系统连续地运行并可调节水质、水量上的波动，通过均衡调节废水的pH值，去除进水悬浮物，调节池设计水力停留时间为6-12小时。 </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水解酸化池：该池挂满生化组合填料，通过填料上吸附的大量厌氧菌,厌氧菌新陈代谢的作用下降解污水中有机污染物，提高污水的生化可降解性，去除大部分氨氮。</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接触氧化池：氧化池内挂满填料，水下设曝气管道，在供气条件下，填料上吸附的好氧微生物在新陈代谢作用下分解和消化有机污染物，填料选用优质的弹性组合填料，具有良好的布水布气性能。</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沉淀池：接触氧化池出水在沉淀池中进行固液分离，上清液流入消毒池，沉淀池底部设污泥槽，污泥由污泥泵定期吸入污泥浓缩池。沉淀池采用平流式沉淀池，为保证SS达标排放，沉淀池内可装有斜管填料提高沉淀效果。</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消毒池：经沉淀处理的污水在消毒池内投加二氧化氯杀菌剂，使污水中大肠菌群等细菌指标达标，根据《医院污水处理工程技术规范》（HJ2029-2013），接触消毒池的容积应满足接触时间和污泥沉积的要求，非传染病医院污水接触消毒时间不宜小于1.0h。</w:t>
      </w:r>
    </w:p>
    <w:p>
      <w:pPr>
        <w:widowControl/>
        <w:shd w:val="clear" w:color="auto" w:fill="FFFFFF"/>
        <w:snapToGrid w:val="0"/>
        <w:spacing w:line="360" w:lineRule="auto"/>
        <w:ind w:firstLine="480" w:firstLineChars="200"/>
        <w:rPr>
          <w:rFonts w:eastAsiaTheme="minorEastAsia"/>
          <w:bCs/>
          <w:sz w:val="24"/>
        </w:rPr>
      </w:pPr>
      <w:r>
        <w:rPr>
          <w:rFonts w:eastAsiaTheme="minorEastAsia"/>
          <w:bCs/>
          <w:sz w:val="24"/>
        </w:rPr>
        <w:t>污水处理站污泥清掏前应采用二氧化氯进行消毒处理。</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8.2.6地下水环境治理措施</w:t>
      </w:r>
    </w:p>
    <w:p>
      <w:pPr>
        <w:snapToGrid w:val="0"/>
        <w:spacing w:line="360" w:lineRule="auto"/>
        <w:ind w:firstLine="480" w:firstLineChars="200"/>
        <w:rPr>
          <w:rFonts w:eastAsiaTheme="minorEastAsia"/>
          <w:sz w:val="24"/>
        </w:rPr>
      </w:pPr>
      <w:r>
        <w:rPr>
          <w:rFonts w:eastAsiaTheme="minorEastAsia"/>
          <w:sz w:val="24"/>
        </w:rPr>
        <w:t>地下水污染防治措施按照“源头控制、分区防控、污染监控、应急响应”相结合的原则，从污染物的产生、入渗、扩散、应急响应全方位进行控制。为防止医疗废水泄/渗漏对地下水造成污染，对废水收集池采取防渗措施，阻止其渗入地下水。</w:t>
      </w:r>
    </w:p>
    <w:p>
      <w:pPr>
        <w:snapToGrid w:val="0"/>
        <w:spacing w:line="360" w:lineRule="auto"/>
        <w:ind w:firstLine="480" w:firstLineChars="200"/>
        <w:rPr>
          <w:rFonts w:eastAsiaTheme="minorEastAsia"/>
          <w:sz w:val="24"/>
        </w:rPr>
      </w:pPr>
      <w:r>
        <w:rPr>
          <w:rFonts w:eastAsiaTheme="minorEastAsia"/>
          <w:sz w:val="24"/>
        </w:rPr>
        <w:t>本项目场地以一般防渗为主，医疗废物暂存间防控措施应满足《危险废物贮存污染控制标准》（GB18597-2001）的要求。场地划为重点防渗区和一般防渗区。</w:t>
      </w:r>
    </w:p>
    <w:p>
      <w:pPr>
        <w:snapToGrid w:val="0"/>
        <w:spacing w:line="360" w:lineRule="auto"/>
        <w:ind w:firstLine="480" w:firstLineChars="200"/>
        <w:rPr>
          <w:rFonts w:eastAsiaTheme="minorEastAsia"/>
          <w:sz w:val="24"/>
        </w:rPr>
      </w:pPr>
      <w:r>
        <w:rPr>
          <w:rFonts w:eastAsiaTheme="minorEastAsia"/>
          <w:sz w:val="24"/>
        </w:rPr>
        <w:t>1）重点防渗区</w:t>
      </w:r>
    </w:p>
    <w:p>
      <w:pPr>
        <w:snapToGrid w:val="0"/>
        <w:spacing w:line="360" w:lineRule="auto"/>
        <w:ind w:firstLine="480" w:firstLineChars="200"/>
        <w:rPr>
          <w:rFonts w:eastAsiaTheme="minorEastAsia"/>
          <w:sz w:val="24"/>
        </w:rPr>
      </w:pPr>
      <w:r>
        <w:rPr>
          <w:rFonts w:eastAsiaTheme="minorEastAsia"/>
          <w:sz w:val="24"/>
        </w:rPr>
        <w:t>重点防渗区指位于地下或者半地下的单元，污染地下水环境的污染物泄漏后不容易被及时发现和处理的区域或部位。重点防渗区主要为污水处理站、污水管线、医疗废物暂存间、生活垃圾暂存间等，应达到如下防渗技术要求：等效黏土防渗层Mb≥6.0m，渗透系数K≤1.0×10</w:t>
      </w:r>
      <w:r>
        <w:rPr>
          <w:rFonts w:eastAsiaTheme="minorEastAsia"/>
          <w:sz w:val="24"/>
          <w:vertAlign w:val="superscript"/>
        </w:rPr>
        <w:t>-7</w:t>
      </w:r>
      <w:r>
        <w:rPr>
          <w:rFonts w:eastAsiaTheme="minorEastAsia"/>
          <w:sz w:val="24"/>
        </w:rPr>
        <w:t>cm/s，或参照《危险废物填埋污染控制标准》（GB18598-2001）。采用2毫米厚高密度聚乙烯，或至少2毫米厚的其它人工材料，渗透系数≤10</w:t>
      </w:r>
      <w:r>
        <w:rPr>
          <w:rFonts w:eastAsiaTheme="minorEastAsia"/>
          <w:sz w:val="24"/>
          <w:vertAlign w:val="superscript"/>
        </w:rPr>
        <w:t>-10</w:t>
      </w:r>
      <w:r>
        <w:rPr>
          <w:rFonts w:eastAsiaTheme="minorEastAsia"/>
          <w:sz w:val="24"/>
        </w:rPr>
        <w:t>cm/s。</w:t>
      </w:r>
    </w:p>
    <w:p>
      <w:pPr>
        <w:snapToGrid w:val="0"/>
        <w:spacing w:line="360" w:lineRule="auto"/>
        <w:ind w:firstLine="480" w:firstLineChars="200"/>
        <w:rPr>
          <w:rFonts w:eastAsiaTheme="minorEastAsia"/>
          <w:sz w:val="24"/>
        </w:rPr>
      </w:pPr>
      <w:r>
        <w:rPr>
          <w:rFonts w:eastAsiaTheme="minorEastAsia"/>
          <w:sz w:val="24"/>
        </w:rPr>
        <w:t>2）一般防渗区</w:t>
      </w:r>
    </w:p>
    <w:p>
      <w:pPr>
        <w:snapToGrid w:val="0"/>
        <w:spacing w:line="360" w:lineRule="auto"/>
        <w:ind w:firstLine="480" w:firstLineChars="200"/>
        <w:rPr>
          <w:rFonts w:eastAsiaTheme="minorEastAsia"/>
          <w:sz w:val="24"/>
        </w:rPr>
      </w:pPr>
      <w:r>
        <w:rPr>
          <w:rFonts w:eastAsiaTheme="minorEastAsia"/>
          <w:sz w:val="24"/>
        </w:rPr>
        <w:t>项目其他硬化场地应达到如下防渗技术要求：等效黏土防渗层Mb≥1.5m，渗透系数K≤1.0×10</w:t>
      </w:r>
      <w:r>
        <w:rPr>
          <w:rFonts w:eastAsiaTheme="minorEastAsia"/>
          <w:sz w:val="24"/>
          <w:vertAlign w:val="superscript"/>
        </w:rPr>
        <w:t>-7</w:t>
      </w:r>
      <w:r>
        <w:rPr>
          <w:rFonts w:eastAsiaTheme="minorEastAsia"/>
          <w:sz w:val="24"/>
        </w:rPr>
        <w:t>cm/s，或参照《生活垃圾填埋场污染控制标准》（GB16889-2008）。场地采用抗渗钢纤维混凝土面层中掺水泥基渗透结晶型防水剂，其下铺砌砂石基层，原土夯实，可达到防渗的目的。对于混凝土中间的伸缩缝和与实体基础的缝隙，通过填充柔性材料达到防渗的目的（渗透系数不大于1.0×10</w:t>
      </w:r>
      <w:r>
        <w:rPr>
          <w:rFonts w:eastAsiaTheme="minorEastAsia"/>
          <w:sz w:val="24"/>
          <w:vertAlign w:val="superscript"/>
        </w:rPr>
        <w:t>-7</w:t>
      </w:r>
      <w:r>
        <w:rPr>
          <w:rFonts w:eastAsiaTheme="minorEastAsia"/>
          <w:sz w:val="24"/>
        </w:rPr>
        <w:t>cm/s）。</w:t>
      </w:r>
    </w:p>
    <w:p>
      <w:pPr>
        <w:snapToGrid w:val="0"/>
        <w:spacing w:line="360" w:lineRule="auto"/>
        <w:ind w:firstLine="480" w:firstLineChars="200"/>
        <w:rPr>
          <w:rFonts w:eastAsiaTheme="minorEastAsia"/>
          <w:sz w:val="24"/>
        </w:rPr>
      </w:pPr>
      <w:r>
        <w:rPr>
          <w:rFonts w:eastAsiaTheme="minorEastAsia"/>
          <w:sz w:val="24"/>
        </w:rPr>
        <w:t>本项目在采取以上防渗措施的前提下，可有效缓解本项目废水收集池和污水管线对地下水的影响。</w:t>
      </w:r>
    </w:p>
    <w:p>
      <w:pPr>
        <w:pStyle w:val="3"/>
        <w:snapToGrid w:val="0"/>
        <w:spacing w:before="0" w:after="0" w:line="360" w:lineRule="auto"/>
        <w:rPr>
          <w:rFonts w:ascii="Times New Roman" w:hAnsi="Times New Roman" w:eastAsiaTheme="minorEastAsia"/>
          <w:kern w:val="0"/>
          <w:sz w:val="28"/>
        </w:rPr>
      </w:pPr>
      <w:bookmarkStart w:id="183" w:name="_Toc61026626"/>
      <w:r>
        <w:rPr>
          <w:rFonts w:ascii="Times New Roman" w:hAnsi="Times New Roman" w:eastAsiaTheme="minorEastAsia"/>
          <w:kern w:val="0"/>
          <w:sz w:val="28"/>
        </w:rPr>
        <w:t>8.3 营运期废气治理措施</w:t>
      </w:r>
      <w:bookmarkEnd w:id="178"/>
      <w:bookmarkEnd w:id="179"/>
      <w:bookmarkEnd w:id="180"/>
      <w:bookmarkEnd w:id="181"/>
      <w:bookmarkEnd w:id="182"/>
      <w:bookmarkEnd w:id="183"/>
    </w:p>
    <w:p>
      <w:pPr>
        <w:pStyle w:val="4"/>
        <w:tabs>
          <w:tab w:val="left" w:pos="1701"/>
        </w:tabs>
        <w:snapToGrid w:val="0"/>
        <w:spacing w:before="0" w:after="0" w:line="360" w:lineRule="auto"/>
        <w:rPr>
          <w:rFonts w:eastAsiaTheme="minorEastAsia"/>
          <w:kern w:val="0"/>
          <w:sz w:val="24"/>
        </w:rPr>
      </w:pPr>
      <w:r>
        <w:rPr>
          <w:rFonts w:eastAsiaTheme="minorEastAsia"/>
          <w:kern w:val="0"/>
          <w:sz w:val="24"/>
        </w:rPr>
        <w:t>8.3.1 大气污染防治措施</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1、食堂油烟经集气罩收集，采用静电油烟处理装置处理后引至食堂楼顶高空排放。</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2、发电机产生燃料为0#柴油，产生的污染物为SO</w:t>
      </w:r>
      <w:r>
        <w:rPr>
          <w:rFonts w:eastAsiaTheme="minorEastAsia"/>
          <w:sz w:val="24"/>
          <w:vertAlign w:val="subscript"/>
        </w:rPr>
        <w:t>2</w:t>
      </w:r>
      <w:r>
        <w:rPr>
          <w:rFonts w:eastAsiaTheme="minorEastAsia"/>
          <w:sz w:val="24"/>
        </w:rPr>
        <w:t>、NO</w:t>
      </w:r>
      <w:r>
        <w:rPr>
          <w:rFonts w:eastAsiaTheme="minorEastAsia"/>
          <w:sz w:val="24"/>
          <w:vertAlign w:val="subscript"/>
        </w:rPr>
        <w:t>X</w:t>
      </w:r>
      <w:r>
        <w:rPr>
          <w:rFonts w:eastAsiaTheme="minorEastAsia"/>
          <w:sz w:val="24"/>
        </w:rPr>
        <w:t>、烟尘等，废气经收集后通过排烟竖井高空排放。</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3、污水处理站采用密闭处理并在周边设置绿化隔离带，适时在污水处理站附近喷洒除臭剂，并加强污水处理站周边通风情况，根据预测结果表明该部分臭气对周边环境影响较小。</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4、地下车库设置机械排风系统，将废气引至一层地面排放，排风口离室外地坪高度大于2.5m。通过对排风口周边进行绿化，采取合理的措施疏导进入医院的机动车等措施。</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5、其他措施或要求</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（1）空调通排风设置要求</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医疗综合楼的卫生间、洗消间、污物间和有疫情发生的区域应采取以下措施：</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 xml:space="preserve"> 空调通风运行管理人员必须了解污染区、缓冲区、半清洁区、清洁区；了解人流、物流；了解空调、通风系统。以确保空调通风系统严格分区设置；确保空气气流合理流动，使压力从清洁区→半清净区→缓冲区→污染区依次降低，清洁区为正压区，污染区为负压区时，方可开启空调通风系统；</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 xml:space="preserve"> 重症监护室及手术室的空调系统应关闭回风阀，按全新风方式运行；</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污染区的污浊空气应从房间下部的排风口排出；排风应经过滤及消毒后集中或分散排放，排放高度宜高于附近最高建筑物，有条件时可集中高空排放；</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 xml:space="preserve"> 空调冷凝水应分区集中收集，污染区的冷凝水经消毒处理后方可排放；</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 xml:space="preserve"> 污染区的排风系统应连续运行。</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（2）防止交叉感染措施</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 xml:space="preserve"> 合理的设计气流的排向，净洁区域及没有传染病菌的房间为正压，清洁区为微正压，污染区为负压；</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 xml:space="preserve"> 按不同的功能区设置合理的空调系统；</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 xml:space="preserve"> 污染区的排风与清洁区的排风系统独立设置；</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 xml:space="preserve"> 在人群集中区域设置风机盘管加新风时，风机盘管采用电子净化回风口；</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 xml:space="preserve"> 全空气系统中，空调箱均选用带电子净化过滤设备。</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（3）其它区域措施</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 xml:space="preserve"> 杜绝通过空调通风管道扩散可能被污染的空气；</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 xml:space="preserve"> 各空调系统及新风系统、排风系统应延长运行时间，提前运行，滞后关闭，以改善室内空气质量；</w:t>
      </w:r>
    </w:p>
    <w:p>
      <w:pPr>
        <w:autoSpaceDE w:val="0"/>
        <w:autoSpaceDN w:val="0"/>
        <w:adjustRightInd w:val="0"/>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 xml:space="preserve"> 通风空调运行管理人员应认真坚守岗位，遵守操作规程，确保空调通风系统的正常运行，保证合理的气流流向。</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8.3.2 大气污染防治措施技术可行性分析</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本项目运营期废气主要有食堂油烟、备用发电机废气、污水处理站臭气、地下停车场汽车尾气。</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1、食堂油烟污染防治措施可行性分析</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食堂油烟经集气罩收集，采用静电油烟处理装置处理。静电油烟静化器采用机械分离和静电净化的双重作用。含油烟废气在风机的作用下吸入管道，进入油烟净化器的一级净化分离均衡装置，采用重力惯性净化技术，对大粒径油雾粒子进行物理分离并均衡整流。分离出的大颗粒油滴在自身重力的作用下流入油槽排出。剩余的微小粒径油雾粒子进入高压静电场，高压静电场采用二段式高低压分离的静电工作原理，第一级电离极板的电场使微小粒径油雾粒子荷电，成为带电微粒，这些带电微粒到达第二级吸附极板后立刻被吸附且部分炭化。同时高压静电场激发的臭氧有效地降解有害成分，起到消毒、除味的作用，最后通过过滤网格栅，排出洁净的空气。</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根据各餐饮项目运行经验及监测情况以及《饮食业环境保护技术规范》（HJ 554-2010），高效静电除油装置对餐饮油烟具有较好的去除效果，一般可处理达到《饮食业油烟排放标准(试行)》（GB18483-2001）的要求。此外，油烟净化器投资较小，从经济角度对本项目是可承受的。</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2、发电机尾气污染防治措施可行性分析</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发电机产生燃料为0#柴油，产生的污染物为SO</w:t>
      </w:r>
      <w:r>
        <w:rPr>
          <w:rFonts w:eastAsiaTheme="minorEastAsia"/>
          <w:sz w:val="24"/>
          <w:vertAlign w:val="subscript"/>
        </w:rPr>
        <w:t>2</w:t>
      </w:r>
      <w:r>
        <w:rPr>
          <w:rFonts w:eastAsiaTheme="minorEastAsia"/>
          <w:sz w:val="24"/>
        </w:rPr>
        <w:t>、NO</w:t>
      </w:r>
      <w:r>
        <w:rPr>
          <w:rFonts w:eastAsiaTheme="minorEastAsia"/>
          <w:sz w:val="24"/>
          <w:vertAlign w:val="subscript"/>
        </w:rPr>
        <w:t>X</w:t>
      </w:r>
      <w:r>
        <w:rPr>
          <w:rFonts w:eastAsiaTheme="minorEastAsia"/>
          <w:sz w:val="24"/>
        </w:rPr>
        <w:t>、烟尘等，废气经管道收集后直接引入楼顶排放。通过对燃料的控制，对降低发电机燃油尾气的污染物及烟色有较良好的效果，污染物排放浓度可达到《大气污染物排放标准》（DB44/27-2001）第二时段二级标准的要求。</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3、污水处理站废气污染防治措施可行性分析</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污水处理过程中产生的恶臭物质大多数是有机化合物，主要由碳、氨和硫元素组成，如低分子脂肪酸、胺类、醚类、卤代烷以及脂肪族的、芳香族的、杂环的氮或硫化物等。这些物质都带有活性基团，容易发生化学反应，特别是被氧化，当活性基团被氧化后，气味就消失。本项目污水处理站采用生物除臭法：</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生物除臭法：利用微生物将臭味气体中的有机污染物降解或转化为无害或低害类物质的过程。主要方法有生物滤池法、土壤法、填充塔式生物脱臭法等。</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（1）生物滤池除臭工作原理</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生物除臭工艺主要针对H</w:t>
      </w:r>
      <w:r>
        <w:rPr>
          <w:rFonts w:hint="eastAsia" w:eastAsiaTheme="minorEastAsia"/>
          <w:sz w:val="24"/>
          <w:u w:val="single"/>
          <w:vertAlign w:val="subscript"/>
        </w:rPr>
        <w:t>2</w:t>
      </w:r>
      <w:r>
        <w:rPr>
          <w:rFonts w:hint="eastAsia" w:eastAsiaTheme="minorEastAsia"/>
          <w:sz w:val="24"/>
          <w:u w:val="single"/>
        </w:rPr>
        <w:t>S、NH</w:t>
      </w:r>
      <w:r>
        <w:rPr>
          <w:rFonts w:hint="eastAsia" w:eastAsiaTheme="minorEastAsia"/>
          <w:sz w:val="24"/>
          <w:u w:val="single"/>
          <w:vertAlign w:val="subscript"/>
        </w:rPr>
        <w:t>3</w:t>
      </w:r>
      <w:r>
        <w:rPr>
          <w:rFonts w:hint="eastAsia" w:eastAsiaTheme="minorEastAsia"/>
          <w:sz w:val="24"/>
          <w:u w:val="single"/>
        </w:rPr>
        <w:t>、甲硫醇等恶臭物质，其工艺原理主要包括三个阶段：</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第一阶段：水溶渗透，恶臭气体中的污染物从气相转移到液相或固体表面液膜。</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第二阶段：生物吸收，液相或固体表面液膜的污染物被微生物吸附、吸收。</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第三阶段：生物降解，微生物将进入其细胞的污染物作为营养物质分解、利用，使污染物得以去除。恶臭物质的氧化需要各种微生物的参与，同一恶臭物质不同的氧化阶段需要不同的微生物。影响生物除臭处理效率的因素主要包括恶臭气体的组成、各组分的浓度、恶臭气体在生物滤池内的停留时间、生物滤池的填料种类、反应环境的pH值、温度、湿度等。具体见下图：</w:t>
      </w:r>
    </w:p>
    <w:p>
      <w:pPr>
        <w:autoSpaceDE w:val="0"/>
        <w:autoSpaceDN w:val="0"/>
        <w:adjustRightInd w:val="0"/>
        <w:snapToGrid w:val="0"/>
        <w:spacing w:line="360" w:lineRule="auto"/>
        <w:ind w:firstLine="480" w:firstLineChars="200"/>
        <w:rPr>
          <w:rFonts w:eastAsiaTheme="minorEastAsia"/>
          <w:sz w:val="24"/>
          <w:u w:val="single"/>
        </w:rPr>
      </w:pPr>
      <w:r>
        <w:rPr>
          <w:color w:val="000000"/>
          <w:sz w:val="24"/>
          <w:szCs w:val="20"/>
          <w:u w:val="single"/>
        </w:rPr>
        <w:drawing>
          <wp:inline distT="0" distB="0" distL="0" distR="0">
            <wp:extent cx="5219065" cy="1725295"/>
            <wp:effectExtent l="0" t="0" r="0" b="0"/>
            <wp:docPr id="14" name="图片 14" descr="1578936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7893659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19065" cy="1725295"/>
                    </a:xfrm>
                    <a:prstGeom prst="rect">
                      <a:avLst/>
                    </a:prstGeom>
                    <a:noFill/>
                    <a:ln>
                      <a:noFill/>
                    </a:ln>
                  </pic:spPr>
                </pic:pic>
              </a:graphicData>
            </a:graphic>
          </wp:inline>
        </w:drawing>
      </w:r>
      <w:r>
        <w:rPr>
          <w:rFonts w:eastAsiaTheme="minorEastAsia"/>
          <w:sz w:val="24"/>
          <w:u w:val="single"/>
        </w:rPr>
        <w:t xml:space="preserve"> </w:t>
      </w:r>
    </w:p>
    <w:p>
      <w:pPr>
        <w:autoSpaceDE w:val="0"/>
        <w:autoSpaceDN w:val="0"/>
        <w:adjustRightInd w:val="0"/>
        <w:snapToGrid w:val="0"/>
        <w:spacing w:line="360" w:lineRule="auto"/>
        <w:jc w:val="center"/>
        <w:rPr>
          <w:rFonts w:eastAsiaTheme="minorEastAsia"/>
          <w:b/>
          <w:bCs/>
          <w:sz w:val="24"/>
          <w:u w:val="single"/>
        </w:rPr>
      </w:pPr>
      <w:r>
        <w:rPr>
          <w:rFonts w:hint="eastAsia" w:eastAsiaTheme="minorEastAsia"/>
          <w:b/>
          <w:bCs/>
          <w:sz w:val="24"/>
          <w:u w:val="single"/>
        </w:rPr>
        <w:t>图8.3-1  生物滤池除臭原理说明图</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②生物除臭工艺流程</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从构筑物中收集的恶臭气体，首先进入预洗池，洗去灰尘，调节温度、湿度,</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去除部分水溶性物质及杂质，缓冲峰值浓度。之后再通过湿润、多孔且充满活性微生物的滤层，通过生物膜对恶臭物质的吸附、吸收和降解作用，将恶臭物质分解为无毒无害的简单无机物，使处理后的气体满足达标排放的要求。具体流程见下图：</w:t>
      </w:r>
    </w:p>
    <w:p>
      <w:pPr>
        <w:autoSpaceDE w:val="0"/>
        <w:autoSpaceDN w:val="0"/>
        <w:adjustRightInd w:val="0"/>
        <w:snapToGrid w:val="0"/>
        <w:spacing w:line="360" w:lineRule="auto"/>
        <w:jc w:val="center"/>
        <w:rPr>
          <w:rFonts w:eastAsiaTheme="minorEastAsia"/>
          <w:sz w:val="24"/>
          <w:u w:val="single"/>
        </w:rPr>
      </w:pPr>
      <w:r>
        <w:rPr>
          <w:color w:val="000000"/>
          <w:sz w:val="24"/>
          <w:szCs w:val="20"/>
          <w:u w:val="single"/>
        </w:rPr>
        <w:drawing>
          <wp:inline distT="0" distB="0" distL="0" distR="0">
            <wp:extent cx="5262245" cy="3493770"/>
            <wp:effectExtent l="0" t="0" r="0" b="0"/>
            <wp:docPr id="16" name="图片 16" descr="a5b0a3bdb7f9c44eb1ec0d54d40e7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5b0a3bdb7f9c44eb1ec0d54d40e7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62245" cy="3493770"/>
                    </a:xfrm>
                    <a:prstGeom prst="rect">
                      <a:avLst/>
                    </a:prstGeom>
                    <a:noFill/>
                    <a:ln>
                      <a:noFill/>
                    </a:ln>
                  </pic:spPr>
                </pic:pic>
              </a:graphicData>
            </a:graphic>
          </wp:inline>
        </w:drawing>
      </w:r>
    </w:p>
    <w:p>
      <w:pPr>
        <w:autoSpaceDE w:val="0"/>
        <w:autoSpaceDN w:val="0"/>
        <w:adjustRightInd w:val="0"/>
        <w:snapToGrid w:val="0"/>
        <w:spacing w:line="360" w:lineRule="auto"/>
        <w:jc w:val="center"/>
        <w:rPr>
          <w:rFonts w:eastAsiaTheme="minorEastAsia"/>
          <w:b/>
          <w:bCs/>
          <w:sz w:val="24"/>
          <w:u w:val="single"/>
        </w:rPr>
      </w:pPr>
      <w:r>
        <w:rPr>
          <w:rFonts w:hint="eastAsia" w:eastAsiaTheme="minorEastAsia"/>
          <w:b/>
          <w:bCs/>
          <w:sz w:val="24"/>
          <w:u w:val="single"/>
        </w:rPr>
        <w:t>图8.3-2 生物滤池除臭工艺流程图</w:t>
      </w:r>
    </w:p>
    <w:p>
      <w:pPr>
        <w:autoSpaceDE w:val="0"/>
        <w:autoSpaceDN w:val="0"/>
        <w:adjustRightInd w:val="0"/>
        <w:snapToGrid w:val="0"/>
        <w:spacing w:line="360" w:lineRule="auto"/>
        <w:ind w:firstLine="480" w:firstLineChars="200"/>
        <w:rPr>
          <w:rFonts w:eastAsiaTheme="minorEastAsia"/>
          <w:sz w:val="24"/>
          <w:u w:val="single"/>
        </w:rPr>
      </w:pPr>
      <w:r>
        <w:rPr>
          <w:rFonts w:hint="eastAsia" w:eastAsiaTheme="minorEastAsia"/>
          <w:sz w:val="24"/>
          <w:u w:val="single"/>
        </w:rPr>
        <w:t>综上所述，本评价要求建设单位对污水处理站采用地埋式密闭处理并在周边设置绿化隔离带。通过加强污水站周边绿化，污水处理站少量无组织排放臭味经过绿化带隔离吸收；此外，建设单位应对污水处理站及其周边环境定期喷洒除臭剂；须保证所产生的医疗污泥及时清运；将收集后的臭气采用生物滤池法处理，本项目生物除臭系统将建在污水处理站的西北侧，以方便臭气的收集，经生物滤池除臭后的净化空气经由污水处理站房排气管道引向高空达标排放，排放高度不低于15m。由于生物滤池法能耗较低，除臭比较彻底，运行灵活，投资较省，运行费用低，因此推荐使用生物滤池工艺作为项目污水处理系统除臭处理工艺。生物滤池法的除臭效率高，此法已在其他污水处理厂中应用，运行效果良好，恶臭污染物去除效率可稳定达到90%以上，H</w:t>
      </w:r>
      <w:r>
        <w:rPr>
          <w:rFonts w:hint="eastAsia" w:eastAsiaTheme="minorEastAsia"/>
          <w:sz w:val="24"/>
          <w:u w:val="single"/>
          <w:vertAlign w:val="subscript"/>
        </w:rPr>
        <w:t>2</w:t>
      </w:r>
      <w:r>
        <w:rPr>
          <w:rFonts w:hint="eastAsia" w:eastAsiaTheme="minorEastAsia"/>
          <w:sz w:val="24"/>
          <w:u w:val="single"/>
        </w:rPr>
        <w:t>S、NH</w:t>
      </w:r>
      <w:r>
        <w:rPr>
          <w:rFonts w:hint="eastAsia" w:eastAsiaTheme="minorEastAsia"/>
          <w:sz w:val="24"/>
          <w:u w:val="single"/>
          <w:vertAlign w:val="subscript"/>
        </w:rPr>
        <w:t>3</w:t>
      </w:r>
      <w:r>
        <w:rPr>
          <w:rFonts w:hint="eastAsia" w:eastAsiaTheme="minorEastAsia"/>
          <w:sz w:val="24"/>
          <w:u w:val="single"/>
        </w:rPr>
        <w:t>的和臭气浓度的排放浓度和排放速率均能够满足《恶臭污染物排放标准》（GB14554-93）中的表2标准要求；对于少量无组织排放臭气，通过空间扩散以及地下车库的抽排风系统，能够达到《医疗机构水污染物排放标准》（GB18466-2005）中污水站臭气排放标准，不会对周围环境及较近学校、居民敏感点造成不良影响，也不会对院区病人、职工造成臭气影响。</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4、垃圾站臭气的防治措施</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医院内实现生活垃圾袋装化，在每个单元出入口设置垃圾收集桶，由保洁人员每天定时进行收集，再由环卫部门定时清运至城市垃圾填埋场处置，做到日产日清。垃圾站周围需用乔灌木绿化隔离，减缓对医院内部的影响。</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综上所述，项目在采取本环评建议的废气防治措施后，废气不会对周围大气环境产生明显的影响，处理措施可行。</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5、汽车尾气</w:t>
      </w:r>
    </w:p>
    <w:p>
      <w:pPr>
        <w:autoSpaceDE w:val="0"/>
        <w:autoSpaceDN w:val="0"/>
        <w:adjustRightInd w:val="0"/>
        <w:snapToGrid w:val="0"/>
        <w:spacing w:line="360" w:lineRule="auto"/>
        <w:ind w:firstLine="480" w:firstLineChars="200"/>
        <w:rPr>
          <w:rFonts w:eastAsiaTheme="minorEastAsia"/>
          <w:sz w:val="24"/>
        </w:rPr>
      </w:pPr>
      <w:r>
        <w:rPr>
          <w:rFonts w:eastAsiaTheme="minorEastAsia"/>
          <w:sz w:val="24"/>
        </w:rPr>
        <w:t>地下车库设置机械排风系统，将废气引至一层地面排放，排风口离室外地坪高度大于2.5m。通过对排风口周边进行绿化，采取合理的措施疏导进入医院的机动车等措施后，产生的汽车尾气对周围环境影响很小。</w:t>
      </w:r>
    </w:p>
    <w:p>
      <w:pPr>
        <w:pStyle w:val="3"/>
        <w:snapToGrid w:val="0"/>
        <w:spacing w:before="0" w:after="0" w:line="360" w:lineRule="auto"/>
        <w:rPr>
          <w:rFonts w:ascii="Times New Roman" w:hAnsi="Times New Roman" w:eastAsiaTheme="minorEastAsia"/>
          <w:kern w:val="0"/>
          <w:sz w:val="28"/>
        </w:rPr>
      </w:pPr>
      <w:bookmarkStart w:id="184" w:name="_Toc61026627"/>
      <w:bookmarkStart w:id="185" w:name="_Toc299450853"/>
      <w:bookmarkStart w:id="186" w:name="_Toc299451053"/>
      <w:bookmarkStart w:id="187" w:name="_Toc299451815"/>
      <w:bookmarkStart w:id="188" w:name="_Toc299451623"/>
      <w:bookmarkStart w:id="189" w:name="_Toc299450953"/>
      <w:r>
        <w:rPr>
          <w:rFonts w:ascii="Times New Roman" w:hAnsi="Times New Roman" w:eastAsiaTheme="minorEastAsia"/>
          <w:kern w:val="0"/>
          <w:sz w:val="28"/>
        </w:rPr>
        <w:t>8.4 运营期噪声污染防治措施</w:t>
      </w:r>
      <w:bookmarkEnd w:id="184"/>
    </w:p>
    <w:p>
      <w:pPr>
        <w:snapToGrid w:val="0"/>
        <w:spacing w:line="360" w:lineRule="auto"/>
        <w:ind w:firstLine="480" w:firstLineChars="200"/>
        <w:rPr>
          <w:rFonts w:eastAsiaTheme="minorEastAsia"/>
          <w:sz w:val="24"/>
        </w:rPr>
      </w:pPr>
      <w:r>
        <w:rPr>
          <w:rFonts w:eastAsiaTheme="minorEastAsia"/>
          <w:sz w:val="24"/>
        </w:rPr>
        <w:t>项目拟采取的噪声污染防治措施有：</w:t>
      </w:r>
    </w:p>
    <w:p>
      <w:pPr>
        <w:snapToGrid w:val="0"/>
        <w:spacing w:line="360" w:lineRule="auto"/>
        <w:ind w:firstLine="480" w:firstLineChars="200"/>
        <w:rPr>
          <w:rFonts w:eastAsiaTheme="minorEastAsia"/>
          <w:sz w:val="24"/>
        </w:rPr>
      </w:pPr>
      <w:r>
        <w:rPr>
          <w:rFonts w:eastAsiaTheme="minorEastAsia"/>
          <w:sz w:val="24"/>
        </w:rPr>
        <w:t>（1）设备选型方面，在满足功能要求的前提下，泵、风机、中央空调及冷却塔等设备选用加工精度高、装配质量好、低噪设备；</w:t>
      </w:r>
    </w:p>
    <w:p>
      <w:pPr>
        <w:snapToGrid w:val="0"/>
        <w:spacing w:line="360" w:lineRule="auto"/>
        <w:ind w:firstLine="480" w:firstLineChars="200"/>
        <w:rPr>
          <w:rFonts w:eastAsiaTheme="minorEastAsia"/>
          <w:sz w:val="24"/>
        </w:rPr>
      </w:pPr>
      <w:r>
        <w:rPr>
          <w:rFonts w:eastAsiaTheme="minorEastAsia"/>
          <w:sz w:val="24"/>
        </w:rPr>
        <w:t>（2）冷水机、水泵、风机、柴油发电机、锅炉等动力设备均布置在地下层，可利用建筑墙体进行隔声，内墙面拉毛或用吸声材料处理；风机进出口安装消声器，风机、水泵进出口与管道之间设可曲挠性软接头，可曲挠橡胶接头使用在风机、水泵进出口时，应位于近风机、水泵一侧，与风机、水泵之间应安装金属变径接头，且安装在变径的大口径处。管道穿墙应加装减震垫，管道空中架设时设置减震钩固定。对有振动设备机组设防振支座和减震垫，以减振降噪；</w:t>
      </w:r>
    </w:p>
    <w:p>
      <w:pPr>
        <w:snapToGrid w:val="0"/>
        <w:spacing w:line="360" w:lineRule="auto"/>
        <w:ind w:firstLine="480" w:firstLineChars="200"/>
        <w:rPr>
          <w:rFonts w:eastAsiaTheme="minorEastAsia"/>
          <w:sz w:val="24"/>
        </w:rPr>
      </w:pPr>
      <w:r>
        <w:rPr>
          <w:rFonts w:eastAsiaTheme="minorEastAsia"/>
          <w:sz w:val="24"/>
        </w:rPr>
        <w:t>（3）为降低冷却塔噪声对本项目自身的影响，拟在风机出风口设置阻性消声器以阻止噪声能量的传播。</w:t>
      </w:r>
    </w:p>
    <w:p>
      <w:pPr>
        <w:snapToGrid w:val="0"/>
        <w:spacing w:line="360" w:lineRule="auto"/>
        <w:ind w:firstLine="480" w:firstLineChars="200"/>
        <w:rPr>
          <w:rFonts w:eastAsiaTheme="minorEastAsia"/>
          <w:sz w:val="24"/>
        </w:rPr>
      </w:pPr>
      <w:r>
        <w:rPr>
          <w:rFonts w:eastAsiaTheme="minorEastAsia"/>
          <w:sz w:val="24"/>
        </w:rPr>
        <w:t>（4）柴油发电机安装于地下一层发电机房内，电机尾气安装两级消声器：机房进、排气口安装双层消声器、排风百叶。排风机及发电机排气扇后设排风室，室内从下至上安装双层消音器，发电机组尾气管分别安装一次消声器和二次消声器。其中一次消声器为发电机组自带，二次消声器选用阻抗复合消声器。在发电机底座设置混凝土减振基础，发电机尾气管安装波纹膨胀节，以减少振动从管道传递出去。</w:t>
      </w:r>
    </w:p>
    <w:p>
      <w:pPr>
        <w:snapToGrid w:val="0"/>
        <w:spacing w:line="360" w:lineRule="auto"/>
        <w:ind w:firstLine="480" w:firstLineChars="200"/>
        <w:rPr>
          <w:rFonts w:eastAsiaTheme="minorEastAsia"/>
          <w:sz w:val="24"/>
        </w:rPr>
      </w:pPr>
      <w:r>
        <w:rPr>
          <w:rFonts w:eastAsiaTheme="minorEastAsia"/>
          <w:sz w:val="24"/>
        </w:rPr>
        <w:t>经过采取以上措施后，预计项目场界噪声能够满足《工业企业厂界环境噪声排放标准》（GB12348－2008）中的2类标准要求，对周边影响较小，防治措施可行。</w:t>
      </w:r>
    </w:p>
    <w:p>
      <w:pPr>
        <w:pStyle w:val="3"/>
        <w:snapToGrid w:val="0"/>
        <w:spacing w:before="0" w:after="0" w:line="360" w:lineRule="auto"/>
        <w:rPr>
          <w:rFonts w:ascii="Times New Roman" w:hAnsi="Times New Roman" w:eastAsiaTheme="minorEastAsia"/>
          <w:kern w:val="0"/>
          <w:sz w:val="28"/>
        </w:rPr>
      </w:pPr>
      <w:bookmarkStart w:id="190" w:name="_Toc61026628"/>
      <w:r>
        <w:rPr>
          <w:rFonts w:ascii="Times New Roman" w:hAnsi="Times New Roman" w:eastAsiaTheme="minorEastAsia"/>
          <w:kern w:val="0"/>
          <w:sz w:val="28"/>
        </w:rPr>
        <w:t>8.5 营运期固体废物处置措施</w:t>
      </w:r>
      <w:bookmarkEnd w:id="185"/>
      <w:bookmarkEnd w:id="186"/>
      <w:bookmarkEnd w:id="187"/>
      <w:bookmarkEnd w:id="188"/>
      <w:bookmarkEnd w:id="189"/>
      <w:bookmarkEnd w:id="190"/>
    </w:p>
    <w:p>
      <w:pPr>
        <w:snapToGrid w:val="0"/>
        <w:spacing w:line="360" w:lineRule="auto"/>
        <w:ind w:firstLine="480" w:firstLineChars="200"/>
        <w:rPr>
          <w:rFonts w:eastAsiaTheme="minorEastAsia"/>
          <w:sz w:val="24"/>
        </w:rPr>
      </w:pPr>
      <w:r>
        <w:rPr>
          <w:rFonts w:eastAsiaTheme="minorEastAsia"/>
          <w:sz w:val="24"/>
        </w:rPr>
        <w:t>湘阴县中医院营运期产生的固体废物主要是医疗废物、污水处理站污泥和生活垃圾。</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8.5.1 生活垃圾处置措施</w:t>
      </w:r>
    </w:p>
    <w:p>
      <w:pPr>
        <w:snapToGrid w:val="0"/>
        <w:spacing w:line="360" w:lineRule="auto"/>
        <w:ind w:firstLine="480" w:firstLineChars="200"/>
        <w:rPr>
          <w:rFonts w:eastAsiaTheme="minorEastAsia"/>
          <w:sz w:val="24"/>
        </w:rPr>
      </w:pPr>
      <w:r>
        <w:rPr>
          <w:rFonts w:eastAsiaTheme="minorEastAsia"/>
          <w:sz w:val="24"/>
        </w:rPr>
        <w:t>生活垃圾收集实行分类化、纸质包装、金属包装、塑料包装和玻璃包装等通过分类收集（可利用、不可回收利用）减少垃圾的填埋量，提高资源的利用率。同时与环卫部门联系，使项目的生活垃圾及时收集，及时清运至城市垃圾中转站，再定时清运进入城市垃圾厂统一处理，可以避免生活垃圾长时间堆放引起环境污染，措施可行。</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8.5.2 医疗固废、污水处理站污泥</w:t>
      </w:r>
    </w:p>
    <w:p>
      <w:pPr>
        <w:snapToGrid w:val="0"/>
        <w:spacing w:line="360" w:lineRule="auto"/>
        <w:ind w:firstLine="480" w:firstLineChars="200"/>
        <w:rPr>
          <w:rFonts w:eastAsiaTheme="minorEastAsia"/>
          <w:sz w:val="24"/>
        </w:rPr>
      </w:pPr>
      <w:r>
        <w:rPr>
          <w:rFonts w:eastAsiaTheme="minorEastAsia"/>
          <w:sz w:val="24"/>
        </w:rPr>
        <w:t>项目医疗废物、污水处理站污泥属于危险废物，</w:t>
      </w:r>
      <w:r>
        <w:rPr>
          <w:rFonts w:eastAsiaTheme="minorEastAsia"/>
          <w:sz w:val="24"/>
          <w:u w:val="single"/>
        </w:rPr>
        <w:t>按照《医疗废物管理条例》、《医疗卫生机构医疗废物管理办法》、《危险废物贮存污染控制标准》、《医疗废物转运车技术要求（试行）》</w:t>
      </w:r>
      <w:r>
        <w:rPr>
          <w:rFonts w:hint="eastAsia" w:eastAsiaTheme="minorEastAsia"/>
          <w:sz w:val="24"/>
          <w:u w:val="single"/>
        </w:rPr>
        <w:t>、《医疗废物集中处置技术规范》（环发〔2003〕206号）</w:t>
      </w:r>
      <w:r>
        <w:rPr>
          <w:rFonts w:eastAsiaTheme="minorEastAsia"/>
          <w:sz w:val="24"/>
          <w:u w:val="single"/>
        </w:rPr>
        <w:t>等有关管理规范</w:t>
      </w:r>
      <w:r>
        <w:rPr>
          <w:rFonts w:eastAsiaTheme="minorEastAsia"/>
          <w:sz w:val="24"/>
        </w:rPr>
        <w:t>，并参照部分国内外医院废弃物的处理处置措施，提出以下污染防治措施。</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分类收集</w:t>
      </w:r>
    </w:p>
    <w:p>
      <w:pPr>
        <w:snapToGrid w:val="0"/>
        <w:spacing w:line="360" w:lineRule="auto"/>
        <w:ind w:firstLine="480" w:firstLineChars="200"/>
        <w:rPr>
          <w:rFonts w:eastAsiaTheme="minorEastAsia"/>
          <w:sz w:val="24"/>
        </w:rPr>
      </w:pPr>
      <w:r>
        <w:rPr>
          <w:rFonts w:eastAsiaTheme="minorEastAsia"/>
          <w:sz w:val="24"/>
        </w:rPr>
        <w:t>医院大部分废物（80%~85%）是没有危害的普通固体废物，不需要特别处理。但是一些没有危害性的垃圾同其他具有危害性的或传染性的污物混合在一起，其混合垃圾就要像有害的垃圾一样对待，需要特别的搬运和处置。因此对垃圾污物进行分类是对垃圾污物进行有效处理的前提。</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收集容器设置要求</w:t>
      </w:r>
    </w:p>
    <w:p>
      <w:pPr>
        <w:snapToGrid w:val="0"/>
        <w:spacing w:line="360" w:lineRule="auto"/>
        <w:ind w:firstLine="480" w:firstLineChars="200"/>
        <w:rPr>
          <w:rFonts w:eastAsiaTheme="minorEastAsia"/>
          <w:sz w:val="24"/>
        </w:rPr>
      </w:pPr>
      <w:r>
        <w:rPr>
          <w:rFonts w:eastAsiaTheme="minorEastAsia"/>
          <w:sz w:val="24"/>
        </w:rPr>
        <w:t>医疗废物收集容器应符合《医疗废物专用包装物、容器的标准和警示标识的规定》(环发[2003]188号)要求。</w:t>
      </w:r>
    </w:p>
    <w:p>
      <w:pPr>
        <w:snapToGrid w:val="0"/>
        <w:spacing w:line="360" w:lineRule="auto"/>
        <w:ind w:firstLine="480" w:firstLineChars="200"/>
        <w:rPr>
          <w:rFonts w:eastAsiaTheme="minorEastAsia"/>
          <w:sz w:val="24"/>
        </w:rPr>
      </w:pPr>
      <w:r>
        <w:rPr>
          <w:rFonts w:eastAsiaTheme="minorEastAsia"/>
          <w:sz w:val="24"/>
        </w:rPr>
        <w:t>盛装医疗废物的每个包装物、容器外表面应当有警示标识，在每个包装物、容器上应当系中文标签，中文标签的内容应当包括：医疗废物产生单位、产生日期、类别及需要的特别说明等。</w:t>
      </w:r>
    </w:p>
    <w:p>
      <w:pPr>
        <w:snapToGrid w:val="0"/>
        <w:spacing w:line="360" w:lineRule="auto"/>
        <w:ind w:firstLine="480" w:firstLineChars="200"/>
        <w:rPr>
          <w:rFonts w:eastAsiaTheme="minorEastAsia"/>
          <w:sz w:val="24"/>
        </w:rPr>
      </w:pPr>
      <w:r>
        <w:rPr>
          <w:rFonts w:eastAsiaTheme="minorEastAsia"/>
          <w:sz w:val="24"/>
        </w:rPr>
        <w:t>包装袋不得使用聚氯乙烯（PVC）塑料为制造原料，聚乙烯（PE）包装袋正常使用时不得渗漏、破裂、穿孔；最大容积为0.1m3, 大小和形状适中，便于搬运和配合周转箱（桶）盛状；如果使用线型低密度聚乙烯（LLDPE）或低密度聚乙烯与线型低密度聚乙烯共混（LLDPE+LDPE）为原料，其最小公称厚度应为150μm；如果使用中密度或高密度聚乙烯（MDPE，HDPE），其最小公称厚度应为80μm；、包装袋的颜色为黄色，并有盛装医疗废物类型的文字说明，如盛装感染性废物，应在包装袋上加注“感染性废物”字样； 包装袋上医疗废物警示标识。</w:t>
      </w:r>
    </w:p>
    <w:p>
      <w:pPr>
        <w:snapToGrid w:val="0"/>
        <w:spacing w:line="360" w:lineRule="auto"/>
        <w:ind w:firstLine="480" w:firstLineChars="200"/>
        <w:rPr>
          <w:rFonts w:eastAsiaTheme="minorEastAsia"/>
          <w:sz w:val="24"/>
        </w:rPr>
      </w:pPr>
      <w:r>
        <w:rPr>
          <w:rFonts w:eastAsiaTheme="minorEastAsia"/>
          <w:sz w:val="24"/>
        </w:rPr>
        <w:t>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1.5m高处垂直跌落至水泥地面，连续3次，利器盒不会出现破裂、被刺穿等情况；利器盒易于焚烧，不得使用聚氯乙烯（PVC）塑料作为制造原材料；利器盒整体颜色为黄色，在盒体侧面注明“损伤性废物”；利器盒上应印制本规定第五条确定的医疗废物警示标识。</w:t>
      </w:r>
    </w:p>
    <w:p>
      <w:pPr>
        <w:snapToGrid w:val="0"/>
        <w:spacing w:line="360" w:lineRule="auto"/>
        <w:ind w:firstLine="480" w:firstLineChars="200"/>
        <w:rPr>
          <w:rFonts w:eastAsiaTheme="minorEastAsia"/>
          <w:sz w:val="24"/>
        </w:rPr>
      </w:pPr>
      <w:r>
        <w:rPr>
          <w:rFonts w:eastAsiaTheme="minorEastAsia"/>
          <w:sz w:val="24"/>
        </w:rPr>
        <w:t>周转箱整体为硬制材料，防液体渗漏，可一次性或多次重复使用；多次重复使用的周转箱（桶）应能被快速消毒或清洗；周转箱（桶）整体为黄色，外表面应印（喷）制医疗废物警示标识和文字说明。应选用高密度聚乙烯（HDPE）为原料采用注射工艺生产；箱体盖选用高密度聚乙烯与聚丙烯（PP）共混或专用料采用注射工艺生产。 箱体箱盖设密封槽，整体装配密闭。箱体与箱盖能牢固扣紧，扣紧后不分离。表面光滑平整，无裂损，不允许明显凹陷，边缘及端手无毛刺。浇口处不影响箱子平置。不允许≥2mm杂质存在；箱底、顶部有配合牙槽，具有防滑功能。</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分类管理</w:t>
      </w:r>
    </w:p>
    <w:p>
      <w:pPr>
        <w:snapToGrid w:val="0"/>
        <w:spacing w:line="360" w:lineRule="auto"/>
        <w:ind w:firstLine="480" w:firstLineChars="200"/>
        <w:rPr>
          <w:rFonts w:eastAsiaTheme="minorEastAsia"/>
          <w:sz w:val="24"/>
        </w:rPr>
      </w:pPr>
      <w:r>
        <w:rPr>
          <w:rFonts w:eastAsiaTheme="minorEastAsia"/>
          <w:sz w:val="24"/>
        </w:rPr>
        <w:t>按照《医疗废物专用包装物、容器的标准和警示标识的规定》，根据医疗废物的类别，将医疗废物分置于符合的包装物或者容器内；在盛装医疗废物前，应当对医疗废物包装物或者容器进行认真检查，确保无破损、渗漏和其它缺陷。</w:t>
      </w:r>
    </w:p>
    <w:p>
      <w:pPr>
        <w:snapToGrid w:val="0"/>
        <w:spacing w:line="360" w:lineRule="auto"/>
        <w:ind w:firstLine="480" w:firstLineChars="200"/>
        <w:rPr>
          <w:rFonts w:eastAsiaTheme="minorEastAsia"/>
          <w:sz w:val="24"/>
        </w:rPr>
      </w:pPr>
      <w:r>
        <w:rPr>
          <w:rFonts w:eastAsiaTheme="minorEastAsia"/>
          <w:sz w:val="24"/>
        </w:rPr>
        <w:t>感染性废物、病理性废物、损伤性废物、药物性废物及化学性废物不能混合收集。</w:t>
      </w:r>
    </w:p>
    <w:p>
      <w:pPr>
        <w:snapToGrid w:val="0"/>
        <w:spacing w:line="360" w:lineRule="auto"/>
        <w:ind w:firstLine="480" w:firstLineChars="200"/>
        <w:rPr>
          <w:rFonts w:eastAsiaTheme="minorEastAsia"/>
          <w:sz w:val="24"/>
        </w:rPr>
      </w:pPr>
      <w:r>
        <w:rPr>
          <w:rFonts w:eastAsiaTheme="minorEastAsia"/>
          <w:sz w:val="24"/>
        </w:rPr>
        <w:t>在医院污水处理过程中，污水中所含的80%以上的病菌和90%以上的寄生虫卵被浓集在污泥中。根据《国家危险废物名录》，污泥属于危险废物的范畴，因此必须按照医疗废物处理要求做好医院污泥的消毒处理，使之达到GB18466-2001《医疗机构污水排放要求》方能排放。</w:t>
      </w:r>
    </w:p>
    <w:p>
      <w:pPr>
        <w:snapToGrid w:val="0"/>
        <w:spacing w:line="360" w:lineRule="auto"/>
        <w:ind w:firstLine="480" w:firstLineChars="200"/>
        <w:rPr>
          <w:rFonts w:eastAsiaTheme="minorEastAsia"/>
          <w:sz w:val="24"/>
        </w:rPr>
      </w:pPr>
      <w:r>
        <w:rPr>
          <w:rFonts w:eastAsiaTheme="minorEastAsia"/>
          <w:sz w:val="24"/>
        </w:rPr>
        <w:t>污泥消毒方法有物理法、化学法和生物法。如低热消毒、堆肥、氯化消毒、石灰消毒和辐照消毒等。本项目污水处理站污泥经石灰消毒处理后委托资质单位进行处理。</w:t>
      </w:r>
    </w:p>
    <w:p>
      <w:pPr>
        <w:snapToGrid w:val="0"/>
        <w:spacing w:line="360" w:lineRule="auto"/>
        <w:ind w:firstLine="480" w:firstLineChars="200"/>
        <w:rPr>
          <w:rFonts w:eastAsiaTheme="minorEastAsia"/>
          <w:sz w:val="24"/>
        </w:rPr>
      </w:pPr>
      <w:r>
        <w:rPr>
          <w:rFonts w:eastAsiaTheme="minorEastAsia"/>
          <w:sz w:val="24"/>
        </w:rPr>
        <w:t>本项目医疗废物全部由岳阳市方向固废安全处置有限公司收集后统一处置。</w:t>
      </w:r>
    </w:p>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暂时贮存要求</w:t>
      </w:r>
    </w:p>
    <w:p>
      <w:pPr>
        <w:snapToGrid w:val="0"/>
        <w:spacing w:line="360" w:lineRule="auto"/>
        <w:ind w:firstLine="480" w:firstLineChars="200"/>
        <w:rPr>
          <w:rFonts w:eastAsiaTheme="minorEastAsia"/>
          <w:sz w:val="24"/>
        </w:rPr>
      </w:pPr>
      <w:r>
        <w:rPr>
          <w:rFonts w:eastAsiaTheme="minorEastAsia"/>
          <w:sz w:val="24"/>
        </w:rPr>
        <w:t>医院内废物袋（箱）在就地处理或异地处理之前，均需集中存放在医院医疗固废暂存间内。医院医疗固废暂存间一定要和普通垃圾分开存放，并有醒目的标牌，易于识别。</w:t>
      </w:r>
    </w:p>
    <w:p>
      <w:pPr>
        <w:snapToGrid w:val="0"/>
        <w:spacing w:line="360" w:lineRule="auto"/>
        <w:ind w:firstLine="480" w:firstLineChars="200"/>
        <w:rPr>
          <w:rFonts w:eastAsiaTheme="minorEastAsia"/>
          <w:sz w:val="24"/>
        </w:rPr>
      </w:pPr>
      <w:r>
        <w:rPr>
          <w:rFonts w:eastAsiaTheme="minorEastAsia"/>
          <w:sz w:val="24"/>
        </w:rPr>
        <w:t>尽量减少各废物产生地向医院医疗固废暂存间的开放式转运。存放地点应便于内部转运与外运，尽量远离食品加工和人员活动场所。医院医疗固废暂存间采取措施，防止动物进出和昆虫的侵扰。</w:t>
      </w:r>
    </w:p>
    <w:p>
      <w:pPr>
        <w:snapToGrid w:val="0"/>
        <w:spacing w:line="360" w:lineRule="auto"/>
        <w:ind w:firstLine="480" w:firstLineChars="200"/>
        <w:rPr>
          <w:rFonts w:eastAsiaTheme="minorEastAsia"/>
          <w:sz w:val="24"/>
        </w:rPr>
      </w:pPr>
      <w:r>
        <w:rPr>
          <w:rFonts w:eastAsiaTheme="minorEastAsia"/>
          <w:sz w:val="24"/>
        </w:rPr>
        <w:t>医院医疗固废暂存间内应设有冲洗及消毒设施，应有防止泄漏的保护设施，冲洗水应排入医院污水处理站。</w:t>
      </w:r>
    </w:p>
    <w:p>
      <w:pPr>
        <w:snapToGrid w:val="0"/>
        <w:spacing w:line="360" w:lineRule="auto"/>
        <w:ind w:firstLine="480" w:firstLineChars="200"/>
        <w:rPr>
          <w:rFonts w:eastAsiaTheme="minorEastAsia"/>
          <w:sz w:val="24"/>
        </w:rPr>
      </w:pPr>
      <w:r>
        <w:rPr>
          <w:rFonts w:eastAsiaTheme="minorEastAsia"/>
          <w:sz w:val="24"/>
        </w:rPr>
        <w:t>医疗废物暂时贮存库房的要求：</w:t>
      </w:r>
    </w:p>
    <w:p>
      <w:pPr>
        <w:snapToGrid w:val="0"/>
        <w:spacing w:line="360" w:lineRule="auto"/>
        <w:ind w:firstLine="480" w:firstLineChars="200"/>
        <w:rPr>
          <w:rFonts w:eastAsiaTheme="minorEastAsia"/>
          <w:sz w:val="24"/>
        </w:rPr>
      </w:pPr>
      <w:r>
        <w:rPr>
          <w:rFonts w:eastAsiaTheme="minorEastAsia"/>
          <w:sz w:val="24"/>
        </w:rPr>
        <w:t xml:space="preserve">a、必须与生活垃圾存放地分开，有防雨淋的装置，地基高度应确保设施内不受雨洪冲击或浸泡； </w:t>
      </w:r>
    </w:p>
    <w:p>
      <w:pPr>
        <w:snapToGrid w:val="0"/>
        <w:spacing w:line="360" w:lineRule="auto"/>
        <w:ind w:firstLine="480" w:firstLineChars="200"/>
        <w:rPr>
          <w:rFonts w:eastAsiaTheme="minorEastAsia"/>
          <w:sz w:val="24"/>
        </w:rPr>
      </w:pPr>
      <w:r>
        <w:rPr>
          <w:rFonts w:eastAsiaTheme="minorEastAsia"/>
          <w:sz w:val="24"/>
        </w:rPr>
        <w:t xml:space="preserve">b、必须与医疗区和人员活动密集区隔开，方便医疗废物的装卸、装卸人员及运送车辆的出入； </w:t>
      </w:r>
    </w:p>
    <w:p>
      <w:pPr>
        <w:snapToGrid w:val="0"/>
        <w:spacing w:line="360" w:lineRule="auto"/>
        <w:ind w:firstLine="480" w:firstLineChars="200"/>
        <w:rPr>
          <w:rFonts w:eastAsiaTheme="minorEastAsia"/>
          <w:sz w:val="24"/>
        </w:rPr>
      </w:pPr>
      <w:r>
        <w:rPr>
          <w:rFonts w:eastAsiaTheme="minorEastAsia"/>
          <w:sz w:val="24"/>
        </w:rPr>
        <w:t xml:space="preserve">c、应有严密的封闭措施，设专人管理，避免非工作人员进出，以及防鼠、防蚊蝇、防蟑螂、防盗以及预防儿童接触等安全措施； </w:t>
      </w:r>
    </w:p>
    <w:p>
      <w:pPr>
        <w:snapToGrid w:val="0"/>
        <w:spacing w:line="360" w:lineRule="auto"/>
        <w:ind w:firstLine="480" w:firstLineChars="200"/>
        <w:rPr>
          <w:rFonts w:eastAsiaTheme="minorEastAsia"/>
          <w:sz w:val="24"/>
        </w:rPr>
      </w:pPr>
      <w:r>
        <w:rPr>
          <w:rFonts w:eastAsiaTheme="minorEastAsia"/>
          <w:sz w:val="24"/>
        </w:rPr>
        <w:t xml:space="preserve">d、地面和1.0米高的墙裙须进行防渗处理，地面有良好的排水性能，易于清洁和消毒，产生的废水应采用管道直接排入医疗卫生机构内的医疗废水消毒、处理系统，禁止将产生的废水直接排入外环境； </w:t>
      </w:r>
    </w:p>
    <w:p>
      <w:pPr>
        <w:snapToGrid w:val="0"/>
        <w:spacing w:line="360" w:lineRule="auto"/>
        <w:ind w:firstLine="480" w:firstLineChars="200"/>
        <w:rPr>
          <w:rFonts w:eastAsiaTheme="minorEastAsia"/>
          <w:sz w:val="24"/>
        </w:rPr>
      </w:pPr>
      <w:r>
        <w:rPr>
          <w:rFonts w:eastAsiaTheme="minorEastAsia"/>
          <w:sz w:val="24"/>
        </w:rPr>
        <w:t xml:space="preserve">e、库房外宜设有供水龙头，以供暂时贮存库房的清洗用； </w:t>
      </w:r>
    </w:p>
    <w:p>
      <w:pPr>
        <w:snapToGrid w:val="0"/>
        <w:spacing w:line="360" w:lineRule="auto"/>
        <w:ind w:firstLine="480" w:firstLineChars="200"/>
        <w:rPr>
          <w:rFonts w:eastAsiaTheme="minorEastAsia"/>
          <w:sz w:val="24"/>
        </w:rPr>
      </w:pPr>
      <w:r>
        <w:rPr>
          <w:rFonts w:eastAsiaTheme="minorEastAsia"/>
          <w:sz w:val="24"/>
        </w:rPr>
        <w:t xml:space="preserve">f、避免阳光直射库内，应有良好的照明设备和通风条件； </w:t>
      </w:r>
    </w:p>
    <w:p>
      <w:pPr>
        <w:snapToGrid w:val="0"/>
        <w:spacing w:line="360" w:lineRule="auto"/>
        <w:ind w:firstLine="480" w:firstLineChars="200"/>
        <w:rPr>
          <w:rFonts w:eastAsiaTheme="minorEastAsia"/>
          <w:sz w:val="24"/>
        </w:rPr>
      </w:pPr>
      <w:r>
        <w:rPr>
          <w:rFonts w:eastAsiaTheme="minorEastAsia"/>
          <w:sz w:val="24"/>
        </w:rPr>
        <w:t xml:space="preserve">g、库房内应张贴“禁止吸烟、饮食”的警示标识； </w:t>
      </w:r>
    </w:p>
    <w:p>
      <w:pPr>
        <w:snapToGrid w:val="0"/>
        <w:spacing w:line="360" w:lineRule="auto"/>
        <w:ind w:firstLine="480" w:firstLineChars="200"/>
        <w:rPr>
          <w:rFonts w:eastAsiaTheme="minorEastAsia"/>
          <w:sz w:val="24"/>
        </w:rPr>
      </w:pPr>
      <w:r>
        <w:rPr>
          <w:rFonts w:eastAsiaTheme="minorEastAsia"/>
          <w:sz w:val="24"/>
        </w:rPr>
        <w:t>h、应按《环境保护图形标志—固体废物贮存（处置）场》（GB15562.2）和卫生、环保部门制定的专用医疗废物警示标识要求，在库房外的明显处同时设置危险废物和医疗废物的警示标识。</w:t>
      </w:r>
    </w:p>
    <w:p>
      <w:pPr>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医疗废物的交接</w:t>
      </w:r>
    </w:p>
    <w:p>
      <w:pPr>
        <w:snapToGrid w:val="0"/>
        <w:spacing w:line="360" w:lineRule="auto"/>
        <w:ind w:firstLine="480" w:firstLineChars="200"/>
        <w:rPr>
          <w:rFonts w:eastAsiaTheme="minorEastAsia"/>
          <w:sz w:val="24"/>
        </w:rPr>
      </w:pPr>
      <w:r>
        <w:rPr>
          <w:rFonts w:eastAsiaTheme="minorEastAsia"/>
          <w:sz w:val="24"/>
        </w:rPr>
        <w:t>本项目医疗废物统一交由岳阳市方向固废安全处置有限公司集中处理。按照《医疗废物转运车技术要求（试行）》，医疗废物运送人员在接收医疗废物时，应外观检查医疗卫生机构是否按规定进行包装、标识，并盛装于周转箱内，不得打开包装袋取出医疗废物。对包装破损、包装外表污染或未盛装于周转箱内的医疗废物，医疗废物运送人员应当要求医疗卫生机构重新包装、标识，并盛装于周转箱内。拒不按规定对医疗废物进行包装的，运送人员有权拒绝运送，并向当地环保部门报告。</w:t>
      </w:r>
    </w:p>
    <w:p>
      <w:pPr>
        <w:snapToGrid w:val="0"/>
        <w:spacing w:line="360" w:lineRule="auto"/>
        <w:ind w:firstLine="480" w:firstLineChars="200"/>
        <w:rPr>
          <w:rFonts w:eastAsiaTheme="minorEastAsia"/>
          <w:sz w:val="24"/>
        </w:rPr>
      </w:pPr>
      <w:r>
        <w:rPr>
          <w:rFonts w:hint="eastAsia" w:ascii="宋体" w:hAnsi="宋体" w:cs="宋体"/>
          <w:sz w:val="24"/>
        </w:rPr>
        <w:t>⑥</w:t>
      </w:r>
      <w:r>
        <w:rPr>
          <w:rFonts w:eastAsiaTheme="minorEastAsia"/>
          <w:sz w:val="24"/>
        </w:rPr>
        <w:t>医疗废物的运输</w:t>
      </w:r>
    </w:p>
    <w:p>
      <w:pPr>
        <w:snapToGrid w:val="0"/>
        <w:spacing w:line="360" w:lineRule="auto"/>
        <w:ind w:firstLine="480" w:firstLineChars="200"/>
        <w:rPr>
          <w:rFonts w:eastAsiaTheme="minorEastAsia"/>
          <w:sz w:val="24"/>
        </w:rPr>
      </w:pPr>
      <w:r>
        <w:rPr>
          <w:rFonts w:eastAsiaTheme="minorEastAsia"/>
          <w:sz w:val="24"/>
        </w:rPr>
        <w:t>按《医疗废物转运车技术要求（试行）》规范要求如下：</w:t>
      </w:r>
    </w:p>
    <w:p>
      <w:pPr>
        <w:snapToGrid w:val="0"/>
        <w:spacing w:line="360" w:lineRule="auto"/>
        <w:ind w:firstLine="480" w:firstLineChars="200"/>
        <w:rPr>
          <w:rFonts w:eastAsiaTheme="minorEastAsia"/>
          <w:sz w:val="24"/>
        </w:rPr>
      </w:pPr>
      <w:r>
        <w:rPr>
          <w:rFonts w:eastAsiaTheme="minorEastAsia"/>
          <w:sz w:val="24"/>
        </w:rPr>
        <w:t>a、医疗废物转运车辆应配备专用的箱子，放置因意外发生事故后防止污染扩散的用品，如消毒器械及消毒剂、收集工具及包装袋、人员卫生防护用品等。</w:t>
      </w:r>
    </w:p>
    <w:p>
      <w:pPr>
        <w:snapToGrid w:val="0"/>
        <w:spacing w:line="360" w:lineRule="auto"/>
        <w:ind w:firstLine="480" w:firstLineChars="200"/>
        <w:rPr>
          <w:rFonts w:eastAsiaTheme="minorEastAsia"/>
          <w:sz w:val="24"/>
        </w:rPr>
      </w:pPr>
      <w:r>
        <w:rPr>
          <w:rFonts w:eastAsiaTheme="minorEastAsia"/>
          <w:sz w:val="24"/>
        </w:rPr>
        <w:t>b、车厢内部表面，应采用防水、耐腐蚀、便于消毒和清洗的材料，表面平整，具有一定强度，车厢底部周边及转角应圆滑，不留死角；车厢的密封材料同样应耐腐蚀，车厢应经防渗处理；车厢外部颜色为白色或银灰色；医疗废物转运车应在车辆的前部、后部及车厢两侧喷涂警示性标志。</w:t>
      </w:r>
    </w:p>
    <w:p>
      <w:pPr>
        <w:snapToGrid w:val="0"/>
        <w:spacing w:line="360" w:lineRule="auto"/>
        <w:ind w:firstLine="480" w:firstLineChars="200"/>
        <w:rPr>
          <w:rFonts w:eastAsiaTheme="minorEastAsia"/>
          <w:sz w:val="24"/>
        </w:rPr>
      </w:pPr>
      <w:r>
        <w:rPr>
          <w:rFonts w:eastAsiaTheme="minorEastAsia"/>
          <w:sz w:val="24"/>
        </w:rPr>
        <w:t>c、医疗废物转运车在铁路（或水路）运输时应以自驶（或拖拽）方式上下车（船），若必须用吊装方式装卸时，应防止损伤产品。</w:t>
      </w:r>
    </w:p>
    <w:p>
      <w:pPr>
        <w:snapToGrid w:val="0"/>
        <w:spacing w:line="360" w:lineRule="auto"/>
        <w:ind w:firstLine="480" w:firstLineChars="200"/>
        <w:rPr>
          <w:rFonts w:eastAsiaTheme="minorEastAsia"/>
          <w:sz w:val="24"/>
        </w:rPr>
      </w:pPr>
      <w:r>
        <w:rPr>
          <w:rFonts w:eastAsiaTheme="minorEastAsia"/>
          <w:sz w:val="24"/>
        </w:rPr>
        <w:t>d、医疗废物转运车停用时，应将车厢内、外进行彻底消毒、清洗、晾干，锁上车厢门和驾驶室，停放在通风、防潮、防暴晒、无腐蚀气体侵害的场所。停用期间不得用于其他目的运输；车辆报废时，车厢部分应进行严格消毒后再进行废物处理。</w:t>
      </w:r>
    </w:p>
    <w:p>
      <w:pPr>
        <w:snapToGrid w:val="0"/>
        <w:spacing w:line="360" w:lineRule="auto"/>
        <w:ind w:firstLine="480" w:firstLineChars="200"/>
        <w:rPr>
          <w:rFonts w:eastAsiaTheme="minorEastAsia"/>
          <w:sz w:val="24"/>
        </w:rPr>
      </w:pPr>
      <w:r>
        <w:rPr>
          <w:rFonts w:eastAsiaTheme="minorEastAsia"/>
          <w:sz w:val="24"/>
        </w:rPr>
        <w:t>（4）事故应急措施</w:t>
      </w:r>
    </w:p>
    <w:p>
      <w:pPr>
        <w:snapToGrid w:val="0"/>
        <w:spacing w:line="360" w:lineRule="auto"/>
        <w:ind w:firstLine="480" w:firstLineChars="200"/>
        <w:rPr>
          <w:rFonts w:eastAsiaTheme="minorEastAsia"/>
          <w:sz w:val="24"/>
        </w:rPr>
      </w:pPr>
      <w:r>
        <w:rPr>
          <w:rFonts w:eastAsiaTheme="minorEastAsia"/>
          <w:sz w:val="24"/>
        </w:rPr>
        <w:t>发生医疗废物流失、泄漏、扩散和意外事故时，应当按照以下要求及时采取紧急处理措施：（1）确定流失、泄漏、扩散的医疗废物的类别、数量、发生时、影响范围及严重程度；（2）组织有关人员尽快按照应急方案，对发生医疗废物泄漏、扩散的现场进行处理；（3）对被医疗废物污染的区域进行处理时，应当尽可能减少对病人、医务人员、其它现场人员及环境的影响；（4）采取适当的安全处置措施，对泄漏及受污染的区域、物品进行消毒或者其它无害化处置，必要时封锁污染区域，以防扩大污染；（5）对感染性废物污染区域进行消毒时，消毒工作从污染最轻区域向污染最严重区域进行，对可能被污染的所有使用过的工具也应当进行消毒；工作人员应当做好卫生安全防护后进行工作。（6）处理工作结束后，应当对事件的起因进行调查，并采取有效的防范措施预防类似事件的发生。</w:t>
      </w:r>
    </w:p>
    <w:p>
      <w:pPr>
        <w:pStyle w:val="3"/>
        <w:snapToGrid w:val="0"/>
        <w:spacing w:before="0" w:after="0" w:line="360" w:lineRule="auto"/>
        <w:rPr>
          <w:rFonts w:ascii="Times New Roman" w:hAnsi="Times New Roman" w:eastAsiaTheme="minorEastAsia"/>
          <w:kern w:val="0"/>
          <w:sz w:val="28"/>
        </w:rPr>
      </w:pPr>
      <w:bookmarkStart w:id="191" w:name="_Toc61026629"/>
      <w:r>
        <w:rPr>
          <w:rFonts w:ascii="Times New Roman" w:hAnsi="Times New Roman" w:eastAsiaTheme="minorEastAsia"/>
          <w:kern w:val="0"/>
          <w:sz w:val="28"/>
        </w:rPr>
        <w:t>8.6 生态防护措施</w:t>
      </w:r>
      <w:bookmarkEnd w:id="191"/>
    </w:p>
    <w:p>
      <w:pPr>
        <w:snapToGrid w:val="0"/>
        <w:spacing w:line="360" w:lineRule="auto"/>
        <w:ind w:firstLine="480" w:firstLineChars="200"/>
        <w:rPr>
          <w:rFonts w:eastAsiaTheme="minorEastAsia"/>
          <w:sz w:val="24"/>
        </w:rPr>
      </w:pPr>
      <w:r>
        <w:rPr>
          <w:rFonts w:eastAsiaTheme="minorEastAsia"/>
          <w:sz w:val="24"/>
        </w:rPr>
        <w:t>（1）绿化系统</w:t>
      </w:r>
    </w:p>
    <w:p>
      <w:pPr>
        <w:snapToGrid w:val="0"/>
        <w:spacing w:line="360" w:lineRule="auto"/>
        <w:ind w:firstLine="480" w:firstLineChars="200"/>
        <w:rPr>
          <w:rFonts w:eastAsiaTheme="minorEastAsia"/>
          <w:sz w:val="24"/>
        </w:rPr>
      </w:pPr>
      <w:r>
        <w:rPr>
          <w:rFonts w:eastAsiaTheme="minorEastAsia"/>
          <w:sz w:val="24"/>
        </w:rPr>
        <w:t>定期对院内绿化带进行养护，保证绿地质量，减少或避免营运期水土流失和生态破坏现象。对于非乡土植物种的引入，应在当地林业部门的指导下进行，并将引入的植物名录报林业部门备案。对引入植物应严格划定区域定点栽培，不得随意栽植或移植。对于果实、种子、营养繁殖体等植物繁殖构件应做好收获与管理工作，不得随意丢弃，如无栽培需要，应将收获的繁殖构件销毁。</w:t>
      </w:r>
    </w:p>
    <w:p>
      <w:pPr>
        <w:snapToGrid w:val="0"/>
        <w:spacing w:line="360" w:lineRule="auto"/>
        <w:ind w:firstLine="480" w:firstLineChars="200"/>
        <w:rPr>
          <w:rFonts w:eastAsiaTheme="minorEastAsia"/>
          <w:sz w:val="24"/>
        </w:rPr>
      </w:pPr>
      <w:r>
        <w:rPr>
          <w:rFonts w:eastAsiaTheme="minorEastAsia"/>
          <w:sz w:val="24"/>
        </w:rPr>
        <w:t>建议有关单位做好规划，加强周边用地的管理，促进周边区域景观生态环境的协调、统一。主要生态保护措施如下：</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医院内植物组群类型和分布，应根据本地气候状况以及医疗区内部的立地条件。结合景观构想和当地居民的审美习惯确定，做到充分绿化及满足多种游憩和审美需求。</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医院内水、电、燃气等线路布置，不得破坏景观，不宜设置架空线路；在景观较佳的区域避免设置集中的服务设施；管理设施及厕所等建筑物的位置，应隐蔽又方便使用。</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合理布置绿化树种，植被布置要求草、灌、乔木的合理分布，营造立体绿化空间。</w:t>
      </w:r>
    </w:p>
    <w:p>
      <w:pPr>
        <w:snapToGrid w:val="0"/>
        <w:spacing w:line="360" w:lineRule="auto"/>
        <w:ind w:firstLine="480" w:firstLineChars="200"/>
        <w:rPr>
          <w:rFonts w:eastAsiaTheme="minorEastAsia"/>
          <w:sz w:val="24"/>
        </w:rPr>
      </w:pPr>
      <w:r>
        <w:rPr>
          <w:rFonts w:eastAsiaTheme="minorEastAsia"/>
          <w:sz w:val="24"/>
        </w:rPr>
        <w:t>（2）绿化系统建设</w:t>
      </w:r>
    </w:p>
    <w:p>
      <w:pPr>
        <w:snapToGrid w:val="0"/>
        <w:spacing w:line="360" w:lineRule="auto"/>
        <w:ind w:firstLine="480" w:firstLineChars="200"/>
        <w:rPr>
          <w:rFonts w:eastAsiaTheme="minorEastAsia"/>
          <w:sz w:val="24"/>
        </w:rPr>
      </w:pPr>
      <w:r>
        <w:rPr>
          <w:rFonts w:eastAsiaTheme="minorEastAsia"/>
          <w:sz w:val="24"/>
        </w:rPr>
        <w:t>绿化在防治污染、保护和改善环境方面，起着特殊的作用。他具有较好的调温、调湿、吸灰、吸尘、改善环境小气候、净化空气、减弱噪声等功能，因此大力开展绿化，对增强人民健康，提高生活质量等都有一定的意义。在绿化系统的建设中，应注意以下几点：</w:t>
      </w:r>
    </w:p>
    <w:p>
      <w:pPr>
        <w:snapToGrid w:val="0"/>
        <w:spacing w:line="360" w:lineRule="auto"/>
        <w:ind w:firstLine="480" w:firstLineChars="200"/>
        <w:rPr>
          <w:rFonts w:eastAsiaTheme="minorEastAsia"/>
          <w:sz w:val="24"/>
        </w:rPr>
      </w:pPr>
      <w:r>
        <w:rPr>
          <w:rFonts w:eastAsiaTheme="minorEastAsia"/>
          <w:sz w:val="24"/>
        </w:rPr>
        <w:t>合理布局垂直绿化平面和垂直绿化相结合；乔木、灌木、草地植物协调建设；选择适合本地气候和土壤的树种，做到落叶与常绿相交，并提高绿色植物虫害防御能力。</w:t>
      </w:r>
    </w:p>
    <w:p>
      <w:pPr>
        <w:pStyle w:val="3"/>
        <w:snapToGrid w:val="0"/>
        <w:spacing w:before="0" w:after="0" w:line="360" w:lineRule="auto"/>
        <w:rPr>
          <w:rFonts w:ascii="Times New Roman" w:hAnsi="Times New Roman" w:eastAsiaTheme="minorEastAsia"/>
          <w:kern w:val="0"/>
          <w:sz w:val="28"/>
        </w:rPr>
      </w:pPr>
      <w:bookmarkStart w:id="192" w:name="_Toc61026630"/>
      <w:r>
        <w:rPr>
          <w:rFonts w:ascii="Times New Roman" w:hAnsi="Times New Roman" w:eastAsiaTheme="minorEastAsia"/>
          <w:kern w:val="0"/>
          <w:sz w:val="28"/>
        </w:rPr>
        <w:t>8.7 本章小结</w:t>
      </w:r>
      <w:bookmarkEnd w:id="192"/>
    </w:p>
    <w:p>
      <w:pPr>
        <w:snapToGrid w:val="0"/>
        <w:spacing w:line="360" w:lineRule="auto"/>
        <w:ind w:firstLine="480" w:firstLineChars="200"/>
        <w:rPr>
          <w:rFonts w:eastAsiaTheme="minorEastAsia"/>
          <w:sz w:val="24"/>
        </w:rPr>
      </w:pPr>
      <w:r>
        <w:rPr>
          <w:rFonts w:eastAsiaTheme="minorEastAsia"/>
          <w:sz w:val="24"/>
        </w:rPr>
        <w:t>本项目拟采取的污染防治措施包括废水污染防治措施、废气污染防治措施、噪声防治措施、固体废物污染防治措施等，经本章污染防治措施技术经济可行性论述，总体而言，在落实本评价报告中提出的各项污染防治措施，确保各种治理设施正常运转和废气、废水、噪声等污染物达标排放的情况下，本项目建成投产后对周边环境的影响在可接受的范围之内。因此，认为本项目采取的各项污染防治措施在技术是可行的。</w:t>
      </w:r>
    </w:p>
    <w:p>
      <w:pPr>
        <w:snapToGrid w:val="0"/>
        <w:spacing w:line="360" w:lineRule="auto"/>
        <w:ind w:firstLine="480" w:firstLineChars="200"/>
        <w:rPr>
          <w:rFonts w:eastAsiaTheme="minorEastAsia"/>
          <w:color w:val="FF0000"/>
          <w:sz w:val="24"/>
        </w:rPr>
      </w:pPr>
    </w:p>
    <w:bookmarkEnd w:id="152"/>
    <w:bookmarkEnd w:id="153"/>
    <w:bookmarkEnd w:id="154"/>
    <w:bookmarkEnd w:id="155"/>
    <w:bookmarkEnd w:id="156"/>
    <w:p>
      <w:pPr>
        <w:snapToGrid w:val="0"/>
        <w:rPr>
          <w:rFonts w:eastAsiaTheme="minorEastAsia"/>
          <w:color w:val="FF0000"/>
        </w:rPr>
        <w:sectPr>
          <w:footerReference r:id="rId18" w:type="default"/>
          <w:pgSz w:w="11906" w:h="16838"/>
          <w:pgMar w:top="1418" w:right="1304" w:bottom="1418" w:left="1474" w:header="851" w:footer="680" w:gutter="0"/>
          <w:cols w:space="720" w:num="1"/>
          <w:docGrid w:linePitch="312" w:charSpace="0"/>
        </w:sectPr>
      </w:pPr>
      <w:bookmarkStart w:id="193" w:name="_Toc299451636"/>
      <w:bookmarkStart w:id="194" w:name="_Toc299450866"/>
      <w:bookmarkStart w:id="195" w:name="_Toc299451066"/>
      <w:bookmarkStart w:id="196" w:name="_Toc299450966"/>
      <w:bookmarkStart w:id="197" w:name="_Toc299451828"/>
    </w:p>
    <w:p>
      <w:pPr>
        <w:pStyle w:val="2"/>
        <w:spacing w:after="0" w:line="480" w:lineRule="auto"/>
        <w:jc w:val="center"/>
        <w:rPr>
          <w:rFonts w:ascii="Times New Roman" w:eastAsiaTheme="minorEastAsia"/>
          <w:b/>
          <w:bCs/>
          <w:sz w:val="36"/>
          <w:szCs w:val="36"/>
          <w:lang w:val="zh-CN"/>
        </w:rPr>
      </w:pPr>
      <w:bookmarkStart w:id="198" w:name="_Toc61026631"/>
      <w:bookmarkStart w:id="199" w:name="_Toc331428023"/>
      <w:bookmarkStart w:id="200" w:name="_Toc475300572"/>
      <w:bookmarkStart w:id="201" w:name="_Toc479838380"/>
      <w:r>
        <w:rPr>
          <w:rFonts w:ascii="Times New Roman" w:eastAsiaTheme="minorEastAsia"/>
          <w:b/>
          <w:bCs/>
          <w:sz w:val="36"/>
          <w:szCs w:val="36"/>
          <w:lang w:val="zh-CN"/>
        </w:rPr>
        <w:t>9 环境影响经济损益分析</w:t>
      </w:r>
      <w:bookmarkEnd w:id="198"/>
    </w:p>
    <w:p>
      <w:pPr>
        <w:adjustRightInd w:val="0"/>
        <w:snapToGrid w:val="0"/>
        <w:spacing w:line="360" w:lineRule="auto"/>
        <w:ind w:firstLine="480" w:firstLineChars="200"/>
        <w:jc w:val="left"/>
        <w:rPr>
          <w:rFonts w:eastAsiaTheme="minorEastAsia"/>
          <w:sz w:val="24"/>
        </w:rPr>
      </w:pPr>
      <w:r>
        <w:rPr>
          <w:rFonts w:eastAsiaTheme="minorEastAsia"/>
          <w:sz w:val="24"/>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然而，经济效益比较直观，很容易用货币直接计算，而污染影响带来的损失一般是间接的，很难用货币直接计算。因此，目前环境影响经济定量化分析难度较大，本项目环境经济损益采用定性与半定量相结合的方法进行讨论。</w:t>
      </w:r>
    </w:p>
    <w:p>
      <w:pPr>
        <w:pStyle w:val="3"/>
        <w:snapToGrid w:val="0"/>
        <w:spacing w:before="0" w:after="0" w:line="360" w:lineRule="auto"/>
        <w:rPr>
          <w:rFonts w:ascii="Times New Roman" w:hAnsi="Times New Roman" w:eastAsiaTheme="minorEastAsia"/>
          <w:kern w:val="0"/>
          <w:sz w:val="28"/>
        </w:rPr>
      </w:pPr>
      <w:bookmarkStart w:id="202" w:name="_Toc61026632"/>
      <w:r>
        <w:rPr>
          <w:rFonts w:ascii="Times New Roman" w:hAnsi="Times New Roman" w:eastAsiaTheme="minorEastAsia"/>
          <w:kern w:val="0"/>
          <w:sz w:val="28"/>
        </w:rPr>
        <w:t>9.1</w:t>
      </w:r>
      <w:bookmarkEnd w:id="199"/>
      <w:bookmarkEnd w:id="200"/>
      <w:bookmarkEnd w:id="201"/>
      <w:r>
        <w:rPr>
          <w:rFonts w:ascii="Times New Roman" w:hAnsi="Times New Roman" w:eastAsiaTheme="minorEastAsia"/>
          <w:kern w:val="0"/>
          <w:sz w:val="28"/>
        </w:rPr>
        <w:t xml:space="preserve"> 环境保护投资估算</w:t>
      </w:r>
      <w:bookmarkEnd w:id="202"/>
    </w:p>
    <w:p>
      <w:pPr>
        <w:adjustRightInd w:val="0"/>
        <w:snapToGrid w:val="0"/>
        <w:spacing w:line="360" w:lineRule="auto"/>
        <w:ind w:firstLine="480" w:firstLineChars="200"/>
        <w:jc w:val="left"/>
        <w:rPr>
          <w:rFonts w:eastAsiaTheme="minorEastAsia"/>
          <w:sz w:val="24"/>
        </w:rPr>
      </w:pPr>
      <w:r>
        <w:rPr>
          <w:rFonts w:eastAsiaTheme="minorEastAsia"/>
          <w:sz w:val="24"/>
        </w:rPr>
        <w:t>本项目建设投资约25300万元，其中环保投资约458万元，占总投资的1.81%，施工期、营运期环保投资估算见表9.1-1和表9.1-2。</w:t>
      </w:r>
    </w:p>
    <w:p>
      <w:pPr>
        <w:adjustRightInd w:val="0"/>
        <w:snapToGrid w:val="0"/>
        <w:spacing w:line="360" w:lineRule="auto"/>
        <w:ind w:firstLine="480" w:firstLineChars="200"/>
        <w:jc w:val="left"/>
        <w:rPr>
          <w:rFonts w:eastAsiaTheme="minorEastAsia"/>
          <w:sz w:val="24"/>
        </w:rPr>
      </w:pPr>
      <w:r>
        <w:rPr>
          <w:rFonts w:eastAsiaTheme="minorEastAsia"/>
          <w:sz w:val="24"/>
        </w:rPr>
        <w:t>（1）施工期污染控制投资估算</w:t>
      </w:r>
    </w:p>
    <w:p>
      <w:pPr>
        <w:adjustRightInd w:val="0"/>
        <w:snapToGrid w:val="0"/>
        <w:spacing w:line="360" w:lineRule="auto"/>
        <w:ind w:firstLine="480" w:firstLineChars="200"/>
        <w:jc w:val="left"/>
        <w:rPr>
          <w:rFonts w:eastAsiaTheme="minorEastAsia"/>
          <w:sz w:val="24"/>
        </w:rPr>
      </w:pPr>
      <w:r>
        <w:rPr>
          <w:rFonts w:eastAsiaTheme="minorEastAsia"/>
          <w:sz w:val="24"/>
        </w:rPr>
        <w:t>本项目的施工期环保投资如下：</w:t>
      </w:r>
    </w:p>
    <w:p>
      <w:pPr>
        <w:adjustRightInd w:val="0"/>
        <w:snapToGrid w:val="0"/>
        <w:spacing w:line="360" w:lineRule="auto"/>
        <w:jc w:val="center"/>
        <w:rPr>
          <w:rFonts w:eastAsiaTheme="minorEastAsia"/>
          <w:b/>
          <w:sz w:val="24"/>
        </w:rPr>
      </w:pPr>
      <w:r>
        <w:rPr>
          <w:rFonts w:eastAsiaTheme="minorEastAsia"/>
          <w:b/>
          <w:sz w:val="24"/>
        </w:rPr>
        <w:t>表9.1-1  施工期污染控制投资一览表</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8"/>
        <w:gridCol w:w="1842"/>
        <w:gridCol w:w="4917"/>
        <w:gridCol w:w="12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Align w:val="center"/>
          </w:tcPr>
          <w:p>
            <w:pPr>
              <w:adjustRightInd w:val="0"/>
              <w:snapToGrid w:val="0"/>
              <w:jc w:val="center"/>
              <w:rPr>
                <w:rFonts w:eastAsiaTheme="minorEastAsia"/>
                <w:b/>
                <w:szCs w:val="21"/>
              </w:rPr>
            </w:pPr>
            <w:r>
              <w:rPr>
                <w:rFonts w:eastAsiaTheme="minorEastAsia"/>
                <w:b/>
                <w:szCs w:val="21"/>
              </w:rPr>
              <w:t>序号</w:t>
            </w:r>
          </w:p>
        </w:tc>
        <w:tc>
          <w:tcPr>
            <w:tcW w:w="1048" w:type="pct"/>
            <w:vAlign w:val="center"/>
          </w:tcPr>
          <w:p>
            <w:pPr>
              <w:adjustRightInd w:val="0"/>
              <w:snapToGrid w:val="0"/>
              <w:jc w:val="center"/>
              <w:rPr>
                <w:rFonts w:eastAsiaTheme="minorEastAsia"/>
                <w:b/>
                <w:szCs w:val="21"/>
              </w:rPr>
            </w:pPr>
            <w:r>
              <w:rPr>
                <w:rFonts w:eastAsiaTheme="minorEastAsia"/>
                <w:b/>
                <w:szCs w:val="21"/>
              </w:rPr>
              <w:t>污染类型</w:t>
            </w:r>
          </w:p>
        </w:tc>
        <w:tc>
          <w:tcPr>
            <w:tcW w:w="2796" w:type="pct"/>
            <w:vAlign w:val="center"/>
          </w:tcPr>
          <w:p>
            <w:pPr>
              <w:adjustRightInd w:val="0"/>
              <w:snapToGrid w:val="0"/>
              <w:jc w:val="center"/>
              <w:rPr>
                <w:rFonts w:eastAsiaTheme="minorEastAsia"/>
                <w:b/>
                <w:szCs w:val="21"/>
              </w:rPr>
            </w:pPr>
            <w:r>
              <w:rPr>
                <w:rFonts w:eastAsiaTheme="minorEastAsia"/>
                <w:b/>
                <w:szCs w:val="21"/>
              </w:rPr>
              <w:t>污染防治措施</w:t>
            </w:r>
          </w:p>
        </w:tc>
        <w:tc>
          <w:tcPr>
            <w:tcW w:w="695" w:type="pct"/>
            <w:vAlign w:val="center"/>
          </w:tcPr>
          <w:p>
            <w:pPr>
              <w:adjustRightInd w:val="0"/>
              <w:snapToGrid w:val="0"/>
              <w:jc w:val="center"/>
              <w:rPr>
                <w:rFonts w:eastAsiaTheme="minorEastAsia"/>
                <w:b/>
                <w:szCs w:val="21"/>
              </w:rPr>
            </w:pPr>
            <w:r>
              <w:rPr>
                <w:rFonts w:eastAsiaTheme="minorEastAsia"/>
                <w:b/>
                <w:szCs w:val="21"/>
              </w:rPr>
              <w:t>环保投资（万元）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Merge w:val="restart"/>
            <w:vAlign w:val="center"/>
          </w:tcPr>
          <w:p>
            <w:pPr>
              <w:adjustRightInd w:val="0"/>
              <w:snapToGrid w:val="0"/>
              <w:jc w:val="center"/>
              <w:rPr>
                <w:rFonts w:eastAsiaTheme="minorEastAsia"/>
                <w:szCs w:val="21"/>
              </w:rPr>
            </w:pPr>
            <w:r>
              <w:rPr>
                <w:rFonts w:eastAsiaTheme="minorEastAsia"/>
                <w:szCs w:val="21"/>
              </w:rPr>
              <w:t>1</w:t>
            </w:r>
          </w:p>
        </w:tc>
        <w:tc>
          <w:tcPr>
            <w:tcW w:w="1048" w:type="pct"/>
            <w:vMerge w:val="restart"/>
            <w:vAlign w:val="center"/>
          </w:tcPr>
          <w:p>
            <w:pPr>
              <w:adjustRightInd w:val="0"/>
              <w:snapToGrid w:val="0"/>
              <w:jc w:val="center"/>
              <w:rPr>
                <w:rFonts w:eastAsiaTheme="minorEastAsia"/>
                <w:szCs w:val="21"/>
              </w:rPr>
            </w:pPr>
            <w:r>
              <w:rPr>
                <w:rFonts w:eastAsiaTheme="minorEastAsia"/>
                <w:szCs w:val="21"/>
              </w:rPr>
              <w:t>施工粉尘</w:t>
            </w:r>
          </w:p>
        </w:tc>
        <w:tc>
          <w:tcPr>
            <w:tcW w:w="2796" w:type="pct"/>
            <w:vAlign w:val="center"/>
          </w:tcPr>
          <w:p>
            <w:pPr>
              <w:adjustRightInd w:val="0"/>
              <w:snapToGrid w:val="0"/>
              <w:jc w:val="center"/>
              <w:rPr>
                <w:rFonts w:eastAsiaTheme="minorEastAsia"/>
                <w:szCs w:val="21"/>
              </w:rPr>
            </w:pPr>
            <w:r>
              <w:rPr>
                <w:rFonts w:eastAsiaTheme="minorEastAsia"/>
                <w:szCs w:val="21"/>
              </w:rPr>
              <w:t>施工厂界四周设置1.8m高以上围挡</w:t>
            </w:r>
          </w:p>
        </w:tc>
        <w:tc>
          <w:tcPr>
            <w:tcW w:w="695" w:type="pct"/>
            <w:vAlign w:val="center"/>
          </w:tcPr>
          <w:p>
            <w:pPr>
              <w:adjustRightInd w:val="0"/>
              <w:snapToGrid w:val="0"/>
              <w:jc w:val="center"/>
              <w:rPr>
                <w:rFonts w:eastAsiaTheme="minorEastAsia"/>
                <w:szCs w:val="21"/>
              </w:rPr>
            </w:pPr>
            <w:r>
              <w:rPr>
                <w:rFonts w:eastAsiaTheme="minorEastAsia"/>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Merge w:val="continue"/>
            <w:vAlign w:val="center"/>
          </w:tcPr>
          <w:p>
            <w:pPr>
              <w:adjustRightInd w:val="0"/>
              <w:snapToGrid w:val="0"/>
              <w:jc w:val="center"/>
              <w:rPr>
                <w:rFonts w:eastAsiaTheme="minorEastAsia"/>
                <w:szCs w:val="21"/>
              </w:rPr>
            </w:pPr>
          </w:p>
        </w:tc>
        <w:tc>
          <w:tcPr>
            <w:tcW w:w="1048" w:type="pct"/>
            <w:vMerge w:val="continue"/>
            <w:vAlign w:val="center"/>
          </w:tcPr>
          <w:p>
            <w:pPr>
              <w:adjustRightInd w:val="0"/>
              <w:snapToGrid w:val="0"/>
              <w:jc w:val="center"/>
              <w:rPr>
                <w:rFonts w:eastAsiaTheme="minorEastAsia"/>
                <w:szCs w:val="21"/>
              </w:rPr>
            </w:pPr>
          </w:p>
        </w:tc>
        <w:tc>
          <w:tcPr>
            <w:tcW w:w="2796" w:type="pct"/>
            <w:vAlign w:val="center"/>
          </w:tcPr>
          <w:p>
            <w:pPr>
              <w:adjustRightInd w:val="0"/>
              <w:snapToGrid w:val="0"/>
              <w:jc w:val="center"/>
              <w:rPr>
                <w:rFonts w:eastAsiaTheme="minorEastAsia"/>
                <w:szCs w:val="21"/>
              </w:rPr>
            </w:pPr>
            <w:r>
              <w:rPr>
                <w:rFonts w:eastAsiaTheme="minorEastAsia"/>
                <w:szCs w:val="21"/>
              </w:rPr>
              <w:t>施工材料堆放处及裸露的施工场地设置防尘网</w:t>
            </w:r>
          </w:p>
        </w:tc>
        <w:tc>
          <w:tcPr>
            <w:tcW w:w="695"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Merge w:val="continue"/>
            <w:vAlign w:val="center"/>
          </w:tcPr>
          <w:p>
            <w:pPr>
              <w:adjustRightInd w:val="0"/>
              <w:snapToGrid w:val="0"/>
              <w:jc w:val="center"/>
              <w:rPr>
                <w:rFonts w:eastAsiaTheme="minorEastAsia"/>
                <w:szCs w:val="21"/>
              </w:rPr>
            </w:pPr>
          </w:p>
        </w:tc>
        <w:tc>
          <w:tcPr>
            <w:tcW w:w="1048" w:type="pct"/>
            <w:vMerge w:val="continue"/>
            <w:vAlign w:val="center"/>
          </w:tcPr>
          <w:p>
            <w:pPr>
              <w:adjustRightInd w:val="0"/>
              <w:snapToGrid w:val="0"/>
              <w:jc w:val="center"/>
              <w:rPr>
                <w:rFonts w:eastAsiaTheme="minorEastAsia"/>
                <w:szCs w:val="21"/>
              </w:rPr>
            </w:pPr>
          </w:p>
        </w:tc>
        <w:tc>
          <w:tcPr>
            <w:tcW w:w="2796" w:type="pct"/>
            <w:vAlign w:val="center"/>
          </w:tcPr>
          <w:p>
            <w:pPr>
              <w:adjustRightInd w:val="0"/>
              <w:snapToGrid w:val="0"/>
              <w:jc w:val="center"/>
              <w:rPr>
                <w:rFonts w:eastAsiaTheme="minorEastAsia"/>
                <w:szCs w:val="21"/>
              </w:rPr>
            </w:pPr>
            <w:r>
              <w:rPr>
                <w:rFonts w:eastAsiaTheme="minorEastAsia"/>
                <w:szCs w:val="21"/>
              </w:rPr>
              <w:t>扬尘在线监测和远程视频监控设备</w:t>
            </w:r>
          </w:p>
        </w:tc>
        <w:tc>
          <w:tcPr>
            <w:tcW w:w="695" w:type="pct"/>
            <w:vAlign w:val="center"/>
          </w:tcPr>
          <w:p>
            <w:pPr>
              <w:adjustRightInd w:val="0"/>
              <w:snapToGrid w:val="0"/>
              <w:jc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Merge w:val="continue"/>
            <w:vAlign w:val="center"/>
          </w:tcPr>
          <w:p>
            <w:pPr>
              <w:adjustRightInd w:val="0"/>
              <w:snapToGrid w:val="0"/>
              <w:jc w:val="center"/>
              <w:rPr>
                <w:rFonts w:eastAsiaTheme="minorEastAsia"/>
                <w:szCs w:val="21"/>
              </w:rPr>
            </w:pPr>
          </w:p>
        </w:tc>
        <w:tc>
          <w:tcPr>
            <w:tcW w:w="1048" w:type="pct"/>
            <w:vMerge w:val="continue"/>
            <w:vAlign w:val="center"/>
          </w:tcPr>
          <w:p>
            <w:pPr>
              <w:adjustRightInd w:val="0"/>
              <w:snapToGrid w:val="0"/>
              <w:jc w:val="center"/>
              <w:rPr>
                <w:rFonts w:eastAsiaTheme="minorEastAsia"/>
                <w:szCs w:val="21"/>
              </w:rPr>
            </w:pPr>
          </w:p>
        </w:tc>
        <w:tc>
          <w:tcPr>
            <w:tcW w:w="2796" w:type="pct"/>
            <w:vAlign w:val="center"/>
          </w:tcPr>
          <w:p>
            <w:pPr>
              <w:adjustRightInd w:val="0"/>
              <w:snapToGrid w:val="0"/>
              <w:jc w:val="center"/>
              <w:rPr>
                <w:rFonts w:eastAsiaTheme="minorEastAsia"/>
                <w:szCs w:val="21"/>
              </w:rPr>
            </w:pPr>
            <w:r>
              <w:rPr>
                <w:rFonts w:eastAsiaTheme="minorEastAsia"/>
                <w:szCs w:val="21"/>
              </w:rPr>
              <w:t>洒水抑尘</w:t>
            </w:r>
          </w:p>
        </w:tc>
        <w:tc>
          <w:tcPr>
            <w:tcW w:w="695" w:type="pct"/>
            <w:vAlign w:val="center"/>
          </w:tcPr>
          <w:p>
            <w:pPr>
              <w:adjustRightInd w:val="0"/>
              <w:snapToGrid w:val="0"/>
              <w:jc w:val="center"/>
              <w:rPr>
                <w:rFonts w:eastAsiaTheme="minorEastAsia"/>
                <w:szCs w:val="21"/>
              </w:rPr>
            </w:pPr>
            <w:r>
              <w:rPr>
                <w:rFonts w:eastAsiaTheme="minorEastAsia"/>
                <w:szCs w:val="21"/>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Align w:val="center"/>
          </w:tcPr>
          <w:p>
            <w:pPr>
              <w:adjustRightInd w:val="0"/>
              <w:snapToGrid w:val="0"/>
              <w:jc w:val="center"/>
              <w:rPr>
                <w:rFonts w:eastAsiaTheme="minorEastAsia"/>
                <w:szCs w:val="21"/>
              </w:rPr>
            </w:pPr>
            <w:r>
              <w:rPr>
                <w:rFonts w:eastAsiaTheme="minorEastAsia"/>
                <w:szCs w:val="21"/>
              </w:rPr>
              <w:t>2</w:t>
            </w:r>
          </w:p>
        </w:tc>
        <w:tc>
          <w:tcPr>
            <w:tcW w:w="1048" w:type="pct"/>
            <w:vAlign w:val="center"/>
          </w:tcPr>
          <w:p>
            <w:pPr>
              <w:adjustRightInd w:val="0"/>
              <w:snapToGrid w:val="0"/>
              <w:jc w:val="center"/>
              <w:rPr>
                <w:rFonts w:eastAsiaTheme="minorEastAsia"/>
                <w:szCs w:val="21"/>
              </w:rPr>
            </w:pPr>
            <w:r>
              <w:rPr>
                <w:rFonts w:eastAsiaTheme="minorEastAsia"/>
                <w:szCs w:val="21"/>
              </w:rPr>
              <w:t>施工生产废水</w:t>
            </w:r>
          </w:p>
        </w:tc>
        <w:tc>
          <w:tcPr>
            <w:tcW w:w="2796" w:type="pct"/>
            <w:vAlign w:val="center"/>
          </w:tcPr>
          <w:p>
            <w:pPr>
              <w:adjustRightInd w:val="0"/>
              <w:snapToGrid w:val="0"/>
              <w:jc w:val="center"/>
              <w:rPr>
                <w:rFonts w:eastAsiaTheme="minorEastAsia"/>
                <w:szCs w:val="21"/>
              </w:rPr>
            </w:pPr>
            <w:r>
              <w:rPr>
                <w:rFonts w:eastAsiaTheme="minorEastAsia"/>
                <w:szCs w:val="21"/>
              </w:rPr>
              <w:t>隔油沉淀池一座（5×4×1m）、施工围挡四周设置排水沟收集施工废水。</w:t>
            </w:r>
          </w:p>
        </w:tc>
        <w:tc>
          <w:tcPr>
            <w:tcW w:w="695"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Align w:val="center"/>
          </w:tcPr>
          <w:p>
            <w:pPr>
              <w:adjustRightInd w:val="0"/>
              <w:snapToGrid w:val="0"/>
              <w:jc w:val="center"/>
              <w:rPr>
                <w:rFonts w:eastAsiaTheme="minorEastAsia"/>
                <w:szCs w:val="21"/>
              </w:rPr>
            </w:pPr>
            <w:r>
              <w:rPr>
                <w:rFonts w:eastAsiaTheme="minorEastAsia"/>
                <w:szCs w:val="21"/>
              </w:rPr>
              <w:t>3</w:t>
            </w:r>
          </w:p>
        </w:tc>
        <w:tc>
          <w:tcPr>
            <w:tcW w:w="1048" w:type="pct"/>
            <w:vAlign w:val="center"/>
          </w:tcPr>
          <w:p>
            <w:pPr>
              <w:adjustRightInd w:val="0"/>
              <w:snapToGrid w:val="0"/>
              <w:jc w:val="center"/>
              <w:rPr>
                <w:rFonts w:eastAsiaTheme="minorEastAsia"/>
                <w:szCs w:val="21"/>
              </w:rPr>
            </w:pPr>
            <w:r>
              <w:rPr>
                <w:rFonts w:eastAsiaTheme="minorEastAsia"/>
                <w:szCs w:val="21"/>
              </w:rPr>
              <w:t>施工生活污水</w:t>
            </w:r>
          </w:p>
        </w:tc>
        <w:tc>
          <w:tcPr>
            <w:tcW w:w="2796" w:type="pct"/>
            <w:vAlign w:val="center"/>
          </w:tcPr>
          <w:p>
            <w:pPr>
              <w:adjustRightInd w:val="0"/>
              <w:snapToGrid w:val="0"/>
              <w:jc w:val="center"/>
              <w:rPr>
                <w:rFonts w:eastAsiaTheme="minorEastAsia"/>
                <w:szCs w:val="21"/>
              </w:rPr>
            </w:pPr>
            <w:r>
              <w:rPr>
                <w:rFonts w:eastAsiaTheme="minorEastAsia"/>
                <w:szCs w:val="21"/>
              </w:rPr>
              <w:t>隔油沉淀池+化粪池</w:t>
            </w:r>
          </w:p>
        </w:tc>
        <w:tc>
          <w:tcPr>
            <w:tcW w:w="695" w:type="pct"/>
            <w:vAlign w:val="center"/>
          </w:tcPr>
          <w:p>
            <w:pPr>
              <w:adjustRightInd w:val="0"/>
              <w:snapToGrid w:val="0"/>
              <w:jc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0" w:type="pct"/>
            <w:vAlign w:val="center"/>
          </w:tcPr>
          <w:p>
            <w:pPr>
              <w:adjustRightInd w:val="0"/>
              <w:snapToGrid w:val="0"/>
              <w:jc w:val="center"/>
              <w:rPr>
                <w:rFonts w:eastAsiaTheme="minorEastAsia"/>
                <w:szCs w:val="21"/>
              </w:rPr>
            </w:pPr>
            <w:r>
              <w:rPr>
                <w:rFonts w:eastAsiaTheme="minorEastAsia"/>
                <w:szCs w:val="21"/>
              </w:rPr>
              <w:t>4</w:t>
            </w:r>
          </w:p>
        </w:tc>
        <w:tc>
          <w:tcPr>
            <w:tcW w:w="1048" w:type="pct"/>
            <w:vAlign w:val="center"/>
          </w:tcPr>
          <w:p>
            <w:pPr>
              <w:adjustRightInd w:val="0"/>
              <w:snapToGrid w:val="0"/>
              <w:jc w:val="center"/>
              <w:rPr>
                <w:rFonts w:eastAsiaTheme="minorEastAsia"/>
                <w:szCs w:val="21"/>
              </w:rPr>
            </w:pPr>
            <w:r>
              <w:rPr>
                <w:rFonts w:eastAsiaTheme="minorEastAsia"/>
                <w:szCs w:val="21"/>
              </w:rPr>
              <w:t>车辆清洗废水</w:t>
            </w:r>
          </w:p>
        </w:tc>
        <w:tc>
          <w:tcPr>
            <w:tcW w:w="2796" w:type="pct"/>
            <w:vAlign w:val="center"/>
          </w:tcPr>
          <w:p>
            <w:pPr>
              <w:adjustRightInd w:val="0"/>
              <w:snapToGrid w:val="0"/>
              <w:jc w:val="center"/>
              <w:rPr>
                <w:rFonts w:eastAsiaTheme="minorEastAsia"/>
                <w:szCs w:val="21"/>
              </w:rPr>
            </w:pPr>
            <w:r>
              <w:rPr>
                <w:rFonts w:eastAsiaTheme="minorEastAsia"/>
                <w:szCs w:val="21"/>
              </w:rPr>
              <w:t>洗车台+沉淀池</w:t>
            </w:r>
          </w:p>
        </w:tc>
        <w:tc>
          <w:tcPr>
            <w:tcW w:w="695"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05" w:type="pct"/>
            <w:gridSpan w:val="3"/>
            <w:vAlign w:val="center"/>
          </w:tcPr>
          <w:p>
            <w:pPr>
              <w:adjustRightInd w:val="0"/>
              <w:snapToGrid w:val="0"/>
              <w:jc w:val="center"/>
              <w:rPr>
                <w:rFonts w:eastAsiaTheme="minorEastAsia"/>
                <w:szCs w:val="21"/>
              </w:rPr>
            </w:pPr>
            <w:r>
              <w:rPr>
                <w:rFonts w:eastAsiaTheme="minorEastAsia"/>
                <w:szCs w:val="21"/>
              </w:rPr>
              <w:t>合计</w:t>
            </w:r>
          </w:p>
        </w:tc>
        <w:tc>
          <w:tcPr>
            <w:tcW w:w="695" w:type="pct"/>
            <w:vAlign w:val="center"/>
          </w:tcPr>
          <w:p>
            <w:pPr>
              <w:adjustRightInd w:val="0"/>
              <w:snapToGrid w:val="0"/>
              <w:jc w:val="center"/>
              <w:rPr>
                <w:rFonts w:eastAsiaTheme="minorEastAsia"/>
                <w:szCs w:val="21"/>
              </w:rPr>
            </w:pPr>
            <w:r>
              <w:rPr>
                <w:rFonts w:eastAsiaTheme="minorEastAsia"/>
                <w:szCs w:val="21"/>
              </w:rPr>
              <w:t>57</w:t>
            </w:r>
          </w:p>
        </w:tc>
      </w:tr>
    </w:tbl>
    <w:p>
      <w:pPr>
        <w:adjustRightInd w:val="0"/>
        <w:snapToGrid w:val="0"/>
        <w:spacing w:line="360" w:lineRule="auto"/>
        <w:ind w:firstLine="480" w:firstLineChars="200"/>
        <w:jc w:val="left"/>
        <w:rPr>
          <w:rFonts w:eastAsiaTheme="minorEastAsia"/>
          <w:sz w:val="24"/>
        </w:rPr>
      </w:pPr>
      <w:r>
        <w:rPr>
          <w:rFonts w:eastAsiaTheme="minorEastAsia"/>
          <w:sz w:val="24"/>
        </w:rPr>
        <w:t>（2）营运期污染控制投资估算</w:t>
      </w:r>
    </w:p>
    <w:p>
      <w:pPr>
        <w:adjustRightInd w:val="0"/>
        <w:snapToGrid w:val="0"/>
        <w:spacing w:line="360" w:lineRule="auto"/>
        <w:jc w:val="center"/>
        <w:rPr>
          <w:rFonts w:eastAsiaTheme="minorEastAsia"/>
          <w:b/>
          <w:sz w:val="24"/>
        </w:rPr>
      </w:pPr>
      <w:r>
        <w:rPr>
          <w:rFonts w:eastAsiaTheme="minorEastAsia"/>
          <w:b/>
          <w:sz w:val="24"/>
        </w:rPr>
        <w:t>表9.1-2  项目营运期污染控制的主要设备、设施及投资</w:t>
      </w:r>
    </w:p>
    <w:tbl>
      <w:tblPr>
        <w:tblStyle w:val="80"/>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2"/>
        <w:gridCol w:w="1464"/>
        <w:gridCol w:w="5249"/>
        <w:gridCol w:w="12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79" w:type="pct"/>
            <w:vAlign w:val="center"/>
          </w:tcPr>
          <w:p>
            <w:pPr>
              <w:adjustRightInd w:val="0"/>
              <w:snapToGrid w:val="0"/>
              <w:jc w:val="center"/>
              <w:rPr>
                <w:rFonts w:eastAsiaTheme="minorEastAsia"/>
                <w:b/>
                <w:szCs w:val="21"/>
              </w:rPr>
            </w:pPr>
            <w:r>
              <w:rPr>
                <w:rFonts w:eastAsiaTheme="minorEastAsia"/>
                <w:b/>
                <w:szCs w:val="21"/>
              </w:rPr>
              <w:t>序号</w:t>
            </w:r>
          </w:p>
        </w:tc>
        <w:tc>
          <w:tcPr>
            <w:tcW w:w="833" w:type="pct"/>
            <w:vAlign w:val="center"/>
          </w:tcPr>
          <w:p>
            <w:pPr>
              <w:adjustRightInd w:val="0"/>
              <w:snapToGrid w:val="0"/>
              <w:jc w:val="center"/>
              <w:rPr>
                <w:rFonts w:eastAsiaTheme="minorEastAsia"/>
                <w:b/>
                <w:szCs w:val="21"/>
              </w:rPr>
            </w:pPr>
            <w:r>
              <w:rPr>
                <w:rFonts w:eastAsiaTheme="minorEastAsia"/>
                <w:b/>
                <w:szCs w:val="21"/>
              </w:rPr>
              <w:t>污染类型</w:t>
            </w:r>
          </w:p>
        </w:tc>
        <w:tc>
          <w:tcPr>
            <w:tcW w:w="2986" w:type="pct"/>
            <w:vAlign w:val="center"/>
          </w:tcPr>
          <w:p>
            <w:pPr>
              <w:adjustRightInd w:val="0"/>
              <w:snapToGrid w:val="0"/>
              <w:jc w:val="center"/>
              <w:rPr>
                <w:rFonts w:eastAsiaTheme="minorEastAsia"/>
                <w:b/>
                <w:szCs w:val="21"/>
              </w:rPr>
            </w:pPr>
            <w:r>
              <w:rPr>
                <w:rFonts w:eastAsiaTheme="minorEastAsia"/>
                <w:b/>
                <w:szCs w:val="21"/>
              </w:rPr>
              <w:t>构筑物、设备名称</w:t>
            </w:r>
          </w:p>
        </w:tc>
        <w:tc>
          <w:tcPr>
            <w:tcW w:w="702" w:type="pct"/>
            <w:vAlign w:val="center"/>
          </w:tcPr>
          <w:p>
            <w:pPr>
              <w:adjustRightInd w:val="0"/>
              <w:snapToGrid w:val="0"/>
              <w:jc w:val="center"/>
              <w:rPr>
                <w:rFonts w:eastAsiaTheme="minorEastAsia"/>
                <w:b/>
                <w:szCs w:val="21"/>
              </w:rPr>
            </w:pPr>
            <w:r>
              <w:rPr>
                <w:rFonts w:eastAsiaTheme="minorEastAsia"/>
                <w:b/>
                <w:szCs w:val="21"/>
              </w:rPr>
              <w:t>投资估算（万元）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w:t>
            </w:r>
          </w:p>
        </w:tc>
        <w:tc>
          <w:tcPr>
            <w:tcW w:w="833" w:type="pct"/>
            <w:vMerge w:val="restart"/>
            <w:vAlign w:val="center"/>
          </w:tcPr>
          <w:p>
            <w:pPr>
              <w:adjustRightInd w:val="0"/>
              <w:snapToGrid w:val="0"/>
              <w:jc w:val="center"/>
              <w:rPr>
                <w:rFonts w:eastAsiaTheme="minorEastAsia"/>
                <w:szCs w:val="21"/>
              </w:rPr>
            </w:pPr>
            <w:r>
              <w:rPr>
                <w:rFonts w:eastAsiaTheme="minorEastAsia"/>
                <w:szCs w:val="21"/>
              </w:rPr>
              <w:t>废水</w:t>
            </w:r>
          </w:p>
        </w:tc>
        <w:tc>
          <w:tcPr>
            <w:tcW w:w="2986" w:type="pct"/>
            <w:vAlign w:val="center"/>
          </w:tcPr>
          <w:p>
            <w:pPr>
              <w:adjustRightInd w:val="0"/>
              <w:snapToGrid w:val="0"/>
              <w:rPr>
                <w:rFonts w:eastAsiaTheme="minorEastAsia"/>
                <w:szCs w:val="21"/>
              </w:rPr>
            </w:pPr>
            <w:r>
              <w:rPr>
                <w:rFonts w:eastAsiaTheme="minorEastAsia"/>
                <w:szCs w:val="21"/>
              </w:rPr>
              <w:t>医疗废水处理设施1座，处理规模约</w:t>
            </w:r>
            <w:r>
              <w:rPr>
                <w:rFonts w:hint="eastAsia" w:eastAsiaTheme="minorEastAsia"/>
                <w:szCs w:val="21"/>
              </w:rPr>
              <w:t>3</w:t>
            </w:r>
            <w:r>
              <w:rPr>
                <w:rFonts w:eastAsiaTheme="minorEastAsia"/>
                <w:szCs w:val="21"/>
              </w:rPr>
              <w:t>00t/d，处理工艺为：</w:t>
            </w:r>
            <w:r>
              <w:rPr>
                <w:rFonts w:hint="eastAsia" w:eastAsiaTheme="minorEastAsia"/>
                <w:szCs w:val="21"/>
              </w:rPr>
              <w:t>“</w:t>
            </w:r>
            <w:r>
              <w:rPr>
                <w:rFonts w:eastAsiaTheme="minorEastAsia"/>
                <w:szCs w:val="21"/>
              </w:rPr>
              <w:t>调节+水解酸化+生物接触氧化+斜管沉淀池+接触消毒（二氧化氯消毒）</w:t>
            </w:r>
            <w:r>
              <w:rPr>
                <w:rFonts w:hint="eastAsia" w:eastAsiaTheme="minorEastAsia"/>
                <w:szCs w:val="21"/>
              </w:rPr>
              <w:t>”</w:t>
            </w:r>
            <w:r>
              <w:rPr>
                <w:rFonts w:eastAsiaTheme="minorEastAsia"/>
                <w:szCs w:val="21"/>
              </w:rPr>
              <w:t>。废水排污口规范建设</w:t>
            </w:r>
          </w:p>
        </w:tc>
        <w:tc>
          <w:tcPr>
            <w:tcW w:w="702" w:type="pct"/>
            <w:vAlign w:val="center"/>
          </w:tcPr>
          <w:p>
            <w:pPr>
              <w:adjustRightInd w:val="0"/>
              <w:snapToGrid w:val="0"/>
              <w:jc w:val="center"/>
              <w:rPr>
                <w:rFonts w:eastAsiaTheme="minorEastAsia"/>
                <w:szCs w:val="21"/>
              </w:rPr>
            </w:pPr>
            <w:r>
              <w:rPr>
                <w:rFonts w:eastAsiaTheme="minorEastAsia"/>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2</w:t>
            </w:r>
          </w:p>
        </w:tc>
        <w:tc>
          <w:tcPr>
            <w:tcW w:w="833" w:type="pct"/>
            <w:vMerge w:val="continue"/>
            <w:vAlign w:val="center"/>
          </w:tcPr>
          <w:p>
            <w:pPr>
              <w:adjustRightInd w:val="0"/>
              <w:snapToGrid w:val="0"/>
              <w:jc w:val="center"/>
              <w:rPr>
                <w:rFonts w:eastAsiaTheme="minorEastAsia"/>
                <w:szCs w:val="21"/>
              </w:rPr>
            </w:pPr>
          </w:p>
        </w:tc>
        <w:tc>
          <w:tcPr>
            <w:tcW w:w="2986" w:type="pct"/>
            <w:vAlign w:val="center"/>
          </w:tcPr>
          <w:p>
            <w:pPr>
              <w:adjustRightInd w:val="0"/>
              <w:snapToGrid w:val="0"/>
              <w:jc w:val="center"/>
              <w:rPr>
                <w:rFonts w:eastAsiaTheme="minorEastAsia"/>
                <w:szCs w:val="21"/>
              </w:rPr>
            </w:pPr>
            <w:r>
              <w:rPr>
                <w:rFonts w:eastAsiaTheme="minorEastAsia"/>
                <w:szCs w:val="21"/>
              </w:rPr>
              <w:t>食堂隔油池</w:t>
            </w:r>
            <w:r>
              <w:rPr>
                <w:rFonts w:hint="eastAsia" w:eastAsiaTheme="minorEastAsia"/>
                <w:szCs w:val="21"/>
              </w:rPr>
              <w:t>1</w:t>
            </w:r>
            <w:r>
              <w:rPr>
                <w:rFonts w:eastAsiaTheme="minorEastAsia"/>
                <w:szCs w:val="21"/>
              </w:rPr>
              <w:t>座，处理规模大于40t/d</w:t>
            </w:r>
          </w:p>
        </w:tc>
        <w:tc>
          <w:tcPr>
            <w:tcW w:w="702" w:type="pct"/>
            <w:vAlign w:val="center"/>
          </w:tcPr>
          <w:p>
            <w:pPr>
              <w:adjustRightInd w:val="0"/>
              <w:snapToGrid w:val="0"/>
              <w:jc w:val="center"/>
              <w:rPr>
                <w:rFonts w:eastAsiaTheme="minorEastAsia"/>
                <w:szCs w:val="21"/>
              </w:rPr>
            </w:pPr>
            <w:r>
              <w:rPr>
                <w:rFonts w:eastAsiaTheme="minorEastAsia"/>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u w:val="single"/>
              </w:rPr>
            </w:pPr>
            <w:r>
              <w:rPr>
                <w:rFonts w:eastAsiaTheme="minorEastAsia"/>
                <w:szCs w:val="21"/>
                <w:u w:val="single"/>
              </w:rPr>
              <w:t>3</w:t>
            </w:r>
          </w:p>
        </w:tc>
        <w:tc>
          <w:tcPr>
            <w:tcW w:w="833" w:type="pct"/>
            <w:vMerge w:val="continue"/>
            <w:vAlign w:val="center"/>
          </w:tcPr>
          <w:p>
            <w:pPr>
              <w:adjustRightInd w:val="0"/>
              <w:snapToGrid w:val="0"/>
              <w:jc w:val="center"/>
              <w:rPr>
                <w:rFonts w:eastAsiaTheme="minorEastAsia"/>
                <w:szCs w:val="21"/>
                <w:u w:val="single"/>
              </w:rPr>
            </w:pPr>
          </w:p>
        </w:tc>
        <w:tc>
          <w:tcPr>
            <w:tcW w:w="2986" w:type="pct"/>
            <w:vAlign w:val="center"/>
          </w:tcPr>
          <w:p>
            <w:pPr>
              <w:adjustRightInd w:val="0"/>
              <w:snapToGrid w:val="0"/>
              <w:jc w:val="center"/>
              <w:rPr>
                <w:rFonts w:eastAsiaTheme="minorEastAsia"/>
                <w:szCs w:val="21"/>
                <w:u w:val="single"/>
              </w:rPr>
            </w:pPr>
            <w:r>
              <w:rPr>
                <w:rFonts w:eastAsiaTheme="minorEastAsia"/>
                <w:szCs w:val="21"/>
                <w:u w:val="single"/>
              </w:rPr>
              <w:t>按照施工图要求建设</w:t>
            </w:r>
            <w:r>
              <w:rPr>
                <w:rFonts w:hint="eastAsia" w:eastAsiaTheme="minorEastAsia"/>
                <w:szCs w:val="21"/>
                <w:u w:val="single"/>
              </w:rPr>
              <w:t>2</w:t>
            </w:r>
            <w:r>
              <w:rPr>
                <w:rFonts w:eastAsiaTheme="minorEastAsia"/>
                <w:szCs w:val="21"/>
                <w:u w:val="single"/>
              </w:rPr>
              <w:t>个化粪池，处理规模大于200t/d</w:t>
            </w:r>
          </w:p>
        </w:tc>
        <w:tc>
          <w:tcPr>
            <w:tcW w:w="702" w:type="pct"/>
            <w:vAlign w:val="center"/>
          </w:tcPr>
          <w:p>
            <w:pPr>
              <w:adjustRightInd w:val="0"/>
              <w:snapToGrid w:val="0"/>
              <w:jc w:val="center"/>
              <w:rPr>
                <w:rFonts w:eastAsiaTheme="minorEastAsia"/>
                <w:szCs w:val="21"/>
                <w:u w:val="single"/>
              </w:rPr>
            </w:pPr>
            <w:r>
              <w:rPr>
                <w:rFonts w:eastAsiaTheme="minorEastAsia"/>
                <w:szCs w:val="21"/>
                <w:u w:val="singl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u w:val="single"/>
              </w:rPr>
            </w:pPr>
            <w:r>
              <w:rPr>
                <w:rFonts w:eastAsiaTheme="minorEastAsia"/>
                <w:szCs w:val="21"/>
                <w:u w:val="single"/>
              </w:rPr>
              <w:t>4</w:t>
            </w:r>
          </w:p>
        </w:tc>
        <w:tc>
          <w:tcPr>
            <w:tcW w:w="833" w:type="pct"/>
            <w:vMerge w:val="continue"/>
            <w:vAlign w:val="center"/>
          </w:tcPr>
          <w:p>
            <w:pPr>
              <w:adjustRightInd w:val="0"/>
              <w:snapToGrid w:val="0"/>
              <w:jc w:val="center"/>
              <w:rPr>
                <w:rFonts w:eastAsiaTheme="minorEastAsia"/>
                <w:szCs w:val="21"/>
                <w:u w:val="single"/>
              </w:rPr>
            </w:pPr>
          </w:p>
        </w:tc>
        <w:tc>
          <w:tcPr>
            <w:tcW w:w="2986" w:type="pct"/>
            <w:vAlign w:val="center"/>
          </w:tcPr>
          <w:p>
            <w:pPr>
              <w:adjustRightInd w:val="0"/>
              <w:snapToGrid w:val="0"/>
              <w:jc w:val="center"/>
              <w:rPr>
                <w:rFonts w:eastAsiaTheme="minorEastAsia"/>
                <w:szCs w:val="21"/>
                <w:u w:val="single"/>
              </w:rPr>
            </w:pPr>
            <w:r>
              <w:rPr>
                <w:rFonts w:eastAsiaTheme="minorEastAsia"/>
                <w:szCs w:val="21"/>
                <w:u w:val="single"/>
              </w:rPr>
              <w:t>医院内部按照施工图要求雨污分流</w:t>
            </w:r>
            <w:r>
              <w:rPr>
                <w:rFonts w:hint="eastAsia" w:eastAsiaTheme="minorEastAsia"/>
                <w:szCs w:val="21"/>
                <w:u w:val="single"/>
              </w:rPr>
              <w:t>、污污分流</w:t>
            </w:r>
            <w:r>
              <w:rPr>
                <w:rFonts w:eastAsiaTheme="minorEastAsia"/>
                <w:szCs w:val="21"/>
                <w:u w:val="single"/>
              </w:rPr>
              <w:t>管网建设</w:t>
            </w:r>
          </w:p>
        </w:tc>
        <w:tc>
          <w:tcPr>
            <w:tcW w:w="702" w:type="pct"/>
            <w:vAlign w:val="center"/>
          </w:tcPr>
          <w:p>
            <w:pPr>
              <w:adjustRightInd w:val="0"/>
              <w:snapToGrid w:val="0"/>
              <w:jc w:val="center"/>
              <w:rPr>
                <w:rFonts w:eastAsiaTheme="minorEastAsia"/>
                <w:szCs w:val="21"/>
                <w:u w:val="single"/>
              </w:rPr>
            </w:pPr>
            <w:r>
              <w:rPr>
                <w:rFonts w:eastAsiaTheme="minorEastAsia"/>
                <w:szCs w:val="21"/>
                <w:u w:val="single"/>
              </w:rPr>
              <w:t>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u w:val="single"/>
              </w:rPr>
            </w:pPr>
            <w:r>
              <w:rPr>
                <w:rFonts w:eastAsiaTheme="minorEastAsia"/>
                <w:szCs w:val="21"/>
                <w:u w:val="single"/>
              </w:rPr>
              <w:t>5</w:t>
            </w:r>
          </w:p>
        </w:tc>
        <w:tc>
          <w:tcPr>
            <w:tcW w:w="833" w:type="pct"/>
            <w:vMerge w:val="continue"/>
            <w:vAlign w:val="center"/>
          </w:tcPr>
          <w:p>
            <w:pPr>
              <w:adjustRightInd w:val="0"/>
              <w:snapToGrid w:val="0"/>
              <w:jc w:val="center"/>
              <w:rPr>
                <w:rFonts w:eastAsiaTheme="minorEastAsia"/>
                <w:szCs w:val="21"/>
                <w:u w:val="single"/>
              </w:rPr>
            </w:pPr>
          </w:p>
        </w:tc>
        <w:tc>
          <w:tcPr>
            <w:tcW w:w="2986" w:type="pct"/>
            <w:vAlign w:val="center"/>
          </w:tcPr>
          <w:p>
            <w:pPr>
              <w:adjustRightInd w:val="0"/>
              <w:snapToGrid w:val="0"/>
              <w:jc w:val="center"/>
              <w:rPr>
                <w:rFonts w:eastAsiaTheme="minorEastAsia"/>
                <w:szCs w:val="21"/>
                <w:u w:val="single"/>
              </w:rPr>
            </w:pPr>
            <w:r>
              <w:rPr>
                <w:rFonts w:eastAsiaTheme="minorEastAsia"/>
                <w:szCs w:val="21"/>
                <w:u w:val="single"/>
              </w:rPr>
              <w:t>检验科废水（酸碱废水）的预处理槽，处理规模大于1m</w:t>
            </w:r>
            <w:r>
              <w:rPr>
                <w:rFonts w:eastAsiaTheme="minorEastAsia"/>
                <w:szCs w:val="21"/>
                <w:u w:val="single"/>
                <w:vertAlign w:val="superscript"/>
              </w:rPr>
              <w:t>3</w:t>
            </w:r>
            <w:r>
              <w:rPr>
                <w:rFonts w:eastAsiaTheme="minorEastAsia"/>
                <w:szCs w:val="21"/>
                <w:u w:val="single"/>
              </w:rPr>
              <w:t>/d</w:t>
            </w:r>
          </w:p>
        </w:tc>
        <w:tc>
          <w:tcPr>
            <w:tcW w:w="702" w:type="pct"/>
            <w:vAlign w:val="center"/>
          </w:tcPr>
          <w:p>
            <w:pPr>
              <w:adjustRightInd w:val="0"/>
              <w:snapToGrid w:val="0"/>
              <w:jc w:val="center"/>
              <w:rPr>
                <w:rFonts w:eastAsiaTheme="minorEastAsia"/>
                <w:szCs w:val="21"/>
                <w:u w:val="single"/>
              </w:rPr>
            </w:pPr>
            <w:r>
              <w:rPr>
                <w:rFonts w:eastAsiaTheme="minorEastAsia"/>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u w:val="single"/>
              </w:rPr>
            </w:pPr>
            <w:r>
              <w:rPr>
                <w:rFonts w:eastAsiaTheme="minorEastAsia"/>
                <w:szCs w:val="21"/>
                <w:u w:val="single"/>
              </w:rPr>
              <w:t>7</w:t>
            </w:r>
          </w:p>
        </w:tc>
        <w:tc>
          <w:tcPr>
            <w:tcW w:w="833" w:type="pct"/>
            <w:vMerge w:val="continue"/>
            <w:vAlign w:val="center"/>
          </w:tcPr>
          <w:p>
            <w:pPr>
              <w:adjustRightInd w:val="0"/>
              <w:snapToGrid w:val="0"/>
              <w:jc w:val="center"/>
              <w:rPr>
                <w:rFonts w:eastAsiaTheme="minorEastAsia"/>
                <w:szCs w:val="21"/>
                <w:u w:val="single"/>
              </w:rPr>
            </w:pPr>
          </w:p>
        </w:tc>
        <w:tc>
          <w:tcPr>
            <w:tcW w:w="2986" w:type="pct"/>
            <w:vAlign w:val="center"/>
          </w:tcPr>
          <w:p>
            <w:pPr>
              <w:adjustRightInd w:val="0"/>
              <w:snapToGrid w:val="0"/>
              <w:jc w:val="center"/>
              <w:rPr>
                <w:rFonts w:eastAsiaTheme="minorEastAsia"/>
                <w:szCs w:val="21"/>
                <w:u w:val="single"/>
              </w:rPr>
            </w:pPr>
            <w:r>
              <w:rPr>
                <w:rFonts w:eastAsiaTheme="minorEastAsia"/>
                <w:szCs w:val="21"/>
                <w:u w:val="single"/>
              </w:rPr>
              <w:t>检验科废水（含氰废水）的碱式氯化法预处理槽，处理规模大于1m</w:t>
            </w:r>
            <w:r>
              <w:rPr>
                <w:rFonts w:eastAsiaTheme="minorEastAsia"/>
                <w:szCs w:val="21"/>
                <w:u w:val="single"/>
                <w:vertAlign w:val="superscript"/>
              </w:rPr>
              <w:t>3</w:t>
            </w:r>
            <w:r>
              <w:rPr>
                <w:rFonts w:eastAsiaTheme="minorEastAsia"/>
                <w:szCs w:val="21"/>
                <w:u w:val="single"/>
              </w:rPr>
              <w:t>/d</w:t>
            </w:r>
          </w:p>
        </w:tc>
        <w:tc>
          <w:tcPr>
            <w:tcW w:w="702" w:type="pct"/>
            <w:vAlign w:val="center"/>
          </w:tcPr>
          <w:p>
            <w:pPr>
              <w:adjustRightInd w:val="0"/>
              <w:snapToGrid w:val="0"/>
              <w:jc w:val="center"/>
              <w:rPr>
                <w:rFonts w:eastAsiaTheme="minorEastAsia"/>
                <w:szCs w:val="21"/>
                <w:u w:val="single"/>
              </w:rPr>
            </w:pPr>
            <w:r>
              <w:rPr>
                <w:rFonts w:eastAsiaTheme="minorEastAsia"/>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u w:val="single"/>
              </w:rPr>
            </w:pPr>
            <w:r>
              <w:rPr>
                <w:rFonts w:eastAsiaTheme="minorEastAsia"/>
                <w:szCs w:val="21"/>
                <w:u w:val="single"/>
              </w:rPr>
              <w:t>8</w:t>
            </w:r>
          </w:p>
        </w:tc>
        <w:tc>
          <w:tcPr>
            <w:tcW w:w="833" w:type="pct"/>
            <w:vMerge w:val="continue"/>
            <w:vAlign w:val="center"/>
          </w:tcPr>
          <w:p>
            <w:pPr>
              <w:adjustRightInd w:val="0"/>
              <w:snapToGrid w:val="0"/>
              <w:jc w:val="center"/>
              <w:rPr>
                <w:rFonts w:eastAsiaTheme="minorEastAsia"/>
                <w:szCs w:val="21"/>
                <w:u w:val="single"/>
              </w:rPr>
            </w:pPr>
          </w:p>
        </w:tc>
        <w:tc>
          <w:tcPr>
            <w:tcW w:w="2986" w:type="pct"/>
            <w:vAlign w:val="center"/>
          </w:tcPr>
          <w:p>
            <w:pPr>
              <w:adjustRightInd w:val="0"/>
              <w:snapToGrid w:val="0"/>
              <w:jc w:val="center"/>
              <w:rPr>
                <w:rFonts w:eastAsiaTheme="minorEastAsia"/>
                <w:szCs w:val="21"/>
                <w:u w:val="single"/>
              </w:rPr>
            </w:pPr>
            <w:r>
              <w:rPr>
                <w:rFonts w:eastAsiaTheme="minorEastAsia"/>
                <w:szCs w:val="21"/>
                <w:u w:val="single"/>
              </w:rPr>
              <w:t>检验科废水（生化标本清洗废水）的预处理消毒消毒槽，处理规模大于1m</w:t>
            </w:r>
            <w:r>
              <w:rPr>
                <w:rFonts w:eastAsiaTheme="minorEastAsia"/>
                <w:szCs w:val="21"/>
                <w:u w:val="single"/>
                <w:vertAlign w:val="superscript"/>
              </w:rPr>
              <w:t>3</w:t>
            </w:r>
            <w:r>
              <w:rPr>
                <w:rFonts w:eastAsiaTheme="minorEastAsia"/>
                <w:szCs w:val="21"/>
                <w:u w:val="single"/>
              </w:rPr>
              <w:t>/d</w:t>
            </w:r>
          </w:p>
        </w:tc>
        <w:tc>
          <w:tcPr>
            <w:tcW w:w="702" w:type="pct"/>
            <w:vAlign w:val="center"/>
          </w:tcPr>
          <w:p>
            <w:pPr>
              <w:adjustRightInd w:val="0"/>
              <w:snapToGrid w:val="0"/>
              <w:jc w:val="center"/>
              <w:rPr>
                <w:rFonts w:eastAsiaTheme="minorEastAsia"/>
                <w:szCs w:val="21"/>
                <w:u w:val="single"/>
              </w:rPr>
            </w:pPr>
            <w:r>
              <w:rPr>
                <w:rFonts w:eastAsiaTheme="minorEastAsia"/>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u w:val="single"/>
              </w:rPr>
            </w:pPr>
            <w:r>
              <w:rPr>
                <w:rFonts w:eastAsiaTheme="minorEastAsia"/>
                <w:szCs w:val="21"/>
                <w:u w:val="single"/>
              </w:rPr>
              <w:t>9</w:t>
            </w:r>
          </w:p>
        </w:tc>
        <w:tc>
          <w:tcPr>
            <w:tcW w:w="833" w:type="pct"/>
            <w:vMerge w:val="continue"/>
            <w:vAlign w:val="center"/>
          </w:tcPr>
          <w:p>
            <w:pPr>
              <w:adjustRightInd w:val="0"/>
              <w:snapToGrid w:val="0"/>
              <w:jc w:val="center"/>
              <w:rPr>
                <w:rFonts w:eastAsiaTheme="minorEastAsia"/>
                <w:szCs w:val="21"/>
                <w:u w:val="single"/>
              </w:rPr>
            </w:pPr>
          </w:p>
        </w:tc>
        <w:tc>
          <w:tcPr>
            <w:tcW w:w="2986" w:type="pct"/>
            <w:vAlign w:val="center"/>
          </w:tcPr>
          <w:p>
            <w:pPr>
              <w:adjustRightInd w:val="0"/>
              <w:snapToGrid w:val="0"/>
              <w:jc w:val="center"/>
              <w:rPr>
                <w:rFonts w:eastAsiaTheme="minorEastAsia"/>
                <w:szCs w:val="21"/>
                <w:u w:val="single"/>
              </w:rPr>
            </w:pPr>
            <w:r>
              <w:rPr>
                <w:rFonts w:eastAsiaTheme="minorEastAsia"/>
                <w:szCs w:val="21"/>
                <w:u w:val="single"/>
              </w:rPr>
              <w:t>口腔科废水的预处理消毒槽，处理规模大于1m</w:t>
            </w:r>
            <w:r>
              <w:rPr>
                <w:rFonts w:eastAsiaTheme="minorEastAsia"/>
                <w:szCs w:val="21"/>
                <w:u w:val="single"/>
                <w:vertAlign w:val="superscript"/>
              </w:rPr>
              <w:t>3</w:t>
            </w:r>
            <w:r>
              <w:rPr>
                <w:rFonts w:eastAsiaTheme="minorEastAsia"/>
                <w:szCs w:val="21"/>
                <w:u w:val="single"/>
              </w:rPr>
              <w:t>/d</w:t>
            </w:r>
          </w:p>
        </w:tc>
        <w:tc>
          <w:tcPr>
            <w:tcW w:w="702" w:type="pct"/>
            <w:vAlign w:val="center"/>
          </w:tcPr>
          <w:p>
            <w:pPr>
              <w:adjustRightInd w:val="0"/>
              <w:snapToGrid w:val="0"/>
              <w:jc w:val="center"/>
              <w:rPr>
                <w:rFonts w:eastAsiaTheme="minorEastAsia"/>
                <w:szCs w:val="21"/>
                <w:u w:val="single"/>
              </w:rPr>
            </w:pPr>
            <w:r>
              <w:rPr>
                <w:rFonts w:eastAsiaTheme="minorEastAsia"/>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11</w:t>
            </w:r>
          </w:p>
        </w:tc>
        <w:tc>
          <w:tcPr>
            <w:tcW w:w="833" w:type="pct"/>
            <w:vMerge w:val="restart"/>
            <w:vAlign w:val="center"/>
          </w:tcPr>
          <w:p>
            <w:pPr>
              <w:adjustRightInd w:val="0"/>
              <w:snapToGrid w:val="0"/>
              <w:jc w:val="center"/>
              <w:rPr>
                <w:rFonts w:eastAsiaTheme="minorEastAsia"/>
                <w:szCs w:val="21"/>
              </w:rPr>
            </w:pPr>
            <w:r>
              <w:rPr>
                <w:rFonts w:eastAsiaTheme="minorEastAsia"/>
                <w:szCs w:val="21"/>
              </w:rPr>
              <w:t>废气</w:t>
            </w:r>
          </w:p>
        </w:tc>
        <w:tc>
          <w:tcPr>
            <w:tcW w:w="2986" w:type="pct"/>
            <w:vAlign w:val="center"/>
          </w:tcPr>
          <w:p>
            <w:pPr>
              <w:adjustRightInd w:val="0"/>
              <w:snapToGrid w:val="0"/>
              <w:jc w:val="center"/>
              <w:rPr>
                <w:rFonts w:eastAsiaTheme="minorEastAsia"/>
                <w:szCs w:val="21"/>
              </w:rPr>
            </w:pPr>
            <w:r>
              <w:rPr>
                <w:rFonts w:eastAsiaTheme="minorEastAsia"/>
                <w:szCs w:val="21"/>
              </w:rPr>
              <w:t>食堂厨房油烟抽排设施、油烟净化器（净化效率大于等于 85%）+预留排烟竖井</w:t>
            </w:r>
          </w:p>
        </w:tc>
        <w:tc>
          <w:tcPr>
            <w:tcW w:w="702" w:type="pct"/>
            <w:vAlign w:val="center"/>
          </w:tcPr>
          <w:p>
            <w:pPr>
              <w:adjustRightInd w:val="0"/>
              <w:snapToGrid w:val="0"/>
              <w:jc w:val="center"/>
              <w:rPr>
                <w:rFonts w:eastAsiaTheme="minorEastAsia"/>
                <w:szCs w:val="21"/>
              </w:rPr>
            </w:pPr>
            <w:r>
              <w:rPr>
                <w:rFonts w:eastAsiaTheme="minorEastAsia"/>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12</w:t>
            </w:r>
          </w:p>
        </w:tc>
        <w:tc>
          <w:tcPr>
            <w:tcW w:w="833" w:type="pct"/>
            <w:vMerge w:val="continue"/>
            <w:vAlign w:val="center"/>
          </w:tcPr>
          <w:p>
            <w:pPr>
              <w:adjustRightInd w:val="0"/>
              <w:snapToGrid w:val="0"/>
              <w:jc w:val="center"/>
              <w:rPr>
                <w:rFonts w:eastAsiaTheme="minorEastAsia"/>
                <w:szCs w:val="21"/>
              </w:rPr>
            </w:pPr>
          </w:p>
        </w:tc>
        <w:tc>
          <w:tcPr>
            <w:tcW w:w="2986" w:type="pct"/>
            <w:vAlign w:val="center"/>
          </w:tcPr>
          <w:p>
            <w:pPr>
              <w:adjustRightInd w:val="0"/>
              <w:snapToGrid w:val="0"/>
              <w:jc w:val="center"/>
              <w:rPr>
                <w:rFonts w:eastAsiaTheme="minorEastAsia"/>
                <w:szCs w:val="21"/>
              </w:rPr>
            </w:pPr>
            <w:r>
              <w:rPr>
                <w:rFonts w:eastAsiaTheme="minorEastAsia"/>
                <w:szCs w:val="21"/>
              </w:rPr>
              <w:t>化粪池和隔油沉淀池均为地埋式的并且均加盖密闭，同时对污水处理站喷洒除臭剂</w:t>
            </w:r>
          </w:p>
        </w:tc>
        <w:tc>
          <w:tcPr>
            <w:tcW w:w="702"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13</w:t>
            </w:r>
          </w:p>
        </w:tc>
        <w:tc>
          <w:tcPr>
            <w:tcW w:w="833" w:type="pct"/>
            <w:vMerge w:val="continue"/>
            <w:vAlign w:val="center"/>
          </w:tcPr>
          <w:p>
            <w:pPr>
              <w:adjustRightInd w:val="0"/>
              <w:snapToGrid w:val="0"/>
              <w:jc w:val="center"/>
              <w:rPr>
                <w:rFonts w:eastAsiaTheme="minorEastAsia"/>
                <w:szCs w:val="21"/>
              </w:rPr>
            </w:pPr>
          </w:p>
        </w:tc>
        <w:tc>
          <w:tcPr>
            <w:tcW w:w="2986" w:type="pct"/>
            <w:vAlign w:val="center"/>
          </w:tcPr>
          <w:p>
            <w:pPr>
              <w:adjustRightInd w:val="0"/>
              <w:snapToGrid w:val="0"/>
              <w:jc w:val="center"/>
              <w:rPr>
                <w:rFonts w:eastAsiaTheme="minorEastAsia"/>
                <w:szCs w:val="21"/>
              </w:rPr>
            </w:pPr>
            <w:r>
              <w:rPr>
                <w:rFonts w:eastAsiaTheme="minorEastAsia"/>
                <w:szCs w:val="21"/>
              </w:rPr>
              <w:t>锅炉、柴油发电机共用排烟竖井</w:t>
            </w:r>
          </w:p>
        </w:tc>
        <w:tc>
          <w:tcPr>
            <w:tcW w:w="702"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14</w:t>
            </w:r>
          </w:p>
        </w:tc>
        <w:tc>
          <w:tcPr>
            <w:tcW w:w="833" w:type="pct"/>
            <w:vAlign w:val="center"/>
          </w:tcPr>
          <w:p>
            <w:pPr>
              <w:adjustRightInd w:val="0"/>
              <w:snapToGrid w:val="0"/>
              <w:jc w:val="center"/>
              <w:rPr>
                <w:rFonts w:eastAsiaTheme="minorEastAsia"/>
                <w:szCs w:val="21"/>
              </w:rPr>
            </w:pPr>
            <w:r>
              <w:rPr>
                <w:rFonts w:eastAsiaTheme="minorEastAsia"/>
                <w:szCs w:val="21"/>
              </w:rPr>
              <w:t>噪声</w:t>
            </w:r>
          </w:p>
        </w:tc>
        <w:tc>
          <w:tcPr>
            <w:tcW w:w="2986" w:type="pct"/>
            <w:vAlign w:val="center"/>
          </w:tcPr>
          <w:p>
            <w:pPr>
              <w:adjustRightInd w:val="0"/>
              <w:snapToGrid w:val="0"/>
              <w:jc w:val="center"/>
              <w:rPr>
                <w:rFonts w:eastAsiaTheme="minorEastAsia"/>
                <w:szCs w:val="21"/>
              </w:rPr>
            </w:pPr>
            <w:r>
              <w:rPr>
                <w:rFonts w:eastAsiaTheme="minorEastAsia"/>
                <w:szCs w:val="21"/>
              </w:rPr>
              <w:t>水泵、冷水机组、锅炉、柴油发电机等各类动力设备噪声控制；风机、冷却塔设备噪声隔声、减振、降噪措施，临路房间真空隔声玻璃等。</w:t>
            </w:r>
          </w:p>
        </w:tc>
        <w:tc>
          <w:tcPr>
            <w:tcW w:w="702" w:type="pct"/>
            <w:vAlign w:val="center"/>
          </w:tcPr>
          <w:p>
            <w:pPr>
              <w:adjustRightInd w:val="0"/>
              <w:snapToGrid w:val="0"/>
              <w:jc w:val="center"/>
              <w:rPr>
                <w:rFonts w:eastAsiaTheme="minorEastAsia"/>
                <w:szCs w:val="21"/>
              </w:rPr>
            </w:pPr>
            <w:r>
              <w:rPr>
                <w:rFonts w:eastAsiaTheme="minorEastAsia"/>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15</w:t>
            </w:r>
          </w:p>
        </w:tc>
        <w:tc>
          <w:tcPr>
            <w:tcW w:w="833" w:type="pct"/>
            <w:vMerge w:val="restart"/>
            <w:vAlign w:val="center"/>
          </w:tcPr>
          <w:p>
            <w:pPr>
              <w:adjustRightInd w:val="0"/>
              <w:snapToGrid w:val="0"/>
              <w:jc w:val="center"/>
              <w:rPr>
                <w:rFonts w:eastAsiaTheme="minorEastAsia"/>
                <w:szCs w:val="21"/>
              </w:rPr>
            </w:pPr>
            <w:r>
              <w:rPr>
                <w:rFonts w:eastAsiaTheme="minorEastAsia"/>
                <w:szCs w:val="21"/>
              </w:rPr>
              <w:t>固废</w:t>
            </w:r>
          </w:p>
        </w:tc>
        <w:tc>
          <w:tcPr>
            <w:tcW w:w="2986" w:type="pct"/>
            <w:vAlign w:val="center"/>
          </w:tcPr>
          <w:p>
            <w:pPr>
              <w:adjustRightInd w:val="0"/>
              <w:snapToGrid w:val="0"/>
              <w:jc w:val="center"/>
              <w:rPr>
                <w:rFonts w:eastAsiaTheme="minorEastAsia"/>
                <w:szCs w:val="21"/>
              </w:rPr>
            </w:pPr>
            <w:r>
              <w:rPr>
                <w:rFonts w:eastAsiaTheme="minorEastAsia"/>
                <w:szCs w:val="21"/>
              </w:rPr>
              <w:t>医疗废物暂存间（地下室、64.13m</w:t>
            </w:r>
            <w:r>
              <w:rPr>
                <w:rFonts w:eastAsiaTheme="minorEastAsia"/>
                <w:szCs w:val="21"/>
                <w:vertAlign w:val="superscript"/>
              </w:rPr>
              <w:t>2</w:t>
            </w:r>
            <w:r>
              <w:rPr>
                <w:rFonts w:eastAsiaTheme="minorEastAsia"/>
                <w:szCs w:val="21"/>
              </w:rPr>
              <w:t>）建设和医疗废物的处置费用</w:t>
            </w:r>
          </w:p>
        </w:tc>
        <w:tc>
          <w:tcPr>
            <w:tcW w:w="702" w:type="pct"/>
            <w:vAlign w:val="center"/>
          </w:tcPr>
          <w:p>
            <w:pPr>
              <w:adjustRightInd w:val="0"/>
              <w:snapToGrid w:val="0"/>
              <w:jc w:val="center"/>
              <w:rPr>
                <w:rFonts w:eastAsiaTheme="minorEastAsia"/>
                <w:szCs w:val="21"/>
              </w:rPr>
            </w:pPr>
            <w:r>
              <w:rPr>
                <w:rFonts w:eastAsiaTheme="minorEastAsia"/>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16</w:t>
            </w:r>
          </w:p>
        </w:tc>
        <w:tc>
          <w:tcPr>
            <w:tcW w:w="833" w:type="pct"/>
            <w:vMerge w:val="continue"/>
            <w:vAlign w:val="center"/>
          </w:tcPr>
          <w:p>
            <w:pPr>
              <w:adjustRightInd w:val="0"/>
              <w:snapToGrid w:val="0"/>
              <w:jc w:val="center"/>
              <w:rPr>
                <w:rFonts w:eastAsiaTheme="minorEastAsia"/>
                <w:szCs w:val="21"/>
              </w:rPr>
            </w:pPr>
          </w:p>
        </w:tc>
        <w:tc>
          <w:tcPr>
            <w:tcW w:w="2986" w:type="pct"/>
            <w:vAlign w:val="center"/>
          </w:tcPr>
          <w:p>
            <w:pPr>
              <w:adjustRightInd w:val="0"/>
              <w:snapToGrid w:val="0"/>
              <w:jc w:val="center"/>
              <w:rPr>
                <w:rFonts w:eastAsiaTheme="minorEastAsia"/>
                <w:szCs w:val="21"/>
              </w:rPr>
            </w:pPr>
            <w:r>
              <w:rPr>
                <w:rFonts w:eastAsiaTheme="minorEastAsia"/>
                <w:szCs w:val="21"/>
              </w:rPr>
              <w:t>污水处理站污泥收集、暂存、运送和处置费用</w:t>
            </w:r>
          </w:p>
        </w:tc>
        <w:tc>
          <w:tcPr>
            <w:tcW w:w="702" w:type="pct"/>
            <w:vAlign w:val="center"/>
          </w:tcPr>
          <w:p>
            <w:pPr>
              <w:adjustRightInd w:val="0"/>
              <w:snapToGrid w:val="0"/>
              <w:jc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17</w:t>
            </w:r>
          </w:p>
        </w:tc>
        <w:tc>
          <w:tcPr>
            <w:tcW w:w="833" w:type="pct"/>
            <w:vMerge w:val="continue"/>
            <w:vAlign w:val="center"/>
          </w:tcPr>
          <w:p>
            <w:pPr>
              <w:adjustRightInd w:val="0"/>
              <w:snapToGrid w:val="0"/>
              <w:jc w:val="center"/>
              <w:rPr>
                <w:rFonts w:eastAsiaTheme="minorEastAsia"/>
                <w:szCs w:val="21"/>
              </w:rPr>
            </w:pPr>
          </w:p>
        </w:tc>
        <w:tc>
          <w:tcPr>
            <w:tcW w:w="2986" w:type="pct"/>
            <w:vAlign w:val="center"/>
          </w:tcPr>
          <w:p>
            <w:pPr>
              <w:adjustRightInd w:val="0"/>
              <w:snapToGrid w:val="0"/>
              <w:jc w:val="center"/>
              <w:rPr>
                <w:rFonts w:eastAsiaTheme="minorEastAsia"/>
                <w:szCs w:val="21"/>
              </w:rPr>
            </w:pPr>
            <w:r>
              <w:rPr>
                <w:rFonts w:eastAsiaTheme="minorEastAsia"/>
                <w:szCs w:val="21"/>
              </w:rPr>
              <w:t>生活垃圾暂存间</w:t>
            </w:r>
          </w:p>
        </w:tc>
        <w:tc>
          <w:tcPr>
            <w:tcW w:w="702" w:type="pct"/>
            <w:vAlign w:val="center"/>
          </w:tcPr>
          <w:p>
            <w:pPr>
              <w:adjustRightInd w:val="0"/>
              <w:snapToGrid w:val="0"/>
              <w:jc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18</w:t>
            </w:r>
          </w:p>
        </w:tc>
        <w:tc>
          <w:tcPr>
            <w:tcW w:w="833" w:type="pct"/>
            <w:vMerge w:val="continue"/>
            <w:vAlign w:val="center"/>
          </w:tcPr>
          <w:p>
            <w:pPr>
              <w:adjustRightInd w:val="0"/>
              <w:snapToGrid w:val="0"/>
              <w:jc w:val="center"/>
              <w:rPr>
                <w:rFonts w:eastAsiaTheme="minorEastAsia"/>
                <w:szCs w:val="21"/>
              </w:rPr>
            </w:pPr>
          </w:p>
        </w:tc>
        <w:tc>
          <w:tcPr>
            <w:tcW w:w="2986" w:type="pct"/>
            <w:vAlign w:val="center"/>
          </w:tcPr>
          <w:p>
            <w:pPr>
              <w:adjustRightInd w:val="0"/>
              <w:snapToGrid w:val="0"/>
              <w:jc w:val="center"/>
              <w:rPr>
                <w:rFonts w:eastAsiaTheme="minorEastAsia"/>
                <w:szCs w:val="21"/>
              </w:rPr>
            </w:pPr>
            <w:r>
              <w:rPr>
                <w:rFonts w:eastAsiaTheme="minorEastAsia"/>
                <w:szCs w:val="21"/>
              </w:rPr>
              <w:t>餐厨垃圾暂存、处置协议、转运</w:t>
            </w:r>
          </w:p>
        </w:tc>
        <w:tc>
          <w:tcPr>
            <w:tcW w:w="702" w:type="pct"/>
            <w:vAlign w:val="center"/>
          </w:tcPr>
          <w:p>
            <w:pPr>
              <w:adjustRightInd w:val="0"/>
              <w:snapToGrid w:val="0"/>
              <w:jc w:val="center"/>
              <w:rPr>
                <w:rFonts w:eastAsiaTheme="minorEastAsia"/>
                <w:szCs w:val="21"/>
              </w:rPr>
            </w:pPr>
            <w:r>
              <w:rPr>
                <w:rFonts w:eastAsiaTheme="minorEastAsia"/>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79" w:type="pct"/>
            <w:vAlign w:val="center"/>
          </w:tcPr>
          <w:p>
            <w:pPr>
              <w:adjustRightInd w:val="0"/>
              <w:snapToGrid w:val="0"/>
              <w:jc w:val="center"/>
              <w:rPr>
                <w:rFonts w:eastAsiaTheme="minorEastAsia"/>
                <w:szCs w:val="21"/>
              </w:rPr>
            </w:pPr>
            <w:r>
              <w:rPr>
                <w:rFonts w:eastAsiaTheme="minorEastAsia"/>
                <w:szCs w:val="21"/>
              </w:rPr>
              <w:t>19</w:t>
            </w:r>
          </w:p>
        </w:tc>
        <w:tc>
          <w:tcPr>
            <w:tcW w:w="833" w:type="pct"/>
            <w:vAlign w:val="center"/>
          </w:tcPr>
          <w:p>
            <w:pPr>
              <w:adjustRightInd w:val="0"/>
              <w:snapToGrid w:val="0"/>
              <w:jc w:val="center"/>
              <w:rPr>
                <w:rFonts w:eastAsiaTheme="minorEastAsia"/>
                <w:szCs w:val="21"/>
              </w:rPr>
            </w:pPr>
            <w:r>
              <w:rPr>
                <w:rFonts w:eastAsiaTheme="minorEastAsia"/>
                <w:szCs w:val="21"/>
              </w:rPr>
              <w:t>环境风险</w:t>
            </w:r>
          </w:p>
        </w:tc>
        <w:tc>
          <w:tcPr>
            <w:tcW w:w="2986" w:type="pct"/>
            <w:vAlign w:val="center"/>
          </w:tcPr>
          <w:p>
            <w:pPr>
              <w:adjustRightInd w:val="0"/>
              <w:snapToGrid w:val="0"/>
              <w:jc w:val="center"/>
              <w:rPr>
                <w:rFonts w:eastAsiaTheme="minorEastAsia"/>
                <w:szCs w:val="21"/>
              </w:rPr>
            </w:pPr>
            <w:r>
              <w:rPr>
                <w:rFonts w:eastAsiaTheme="minorEastAsia"/>
                <w:szCs w:val="21"/>
              </w:rPr>
              <w:t>应急物资的配备</w:t>
            </w:r>
          </w:p>
        </w:tc>
        <w:tc>
          <w:tcPr>
            <w:tcW w:w="702"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98" w:type="pct"/>
            <w:gridSpan w:val="3"/>
            <w:vAlign w:val="center"/>
          </w:tcPr>
          <w:p>
            <w:pPr>
              <w:adjustRightInd w:val="0"/>
              <w:snapToGrid w:val="0"/>
              <w:jc w:val="center"/>
              <w:rPr>
                <w:rFonts w:eastAsiaTheme="minorEastAsia"/>
                <w:szCs w:val="21"/>
              </w:rPr>
            </w:pPr>
            <w:r>
              <w:rPr>
                <w:rFonts w:eastAsiaTheme="minorEastAsia"/>
                <w:szCs w:val="21"/>
              </w:rPr>
              <w:t>合计</w:t>
            </w:r>
          </w:p>
        </w:tc>
        <w:tc>
          <w:tcPr>
            <w:tcW w:w="702" w:type="pct"/>
            <w:vAlign w:val="center"/>
          </w:tcPr>
          <w:p>
            <w:pPr>
              <w:adjustRightInd w:val="0"/>
              <w:snapToGrid w:val="0"/>
              <w:jc w:val="center"/>
              <w:rPr>
                <w:rFonts w:eastAsiaTheme="minorEastAsia"/>
                <w:szCs w:val="21"/>
              </w:rPr>
            </w:pPr>
            <w:r>
              <w:rPr>
                <w:rFonts w:eastAsiaTheme="minorEastAsia"/>
                <w:szCs w:val="21"/>
              </w:rPr>
              <w:t>401</w:t>
            </w:r>
          </w:p>
        </w:tc>
      </w:tr>
    </w:tbl>
    <w:p>
      <w:pPr>
        <w:pStyle w:val="3"/>
        <w:snapToGrid w:val="0"/>
        <w:spacing w:before="0" w:after="0" w:line="360" w:lineRule="auto"/>
        <w:rPr>
          <w:rFonts w:ascii="Times New Roman" w:hAnsi="Times New Roman" w:eastAsiaTheme="minorEastAsia"/>
          <w:kern w:val="0"/>
          <w:sz w:val="28"/>
        </w:rPr>
      </w:pPr>
      <w:bookmarkStart w:id="203" w:name="_Toc61026633"/>
      <w:r>
        <w:rPr>
          <w:rFonts w:ascii="Times New Roman" w:hAnsi="Times New Roman" w:eastAsiaTheme="minorEastAsia"/>
          <w:kern w:val="0"/>
          <w:sz w:val="28"/>
        </w:rPr>
        <w:t>9.2 环境影响损益分析</w:t>
      </w:r>
      <w:bookmarkEnd w:id="203"/>
    </w:p>
    <w:p>
      <w:pPr>
        <w:adjustRightInd w:val="0"/>
        <w:snapToGrid w:val="0"/>
        <w:spacing w:line="360" w:lineRule="auto"/>
        <w:ind w:firstLine="480" w:firstLineChars="200"/>
        <w:jc w:val="left"/>
        <w:rPr>
          <w:rFonts w:eastAsiaTheme="minorEastAsia"/>
          <w:sz w:val="24"/>
        </w:rPr>
      </w:pPr>
      <w:r>
        <w:rPr>
          <w:rFonts w:eastAsiaTheme="minorEastAsia"/>
          <w:sz w:val="24"/>
        </w:rPr>
        <w:t>本项目建成后，由于实施各种严格的环保措施，采取环保措施后污染物排放量均有所降低，使得城市环境质量得以改善。</w:t>
      </w:r>
    </w:p>
    <w:p>
      <w:pPr>
        <w:adjustRightInd w:val="0"/>
        <w:snapToGrid w:val="0"/>
        <w:spacing w:line="360" w:lineRule="auto"/>
        <w:ind w:firstLine="480" w:firstLineChars="200"/>
        <w:jc w:val="left"/>
        <w:rPr>
          <w:rFonts w:eastAsiaTheme="minorEastAsia"/>
          <w:sz w:val="24"/>
        </w:rPr>
      </w:pPr>
      <w:r>
        <w:rPr>
          <w:rFonts w:eastAsiaTheme="minorEastAsia"/>
          <w:sz w:val="24"/>
        </w:rPr>
        <w:t>（1）在工程环保设施正常运行的情况下，经处理后排放的废气能达到相应的排放标准，有利于保护建设项目周围及生产区环境空气质量，对环境空气的影响较小。</w:t>
      </w:r>
    </w:p>
    <w:p>
      <w:pPr>
        <w:adjustRightInd w:val="0"/>
        <w:snapToGrid w:val="0"/>
        <w:spacing w:line="360" w:lineRule="auto"/>
        <w:ind w:firstLine="480" w:firstLineChars="200"/>
        <w:jc w:val="left"/>
        <w:rPr>
          <w:rFonts w:eastAsiaTheme="minorEastAsia"/>
          <w:sz w:val="24"/>
        </w:rPr>
      </w:pPr>
      <w:r>
        <w:rPr>
          <w:rFonts w:eastAsiaTheme="minorEastAsia"/>
          <w:sz w:val="24"/>
        </w:rPr>
        <w:t>（2）本项目建成后废水经自建污水处理站处理达到《医疗机构水污染物排放标准》（GB18466-2005）中综合医疗机构和其他医疗机构水污染物排放限值（日均值）中的预处理标准后进入市政管网，由湘阴县第一污水处理厂进行进一步处理，处理达标后最终排入湘江，防止对周边水体水质造成污染。</w:t>
      </w:r>
    </w:p>
    <w:p>
      <w:pPr>
        <w:adjustRightInd w:val="0"/>
        <w:snapToGrid w:val="0"/>
        <w:spacing w:line="360" w:lineRule="auto"/>
        <w:ind w:firstLine="480" w:firstLineChars="200"/>
        <w:jc w:val="left"/>
        <w:rPr>
          <w:rFonts w:eastAsiaTheme="minorEastAsia"/>
          <w:sz w:val="24"/>
        </w:rPr>
      </w:pPr>
      <w:r>
        <w:rPr>
          <w:rFonts w:eastAsiaTheme="minorEastAsia"/>
          <w:sz w:val="24"/>
        </w:rPr>
        <w:t>（3）项目产生的噪声经隔声降噪等措施处理后，可做到达标排放，周边的声环境敏感目标的声环境质量可达到相应功能区标准要求。</w:t>
      </w:r>
    </w:p>
    <w:p>
      <w:pPr>
        <w:adjustRightInd w:val="0"/>
        <w:snapToGrid w:val="0"/>
        <w:spacing w:line="360" w:lineRule="auto"/>
        <w:ind w:firstLine="480" w:firstLineChars="200"/>
        <w:jc w:val="left"/>
        <w:rPr>
          <w:rFonts w:eastAsiaTheme="minorEastAsia"/>
          <w:sz w:val="24"/>
        </w:rPr>
      </w:pPr>
      <w:r>
        <w:rPr>
          <w:rFonts w:eastAsiaTheme="minorEastAsia"/>
          <w:sz w:val="24"/>
        </w:rPr>
        <w:t>（4）医疗废物、污水处理站污泥和生活垃圾分类收集，生活垃圾由环卫部门定期统一清运处理，医疗废物按规定收集、贮存后，委托有资质的单位妥善处理，污水处理站污泥清掏前进行消毒，再委托环卫部门处理，避免二次污染、交叉感染。</w:t>
      </w:r>
    </w:p>
    <w:p>
      <w:pPr>
        <w:adjustRightInd w:val="0"/>
        <w:snapToGrid w:val="0"/>
        <w:spacing w:line="360" w:lineRule="auto"/>
        <w:ind w:firstLine="480" w:firstLineChars="200"/>
        <w:jc w:val="left"/>
        <w:rPr>
          <w:rFonts w:eastAsiaTheme="minorEastAsia"/>
          <w:sz w:val="24"/>
        </w:rPr>
      </w:pPr>
      <w:r>
        <w:rPr>
          <w:rFonts w:eastAsiaTheme="minorEastAsia"/>
          <w:sz w:val="24"/>
        </w:rPr>
        <w:t>对于本项目来说，能够在保证项目达到预期的社会效益和经济效益的同时，取得一定的环境效益。通过以上环保投资对生产过程中产生的废气、废水、噪声、固废等污染进行防治，降低排放浓度，减少“三废”排放量，在实现医院经济效益的同时，不致影响或恶化区域环境质量。可见，本项目采用的污染防治措施在技术上是可行的，经济上在建设单位接受范围内。</w:t>
      </w:r>
    </w:p>
    <w:p>
      <w:pPr>
        <w:pStyle w:val="3"/>
        <w:snapToGrid w:val="0"/>
        <w:spacing w:before="0" w:after="0" w:line="360" w:lineRule="auto"/>
        <w:rPr>
          <w:rFonts w:ascii="Times New Roman" w:hAnsi="Times New Roman" w:eastAsiaTheme="minorEastAsia"/>
          <w:kern w:val="0"/>
          <w:sz w:val="28"/>
        </w:rPr>
      </w:pPr>
      <w:bookmarkStart w:id="204" w:name="_Toc61026634"/>
      <w:r>
        <w:rPr>
          <w:rFonts w:ascii="Times New Roman" w:hAnsi="Times New Roman" w:eastAsiaTheme="minorEastAsia"/>
          <w:kern w:val="0"/>
          <w:sz w:val="28"/>
        </w:rPr>
        <w:t>9.3 社会效益分析</w:t>
      </w:r>
      <w:bookmarkEnd w:id="204"/>
    </w:p>
    <w:p>
      <w:pPr>
        <w:adjustRightInd w:val="0"/>
        <w:snapToGrid w:val="0"/>
        <w:spacing w:line="360" w:lineRule="auto"/>
        <w:ind w:firstLine="480" w:firstLineChars="200"/>
        <w:jc w:val="left"/>
        <w:rPr>
          <w:rFonts w:eastAsiaTheme="minorEastAsia"/>
          <w:sz w:val="24"/>
        </w:rPr>
      </w:pPr>
      <w:r>
        <w:rPr>
          <w:rFonts w:eastAsiaTheme="minorEastAsia"/>
          <w:sz w:val="24"/>
        </w:rPr>
        <w:t>（1）项目的建设符合国家的基本政策，项目建成后，将改善湘阴县区域医疗设施条件，为日益增多的病人提供更多的专业救助，为缓解患者痛苦提供更好的关怀和服务。</w:t>
      </w:r>
    </w:p>
    <w:p>
      <w:pPr>
        <w:adjustRightInd w:val="0"/>
        <w:snapToGrid w:val="0"/>
        <w:spacing w:line="360" w:lineRule="auto"/>
        <w:ind w:firstLine="480" w:firstLineChars="200"/>
        <w:jc w:val="left"/>
        <w:rPr>
          <w:rFonts w:eastAsiaTheme="minorEastAsia"/>
          <w:sz w:val="24"/>
        </w:rPr>
      </w:pPr>
      <w:r>
        <w:rPr>
          <w:rFonts w:eastAsiaTheme="minorEastAsia"/>
          <w:sz w:val="24"/>
        </w:rPr>
        <w:t>（2）通过项目的建设，可使区域的医疗诊治和住院条件得到较大改善，为日益增多的病人提供更多的专业救助，为缓解患者痛苦提供更好的关怀和服务。</w:t>
      </w:r>
    </w:p>
    <w:p>
      <w:pPr>
        <w:adjustRightInd w:val="0"/>
        <w:snapToGrid w:val="0"/>
        <w:spacing w:line="360" w:lineRule="auto"/>
        <w:ind w:firstLine="480" w:firstLineChars="200"/>
        <w:jc w:val="left"/>
        <w:rPr>
          <w:rFonts w:eastAsiaTheme="minorEastAsia"/>
          <w:sz w:val="24"/>
        </w:rPr>
      </w:pPr>
      <w:r>
        <w:rPr>
          <w:rFonts w:eastAsiaTheme="minorEastAsia"/>
          <w:sz w:val="24"/>
        </w:rPr>
        <w:t>（3）医疗事业是一项社会福利事业，因此项目是一项利民的公益性工程，满足了广大患者疾病就医的需要，社会效益好，对医疗事业的发展将产生积极的影响。</w:t>
      </w:r>
    </w:p>
    <w:p>
      <w:pPr>
        <w:adjustRightInd w:val="0"/>
        <w:snapToGrid w:val="0"/>
        <w:spacing w:line="360" w:lineRule="auto"/>
        <w:ind w:firstLine="480" w:firstLineChars="200"/>
        <w:jc w:val="left"/>
        <w:rPr>
          <w:rFonts w:eastAsiaTheme="minorEastAsia"/>
          <w:sz w:val="24"/>
        </w:rPr>
      </w:pPr>
      <w:r>
        <w:rPr>
          <w:rFonts w:eastAsiaTheme="minorEastAsia"/>
          <w:sz w:val="24"/>
        </w:rPr>
        <w:t>（4）项目建设期可为当地提供大量劳务工作日机会，可增加地方收入，对稳定社会秩序具有重大意义；项目建设需要大量建筑材料，对发展当地经济，提高人民生活水平作用也很大；项目建设需配套绿化等公共工程，可以绿化城市、美化环境；项目建成后，将增加物业管理等就业岗位需大量劳务人员。</w:t>
      </w:r>
    </w:p>
    <w:p>
      <w:pPr>
        <w:adjustRightInd w:val="0"/>
        <w:snapToGrid w:val="0"/>
        <w:spacing w:line="360" w:lineRule="auto"/>
        <w:ind w:firstLine="480" w:firstLineChars="200"/>
        <w:jc w:val="left"/>
        <w:rPr>
          <w:rFonts w:eastAsiaTheme="minorEastAsia"/>
          <w:sz w:val="24"/>
        </w:rPr>
      </w:pPr>
      <w:r>
        <w:rPr>
          <w:rFonts w:eastAsiaTheme="minorEastAsia"/>
          <w:sz w:val="24"/>
        </w:rPr>
        <w:t>建设项目在保证环保投资落实到位，环保设施正常运行，各污染物达标排放的前提下，环保投资具有较好的环境效益、经济效益及社会效益，项目的各项基础条件已具备，既符合国家的有关方针、政策，又能产生一定的经济效益和良好的社会效益，从环境经济的角度分析，项目的建设是可行的。</w:t>
      </w:r>
    </w:p>
    <w:p>
      <w:pPr>
        <w:adjustRightInd w:val="0"/>
        <w:snapToGrid w:val="0"/>
        <w:spacing w:line="360" w:lineRule="auto"/>
        <w:ind w:firstLine="480" w:firstLineChars="200"/>
        <w:jc w:val="left"/>
        <w:rPr>
          <w:rFonts w:eastAsiaTheme="minorEastAsia"/>
          <w:color w:val="FF0000"/>
          <w:sz w:val="24"/>
        </w:rPr>
      </w:pPr>
    </w:p>
    <w:p>
      <w:pPr>
        <w:adjustRightInd w:val="0"/>
        <w:snapToGrid w:val="0"/>
        <w:spacing w:line="360" w:lineRule="auto"/>
        <w:ind w:firstLine="480" w:firstLineChars="200"/>
        <w:jc w:val="left"/>
        <w:rPr>
          <w:rFonts w:eastAsiaTheme="minorEastAsia"/>
          <w:color w:val="FF0000"/>
          <w:sz w:val="24"/>
        </w:rPr>
      </w:pPr>
    </w:p>
    <w:p>
      <w:pPr>
        <w:adjustRightInd w:val="0"/>
        <w:snapToGrid w:val="0"/>
        <w:spacing w:line="360" w:lineRule="auto"/>
        <w:ind w:firstLine="480" w:firstLineChars="200"/>
        <w:jc w:val="left"/>
        <w:rPr>
          <w:rFonts w:eastAsiaTheme="minorEastAsia"/>
          <w:color w:val="FF0000"/>
          <w:sz w:val="24"/>
        </w:rPr>
      </w:pPr>
    </w:p>
    <w:p>
      <w:pPr>
        <w:snapToGrid w:val="0"/>
        <w:spacing w:line="360" w:lineRule="auto"/>
        <w:ind w:firstLine="480" w:firstLineChars="200"/>
        <w:rPr>
          <w:rFonts w:eastAsiaTheme="minorEastAsia"/>
          <w:color w:val="FF0000"/>
          <w:sz w:val="24"/>
        </w:rPr>
      </w:pPr>
    </w:p>
    <w:p>
      <w:pPr>
        <w:snapToGrid w:val="0"/>
        <w:spacing w:line="360" w:lineRule="auto"/>
        <w:ind w:firstLine="480" w:firstLineChars="200"/>
        <w:rPr>
          <w:rFonts w:eastAsiaTheme="minorEastAsia"/>
          <w:color w:val="FF0000"/>
          <w:sz w:val="24"/>
        </w:rPr>
        <w:sectPr>
          <w:pgSz w:w="11906" w:h="16838"/>
          <w:pgMar w:top="1418" w:right="1304" w:bottom="1418" w:left="1474" w:header="851" w:footer="680" w:gutter="0"/>
          <w:cols w:space="720" w:num="1"/>
          <w:docGrid w:linePitch="312" w:charSpace="0"/>
        </w:sectPr>
      </w:pPr>
    </w:p>
    <w:bookmarkEnd w:id="193"/>
    <w:bookmarkEnd w:id="194"/>
    <w:bookmarkEnd w:id="195"/>
    <w:bookmarkEnd w:id="196"/>
    <w:bookmarkEnd w:id="197"/>
    <w:p>
      <w:pPr>
        <w:pStyle w:val="2"/>
        <w:spacing w:after="0" w:line="480" w:lineRule="auto"/>
        <w:jc w:val="center"/>
        <w:rPr>
          <w:rFonts w:ascii="Times New Roman" w:eastAsiaTheme="minorEastAsia"/>
          <w:b/>
          <w:bCs/>
          <w:sz w:val="36"/>
          <w:szCs w:val="36"/>
          <w:lang w:val="zh-CN"/>
        </w:rPr>
      </w:pPr>
      <w:bookmarkStart w:id="205" w:name="_Toc61026635"/>
      <w:bookmarkStart w:id="206" w:name="_Toc299450967"/>
      <w:bookmarkStart w:id="207" w:name="_Toc299451829"/>
      <w:bookmarkStart w:id="208" w:name="_Toc299451067"/>
      <w:bookmarkStart w:id="209" w:name="_Toc299451637"/>
      <w:bookmarkStart w:id="210" w:name="_Toc299450867"/>
      <w:r>
        <w:rPr>
          <w:rFonts w:ascii="Times New Roman" w:eastAsiaTheme="minorEastAsia"/>
          <w:b/>
          <w:bCs/>
          <w:sz w:val="36"/>
          <w:szCs w:val="36"/>
          <w:lang w:val="zh-CN"/>
        </w:rPr>
        <w:t>10 环境管理与监测计划</w:t>
      </w:r>
      <w:bookmarkEnd w:id="205"/>
    </w:p>
    <w:bookmarkEnd w:id="206"/>
    <w:bookmarkEnd w:id="207"/>
    <w:bookmarkEnd w:id="208"/>
    <w:bookmarkEnd w:id="209"/>
    <w:bookmarkEnd w:id="210"/>
    <w:p>
      <w:pPr>
        <w:pStyle w:val="3"/>
        <w:snapToGrid w:val="0"/>
        <w:spacing w:before="0" w:after="0" w:line="360" w:lineRule="auto"/>
        <w:rPr>
          <w:rFonts w:ascii="Times New Roman" w:hAnsi="Times New Roman" w:eastAsiaTheme="minorEastAsia"/>
          <w:sz w:val="28"/>
          <w:lang w:val="zh-CN"/>
        </w:rPr>
      </w:pPr>
      <w:bookmarkStart w:id="211" w:name="_Toc61026636"/>
      <w:r>
        <w:rPr>
          <w:rFonts w:ascii="Times New Roman" w:hAnsi="Times New Roman" w:eastAsiaTheme="minorEastAsia"/>
          <w:sz w:val="28"/>
          <w:lang w:val="zh-CN"/>
        </w:rPr>
        <w:t>10.1 环境管理</w:t>
      </w:r>
      <w:bookmarkEnd w:id="211"/>
    </w:p>
    <w:p>
      <w:pPr>
        <w:pStyle w:val="4"/>
        <w:tabs>
          <w:tab w:val="left" w:pos="1701"/>
        </w:tabs>
        <w:snapToGrid w:val="0"/>
        <w:spacing w:before="0" w:after="0" w:line="360" w:lineRule="auto"/>
        <w:rPr>
          <w:rFonts w:eastAsiaTheme="minorEastAsia"/>
          <w:kern w:val="0"/>
          <w:sz w:val="24"/>
        </w:rPr>
      </w:pPr>
      <w:r>
        <w:rPr>
          <w:rFonts w:eastAsiaTheme="minorEastAsia"/>
          <w:kern w:val="0"/>
          <w:sz w:val="24"/>
        </w:rPr>
        <w:t>10.1.1 环境管理机构与职能</w:t>
      </w:r>
    </w:p>
    <w:p>
      <w:pPr>
        <w:snapToGrid w:val="0"/>
        <w:spacing w:line="360" w:lineRule="auto"/>
        <w:ind w:firstLine="480" w:firstLineChars="200"/>
        <w:rPr>
          <w:rFonts w:eastAsiaTheme="minorEastAsia"/>
          <w:sz w:val="24"/>
        </w:rPr>
      </w:pPr>
      <w:r>
        <w:rPr>
          <w:rFonts w:eastAsiaTheme="minorEastAsia"/>
          <w:sz w:val="24"/>
        </w:rPr>
        <w:t>（1）机构</w:t>
      </w:r>
    </w:p>
    <w:p>
      <w:pPr>
        <w:snapToGrid w:val="0"/>
        <w:spacing w:line="360" w:lineRule="auto"/>
        <w:ind w:firstLine="480" w:firstLineChars="200"/>
        <w:rPr>
          <w:rFonts w:eastAsiaTheme="minorEastAsia"/>
          <w:sz w:val="24"/>
        </w:rPr>
      </w:pPr>
      <w:r>
        <w:rPr>
          <w:rFonts w:eastAsiaTheme="minorEastAsia"/>
          <w:sz w:val="24"/>
        </w:rPr>
        <w:t>为保证环境管理任务的顺利实施，医院的法定负责人，又是控制环境污染，保护环境的法律责任者。</w:t>
      </w:r>
    </w:p>
    <w:p>
      <w:pPr>
        <w:snapToGrid w:val="0"/>
        <w:spacing w:line="360" w:lineRule="auto"/>
        <w:ind w:firstLine="480" w:firstLineChars="200"/>
        <w:rPr>
          <w:rFonts w:eastAsiaTheme="minorEastAsia"/>
          <w:sz w:val="24"/>
        </w:rPr>
      </w:pPr>
      <w:r>
        <w:rPr>
          <w:rFonts w:eastAsiaTheme="minorEastAsia"/>
          <w:sz w:val="24"/>
        </w:rPr>
        <w:t>此外，医院应该设立专门的环保机构和专职负责人，负责医院的施工期和营运期的环境管理工作。</w:t>
      </w:r>
    </w:p>
    <w:p>
      <w:pPr>
        <w:snapToGrid w:val="0"/>
        <w:spacing w:line="360" w:lineRule="auto"/>
        <w:ind w:firstLine="480" w:firstLineChars="200"/>
        <w:rPr>
          <w:rFonts w:eastAsiaTheme="minorEastAsia"/>
          <w:sz w:val="24"/>
        </w:rPr>
      </w:pPr>
      <w:r>
        <w:rPr>
          <w:rFonts w:eastAsiaTheme="minorEastAsia"/>
          <w:sz w:val="24"/>
        </w:rPr>
        <w:t>（2）职能</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贯彻执行国家、省、市的有关部门环保法规、标准、政策和要求；</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组织制定医院的环境保护管理制度和保护目标；</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负责监督“三同时”的执行情况，检查各种环保设施的运行状态，负责设施的正常运转和维护；</w:t>
      </w:r>
    </w:p>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负责环境监测计划的实施；</w:t>
      </w:r>
    </w:p>
    <w:p>
      <w:pPr>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协助有关部门进行污染事故的监测、监视和报告；</w:t>
      </w:r>
    </w:p>
    <w:p>
      <w:pPr>
        <w:snapToGrid w:val="0"/>
        <w:spacing w:line="360" w:lineRule="auto"/>
        <w:ind w:firstLine="480" w:firstLineChars="200"/>
        <w:rPr>
          <w:rFonts w:eastAsiaTheme="minorEastAsia"/>
          <w:sz w:val="24"/>
        </w:rPr>
      </w:pPr>
      <w:r>
        <w:rPr>
          <w:rFonts w:hint="eastAsia" w:ascii="宋体" w:hAnsi="宋体" w:cs="宋体"/>
          <w:sz w:val="24"/>
        </w:rPr>
        <w:t>⑥</w:t>
      </w:r>
      <w:r>
        <w:rPr>
          <w:rFonts w:eastAsiaTheme="minorEastAsia"/>
          <w:sz w:val="24"/>
        </w:rPr>
        <w:t>对医院的绿化工作进行监督管理，提出建议；</w:t>
      </w:r>
    </w:p>
    <w:p>
      <w:pPr>
        <w:snapToGrid w:val="0"/>
        <w:spacing w:line="360" w:lineRule="auto"/>
        <w:ind w:firstLine="480" w:firstLineChars="200"/>
        <w:rPr>
          <w:rFonts w:eastAsiaTheme="minorEastAsia"/>
          <w:sz w:val="24"/>
        </w:rPr>
      </w:pPr>
      <w:r>
        <w:rPr>
          <w:rFonts w:hint="eastAsia" w:ascii="宋体" w:hAnsi="宋体" w:cs="宋体"/>
          <w:sz w:val="24"/>
        </w:rPr>
        <w:t>⑦</w:t>
      </w:r>
      <w:r>
        <w:rPr>
          <w:rFonts w:eastAsiaTheme="minorEastAsia"/>
          <w:sz w:val="24"/>
        </w:rPr>
        <w:t>负责环境管理及监测的档案管理和统计上报工作。</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10.1.2 环境管理制度</w:t>
      </w:r>
    </w:p>
    <w:p>
      <w:pPr>
        <w:snapToGrid w:val="0"/>
        <w:spacing w:line="360" w:lineRule="auto"/>
        <w:ind w:firstLine="480" w:firstLineChars="200"/>
        <w:rPr>
          <w:rFonts w:eastAsiaTheme="minorEastAsia"/>
          <w:sz w:val="24"/>
        </w:rPr>
      </w:pPr>
      <w:r>
        <w:rPr>
          <w:rFonts w:eastAsiaTheme="minorEastAsia"/>
          <w:sz w:val="24"/>
        </w:rPr>
        <w:t>可通过建立《环境保护管理制度》、《岗位环保责任制》、《污染物排放许可细则》、《环保经济责任制考核办法》等办法，逐步完善和建立以下环境管理制度：</w:t>
      </w:r>
    </w:p>
    <w:p>
      <w:pPr>
        <w:snapToGrid w:val="0"/>
        <w:spacing w:line="360" w:lineRule="auto"/>
        <w:ind w:firstLine="480" w:firstLineChars="200"/>
        <w:rPr>
          <w:rFonts w:eastAsiaTheme="minorEastAsia"/>
          <w:sz w:val="24"/>
        </w:rPr>
      </w:pPr>
      <w:r>
        <w:rPr>
          <w:rFonts w:eastAsiaTheme="minorEastAsia"/>
          <w:sz w:val="24"/>
        </w:rPr>
        <w:t>（1）每季定期开一次环保会议，各级领导准时参加，会议对当季环保工作进行总结，并布置下月的环保工作。</w:t>
      </w:r>
    </w:p>
    <w:p>
      <w:pPr>
        <w:snapToGrid w:val="0"/>
        <w:spacing w:line="360" w:lineRule="auto"/>
        <w:ind w:firstLine="480" w:firstLineChars="200"/>
        <w:rPr>
          <w:rFonts w:eastAsiaTheme="minorEastAsia"/>
          <w:sz w:val="24"/>
        </w:rPr>
      </w:pPr>
      <w:r>
        <w:rPr>
          <w:rFonts w:eastAsiaTheme="minorEastAsia"/>
          <w:sz w:val="24"/>
        </w:rPr>
        <w:t>（2）实行“三级管理”。即院办、部门、科室三级管理负责制，各科室产生的污染物应按规定达标排放，院办随时督促检查，凡不达标者纳入考核进行整改。</w:t>
      </w:r>
    </w:p>
    <w:p>
      <w:pPr>
        <w:snapToGrid w:val="0"/>
        <w:spacing w:line="360" w:lineRule="auto"/>
        <w:ind w:firstLine="480" w:firstLineChars="200"/>
        <w:rPr>
          <w:rFonts w:eastAsiaTheme="minorEastAsia"/>
          <w:sz w:val="24"/>
        </w:rPr>
      </w:pPr>
      <w:r>
        <w:rPr>
          <w:rFonts w:eastAsiaTheme="minorEastAsia"/>
          <w:sz w:val="24"/>
        </w:rPr>
        <w:t>（3）“一控双达标”工作由院办负责，确保以下目标的实现。</w:t>
      </w:r>
    </w:p>
    <w:p>
      <w:pPr>
        <w:snapToGrid w:val="0"/>
        <w:spacing w:line="360" w:lineRule="auto"/>
        <w:ind w:firstLine="480" w:firstLineChars="200"/>
        <w:rPr>
          <w:rFonts w:eastAsiaTheme="minorEastAsia"/>
          <w:sz w:val="24"/>
        </w:rPr>
      </w:pPr>
      <w:r>
        <w:rPr>
          <w:rFonts w:eastAsiaTheme="minorEastAsia"/>
          <w:sz w:val="24"/>
        </w:rPr>
        <w:t>A、住院房在建筑设计上采用密闭窗、密闭门及吸音等隔声、降噪措施，以保证病房和手术房噪声值达到医院及国家规定的噪声要求。</w:t>
      </w:r>
    </w:p>
    <w:p>
      <w:pPr>
        <w:snapToGrid w:val="0"/>
        <w:spacing w:line="360" w:lineRule="auto"/>
        <w:ind w:firstLine="480" w:firstLineChars="200"/>
        <w:rPr>
          <w:rFonts w:eastAsiaTheme="minorEastAsia"/>
          <w:sz w:val="24"/>
        </w:rPr>
      </w:pPr>
      <w:r>
        <w:rPr>
          <w:rFonts w:eastAsiaTheme="minorEastAsia"/>
          <w:sz w:val="24"/>
        </w:rPr>
        <w:t>B、各科室产生的污染物按规定要求进行处理，可利用的固体废物综合利用，防止二次污染的发生。</w:t>
      </w:r>
    </w:p>
    <w:p>
      <w:pPr>
        <w:snapToGrid w:val="0"/>
        <w:spacing w:line="360" w:lineRule="auto"/>
        <w:ind w:firstLine="480" w:firstLineChars="200"/>
        <w:rPr>
          <w:rFonts w:eastAsiaTheme="minorEastAsia"/>
          <w:sz w:val="24"/>
        </w:rPr>
      </w:pPr>
      <w:r>
        <w:rPr>
          <w:rFonts w:eastAsiaTheme="minorEastAsia"/>
          <w:sz w:val="24"/>
        </w:rPr>
        <w:t>（4）做好环境保护的宣传工作，采取专刊、黑板报、简报的形式开展环保法的宣传，组织职工学习有关的环保资料，以提高职工的环保意识。</w:t>
      </w:r>
    </w:p>
    <w:p>
      <w:pPr>
        <w:snapToGrid w:val="0"/>
        <w:spacing w:line="360" w:lineRule="auto"/>
        <w:ind w:firstLine="480" w:firstLineChars="200"/>
        <w:rPr>
          <w:rFonts w:eastAsiaTheme="minorEastAsia"/>
          <w:sz w:val="24"/>
        </w:rPr>
      </w:pPr>
      <w:r>
        <w:rPr>
          <w:rFonts w:eastAsiaTheme="minorEastAsia"/>
          <w:sz w:val="24"/>
        </w:rPr>
        <w:t>（5）抓好环境保护的管理工作，杜绝环保污染事故的发生。</w:t>
      </w:r>
    </w:p>
    <w:p>
      <w:pPr>
        <w:snapToGrid w:val="0"/>
        <w:spacing w:line="360" w:lineRule="auto"/>
        <w:ind w:firstLine="480" w:firstLineChars="200"/>
        <w:rPr>
          <w:rFonts w:eastAsiaTheme="minorEastAsia"/>
          <w:sz w:val="24"/>
        </w:rPr>
      </w:pPr>
      <w:r>
        <w:rPr>
          <w:rFonts w:eastAsiaTheme="minorEastAsia"/>
          <w:sz w:val="24"/>
        </w:rPr>
        <w:t>（6）做好环保报表的统计上报工作。</w:t>
      </w:r>
    </w:p>
    <w:p>
      <w:pPr>
        <w:pStyle w:val="4"/>
        <w:tabs>
          <w:tab w:val="left" w:pos="1701"/>
        </w:tabs>
        <w:snapToGrid w:val="0"/>
        <w:spacing w:before="0" w:after="0" w:line="360" w:lineRule="auto"/>
        <w:rPr>
          <w:rFonts w:eastAsiaTheme="minorEastAsia"/>
          <w:kern w:val="0"/>
          <w:sz w:val="24"/>
        </w:rPr>
      </w:pPr>
      <w:r>
        <w:rPr>
          <w:rFonts w:eastAsiaTheme="minorEastAsia"/>
          <w:kern w:val="0"/>
          <w:sz w:val="24"/>
        </w:rPr>
        <w:t>10.1.3 环境管理及保护计划</w:t>
      </w:r>
    </w:p>
    <w:p>
      <w:pPr>
        <w:snapToGrid w:val="0"/>
        <w:spacing w:line="360" w:lineRule="auto"/>
        <w:ind w:firstLine="480" w:firstLineChars="200"/>
        <w:rPr>
          <w:rFonts w:eastAsiaTheme="minorEastAsia"/>
          <w:sz w:val="24"/>
        </w:rPr>
      </w:pPr>
      <w:r>
        <w:rPr>
          <w:rFonts w:eastAsiaTheme="minorEastAsia"/>
          <w:sz w:val="24"/>
        </w:rPr>
        <w:t>（1）施工期环境管理及保护计划</w:t>
      </w:r>
    </w:p>
    <w:p>
      <w:pPr>
        <w:snapToGrid w:val="0"/>
        <w:spacing w:line="360" w:lineRule="auto"/>
        <w:ind w:firstLine="480" w:firstLineChars="200"/>
        <w:rPr>
          <w:rFonts w:eastAsiaTheme="minorEastAsia"/>
          <w:sz w:val="24"/>
        </w:rPr>
      </w:pPr>
      <w:r>
        <w:rPr>
          <w:rFonts w:eastAsiaTheme="minorEastAsia"/>
          <w:sz w:val="24"/>
        </w:rPr>
        <w:t>施工期环境管理是组织实施环保设施的“三同时”和施工过程污染防治。建设单位在施工开始后应配备管理人员1-2人专门负责施工期的环境管理和监督。</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监督实施环保设施的“三同时”</w:t>
      </w:r>
    </w:p>
    <w:p>
      <w:pPr>
        <w:snapToGrid w:val="0"/>
        <w:spacing w:line="360" w:lineRule="auto"/>
        <w:ind w:firstLine="480" w:firstLineChars="200"/>
        <w:rPr>
          <w:rFonts w:eastAsiaTheme="minorEastAsia"/>
          <w:sz w:val="24"/>
        </w:rPr>
      </w:pPr>
      <w:r>
        <w:rPr>
          <w:rFonts w:eastAsiaTheme="minorEastAsia"/>
          <w:sz w:val="24"/>
        </w:rPr>
        <w:t>A、各项环保设施的设计、施工计划必须与主体工程同时进行，并把工程设计和施工计划报环保行政主管部门审批。</w:t>
      </w:r>
    </w:p>
    <w:p>
      <w:pPr>
        <w:snapToGrid w:val="0"/>
        <w:spacing w:line="360" w:lineRule="auto"/>
        <w:ind w:firstLine="480" w:firstLineChars="200"/>
        <w:rPr>
          <w:rFonts w:eastAsiaTheme="minorEastAsia"/>
          <w:sz w:val="24"/>
        </w:rPr>
      </w:pPr>
      <w:r>
        <w:rPr>
          <w:rFonts w:eastAsiaTheme="minorEastAsia"/>
          <w:sz w:val="24"/>
        </w:rPr>
        <w:t>B、在施工过程中必须经常检查环保设施建设进度，如有滞后，应立即纠正。</w:t>
      </w:r>
    </w:p>
    <w:p>
      <w:pPr>
        <w:snapToGrid w:val="0"/>
        <w:spacing w:line="360" w:lineRule="auto"/>
        <w:ind w:firstLine="480" w:firstLineChars="200"/>
        <w:rPr>
          <w:rFonts w:eastAsiaTheme="minorEastAsia"/>
          <w:sz w:val="24"/>
        </w:rPr>
      </w:pPr>
      <w:r>
        <w:rPr>
          <w:rFonts w:eastAsiaTheme="minorEastAsia"/>
          <w:sz w:val="24"/>
        </w:rPr>
        <w:t>C、在试营运前必须检查各项治理设施完工情况，并向环保审批部门申报营运计划，待批准后营运。</w:t>
      </w:r>
    </w:p>
    <w:p>
      <w:pPr>
        <w:snapToGrid w:val="0"/>
        <w:spacing w:line="360" w:lineRule="auto"/>
        <w:ind w:firstLine="480" w:firstLineChars="200"/>
        <w:rPr>
          <w:rFonts w:eastAsiaTheme="minorEastAsia"/>
          <w:sz w:val="24"/>
        </w:rPr>
      </w:pPr>
      <w:r>
        <w:rPr>
          <w:rFonts w:eastAsiaTheme="minorEastAsia"/>
          <w:sz w:val="24"/>
        </w:rPr>
        <w:t>D、竣工验收时必须提交环保竣工验收监测报告，经竣工验收合格，并发放环保设施验收合格证及排污许可证，方可投入正式营运。</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施工期间环境保护实施计划</w:t>
      </w:r>
    </w:p>
    <w:p>
      <w:pPr>
        <w:snapToGrid w:val="0"/>
        <w:spacing w:line="360" w:lineRule="auto"/>
        <w:ind w:firstLine="480" w:firstLineChars="200"/>
        <w:rPr>
          <w:rFonts w:eastAsiaTheme="minorEastAsia"/>
          <w:sz w:val="24"/>
        </w:rPr>
      </w:pPr>
      <w:r>
        <w:rPr>
          <w:rFonts w:eastAsiaTheme="minorEastAsia"/>
          <w:sz w:val="24"/>
        </w:rPr>
        <w:t>A、施工期环境管理</w:t>
      </w:r>
    </w:p>
    <w:p>
      <w:pPr>
        <w:snapToGrid w:val="0"/>
        <w:spacing w:line="360" w:lineRule="auto"/>
        <w:ind w:firstLine="480" w:firstLineChars="200"/>
        <w:rPr>
          <w:rFonts w:eastAsiaTheme="minorEastAsia"/>
          <w:sz w:val="24"/>
        </w:rPr>
      </w:pPr>
      <w:r>
        <w:rPr>
          <w:rFonts w:eastAsiaTheme="minorEastAsia"/>
          <w:sz w:val="24"/>
        </w:rPr>
        <w:t>a、建设单位在施工开始后应派管理人员专门负责施工期环境管理与监督，重点是地基处理和建筑物建设过程中防止泥沙砖块散落、施工噪声、粉尘及施工环境管理，并明确分工责任。</w:t>
      </w:r>
    </w:p>
    <w:p>
      <w:pPr>
        <w:snapToGrid w:val="0"/>
        <w:spacing w:line="360" w:lineRule="auto"/>
        <w:ind w:firstLine="480" w:firstLineChars="200"/>
        <w:rPr>
          <w:rFonts w:eastAsiaTheme="minorEastAsia"/>
          <w:sz w:val="24"/>
        </w:rPr>
      </w:pPr>
      <w:r>
        <w:rPr>
          <w:rFonts w:eastAsiaTheme="minorEastAsia"/>
          <w:sz w:val="24"/>
        </w:rPr>
        <w:t>b、施工期间应对各施工队伍的施工环保实施计划进行检查监督，对施工中的排污情况进行监督，对造成严重水土流失或其它重大污染事故进行调查处理，直至法律追究。</w:t>
      </w:r>
    </w:p>
    <w:p>
      <w:pPr>
        <w:snapToGrid w:val="0"/>
        <w:spacing w:line="360" w:lineRule="auto"/>
        <w:ind w:firstLine="480" w:firstLineChars="200"/>
        <w:rPr>
          <w:rFonts w:eastAsiaTheme="minorEastAsia"/>
          <w:sz w:val="24"/>
        </w:rPr>
      </w:pPr>
      <w:r>
        <w:rPr>
          <w:rFonts w:eastAsiaTheme="minorEastAsia"/>
          <w:sz w:val="24"/>
        </w:rPr>
        <w:t>c、各施工队伍（承包商）应配备一名环保员，根据承包工程的环境问题提出环保实施计划，并根据审批的计划进行实施、监督、管理，对发生的水土流失事件或其它污染事故应组织处理，并及时向建设单位和地方环保部门报告。</w:t>
      </w:r>
    </w:p>
    <w:p>
      <w:pPr>
        <w:snapToGrid w:val="0"/>
        <w:spacing w:line="360" w:lineRule="auto"/>
        <w:ind w:firstLine="480" w:firstLineChars="200"/>
        <w:rPr>
          <w:rFonts w:eastAsiaTheme="minorEastAsia"/>
          <w:sz w:val="24"/>
        </w:rPr>
      </w:pPr>
      <w:r>
        <w:rPr>
          <w:rFonts w:eastAsiaTheme="minorEastAsia"/>
          <w:sz w:val="24"/>
        </w:rPr>
        <w:t>B、施工现场环境恢复监督</w:t>
      </w:r>
    </w:p>
    <w:p>
      <w:pPr>
        <w:snapToGrid w:val="0"/>
        <w:spacing w:line="360" w:lineRule="auto"/>
        <w:ind w:firstLine="480" w:firstLineChars="200"/>
        <w:rPr>
          <w:rFonts w:eastAsiaTheme="minorEastAsia"/>
          <w:sz w:val="24"/>
        </w:rPr>
      </w:pPr>
      <w:r>
        <w:rPr>
          <w:rFonts w:eastAsiaTheme="minorEastAsia"/>
          <w:sz w:val="24"/>
        </w:rPr>
        <w:t>项目在营运前应全面检查施工现场的环境恢复情况，施工单位应及时撤出占用场地，拆除临时设施，恢复被破坏的地面，恢复绿化，使医院以整洁的面貌投入营运。C、环保设施的竣工验收</w:t>
      </w:r>
    </w:p>
    <w:p>
      <w:pPr>
        <w:snapToGrid w:val="0"/>
        <w:spacing w:line="360" w:lineRule="auto"/>
        <w:ind w:firstLine="480" w:firstLineChars="200"/>
        <w:rPr>
          <w:rFonts w:eastAsiaTheme="minorEastAsia"/>
          <w:sz w:val="24"/>
        </w:rPr>
      </w:pPr>
      <w:r>
        <w:rPr>
          <w:rFonts w:eastAsiaTheme="minorEastAsia"/>
          <w:sz w:val="24"/>
        </w:rPr>
        <w:t>项目在施工期和营运期环保设施与主体工程必须同时开工、同时建设、同时投入使用。</w:t>
      </w:r>
    </w:p>
    <w:p>
      <w:pPr>
        <w:snapToGrid w:val="0"/>
        <w:spacing w:line="360" w:lineRule="auto"/>
        <w:ind w:firstLine="480" w:firstLineChars="200"/>
        <w:rPr>
          <w:rFonts w:eastAsiaTheme="minorEastAsia"/>
          <w:sz w:val="24"/>
        </w:rPr>
      </w:pPr>
      <w:r>
        <w:rPr>
          <w:rFonts w:eastAsiaTheme="minorEastAsia"/>
          <w:sz w:val="24"/>
        </w:rPr>
        <w:t>（2）营运期环境管理和保护计划</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根据环保局对环保设施验收报告的批复意见进行补充完善；</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制定各环保设施操作规程，拟定定期维修制度，使各项环保设施在营运过程中处于良好的运行状态；</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加强对环保设施的运行管理，如环保设施出现故障，应立即停止排污并进行检修，严禁非正常排放；</w:t>
      </w:r>
    </w:p>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进行环境监测工作，重点是锅炉烟气排放监测、污水处理站恶臭、厂区周围噪声监测、医疗废水排放监测以及厂区废水排放监测，并注意做好记录，不得弄虚作假。监测中如发现异常情况应及时向有关部门通报，及时采取应急措施，防止事故排放。</w:t>
      </w:r>
    </w:p>
    <w:p>
      <w:pPr>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制定环境监测资料的存贮建档与上报的计划，并接受市环境保护局检查。环保档案内容包括：A、污染物排放情况；B、污染物治理设施的运行、操作和管理情况；C、各污染物的监测分析方法和监测记录；D、事故情况及有关记录；E、其他与污染防治有关的情况和资料等。</w:t>
      </w:r>
    </w:p>
    <w:p>
      <w:pPr>
        <w:snapToGrid w:val="0"/>
        <w:spacing w:line="360" w:lineRule="auto"/>
        <w:ind w:firstLine="480" w:firstLineChars="200"/>
        <w:rPr>
          <w:rFonts w:eastAsiaTheme="minorEastAsia"/>
          <w:sz w:val="24"/>
        </w:rPr>
      </w:pPr>
      <w:r>
        <w:rPr>
          <w:rFonts w:hint="eastAsia" w:ascii="宋体" w:hAnsi="宋体" w:cs="宋体"/>
          <w:sz w:val="24"/>
        </w:rPr>
        <w:t>⑥</w:t>
      </w:r>
      <w:r>
        <w:rPr>
          <w:rFonts w:eastAsiaTheme="minorEastAsia"/>
          <w:sz w:val="24"/>
        </w:rPr>
        <w:t>建立污染事故报告制度。当污染事故发生时，必须在事故发生后48小时内，向环保部门作出事故发生的时间、地点、类型和排放污染物的数量、经济损失等情况的初步报告；事故查清后，向环保部门书面报告事故发生的原因，采取的措施，处理结果，并附有关证明。建设单位有责任排除危害，并对直接受到损害的单位或个人赔偿损失。</w:t>
      </w:r>
    </w:p>
    <w:p>
      <w:pPr>
        <w:pStyle w:val="3"/>
        <w:snapToGrid w:val="0"/>
        <w:spacing w:before="0" w:after="0" w:line="360" w:lineRule="auto"/>
        <w:rPr>
          <w:rFonts w:ascii="Times New Roman" w:hAnsi="Times New Roman" w:eastAsiaTheme="minorEastAsia"/>
          <w:sz w:val="28"/>
          <w:lang w:val="zh-CN"/>
        </w:rPr>
      </w:pPr>
      <w:bookmarkStart w:id="212" w:name="_Toc61026637"/>
      <w:r>
        <w:rPr>
          <w:rFonts w:ascii="Times New Roman" w:hAnsi="Times New Roman" w:eastAsiaTheme="minorEastAsia"/>
          <w:sz w:val="28"/>
          <w:lang w:val="zh-CN"/>
        </w:rPr>
        <w:t>10.2 竣工环保验收</w:t>
      </w:r>
      <w:bookmarkEnd w:id="212"/>
    </w:p>
    <w:p>
      <w:pPr>
        <w:snapToGrid w:val="0"/>
        <w:spacing w:line="360" w:lineRule="auto"/>
        <w:ind w:firstLine="480" w:firstLineChars="200"/>
        <w:rPr>
          <w:rFonts w:eastAsiaTheme="minorEastAsia"/>
          <w:sz w:val="24"/>
        </w:rPr>
      </w:pPr>
      <w:r>
        <w:rPr>
          <w:rFonts w:eastAsiaTheme="minorEastAsia"/>
          <w:sz w:val="24"/>
        </w:rPr>
        <w:t>为了便于建设单位及环保主管部门对工程项目进行竣工验收，现按照国家有关规定，提出环境保护竣工验收一览表，详见表下表。</w:t>
      </w:r>
    </w:p>
    <w:p>
      <w:pPr>
        <w:adjustRightInd w:val="0"/>
        <w:snapToGrid w:val="0"/>
        <w:spacing w:line="360" w:lineRule="auto"/>
        <w:jc w:val="center"/>
        <w:rPr>
          <w:rFonts w:eastAsiaTheme="minorEastAsia"/>
          <w:b/>
          <w:sz w:val="24"/>
        </w:rPr>
      </w:pPr>
      <w:r>
        <w:rPr>
          <w:rFonts w:eastAsiaTheme="minorEastAsia"/>
          <w:b/>
          <w:sz w:val="24"/>
        </w:rPr>
        <w:t>表9.2-1  环境保护竣工验收一览表</w:t>
      </w:r>
    </w:p>
    <w:tbl>
      <w:tblPr>
        <w:tblStyle w:val="80"/>
        <w:tblW w:w="90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4"/>
        <w:gridCol w:w="1223"/>
        <w:gridCol w:w="3128"/>
        <w:gridCol w:w="1341"/>
        <w:gridCol w:w="26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388" w:type="pct"/>
            <w:vAlign w:val="center"/>
          </w:tcPr>
          <w:p>
            <w:pPr>
              <w:snapToGrid w:val="0"/>
              <w:jc w:val="center"/>
              <w:rPr>
                <w:rFonts w:eastAsiaTheme="minorEastAsia"/>
                <w:b/>
                <w:szCs w:val="21"/>
              </w:rPr>
            </w:pPr>
            <w:r>
              <w:rPr>
                <w:rFonts w:eastAsiaTheme="minorEastAsia"/>
                <w:b/>
                <w:szCs w:val="21"/>
              </w:rPr>
              <w:t>项目</w:t>
            </w:r>
          </w:p>
        </w:tc>
        <w:tc>
          <w:tcPr>
            <w:tcW w:w="674" w:type="pct"/>
            <w:vAlign w:val="center"/>
          </w:tcPr>
          <w:p>
            <w:pPr>
              <w:snapToGrid w:val="0"/>
              <w:jc w:val="center"/>
              <w:rPr>
                <w:rFonts w:eastAsiaTheme="minorEastAsia"/>
                <w:b/>
                <w:szCs w:val="21"/>
              </w:rPr>
            </w:pPr>
            <w:r>
              <w:rPr>
                <w:rFonts w:eastAsiaTheme="minorEastAsia"/>
                <w:b/>
                <w:szCs w:val="21"/>
              </w:rPr>
              <w:t>污染源</w:t>
            </w:r>
          </w:p>
        </w:tc>
        <w:tc>
          <w:tcPr>
            <w:tcW w:w="1724" w:type="pct"/>
            <w:vAlign w:val="center"/>
          </w:tcPr>
          <w:p>
            <w:pPr>
              <w:snapToGrid w:val="0"/>
              <w:jc w:val="center"/>
              <w:rPr>
                <w:rFonts w:eastAsiaTheme="minorEastAsia"/>
                <w:b/>
                <w:szCs w:val="21"/>
              </w:rPr>
            </w:pPr>
            <w:r>
              <w:rPr>
                <w:rFonts w:eastAsiaTheme="minorEastAsia"/>
                <w:b/>
                <w:szCs w:val="21"/>
              </w:rPr>
              <w:t>处理设施</w:t>
            </w:r>
          </w:p>
        </w:tc>
        <w:tc>
          <w:tcPr>
            <w:tcW w:w="739" w:type="pct"/>
            <w:vAlign w:val="center"/>
          </w:tcPr>
          <w:p>
            <w:pPr>
              <w:snapToGrid w:val="0"/>
              <w:jc w:val="center"/>
              <w:rPr>
                <w:rFonts w:eastAsiaTheme="minorEastAsia"/>
                <w:b/>
                <w:szCs w:val="21"/>
              </w:rPr>
            </w:pPr>
            <w:r>
              <w:rPr>
                <w:rFonts w:eastAsiaTheme="minorEastAsia"/>
                <w:b/>
                <w:szCs w:val="21"/>
              </w:rPr>
              <w:t>检测项目</w:t>
            </w:r>
          </w:p>
        </w:tc>
        <w:tc>
          <w:tcPr>
            <w:tcW w:w="1475" w:type="pct"/>
            <w:vAlign w:val="center"/>
          </w:tcPr>
          <w:p>
            <w:pPr>
              <w:snapToGrid w:val="0"/>
              <w:jc w:val="center"/>
              <w:rPr>
                <w:rFonts w:eastAsiaTheme="minorEastAsia"/>
                <w:b/>
                <w:szCs w:val="21"/>
              </w:rPr>
            </w:pPr>
            <w:r>
              <w:rPr>
                <w:rFonts w:eastAsiaTheme="minorEastAsia"/>
                <w:b/>
                <w:szCs w:val="21"/>
              </w:rPr>
              <w:t>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restart"/>
            <w:vAlign w:val="center"/>
          </w:tcPr>
          <w:p>
            <w:pPr>
              <w:adjustRightInd w:val="0"/>
              <w:snapToGrid w:val="0"/>
              <w:jc w:val="center"/>
              <w:rPr>
                <w:rFonts w:eastAsiaTheme="minorEastAsia"/>
                <w:szCs w:val="21"/>
              </w:rPr>
            </w:pPr>
            <w:r>
              <w:rPr>
                <w:rFonts w:eastAsiaTheme="minorEastAsia"/>
                <w:szCs w:val="21"/>
              </w:rPr>
              <w:t>废水</w:t>
            </w:r>
          </w:p>
        </w:tc>
        <w:tc>
          <w:tcPr>
            <w:tcW w:w="674" w:type="pct"/>
            <w:vMerge w:val="restart"/>
            <w:vAlign w:val="center"/>
          </w:tcPr>
          <w:p>
            <w:pPr>
              <w:adjustRightInd w:val="0"/>
              <w:snapToGrid w:val="0"/>
              <w:jc w:val="center"/>
              <w:rPr>
                <w:rFonts w:eastAsiaTheme="minorEastAsia"/>
                <w:szCs w:val="21"/>
              </w:rPr>
            </w:pPr>
            <w:r>
              <w:rPr>
                <w:rFonts w:eastAsiaTheme="minorEastAsia"/>
                <w:szCs w:val="21"/>
              </w:rPr>
              <w:t>医疗废水</w:t>
            </w:r>
          </w:p>
        </w:tc>
        <w:tc>
          <w:tcPr>
            <w:tcW w:w="1724" w:type="pct"/>
            <w:vAlign w:val="center"/>
          </w:tcPr>
          <w:p>
            <w:pPr>
              <w:adjustRightInd w:val="0"/>
              <w:snapToGrid w:val="0"/>
              <w:jc w:val="center"/>
              <w:rPr>
                <w:rFonts w:eastAsiaTheme="minorEastAsia"/>
                <w:szCs w:val="21"/>
              </w:rPr>
            </w:pPr>
            <w:r>
              <w:rPr>
                <w:rFonts w:eastAsiaTheme="minorEastAsia"/>
                <w:szCs w:val="21"/>
              </w:rPr>
              <w:t>医疗废水处理设施1座，处理规模约</w:t>
            </w:r>
            <w:r>
              <w:rPr>
                <w:rFonts w:hint="eastAsia" w:eastAsiaTheme="minorEastAsia"/>
                <w:szCs w:val="21"/>
              </w:rPr>
              <w:t>3</w:t>
            </w:r>
            <w:r>
              <w:rPr>
                <w:rFonts w:eastAsiaTheme="minorEastAsia"/>
                <w:szCs w:val="21"/>
              </w:rPr>
              <w:t>00t/d，处理工艺为：“调节+水解酸化+生物接触氧化+斜管沉淀池+接触消毒（二氧化氯消毒）”。废水排污口规范建设</w:t>
            </w:r>
          </w:p>
        </w:tc>
        <w:tc>
          <w:tcPr>
            <w:tcW w:w="739" w:type="pct"/>
            <w:vMerge w:val="restart"/>
            <w:vAlign w:val="center"/>
          </w:tcPr>
          <w:p>
            <w:pPr>
              <w:snapToGrid w:val="0"/>
              <w:jc w:val="center"/>
              <w:rPr>
                <w:rFonts w:eastAsiaTheme="minorEastAsia"/>
                <w:szCs w:val="21"/>
              </w:rPr>
            </w:pPr>
            <w:r>
              <w:rPr>
                <w:rFonts w:eastAsiaTheme="minorEastAsia"/>
                <w:szCs w:val="21"/>
              </w:rPr>
              <w:t>pH、COD</w:t>
            </w:r>
            <w:r>
              <w:rPr>
                <w:rFonts w:eastAsiaTheme="minorEastAsia"/>
                <w:szCs w:val="21"/>
                <w:vertAlign w:val="subscript"/>
              </w:rPr>
              <w:t>Cr</w:t>
            </w:r>
            <w:r>
              <w:rPr>
                <w:rFonts w:eastAsiaTheme="minorEastAsia"/>
                <w:szCs w:val="21"/>
              </w:rPr>
              <w:t>、SS、BOD</w:t>
            </w:r>
            <w:r>
              <w:rPr>
                <w:rFonts w:eastAsiaTheme="minorEastAsia"/>
                <w:szCs w:val="21"/>
                <w:vertAlign w:val="subscript"/>
              </w:rPr>
              <w:t>5</w:t>
            </w:r>
            <w:r>
              <w:rPr>
                <w:rFonts w:eastAsiaTheme="minorEastAsia"/>
                <w:szCs w:val="21"/>
              </w:rPr>
              <w:t>、氨氮、动植物油、总氰化物、粪大肠菌群、总余氯、总氰化物、肠道致病菌、肠道病毒</w:t>
            </w:r>
          </w:p>
        </w:tc>
        <w:tc>
          <w:tcPr>
            <w:tcW w:w="1475" w:type="pct"/>
            <w:vMerge w:val="restart"/>
            <w:vAlign w:val="center"/>
          </w:tcPr>
          <w:p>
            <w:pPr>
              <w:snapToGrid w:val="0"/>
              <w:jc w:val="center"/>
              <w:rPr>
                <w:rFonts w:eastAsiaTheme="minorEastAsia"/>
                <w:szCs w:val="21"/>
                <w:u w:val="single"/>
              </w:rPr>
            </w:pPr>
            <w:r>
              <w:rPr>
                <w:rFonts w:eastAsiaTheme="minorEastAsia"/>
                <w:szCs w:val="21"/>
                <w:u w:val="single"/>
              </w:rPr>
              <w:t>《医疗机构水污染物排放标准》（GB18466-2005）表2预处理标准</w:t>
            </w:r>
            <w:r>
              <w:rPr>
                <w:rFonts w:hint="eastAsia" w:eastAsiaTheme="minorEastAsia"/>
                <w:szCs w:val="21"/>
                <w:u w:val="single"/>
              </w:rPr>
              <w:t>；湘阴县第一污水处理厂进水水质要求</w:t>
            </w:r>
            <w:r>
              <w:rPr>
                <w:rFonts w:eastAsiaTheme="minorEastAsia"/>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Merge w:val="continue"/>
            <w:vAlign w:val="center"/>
          </w:tcPr>
          <w:p>
            <w:pPr>
              <w:adjustRightInd w:val="0"/>
              <w:snapToGrid w:val="0"/>
              <w:jc w:val="center"/>
              <w:rPr>
                <w:rFonts w:eastAsiaTheme="minorEastAsia"/>
                <w:color w:val="FF0000"/>
                <w:szCs w:val="21"/>
              </w:rPr>
            </w:pPr>
          </w:p>
        </w:tc>
        <w:tc>
          <w:tcPr>
            <w:tcW w:w="1724" w:type="pct"/>
            <w:vAlign w:val="center"/>
          </w:tcPr>
          <w:p>
            <w:pPr>
              <w:adjustRightInd w:val="0"/>
              <w:snapToGrid w:val="0"/>
              <w:jc w:val="center"/>
              <w:rPr>
                <w:rFonts w:eastAsiaTheme="minorEastAsia"/>
                <w:szCs w:val="21"/>
                <w:u w:val="single"/>
              </w:rPr>
            </w:pPr>
            <w:r>
              <w:rPr>
                <w:rFonts w:eastAsiaTheme="minorEastAsia"/>
                <w:szCs w:val="21"/>
                <w:u w:val="single"/>
              </w:rPr>
              <w:t>按照施工图要求建设</w:t>
            </w:r>
            <w:r>
              <w:rPr>
                <w:rFonts w:hint="eastAsia" w:eastAsiaTheme="minorEastAsia"/>
                <w:szCs w:val="21"/>
                <w:u w:val="single"/>
              </w:rPr>
              <w:t>2</w:t>
            </w:r>
            <w:r>
              <w:rPr>
                <w:rFonts w:eastAsiaTheme="minorEastAsia"/>
                <w:szCs w:val="21"/>
                <w:u w:val="single"/>
              </w:rPr>
              <w:t>个化粪池，处理规模大于200t/d</w:t>
            </w:r>
          </w:p>
        </w:tc>
        <w:tc>
          <w:tcPr>
            <w:tcW w:w="739" w:type="pct"/>
            <w:vMerge w:val="continue"/>
            <w:vAlign w:val="center"/>
          </w:tcPr>
          <w:p>
            <w:pPr>
              <w:snapToGrid w:val="0"/>
              <w:jc w:val="center"/>
              <w:rPr>
                <w:rFonts w:eastAsiaTheme="minorEastAsia"/>
                <w:color w:val="FF0000"/>
                <w:szCs w:val="21"/>
              </w:rPr>
            </w:pPr>
          </w:p>
        </w:tc>
        <w:tc>
          <w:tcPr>
            <w:tcW w:w="1475" w:type="pct"/>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Merge w:val="continue"/>
            <w:vAlign w:val="center"/>
          </w:tcPr>
          <w:p>
            <w:pPr>
              <w:adjustRightInd w:val="0"/>
              <w:snapToGrid w:val="0"/>
              <w:jc w:val="center"/>
              <w:rPr>
                <w:rFonts w:eastAsiaTheme="minorEastAsia"/>
                <w:color w:val="FF0000"/>
                <w:szCs w:val="21"/>
              </w:rPr>
            </w:pPr>
          </w:p>
        </w:tc>
        <w:tc>
          <w:tcPr>
            <w:tcW w:w="1724" w:type="pct"/>
            <w:vAlign w:val="center"/>
          </w:tcPr>
          <w:p>
            <w:pPr>
              <w:adjustRightInd w:val="0"/>
              <w:snapToGrid w:val="0"/>
              <w:jc w:val="center"/>
              <w:rPr>
                <w:rFonts w:eastAsiaTheme="minorEastAsia"/>
                <w:szCs w:val="21"/>
                <w:u w:val="single"/>
              </w:rPr>
            </w:pPr>
            <w:r>
              <w:rPr>
                <w:rFonts w:eastAsiaTheme="minorEastAsia"/>
                <w:szCs w:val="21"/>
                <w:u w:val="single"/>
              </w:rPr>
              <w:t>雨污分流</w:t>
            </w:r>
            <w:r>
              <w:rPr>
                <w:rFonts w:hint="eastAsia" w:eastAsiaTheme="minorEastAsia"/>
                <w:szCs w:val="21"/>
                <w:u w:val="single"/>
              </w:rPr>
              <w:t>、污污分流</w:t>
            </w:r>
            <w:r>
              <w:rPr>
                <w:rFonts w:eastAsiaTheme="minorEastAsia"/>
                <w:szCs w:val="21"/>
                <w:u w:val="single"/>
              </w:rPr>
              <w:t>管网建设</w:t>
            </w:r>
          </w:p>
        </w:tc>
        <w:tc>
          <w:tcPr>
            <w:tcW w:w="739" w:type="pct"/>
            <w:vMerge w:val="continue"/>
            <w:vAlign w:val="center"/>
          </w:tcPr>
          <w:p>
            <w:pPr>
              <w:snapToGrid w:val="0"/>
              <w:jc w:val="center"/>
              <w:rPr>
                <w:rFonts w:eastAsiaTheme="minorEastAsia"/>
                <w:color w:val="FF0000"/>
                <w:szCs w:val="21"/>
              </w:rPr>
            </w:pPr>
          </w:p>
        </w:tc>
        <w:tc>
          <w:tcPr>
            <w:tcW w:w="1475" w:type="pct"/>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Align w:val="center"/>
          </w:tcPr>
          <w:p>
            <w:pPr>
              <w:adjustRightInd w:val="0"/>
              <w:snapToGrid w:val="0"/>
              <w:jc w:val="center"/>
              <w:rPr>
                <w:rFonts w:eastAsiaTheme="minorEastAsia"/>
                <w:szCs w:val="21"/>
                <w:u w:val="single"/>
              </w:rPr>
            </w:pPr>
            <w:r>
              <w:rPr>
                <w:rFonts w:eastAsiaTheme="minorEastAsia"/>
                <w:szCs w:val="21"/>
                <w:u w:val="single"/>
              </w:rPr>
              <w:t>食堂餐饮废水</w:t>
            </w:r>
          </w:p>
        </w:tc>
        <w:tc>
          <w:tcPr>
            <w:tcW w:w="1724" w:type="pct"/>
            <w:vAlign w:val="center"/>
          </w:tcPr>
          <w:p>
            <w:pPr>
              <w:adjustRightInd w:val="0"/>
              <w:snapToGrid w:val="0"/>
              <w:jc w:val="center"/>
              <w:rPr>
                <w:rFonts w:eastAsiaTheme="minorEastAsia"/>
                <w:szCs w:val="21"/>
                <w:u w:val="single"/>
              </w:rPr>
            </w:pPr>
            <w:r>
              <w:rPr>
                <w:rFonts w:eastAsiaTheme="minorEastAsia"/>
                <w:szCs w:val="21"/>
                <w:u w:val="single"/>
              </w:rPr>
              <w:t>食堂隔油池一座，处理规模大于40t/d</w:t>
            </w:r>
          </w:p>
        </w:tc>
        <w:tc>
          <w:tcPr>
            <w:tcW w:w="739" w:type="pct"/>
            <w:vMerge w:val="continue"/>
            <w:vAlign w:val="center"/>
          </w:tcPr>
          <w:p>
            <w:pPr>
              <w:snapToGrid w:val="0"/>
              <w:jc w:val="center"/>
              <w:rPr>
                <w:rFonts w:eastAsiaTheme="minorEastAsia"/>
                <w:color w:val="FF0000"/>
                <w:szCs w:val="21"/>
              </w:rPr>
            </w:pPr>
          </w:p>
        </w:tc>
        <w:tc>
          <w:tcPr>
            <w:tcW w:w="1475" w:type="pct"/>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Align w:val="center"/>
          </w:tcPr>
          <w:p>
            <w:pPr>
              <w:adjustRightInd w:val="0"/>
              <w:snapToGrid w:val="0"/>
              <w:jc w:val="center"/>
              <w:rPr>
                <w:rFonts w:eastAsiaTheme="minorEastAsia"/>
                <w:szCs w:val="21"/>
              </w:rPr>
            </w:pPr>
            <w:r>
              <w:rPr>
                <w:rFonts w:eastAsiaTheme="minorEastAsia"/>
                <w:szCs w:val="21"/>
              </w:rPr>
              <w:t>检验科废水</w:t>
            </w:r>
          </w:p>
        </w:tc>
        <w:tc>
          <w:tcPr>
            <w:tcW w:w="1724" w:type="pct"/>
            <w:vAlign w:val="center"/>
          </w:tcPr>
          <w:p>
            <w:pPr>
              <w:adjustRightInd w:val="0"/>
              <w:snapToGrid w:val="0"/>
              <w:jc w:val="center"/>
              <w:rPr>
                <w:rFonts w:eastAsiaTheme="minorEastAsia"/>
                <w:szCs w:val="21"/>
              </w:rPr>
            </w:pPr>
            <w:r>
              <w:rPr>
                <w:rFonts w:eastAsiaTheme="minorEastAsia"/>
                <w:szCs w:val="21"/>
              </w:rPr>
              <w:t>检验科废水（酸碱废水）的预处理槽，处理规模大于1m</w:t>
            </w:r>
            <w:r>
              <w:rPr>
                <w:rFonts w:eastAsiaTheme="minorEastAsia"/>
                <w:szCs w:val="21"/>
                <w:vertAlign w:val="superscript"/>
              </w:rPr>
              <w:t>3</w:t>
            </w:r>
            <w:r>
              <w:rPr>
                <w:rFonts w:eastAsiaTheme="minorEastAsia"/>
                <w:szCs w:val="21"/>
              </w:rPr>
              <w:t>/d</w:t>
            </w:r>
          </w:p>
          <w:p>
            <w:pPr>
              <w:adjustRightInd w:val="0"/>
              <w:snapToGrid w:val="0"/>
              <w:jc w:val="center"/>
              <w:rPr>
                <w:rFonts w:eastAsiaTheme="minorEastAsia"/>
                <w:szCs w:val="21"/>
              </w:rPr>
            </w:pPr>
            <w:r>
              <w:rPr>
                <w:rFonts w:eastAsiaTheme="minorEastAsia"/>
                <w:szCs w:val="21"/>
              </w:rPr>
              <w:t>检验科废水（含氰废水）的碱式氯化法预处理槽，处理规模大于1m</w:t>
            </w:r>
            <w:r>
              <w:rPr>
                <w:rFonts w:eastAsiaTheme="minorEastAsia"/>
                <w:szCs w:val="21"/>
                <w:vertAlign w:val="superscript"/>
              </w:rPr>
              <w:t>3</w:t>
            </w:r>
            <w:r>
              <w:rPr>
                <w:rFonts w:eastAsiaTheme="minorEastAsia"/>
                <w:szCs w:val="21"/>
              </w:rPr>
              <w:t>/d；检验科废水（生化标本清洗废水）的预处理消毒消毒槽，处理规模大于1m</w:t>
            </w:r>
            <w:r>
              <w:rPr>
                <w:rFonts w:eastAsiaTheme="minorEastAsia"/>
                <w:szCs w:val="21"/>
                <w:vertAlign w:val="superscript"/>
              </w:rPr>
              <w:t>3</w:t>
            </w:r>
            <w:r>
              <w:rPr>
                <w:rFonts w:eastAsiaTheme="minorEastAsia"/>
                <w:szCs w:val="21"/>
              </w:rPr>
              <w:t>/d</w:t>
            </w:r>
          </w:p>
        </w:tc>
        <w:tc>
          <w:tcPr>
            <w:tcW w:w="739" w:type="pct"/>
            <w:vMerge w:val="continue"/>
            <w:vAlign w:val="center"/>
          </w:tcPr>
          <w:p>
            <w:pPr>
              <w:snapToGrid w:val="0"/>
              <w:jc w:val="center"/>
              <w:rPr>
                <w:rFonts w:eastAsiaTheme="minorEastAsia"/>
                <w:color w:val="FF0000"/>
                <w:szCs w:val="21"/>
              </w:rPr>
            </w:pPr>
          </w:p>
        </w:tc>
        <w:tc>
          <w:tcPr>
            <w:tcW w:w="1475" w:type="pct"/>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Align w:val="center"/>
          </w:tcPr>
          <w:p>
            <w:pPr>
              <w:adjustRightInd w:val="0"/>
              <w:snapToGrid w:val="0"/>
              <w:jc w:val="center"/>
              <w:rPr>
                <w:rFonts w:eastAsiaTheme="minorEastAsia"/>
                <w:szCs w:val="21"/>
              </w:rPr>
            </w:pPr>
            <w:r>
              <w:rPr>
                <w:rFonts w:eastAsiaTheme="minorEastAsia"/>
                <w:szCs w:val="21"/>
              </w:rPr>
              <w:t>口腔科废水</w:t>
            </w:r>
          </w:p>
        </w:tc>
        <w:tc>
          <w:tcPr>
            <w:tcW w:w="1724" w:type="pct"/>
            <w:vAlign w:val="center"/>
          </w:tcPr>
          <w:p>
            <w:pPr>
              <w:adjustRightInd w:val="0"/>
              <w:snapToGrid w:val="0"/>
              <w:jc w:val="center"/>
              <w:rPr>
                <w:rFonts w:eastAsiaTheme="minorEastAsia"/>
                <w:szCs w:val="21"/>
              </w:rPr>
            </w:pPr>
            <w:r>
              <w:rPr>
                <w:rFonts w:eastAsiaTheme="minorEastAsia"/>
                <w:szCs w:val="21"/>
              </w:rPr>
              <w:t>口腔科废水的预处理消毒槽，处理规模大于1m</w:t>
            </w:r>
            <w:r>
              <w:rPr>
                <w:rFonts w:eastAsiaTheme="minorEastAsia"/>
                <w:szCs w:val="21"/>
                <w:vertAlign w:val="superscript"/>
              </w:rPr>
              <w:t>3</w:t>
            </w:r>
            <w:r>
              <w:rPr>
                <w:rFonts w:eastAsiaTheme="minorEastAsia"/>
                <w:szCs w:val="21"/>
              </w:rPr>
              <w:t>/d</w:t>
            </w:r>
          </w:p>
        </w:tc>
        <w:tc>
          <w:tcPr>
            <w:tcW w:w="739" w:type="pct"/>
            <w:vMerge w:val="continue"/>
            <w:vAlign w:val="center"/>
          </w:tcPr>
          <w:p>
            <w:pPr>
              <w:snapToGrid w:val="0"/>
              <w:jc w:val="center"/>
              <w:rPr>
                <w:rFonts w:eastAsiaTheme="minorEastAsia"/>
                <w:color w:val="FF0000"/>
                <w:szCs w:val="21"/>
              </w:rPr>
            </w:pPr>
          </w:p>
        </w:tc>
        <w:tc>
          <w:tcPr>
            <w:tcW w:w="1475" w:type="pct"/>
            <w:vMerge w:val="continue"/>
            <w:vAlign w:val="center"/>
          </w:tcPr>
          <w:p>
            <w:pPr>
              <w:snapToGrid w:val="0"/>
              <w:jc w:val="center"/>
              <w:rPr>
                <w:rFonts w:eastAsiaTheme="minorEastAsia"/>
                <w:color w:val="FF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restart"/>
            <w:vAlign w:val="center"/>
          </w:tcPr>
          <w:p>
            <w:pPr>
              <w:adjustRightInd w:val="0"/>
              <w:snapToGrid w:val="0"/>
              <w:jc w:val="center"/>
              <w:rPr>
                <w:rFonts w:eastAsiaTheme="minorEastAsia"/>
                <w:szCs w:val="21"/>
              </w:rPr>
            </w:pPr>
            <w:r>
              <w:rPr>
                <w:rFonts w:eastAsiaTheme="minorEastAsia"/>
                <w:szCs w:val="21"/>
              </w:rPr>
              <w:t>废气</w:t>
            </w:r>
          </w:p>
        </w:tc>
        <w:tc>
          <w:tcPr>
            <w:tcW w:w="674" w:type="pct"/>
            <w:vAlign w:val="center"/>
          </w:tcPr>
          <w:p>
            <w:pPr>
              <w:adjustRightInd w:val="0"/>
              <w:snapToGrid w:val="0"/>
              <w:jc w:val="center"/>
              <w:rPr>
                <w:rFonts w:eastAsiaTheme="minorEastAsia"/>
                <w:szCs w:val="21"/>
              </w:rPr>
            </w:pPr>
            <w:r>
              <w:rPr>
                <w:rFonts w:eastAsiaTheme="minorEastAsia"/>
                <w:szCs w:val="21"/>
              </w:rPr>
              <w:t>食堂油烟废气</w:t>
            </w:r>
          </w:p>
        </w:tc>
        <w:tc>
          <w:tcPr>
            <w:tcW w:w="1724" w:type="pct"/>
            <w:vAlign w:val="center"/>
          </w:tcPr>
          <w:p>
            <w:pPr>
              <w:adjustRightInd w:val="0"/>
              <w:snapToGrid w:val="0"/>
              <w:jc w:val="center"/>
              <w:rPr>
                <w:rFonts w:eastAsiaTheme="minorEastAsia"/>
                <w:szCs w:val="21"/>
              </w:rPr>
            </w:pPr>
            <w:r>
              <w:rPr>
                <w:rFonts w:eastAsiaTheme="minorEastAsia"/>
                <w:szCs w:val="21"/>
              </w:rPr>
              <w:t>食堂厨房油烟抽排设施、油烟净化器（净化效率大于等于 85%）+预留排烟竖井</w:t>
            </w:r>
          </w:p>
        </w:tc>
        <w:tc>
          <w:tcPr>
            <w:tcW w:w="739" w:type="pct"/>
            <w:vAlign w:val="center"/>
          </w:tcPr>
          <w:p>
            <w:pPr>
              <w:snapToGrid w:val="0"/>
              <w:jc w:val="center"/>
              <w:rPr>
                <w:rFonts w:eastAsiaTheme="minorEastAsia"/>
                <w:szCs w:val="21"/>
              </w:rPr>
            </w:pPr>
            <w:r>
              <w:rPr>
                <w:rFonts w:eastAsiaTheme="minorEastAsia"/>
                <w:szCs w:val="21"/>
              </w:rPr>
              <w:t>食堂油烟</w:t>
            </w:r>
          </w:p>
        </w:tc>
        <w:tc>
          <w:tcPr>
            <w:tcW w:w="1475" w:type="pct"/>
            <w:vAlign w:val="center"/>
          </w:tcPr>
          <w:p>
            <w:pPr>
              <w:snapToGrid w:val="0"/>
              <w:jc w:val="center"/>
              <w:rPr>
                <w:rFonts w:eastAsiaTheme="minorEastAsia"/>
                <w:szCs w:val="21"/>
              </w:rPr>
            </w:pPr>
            <w:r>
              <w:rPr>
                <w:rFonts w:eastAsiaTheme="minorEastAsia"/>
                <w:szCs w:val="21"/>
              </w:rPr>
              <w:t>《饮食业油烟排放标准》（GB18483-2001）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szCs w:val="21"/>
              </w:rPr>
            </w:pPr>
          </w:p>
        </w:tc>
        <w:tc>
          <w:tcPr>
            <w:tcW w:w="674" w:type="pct"/>
            <w:vAlign w:val="center"/>
          </w:tcPr>
          <w:p>
            <w:pPr>
              <w:adjustRightInd w:val="0"/>
              <w:snapToGrid w:val="0"/>
              <w:jc w:val="center"/>
              <w:rPr>
                <w:rFonts w:eastAsiaTheme="minorEastAsia"/>
                <w:szCs w:val="21"/>
                <w:u w:val="single"/>
              </w:rPr>
            </w:pPr>
            <w:r>
              <w:rPr>
                <w:rFonts w:eastAsiaTheme="minorEastAsia"/>
                <w:szCs w:val="21"/>
                <w:u w:val="single"/>
              </w:rPr>
              <w:t>污水处理站臭气</w:t>
            </w:r>
          </w:p>
        </w:tc>
        <w:tc>
          <w:tcPr>
            <w:tcW w:w="1724" w:type="pct"/>
            <w:vAlign w:val="center"/>
          </w:tcPr>
          <w:p>
            <w:pPr>
              <w:adjustRightInd w:val="0"/>
              <w:snapToGrid w:val="0"/>
              <w:jc w:val="center"/>
              <w:rPr>
                <w:rFonts w:eastAsiaTheme="minorEastAsia"/>
                <w:szCs w:val="21"/>
                <w:u w:val="single"/>
              </w:rPr>
            </w:pPr>
            <w:r>
              <w:rPr>
                <w:rFonts w:eastAsiaTheme="minorEastAsia"/>
                <w:szCs w:val="21"/>
                <w:u w:val="single"/>
              </w:rPr>
              <w:t>污水处理站反应池均为地下结构且加盖密闭</w:t>
            </w:r>
            <w:r>
              <w:rPr>
                <w:rFonts w:hint="eastAsia" w:eastAsiaTheme="minorEastAsia"/>
                <w:szCs w:val="21"/>
                <w:u w:val="single"/>
              </w:rPr>
              <w:t>；臭气经收集净化后，由15m高排气筒排放。</w:t>
            </w:r>
          </w:p>
          <w:p>
            <w:pPr>
              <w:adjustRightInd w:val="0"/>
              <w:snapToGrid w:val="0"/>
              <w:jc w:val="center"/>
              <w:rPr>
                <w:rFonts w:eastAsiaTheme="minorEastAsia"/>
                <w:szCs w:val="21"/>
                <w:u w:val="single"/>
              </w:rPr>
            </w:pPr>
            <w:r>
              <w:rPr>
                <w:rFonts w:eastAsiaTheme="minorEastAsia"/>
                <w:szCs w:val="21"/>
                <w:u w:val="single"/>
              </w:rPr>
              <w:t>化粪池和隔油沉淀池均为地埋式的，同时对污水处理站喷洒除臭剂，绿化</w:t>
            </w:r>
          </w:p>
        </w:tc>
        <w:tc>
          <w:tcPr>
            <w:tcW w:w="739" w:type="pct"/>
            <w:vAlign w:val="center"/>
          </w:tcPr>
          <w:p>
            <w:pPr>
              <w:snapToGrid w:val="0"/>
              <w:jc w:val="center"/>
              <w:rPr>
                <w:rFonts w:eastAsiaTheme="minorEastAsia"/>
                <w:szCs w:val="21"/>
                <w:u w:val="single"/>
              </w:rPr>
            </w:pPr>
            <w:r>
              <w:rPr>
                <w:rFonts w:eastAsiaTheme="minorEastAsia"/>
                <w:szCs w:val="21"/>
                <w:u w:val="single"/>
              </w:rPr>
              <w:t>氨、硫化氢、臭气浓度（无量纲）</w:t>
            </w:r>
          </w:p>
        </w:tc>
        <w:tc>
          <w:tcPr>
            <w:tcW w:w="1475" w:type="pct"/>
            <w:vAlign w:val="center"/>
          </w:tcPr>
          <w:p>
            <w:pPr>
              <w:snapToGrid w:val="0"/>
              <w:jc w:val="center"/>
              <w:rPr>
                <w:rFonts w:eastAsiaTheme="minorEastAsia"/>
                <w:szCs w:val="21"/>
                <w:u w:val="single"/>
              </w:rPr>
            </w:pPr>
            <w:r>
              <w:rPr>
                <w:rFonts w:eastAsiaTheme="minorEastAsia"/>
                <w:szCs w:val="21"/>
                <w:u w:val="single"/>
              </w:rPr>
              <w:t>《医疗机构水污染物排放标准》（GB18466-2005）表3污水处理站周边大气污染物最高允许浓度要求</w:t>
            </w:r>
            <w:r>
              <w:rPr>
                <w:rFonts w:hint="eastAsia" w:eastAsiaTheme="minorEastAsia"/>
                <w:szCs w:val="21"/>
                <w:u w:val="single"/>
              </w:rPr>
              <w:t>；《恶臭污染物排放标准》(GB14554-93)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szCs w:val="21"/>
              </w:rPr>
            </w:pPr>
          </w:p>
        </w:tc>
        <w:tc>
          <w:tcPr>
            <w:tcW w:w="674" w:type="pct"/>
            <w:vAlign w:val="center"/>
          </w:tcPr>
          <w:p>
            <w:pPr>
              <w:adjustRightInd w:val="0"/>
              <w:snapToGrid w:val="0"/>
              <w:jc w:val="center"/>
              <w:rPr>
                <w:rFonts w:eastAsiaTheme="minorEastAsia"/>
                <w:szCs w:val="21"/>
              </w:rPr>
            </w:pPr>
            <w:r>
              <w:rPr>
                <w:rFonts w:eastAsiaTheme="minorEastAsia"/>
                <w:szCs w:val="21"/>
              </w:rPr>
              <w:t>柴油发电机废气</w:t>
            </w:r>
          </w:p>
        </w:tc>
        <w:tc>
          <w:tcPr>
            <w:tcW w:w="1724" w:type="pct"/>
            <w:vAlign w:val="center"/>
          </w:tcPr>
          <w:p>
            <w:pPr>
              <w:adjustRightInd w:val="0"/>
              <w:snapToGrid w:val="0"/>
              <w:jc w:val="center"/>
              <w:rPr>
                <w:rFonts w:eastAsiaTheme="minorEastAsia"/>
                <w:szCs w:val="21"/>
              </w:rPr>
            </w:pPr>
            <w:r>
              <w:rPr>
                <w:rFonts w:eastAsiaTheme="minorEastAsia"/>
                <w:szCs w:val="21"/>
              </w:rPr>
              <w:t>利用排烟竖井</w:t>
            </w:r>
          </w:p>
        </w:tc>
        <w:tc>
          <w:tcPr>
            <w:tcW w:w="739" w:type="pct"/>
            <w:vAlign w:val="center"/>
          </w:tcPr>
          <w:p>
            <w:pPr>
              <w:snapToGrid w:val="0"/>
              <w:jc w:val="center"/>
              <w:rPr>
                <w:rFonts w:eastAsiaTheme="minorEastAsia"/>
                <w:szCs w:val="21"/>
              </w:rPr>
            </w:pPr>
            <w:r>
              <w:rPr>
                <w:rFonts w:eastAsiaTheme="minorEastAsia"/>
                <w:szCs w:val="21"/>
              </w:rPr>
              <w:t>颗粒物、二氧化碳、氮氧化物</w:t>
            </w:r>
          </w:p>
        </w:tc>
        <w:tc>
          <w:tcPr>
            <w:tcW w:w="1475" w:type="pct"/>
            <w:vAlign w:val="center"/>
          </w:tcPr>
          <w:p>
            <w:pPr>
              <w:snapToGrid w:val="0"/>
              <w:jc w:val="center"/>
              <w:rPr>
                <w:rFonts w:eastAsiaTheme="minorEastAsia"/>
                <w:szCs w:val="21"/>
              </w:rPr>
            </w:pPr>
            <w:r>
              <w:rPr>
                <w:rFonts w:eastAsiaTheme="minorEastAsia"/>
                <w:szCs w:val="21"/>
              </w:rPr>
              <w:t>《大气污染物综合排放标准》（GB16297-1996）二级标准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Align w:val="center"/>
          </w:tcPr>
          <w:p>
            <w:pPr>
              <w:adjustRightInd w:val="0"/>
              <w:snapToGrid w:val="0"/>
              <w:jc w:val="center"/>
              <w:rPr>
                <w:rFonts w:eastAsiaTheme="minorEastAsia"/>
                <w:szCs w:val="21"/>
              </w:rPr>
            </w:pPr>
            <w:r>
              <w:rPr>
                <w:rFonts w:eastAsiaTheme="minorEastAsia"/>
                <w:szCs w:val="21"/>
              </w:rPr>
              <w:t>噪声</w:t>
            </w:r>
          </w:p>
        </w:tc>
        <w:tc>
          <w:tcPr>
            <w:tcW w:w="674" w:type="pct"/>
            <w:vAlign w:val="center"/>
          </w:tcPr>
          <w:p>
            <w:pPr>
              <w:adjustRightInd w:val="0"/>
              <w:snapToGrid w:val="0"/>
              <w:jc w:val="center"/>
              <w:rPr>
                <w:rFonts w:eastAsiaTheme="minorEastAsia"/>
                <w:szCs w:val="21"/>
              </w:rPr>
            </w:pPr>
            <w:r>
              <w:rPr>
                <w:rFonts w:eastAsiaTheme="minorEastAsia"/>
                <w:szCs w:val="21"/>
              </w:rPr>
              <w:t>设备噪声</w:t>
            </w:r>
          </w:p>
        </w:tc>
        <w:tc>
          <w:tcPr>
            <w:tcW w:w="1724" w:type="pct"/>
            <w:vAlign w:val="center"/>
          </w:tcPr>
          <w:p>
            <w:pPr>
              <w:adjustRightInd w:val="0"/>
              <w:snapToGrid w:val="0"/>
              <w:jc w:val="center"/>
              <w:rPr>
                <w:rFonts w:eastAsiaTheme="minorEastAsia"/>
                <w:szCs w:val="21"/>
              </w:rPr>
            </w:pPr>
            <w:r>
              <w:rPr>
                <w:rFonts w:eastAsiaTheme="minorEastAsia"/>
                <w:szCs w:val="21"/>
              </w:rPr>
              <w:t>水泵、冷水机组、锅炉、柴油发电机等各类动力设备噪声控制；风机、冷却塔设备噪声隔声、减振、降噪措施，临路房间真空隔声玻璃等。</w:t>
            </w:r>
          </w:p>
        </w:tc>
        <w:tc>
          <w:tcPr>
            <w:tcW w:w="739" w:type="pct"/>
            <w:vAlign w:val="center"/>
          </w:tcPr>
          <w:p>
            <w:pPr>
              <w:snapToGrid w:val="0"/>
              <w:jc w:val="center"/>
              <w:rPr>
                <w:rFonts w:eastAsiaTheme="minorEastAsia"/>
                <w:szCs w:val="21"/>
              </w:rPr>
            </w:pPr>
            <w:r>
              <w:rPr>
                <w:rFonts w:eastAsiaTheme="minorEastAsia"/>
                <w:szCs w:val="21"/>
              </w:rPr>
              <w:t>噪声</w:t>
            </w:r>
          </w:p>
        </w:tc>
        <w:tc>
          <w:tcPr>
            <w:tcW w:w="1475" w:type="pct"/>
            <w:vAlign w:val="center"/>
          </w:tcPr>
          <w:p>
            <w:pPr>
              <w:snapToGrid w:val="0"/>
              <w:jc w:val="center"/>
              <w:rPr>
                <w:rFonts w:eastAsiaTheme="minorEastAsia"/>
                <w:szCs w:val="21"/>
              </w:rPr>
            </w:pPr>
            <w:r>
              <w:rPr>
                <w:rFonts w:eastAsiaTheme="minorEastAsia"/>
                <w:szCs w:val="21"/>
              </w:rPr>
              <w:t>工业企业厂界环境噪声排放标准》（GB12348-2008）中 2 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restart"/>
            <w:vAlign w:val="center"/>
          </w:tcPr>
          <w:p>
            <w:pPr>
              <w:adjustRightInd w:val="0"/>
              <w:snapToGrid w:val="0"/>
              <w:jc w:val="center"/>
              <w:rPr>
                <w:rFonts w:eastAsiaTheme="minorEastAsia"/>
                <w:szCs w:val="21"/>
              </w:rPr>
            </w:pPr>
            <w:r>
              <w:rPr>
                <w:rFonts w:eastAsiaTheme="minorEastAsia"/>
                <w:szCs w:val="21"/>
              </w:rPr>
              <w:t>固废</w:t>
            </w:r>
          </w:p>
        </w:tc>
        <w:tc>
          <w:tcPr>
            <w:tcW w:w="674" w:type="pct"/>
            <w:vAlign w:val="center"/>
          </w:tcPr>
          <w:p>
            <w:pPr>
              <w:adjustRightInd w:val="0"/>
              <w:snapToGrid w:val="0"/>
              <w:jc w:val="center"/>
              <w:rPr>
                <w:rFonts w:eastAsiaTheme="minorEastAsia"/>
                <w:szCs w:val="21"/>
              </w:rPr>
            </w:pPr>
            <w:r>
              <w:rPr>
                <w:rFonts w:eastAsiaTheme="minorEastAsia"/>
                <w:szCs w:val="21"/>
              </w:rPr>
              <w:t>医疗废物</w:t>
            </w:r>
          </w:p>
        </w:tc>
        <w:tc>
          <w:tcPr>
            <w:tcW w:w="1724" w:type="pct"/>
            <w:vAlign w:val="center"/>
          </w:tcPr>
          <w:p>
            <w:pPr>
              <w:adjustRightInd w:val="0"/>
              <w:snapToGrid w:val="0"/>
              <w:jc w:val="center"/>
              <w:rPr>
                <w:rFonts w:eastAsiaTheme="minorEastAsia"/>
                <w:szCs w:val="21"/>
              </w:rPr>
            </w:pPr>
            <w:r>
              <w:rPr>
                <w:rFonts w:eastAsiaTheme="minorEastAsia"/>
                <w:szCs w:val="21"/>
              </w:rPr>
              <w:t>医疗废物暂存间（地下室、64.1m</w:t>
            </w:r>
            <w:r>
              <w:rPr>
                <w:rFonts w:eastAsiaTheme="minorEastAsia"/>
                <w:szCs w:val="21"/>
                <w:vertAlign w:val="superscript"/>
              </w:rPr>
              <w:t>2</w:t>
            </w:r>
            <w:r>
              <w:rPr>
                <w:rFonts w:eastAsiaTheme="minorEastAsia"/>
                <w:szCs w:val="21"/>
              </w:rPr>
              <w:t>）建设和医疗废物的处置费用</w:t>
            </w:r>
          </w:p>
        </w:tc>
        <w:tc>
          <w:tcPr>
            <w:tcW w:w="739" w:type="pct"/>
            <w:vAlign w:val="center"/>
          </w:tcPr>
          <w:p>
            <w:pPr>
              <w:snapToGrid w:val="0"/>
              <w:jc w:val="center"/>
              <w:rPr>
                <w:rFonts w:eastAsiaTheme="minorEastAsia"/>
                <w:szCs w:val="21"/>
              </w:rPr>
            </w:pPr>
            <w:r>
              <w:rPr>
                <w:rFonts w:eastAsiaTheme="minorEastAsia"/>
                <w:szCs w:val="21"/>
              </w:rPr>
              <w:t>处置协议、新建暂存间建设情况，暂存时间不超过48h</w:t>
            </w:r>
          </w:p>
        </w:tc>
        <w:tc>
          <w:tcPr>
            <w:tcW w:w="1475" w:type="pct"/>
            <w:vAlign w:val="center"/>
          </w:tcPr>
          <w:p>
            <w:pPr>
              <w:snapToGrid w:val="0"/>
              <w:jc w:val="center"/>
              <w:rPr>
                <w:rFonts w:eastAsiaTheme="minorEastAsia"/>
                <w:szCs w:val="21"/>
              </w:rPr>
            </w:pPr>
            <w:r>
              <w:rPr>
                <w:rFonts w:eastAsiaTheme="minorEastAsia"/>
                <w:szCs w:val="21"/>
              </w:rPr>
              <w:t>《危险废物贮存污染控制标准》（GB18597-2001）、《危险废物转移联单管理办法》、《医疗废物转运车技术要求》（试行）废水处理污泥同时执行《医疗机构水污染物排放标准》（GB18466-2005）中的医疗机构污泥控制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szCs w:val="21"/>
              </w:rPr>
            </w:pPr>
          </w:p>
        </w:tc>
        <w:tc>
          <w:tcPr>
            <w:tcW w:w="674" w:type="pct"/>
            <w:vAlign w:val="center"/>
          </w:tcPr>
          <w:p>
            <w:pPr>
              <w:adjustRightInd w:val="0"/>
              <w:snapToGrid w:val="0"/>
              <w:jc w:val="center"/>
              <w:rPr>
                <w:rFonts w:eastAsiaTheme="minorEastAsia"/>
                <w:szCs w:val="21"/>
              </w:rPr>
            </w:pPr>
            <w:r>
              <w:rPr>
                <w:rFonts w:hint="eastAsia" w:eastAsiaTheme="minorEastAsia"/>
                <w:szCs w:val="21"/>
              </w:rPr>
              <w:t>未被污染的输液瓶（袋）</w:t>
            </w:r>
          </w:p>
        </w:tc>
        <w:tc>
          <w:tcPr>
            <w:tcW w:w="1724" w:type="pct"/>
            <w:vAlign w:val="center"/>
          </w:tcPr>
          <w:p>
            <w:pPr>
              <w:adjustRightInd w:val="0"/>
              <w:snapToGrid w:val="0"/>
              <w:jc w:val="center"/>
              <w:rPr>
                <w:rFonts w:eastAsiaTheme="minorEastAsia"/>
                <w:szCs w:val="21"/>
              </w:rPr>
            </w:pPr>
            <w:r>
              <w:rPr>
                <w:rFonts w:hint="eastAsia" w:eastAsiaTheme="minorEastAsia"/>
                <w:szCs w:val="21"/>
              </w:rPr>
              <w:t>生活垃圾暂存间暂存</w:t>
            </w:r>
          </w:p>
        </w:tc>
        <w:tc>
          <w:tcPr>
            <w:tcW w:w="739" w:type="pct"/>
            <w:vAlign w:val="center"/>
          </w:tcPr>
          <w:p>
            <w:pPr>
              <w:snapToGrid w:val="0"/>
              <w:jc w:val="center"/>
              <w:rPr>
                <w:rFonts w:eastAsiaTheme="minorEastAsia"/>
                <w:szCs w:val="21"/>
              </w:rPr>
            </w:pPr>
            <w:r>
              <w:rPr>
                <w:rFonts w:eastAsiaTheme="minorEastAsia"/>
                <w:szCs w:val="21"/>
              </w:rPr>
              <w:t>处置协议、日产日清</w:t>
            </w:r>
          </w:p>
        </w:tc>
        <w:tc>
          <w:tcPr>
            <w:tcW w:w="1475" w:type="pct"/>
            <w:vAlign w:val="center"/>
          </w:tcPr>
          <w:p>
            <w:pPr>
              <w:snapToGrid w:val="0"/>
              <w:jc w:val="center"/>
              <w:rPr>
                <w:rFonts w:eastAsiaTheme="minorEastAsia"/>
                <w:szCs w:val="21"/>
              </w:rPr>
            </w:pPr>
            <w:r>
              <w:rPr>
                <w:rFonts w:eastAsiaTheme="minorEastAsia"/>
                <w:szCs w:val="21"/>
              </w:rPr>
              <w:t>《危险废物贮存污染控制标准》（GB18597-2001）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Align w:val="center"/>
          </w:tcPr>
          <w:p>
            <w:pPr>
              <w:adjustRightInd w:val="0"/>
              <w:snapToGrid w:val="0"/>
              <w:jc w:val="center"/>
              <w:rPr>
                <w:rFonts w:eastAsiaTheme="minorEastAsia"/>
                <w:szCs w:val="21"/>
              </w:rPr>
            </w:pPr>
            <w:r>
              <w:rPr>
                <w:rFonts w:eastAsiaTheme="minorEastAsia"/>
                <w:szCs w:val="21"/>
              </w:rPr>
              <w:t>生活垃圾</w:t>
            </w:r>
          </w:p>
        </w:tc>
        <w:tc>
          <w:tcPr>
            <w:tcW w:w="1724" w:type="pct"/>
            <w:vAlign w:val="center"/>
          </w:tcPr>
          <w:p>
            <w:pPr>
              <w:adjustRightInd w:val="0"/>
              <w:snapToGrid w:val="0"/>
              <w:jc w:val="center"/>
              <w:rPr>
                <w:rFonts w:eastAsiaTheme="minorEastAsia"/>
                <w:szCs w:val="21"/>
              </w:rPr>
            </w:pPr>
            <w:r>
              <w:rPr>
                <w:rFonts w:eastAsiaTheme="minorEastAsia"/>
                <w:szCs w:val="21"/>
              </w:rPr>
              <w:t>生活垃圾暂存间</w:t>
            </w:r>
          </w:p>
        </w:tc>
        <w:tc>
          <w:tcPr>
            <w:tcW w:w="739" w:type="pct"/>
            <w:vAlign w:val="center"/>
          </w:tcPr>
          <w:p>
            <w:pPr>
              <w:snapToGrid w:val="0"/>
              <w:jc w:val="center"/>
              <w:rPr>
                <w:rFonts w:eastAsiaTheme="minorEastAsia"/>
                <w:szCs w:val="21"/>
              </w:rPr>
            </w:pPr>
            <w:r>
              <w:rPr>
                <w:rFonts w:eastAsiaTheme="minorEastAsia"/>
                <w:szCs w:val="21"/>
              </w:rPr>
              <w:t>日产日清</w:t>
            </w:r>
          </w:p>
        </w:tc>
        <w:tc>
          <w:tcPr>
            <w:tcW w:w="1475" w:type="pct"/>
            <w:vMerge w:val="restart"/>
            <w:vAlign w:val="center"/>
          </w:tcPr>
          <w:p>
            <w:pPr>
              <w:snapToGrid w:val="0"/>
              <w:jc w:val="center"/>
              <w:rPr>
                <w:rFonts w:eastAsiaTheme="minorEastAsia"/>
                <w:szCs w:val="21"/>
              </w:rPr>
            </w:pPr>
            <w:r>
              <w:rPr>
                <w:rFonts w:eastAsiaTheme="minorEastAsia"/>
                <w:szCs w:val="21"/>
              </w:rPr>
              <w:t>《生活垃圾填埋场污染控制标准》（GB16889-2008）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Align w:val="center"/>
          </w:tcPr>
          <w:p>
            <w:pPr>
              <w:adjustRightInd w:val="0"/>
              <w:snapToGrid w:val="0"/>
              <w:jc w:val="center"/>
              <w:rPr>
                <w:rFonts w:eastAsiaTheme="minorEastAsia"/>
                <w:szCs w:val="21"/>
              </w:rPr>
            </w:pPr>
            <w:r>
              <w:rPr>
                <w:rFonts w:eastAsiaTheme="minorEastAsia"/>
                <w:szCs w:val="21"/>
              </w:rPr>
              <w:t>餐厨垃圾</w:t>
            </w:r>
          </w:p>
        </w:tc>
        <w:tc>
          <w:tcPr>
            <w:tcW w:w="1724" w:type="pct"/>
            <w:vAlign w:val="center"/>
          </w:tcPr>
          <w:p>
            <w:pPr>
              <w:adjustRightInd w:val="0"/>
              <w:snapToGrid w:val="0"/>
              <w:jc w:val="center"/>
              <w:rPr>
                <w:rFonts w:eastAsiaTheme="minorEastAsia"/>
                <w:szCs w:val="21"/>
              </w:rPr>
            </w:pPr>
            <w:r>
              <w:rPr>
                <w:rFonts w:eastAsiaTheme="minorEastAsia"/>
                <w:szCs w:val="21"/>
              </w:rPr>
              <w:t>餐厨垃圾暂存、处置协议、转运</w:t>
            </w:r>
          </w:p>
        </w:tc>
        <w:tc>
          <w:tcPr>
            <w:tcW w:w="739" w:type="pct"/>
            <w:vAlign w:val="center"/>
          </w:tcPr>
          <w:p>
            <w:pPr>
              <w:snapToGrid w:val="0"/>
              <w:jc w:val="center"/>
              <w:rPr>
                <w:rFonts w:eastAsiaTheme="minorEastAsia"/>
                <w:szCs w:val="21"/>
              </w:rPr>
            </w:pPr>
            <w:r>
              <w:rPr>
                <w:rFonts w:eastAsiaTheme="minorEastAsia"/>
                <w:szCs w:val="21"/>
              </w:rPr>
              <w:t>处置协议</w:t>
            </w:r>
          </w:p>
        </w:tc>
        <w:tc>
          <w:tcPr>
            <w:tcW w:w="1475" w:type="pct"/>
            <w:vMerge w:val="continue"/>
            <w:vAlign w:val="center"/>
          </w:tcPr>
          <w:p>
            <w:pPr>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Merge w:val="continue"/>
            <w:vAlign w:val="center"/>
          </w:tcPr>
          <w:p>
            <w:pPr>
              <w:adjustRightInd w:val="0"/>
              <w:snapToGrid w:val="0"/>
              <w:jc w:val="center"/>
              <w:rPr>
                <w:rFonts w:eastAsiaTheme="minorEastAsia"/>
                <w:color w:val="FF0000"/>
                <w:szCs w:val="21"/>
              </w:rPr>
            </w:pPr>
          </w:p>
        </w:tc>
        <w:tc>
          <w:tcPr>
            <w:tcW w:w="674" w:type="pct"/>
            <w:vAlign w:val="center"/>
          </w:tcPr>
          <w:p>
            <w:pPr>
              <w:adjustRightInd w:val="0"/>
              <w:snapToGrid w:val="0"/>
              <w:jc w:val="center"/>
              <w:rPr>
                <w:rFonts w:eastAsiaTheme="minorEastAsia"/>
                <w:szCs w:val="21"/>
              </w:rPr>
            </w:pPr>
            <w:r>
              <w:rPr>
                <w:rFonts w:eastAsiaTheme="minorEastAsia"/>
                <w:szCs w:val="21"/>
              </w:rPr>
              <w:t>格栅渣、污泥</w:t>
            </w:r>
          </w:p>
        </w:tc>
        <w:tc>
          <w:tcPr>
            <w:tcW w:w="1724" w:type="pct"/>
            <w:vAlign w:val="center"/>
          </w:tcPr>
          <w:p>
            <w:pPr>
              <w:adjustRightInd w:val="0"/>
              <w:snapToGrid w:val="0"/>
              <w:jc w:val="center"/>
              <w:rPr>
                <w:rFonts w:eastAsiaTheme="minorEastAsia"/>
                <w:szCs w:val="21"/>
              </w:rPr>
            </w:pPr>
            <w:r>
              <w:rPr>
                <w:rFonts w:eastAsiaTheme="minorEastAsia"/>
                <w:szCs w:val="21"/>
              </w:rPr>
              <w:t>经消毒后单独储存委托有资质单位处置</w:t>
            </w:r>
          </w:p>
        </w:tc>
        <w:tc>
          <w:tcPr>
            <w:tcW w:w="739" w:type="pct"/>
            <w:vAlign w:val="center"/>
          </w:tcPr>
          <w:p>
            <w:pPr>
              <w:snapToGrid w:val="0"/>
              <w:jc w:val="center"/>
              <w:rPr>
                <w:rFonts w:eastAsiaTheme="minorEastAsia"/>
                <w:szCs w:val="21"/>
              </w:rPr>
            </w:pPr>
            <w:r>
              <w:rPr>
                <w:rFonts w:eastAsiaTheme="minorEastAsia"/>
                <w:szCs w:val="21"/>
              </w:rPr>
              <w:t>处置协议、新建暂存间建设情况，暂存时间不超过48h</w:t>
            </w:r>
          </w:p>
        </w:tc>
        <w:tc>
          <w:tcPr>
            <w:tcW w:w="1475" w:type="pct"/>
            <w:vAlign w:val="center"/>
          </w:tcPr>
          <w:p>
            <w:pPr>
              <w:snapToGrid w:val="0"/>
              <w:jc w:val="center"/>
              <w:rPr>
                <w:rFonts w:eastAsiaTheme="minorEastAsia"/>
                <w:szCs w:val="21"/>
              </w:rPr>
            </w:pPr>
            <w:r>
              <w:rPr>
                <w:rFonts w:eastAsiaTheme="minorEastAsia"/>
                <w:szCs w:val="21"/>
              </w:rPr>
              <w:t>《危险废物贮存污染控制标准》（GB18597-2001）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8" w:type="pct"/>
            <w:vAlign w:val="center"/>
          </w:tcPr>
          <w:p>
            <w:pPr>
              <w:adjustRightInd w:val="0"/>
              <w:snapToGrid w:val="0"/>
              <w:jc w:val="center"/>
              <w:rPr>
                <w:rFonts w:eastAsiaTheme="minorEastAsia"/>
                <w:szCs w:val="21"/>
              </w:rPr>
            </w:pPr>
            <w:r>
              <w:rPr>
                <w:rFonts w:eastAsiaTheme="minorEastAsia"/>
                <w:szCs w:val="21"/>
              </w:rPr>
              <w:t>环境风险</w:t>
            </w:r>
          </w:p>
        </w:tc>
        <w:tc>
          <w:tcPr>
            <w:tcW w:w="674" w:type="pct"/>
            <w:vAlign w:val="center"/>
          </w:tcPr>
          <w:p>
            <w:pPr>
              <w:adjustRightInd w:val="0"/>
              <w:snapToGrid w:val="0"/>
              <w:jc w:val="center"/>
              <w:rPr>
                <w:rFonts w:eastAsiaTheme="minorEastAsia"/>
                <w:szCs w:val="21"/>
              </w:rPr>
            </w:pPr>
            <w:r>
              <w:rPr>
                <w:rFonts w:eastAsiaTheme="minorEastAsia"/>
                <w:szCs w:val="21"/>
              </w:rPr>
              <w:t>医疗废水</w:t>
            </w:r>
          </w:p>
        </w:tc>
        <w:tc>
          <w:tcPr>
            <w:tcW w:w="1724" w:type="pct"/>
            <w:vAlign w:val="center"/>
          </w:tcPr>
          <w:p>
            <w:pPr>
              <w:adjustRightInd w:val="0"/>
              <w:snapToGrid w:val="0"/>
              <w:jc w:val="center"/>
              <w:rPr>
                <w:rFonts w:eastAsiaTheme="minorEastAsia"/>
                <w:szCs w:val="21"/>
              </w:rPr>
            </w:pPr>
            <w:r>
              <w:rPr>
                <w:rFonts w:eastAsiaTheme="minorEastAsia"/>
                <w:szCs w:val="21"/>
              </w:rPr>
              <w:t>核实调节此、沉淀池容积以及兼做应急事故池的可行性；应急物资的配备</w:t>
            </w:r>
          </w:p>
        </w:tc>
        <w:tc>
          <w:tcPr>
            <w:tcW w:w="739" w:type="pct"/>
            <w:vAlign w:val="center"/>
          </w:tcPr>
          <w:p>
            <w:pPr>
              <w:snapToGrid w:val="0"/>
              <w:jc w:val="center"/>
              <w:rPr>
                <w:rFonts w:eastAsiaTheme="minorEastAsia"/>
                <w:szCs w:val="21"/>
              </w:rPr>
            </w:pPr>
            <w:r>
              <w:rPr>
                <w:rFonts w:eastAsiaTheme="minorEastAsia"/>
                <w:szCs w:val="21"/>
              </w:rPr>
              <w:t>/</w:t>
            </w:r>
          </w:p>
        </w:tc>
        <w:tc>
          <w:tcPr>
            <w:tcW w:w="1475" w:type="pct"/>
            <w:vAlign w:val="center"/>
          </w:tcPr>
          <w:p>
            <w:pPr>
              <w:snapToGrid w:val="0"/>
              <w:jc w:val="center"/>
              <w:rPr>
                <w:rFonts w:eastAsiaTheme="minorEastAsia"/>
                <w:szCs w:val="21"/>
              </w:rPr>
            </w:pPr>
            <w:r>
              <w:rPr>
                <w:rFonts w:eastAsiaTheme="minorEastAsia"/>
                <w:szCs w:val="21"/>
              </w:rPr>
              <w:t>/</w:t>
            </w:r>
          </w:p>
        </w:tc>
      </w:tr>
    </w:tbl>
    <w:p>
      <w:pPr>
        <w:pStyle w:val="3"/>
        <w:snapToGrid w:val="0"/>
        <w:spacing w:before="0" w:after="0" w:line="360" w:lineRule="auto"/>
        <w:rPr>
          <w:rFonts w:ascii="Times New Roman" w:hAnsi="Times New Roman" w:eastAsiaTheme="minorEastAsia"/>
          <w:sz w:val="28"/>
          <w:lang w:val="zh-CN"/>
        </w:rPr>
      </w:pPr>
      <w:bookmarkStart w:id="213" w:name="_Toc61026638"/>
      <w:r>
        <w:rPr>
          <w:rFonts w:ascii="Times New Roman" w:hAnsi="Times New Roman" w:eastAsiaTheme="minorEastAsia"/>
          <w:sz w:val="28"/>
          <w:lang w:val="zh-CN"/>
        </w:rPr>
        <w:t>10.3 排污许可证制度</w:t>
      </w:r>
      <w:bookmarkEnd w:id="213"/>
    </w:p>
    <w:p>
      <w:pPr>
        <w:snapToGrid w:val="0"/>
        <w:spacing w:line="360" w:lineRule="auto"/>
        <w:ind w:firstLine="480" w:firstLineChars="200"/>
        <w:rPr>
          <w:rFonts w:eastAsiaTheme="minorEastAsia"/>
          <w:sz w:val="24"/>
        </w:rPr>
      </w:pPr>
      <w:r>
        <w:rPr>
          <w:rFonts w:eastAsiaTheme="minorEastAsia"/>
          <w:sz w:val="24"/>
        </w:rPr>
        <w:t>（1）落实按证排污责任</w:t>
      </w:r>
    </w:p>
    <w:p>
      <w:pPr>
        <w:snapToGrid w:val="0"/>
        <w:spacing w:line="360" w:lineRule="auto"/>
        <w:ind w:firstLine="480" w:firstLineChars="200"/>
        <w:rPr>
          <w:rFonts w:eastAsiaTheme="minorEastAsia"/>
          <w:sz w:val="24"/>
        </w:rPr>
      </w:pPr>
      <w:r>
        <w:rPr>
          <w:rFonts w:eastAsiaTheme="minorEastAsia"/>
          <w:sz w:val="24"/>
        </w:rPr>
        <w:t>建设单位必须按期持证排污、按证排污，不得无证排污，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snapToGrid w:val="0"/>
        <w:spacing w:line="360" w:lineRule="auto"/>
        <w:ind w:firstLine="480" w:firstLineChars="200"/>
        <w:rPr>
          <w:rFonts w:eastAsiaTheme="minorEastAsia"/>
          <w:sz w:val="24"/>
        </w:rPr>
      </w:pPr>
      <w:r>
        <w:rPr>
          <w:rFonts w:eastAsiaTheme="minorEastAsia"/>
          <w:sz w:val="24"/>
        </w:rPr>
        <w:t>（2）实行自行监测和定期报告制度</w:t>
      </w:r>
    </w:p>
    <w:p>
      <w:pPr>
        <w:snapToGrid w:val="0"/>
        <w:spacing w:line="360" w:lineRule="auto"/>
        <w:ind w:firstLine="480" w:firstLineChars="200"/>
        <w:rPr>
          <w:rFonts w:eastAsiaTheme="minorEastAsia"/>
          <w:sz w:val="24"/>
        </w:rPr>
      </w:pPr>
      <w:r>
        <w:rPr>
          <w:rFonts w:eastAsiaTheme="minorEastAsia"/>
          <w:sz w:val="24"/>
        </w:rPr>
        <w:t>依法开展自行监测，安装或使用监测设备应符合国家有关环境监测、计量认证规定和技术规范，保障数据合法有效，保证设备正常运行，妥善保存原始记录，建立准确完整的环境管理台账，安装在线监测设备的应与环境保护部门联网。如实向环境保护部门报告排污许可证执行情况，依法向社会公开污染物排放数据并对数据真实性负责。排放情况与排污许可证要求不符的，应及时向环境保护部门报告。</w:t>
      </w:r>
    </w:p>
    <w:p>
      <w:pPr>
        <w:snapToGrid w:val="0"/>
        <w:spacing w:line="360" w:lineRule="auto"/>
        <w:ind w:firstLine="480" w:firstLineChars="200"/>
        <w:rPr>
          <w:rFonts w:eastAsiaTheme="minorEastAsia"/>
          <w:sz w:val="24"/>
        </w:rPr>
      </w:pPr>
      <w:r>
        <w:rPr>
          <w:rFonts w:eastAsiaTheme="minorEastAsia"/>
          <w:sz w:val="24"/>
        </w:rPr>
        <w:t>（3）排污许可证管理</w:t>
      </w:r>
    </w:p>
    <w:p>
      <w:pPr>
        <w:snapToGrid w:val="0"/>
        <w:spacing w:line="360" w:lineRule="auto"/>
        <w:ind w:firstLine="480" w:firstLineChars="200"/>
        <w:rPr>
          <w:rFonts w:eastAsiaTheme="minorEastAsia"/>
          <w:sz w:val="24"/>
        </w:rPr>
      </w:pPr>
      <w:r>
        <w:rPr>
          <w:rFonts w:eastAsiaTheme="minorEastAsia"/>
          <w:sz w:val="24"/>
        </w:rPr>
        <w:t>1）排污许可证的变更在排污许可证有效期内，建设单位发生以下事项变化的，应当在规定时间内向原核发机关提出变更排污许可证的申请。</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排污单位名称、注册地址、法定代表人或者实际负责人等正本中载明的基本信息发生变更之日起二十日内。</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排污单位在原场址内实施新改扩建项目应当开展环境影响评价的，在通过环境影响评价审批或者备案后，产生实际排污行为之前二十日内。</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国家或地方实施新污染物排放标准的，核发机关应主动通知排污单位进行变更，排污单位在接到通知后二十日内申请变更。</w:t>
      </w:r>
    </w:p>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政府相关文件或与其他企业达成协议，进行区域替代实现减量排放的，应在文件或协议规定时限内提出变更申请。</w:t>
      </w:r>
    </w:p>
    <w:p>
      <w:pPr>
        <w:snapToGrid w:val="0"/>
        <w:spacing w:line="360" w:lineRule="auto"/>
        <w:ind w:firstLine="480" w:firstLineChars="200"/>
        <w:rPr>
          <w:rFonts w:eastAsiaTheme="minorEastAsia"/>
          <w:sz w:val="24"/>
        </w:rPr>
      </w:pPr>
      <w:r>
        <w:rPr>
          <w:rFonts w:eastAsiaTheme="minorEastAsia"/>
          <w:sz w:val="24"/>
        </w:rPr>
        <w:t>2）排污许可证的补办</w:t>
      </w:r>
    </w:p>
    <w:p>
      <w:pPr>
        <w:snapToGrid w:val="0"/>
        <w:spacing w:line="360" w:lineRule="auto"/>
        <w:ind w:firstLine="480" w:firstLineChars="200"/>
        <w:rPr>
          <w:rFonts w:eastAsiaTheme="minorEastAsia"/>
          <w:sz w:val="24"/>
        </w:rPr>
      </w:pPr>
      <w:r>
        <w:rPr>
          <w:rFonts w:eastAsiaTheme="minorEastAsia"/>
          <w:sz w:val="24"/>
        </w:rPr>
        <w:t>排污许可证发生遗失、损毁的，建设单位应当在三十日内向原核发机关申请补领排污许可证，遗失排污许可证的还应同时提交遗失声明，损毁排污许可证的还应同时交回被损毁的许可证。核发机关应当在收到补领申请后十日内补发排污许可证，并及时在国家排污许可证管理信息平台上进行公告。</w:t>
      </w:r>
    </w:p>
    <w:p>
      <w:pPr>
        <w:snapToGrid w:val="0"/>
        <w:spacing w:line="360" w:lineRule="auto"/>
        <w:ind w:firstLine="480" w:firstLineChars="200"/>
        <w:rPr>
          <w:rFonts w:eastAsiaTheme="minorEastAsia"/>
          <w:sz w:val="24"/>
        </w:rPr>
      </w:pPr>
      <w:r>
        <w:rPr>
          <w:rFonts w:eastAsiaTheme="minorEastAsia"/>
          <w:sz w:val="24"/>
        </w:rPr>
        <w:t>3）其他相关要求</w:t>
      </w:r>
    </w:p>
    <w:p>
      <w:pPr>
        <w:snapToGrid w:val="0"/>
        <w:spacing w:line="360" w:lineRule="auto"/>
        <w:ind w:firstLine="480" w:firstLineChars="200"/>
        <w:rPr>
          <w:rFonts w:eastAsiaTheme="minorEastAsia"/>
          <w:sz w:val="24"/>
        </w:rPr>
      </w:pPr>
      <w:r>
        <w:rPr>
          <w:rFonts w:hint="eastAsia" w:ascii="宋体" w:hAnsi="宋体" w:cs="宋体"/>
          <w:sz w:val="24"/>
        </w:rPr>
        <w:t>①</w:t>
      </w:r>
      <w:r>
        <w:rPr>
          <w:rFonts w:eastAsiaTheme="minorEastAsia"/>
          <w:sz w:val="24"/>
        </w:rPr>
        <w:t>排污口位置和数量、排放方式、排放去向、排放污染物种类、排放浓度和排放量、执行的排放标准等符合排污许可证的规定，不得私设暗管或以其他方式逃避监管。</w:t>
      </w:r>
    </w:p>
    <w:p>
      <w:pPr>
        <w:snapToGrid w:val="0"/>
        <w:spacing w:line="360" w:lineRule="auto"/>
        <w:ind w:firstLine="480" w:firstLineChars="200"/>
        <w:rPr>
          <w:rFonts w:eastAsiaTheme="minorEastAsia"/>
          <w:sz w:val="24"/>
        </w:rPr>
      </w:pPr>
      <w:r>
        <w:rPr>
          <w:rFonts w:hint="eastAsia" w:ascii="宋体" w:hAnsi="宋体" w:cs="宋体"/>
          <w:sz w:val="24"/>
        </w:rPr>
        <w:t>②</w:t>
      </w:r>
      <w:r>
        <w:rPr>
          <w:rFonts w:eastAsiaTheme="minorEastAsia"/>
          <w:sz w:val="24"/>
        </w:rPr>
        <w:t>落实重污染天气应急管控措施、遵守法律规定的最新环境保护要求等。</w:t>
      </w:r>
    </w:p>
    <w:p>
      <w:pPr>
        <w:snapToGrid w:val="0"/>
        <w:spacing w:line="360" w:lineRule="auto"/>
        <w:ind w:firstLine="480" w:firstLineChars="200"/>
        <w:rPr>
          <w:rFonts w:eastAsiaTheme="minorEastAsia"/>
          <w:sz w:val="24"/>
        </w:rPr>
      </w:pPr>
      <w:r>
        <w:rPr>
          <w:rFonts w:hint="eastAsia" w:ascii="宋体" w:hAnsi="宋体" w:cs="宋体"/>
          <w:sz w:val="24"/>
        </w:rPr>
        <w:t>③</w:t>
      </w:r>
      <w:r>
        <w:rPr>
          <w:rFonts w:eastAsiaTheme="minorEastAsia"/>
          <w:sz w:val="24"/>
        </w:rPr>
        <w:t>按排污许可证规定的监测点位、监测因子、监测频次和相关监测技术规范开展自行监测并公开。</w:t>
      </w:r>
    </w:p>
    <w:p>
      <w:pPr>
        <w:snapToGrid w:val="0"/>
        <w:spacing w:line="360" w:lineRule="auto"/>
        <w:ind w:firstLine="480" w:firstLineChars="200"/>
        <w:rPr>
          <w:rFonts w:eastAsiaTheme="minorEastAsia"/>
          <w:sz w:val="24"/>
        </w:rPr>
      </w:pPr>
      <w:r>
        <w:rPr>
          <w:rFonts w:hint="eastAsia" w:ascii="宋体" w:hAnsi="宋体" w:cs="宋体"/>
          <w:sz w:val="24"/>
        </w:rPr>
        <w:t>④</w:t>
      </w:r>
      <w:r>
        <w:rPr>
          <w:rFonts w:eastAsiaTheme="minorEastAsia"/>
          <w:sz w:val="24"/>
        </w:rPr>
        <w:t>按规范进行台账记录，主要内容包括生产信息、燃料、原辅材料使用情况、污染防治设施运行记录、监测数据等。</w:t>
      </w:r>
    </w:p>
    <w:p>
      <w:pPr>
        <w:snapToGrid w:val="0"/>
        <w:spacing w:line="360" w:lineRule="auto"/>
        <w:ind w:firstLine="480" w:firstLineChars="200"/>
        <w:rPr>
          <w:rFonts w:eastAsiaTheme="minorEastAsia"/>
          <w:sz w:val="24"/>
        </w:rPr>
      </w:pPr>
      <w:r>
        <w:rPr>
          <w:rFonts w:hint="eastAsia" w:ascii="宋体" w:hAnsi="宋体" w:cs="宋体"/>
          <w:sz w:val="24"/>
        </w:rPr>
        <w:t>⑤</w:t>
      </w:r>
      <w:r>
        <w:rPr>
          <w:rFonts w:eastAsiaTheme="minorEastAsia"/>
          <w:sz w:val="24"/>
        </w:rPr>
        <w:t>按排污许可证规定，定期在国家排污许可证管理信息平台填报信息，编制排污许可证执行报告，及时报送有核发权的环境保护主管部门并公开，执行报告主要内容包括生产信息、污染防治设施运行情况、污染物按证排放情况等。</w:t>
      </w:r>
    </w:p>
    <w:p>
      <w:pPr>
        <w:pStyle w:val="3"/>
        <w:snapToGrid w:val="0"/>
        <w:spacing w:before="0" w:after="0" w:line="360" w:lineRule="auto"/>
        <w:rPr>
          <w:rFonts w:ascii="Times New Roman" w:hAnsi="Times New Roman" w:eastAsiaTheme="minorEastAsia"/>
          <w:kern w:val="0"/>
          <w:sz w:val="28"/>
        </w:rPr>
      </w:pPr>
      <w:bookmarkStart w:id="214" w:name="_Toc479838387"/>
      <w:bookmarkStart w:id="215" w:name="_Toc475474498"/>
      <w:bookmarkStart w:id="216" w:name="_Toc61026639"/>
      <w:r>
        <w:rPr>
          <w:rFonts w:ascii="Times New Roman" w:hAnsi="Times New Roman" w:eastAsiaTheme="minorEastAsia"/>
          <w:kern w:val="0"/>
          <w:sz w:val="28"/>
        </w:rPr>
        <w:t>10.4 排污口规范化</w:t>
      </w:r>
      <w:bookmarkEnd w:id="214"/>
      <w:bookmarkEnd w:id="215"/>
      <w:bookmarkEnd w:id="216"/>
    </w:p>
    <w:p>
      <w:pPr>
        <w:snapToGrid w:val="0"/>
        <w:spacing w:line="500" w:lineRule="exact"/>
        <w:ind w:firstLine="480" w:firstLineChars="200"/>
        <w:rPr>
          <w:rFonts w:eastAsiaTheme="minorEastAsia"/>
          <w:sz w:val="24"/>
        </w:rPr>
      </w:pPr>
      <w:r>
        <w:rPr>
          <w:rFonts w:eastAsiaTheme="minorEastAsia"/>
          <w:sz w:val="24"/>
        </w:rPr>
        <w:t>根据国家环保总局《关于开展排污口规范化整治试点工作的意见》、《关于加快排污口规范化整治试点工作的通知》，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同时对污水排放口安装流量计，对治理设施安装运行监控装置、排污口的规范化要符合有关要求。</w:t>
      </w:r>
    </w:p>
    <w:p>
      <w:pPr>
        <w:snapToGrid w:val="0"/>
        <w:spacing w:line="500" w:lineRule="exact"/>
        <w:ind w:firstLine="480" w:firstLineChars="200"/>
        <w:rPr>
          <w:rFonts w:eastAsiaTheme="minorEastAsia"/>
          <w:sz w:val="24"/>
        </w:rPr>
      </w:pPr>
      <w:r>
        <w:rPr>
          <w:rFonts w:eastAsiaTheme="minorEastAsia"/>
          <w:sz w:val="24"/>
        </w:rPr>
        <w:t>1、废水排放口</w:t>
      </w:r>
    </w:p>
    <w:p>
      <w:pPr>
        <w:snapToGrid w:val="0"/>
        <w:spacing w:line="500" w:lineRule="exact"/>
        <w:ind w:firstLine="480" w:firstLineChars="200"/>
        <w:rPr>
          <w:rFonts w:eastAsiaTheme="minorEastAsia"/>
          <w:sz w:val="24"/>
        </w:rPr>
      </w:pPr>
      <w:r>
        <w:rPr>
          <w:rFonts w:eastAsiaTheme="minorEastAsia"/>
          <w:sz w:val="24"/>
        </w:rPr>
        <w:t>本项目排水体制必须实施“清污分流、雨污分流”制。本项目设置一个废水排放口。</w:t>
      </w:r>
    </w:p>
    <w:p>
      <w:pPr>
        <w:snapToGrid w:val="0"/>
        <w:spacing w:line="500" w:lineRule="exact"/>
        <w:ind w:firstLine="480" w:firstLineChars="200"/>
        <w:rPr>
          <w:rFonts w:eastAsiaTheme="minorEastAsia"/>
          <w:sz w:val="24"/>
        </w:rPr>
      </w:pPr>
      <w:r>
        <w:rPr>
          <w:rFonts w:eastAsiaTheme="minorEastAsia"/>
          <w:sz w:val="24"/>
        </w:rPr>
        <w:t>2、废气排放口</w:t>
      </w:r>
    </w:p>
    <w:p>
      <w:pPr>
        <w:snapToGrid w:val="0"/>
        <w:spacing w:line="500" w:lineRule="exact"/>
        <w:ind w:firstLine="480" w:firstLineChars="200"/>
        <w:rPr>
          <w:rFonts w:eastAsiaTheme="minorEastAsia"/>
          <w:sz w:val="24"/>
        </w:rPr>
      </w:pPr>
      <w:r>
        <w:rPr>
          <w:rFonts w:eastAsiaTheme="minorEastAsia"/>
          <w:sz w:val="24"/>
        </w:rPr>
        <w:t>项目废气排气筒高度应符合国家大气污染物排放标准的有关规定，废气排放口必须符合规定的高度和按《污染源监测技术规范》便于采样、监测的要求，设置直径不大于75mm的采样口。如无法满足要求的，其采样口与环境监测部门共同确认。发电机废气排放口应设置一个废气排放口。</w:t>
      </w:r>
    </w:p>
    <w:p>
      <w:pPr>
        <w:snapToGrid w:val="0"/>
        <w:spacing w:line="500" w:lineRule="exact"/>
        <w:ind w:firstLine="480" w:firstLineChars="200"/>
        <w:rPr>
          <w:rFonts w:eastAsiaTheme="minorEastAsia"/>
          <w:sz w:val="24"/>
        </w:rPr>
      </w:pPr>
      <w:r>
        <w:rPr>
          <w:rFonts w:eastAsiaTheme="minorEastAsia"/>
          <w:sz w:val="24"/>
        </w:rPr>
        <w:t>3、固定噪声源</w:t>
      </w:r>
    </w:p>
    <w:p>
      <w:pPr>
        <w:snapToGrid w:val="0"/>
        <w:spacing w:line="500" w:lineRule="exact"/>
        <w:ind w:firstLine="480" w:firstLineChars="200"/>
        <w:rPr>
          <w:rFonts w:eastAsiaTheme="minorEastAsia"/>
          <w:sz w:val="24"/>
        </w:rPr>
      </w:pPr>
      <w:r>
        <w:rPr>
          <w:rFonts w:eastAsiaTheme="minorEastAsia"/>
          <w:sz w:val="24"/>
        </w:rPr>
        <w:t>按规定对固定噪声源进行治理，在固定噪声源处应按《环境保护图形标志》（GB15562.2-1995）要求设置环境保护图形标志牌。</w:t>
      </w:r>
    </w:p>
    <w:p>
      <w:pPr>
        <w:snapToGrid w:val="0"/>
        <w:spacing w:line="500" w:lineRule="exact"/>
        <w:ind w:firstLine="480" w:firstLineChars="200"/>
        <w:rPr>
          <w:rFonts w:eastAsiaTheme="minorEastAsia"/>
          <w:sz w:val="24"/>
        </w:rPr>
      </w:pPr>
      <w:r>
        <w:rPr>
          <w:rFonts w:eastAsiaTheme="minorEastAsia"/>
          <w:sz w:val="24"/>
        </w:rPr>
        <w:t>4、固体废物储存场</w:t>
      </w:r>
    </w:p>
    <w:p>
      <w:pPr>
        <w:snapToGrid w:val="0"/>
        <w:spacing w:line="500" w:lineRule="exact"/>
        <w:ind w:firstLine="480" w:firstLineChars="200"/>
        <w:rPr>
          <w:rFonts w:eastAsiaTheme="minorEastAsia"/>
          <w:sz w:val="24"/>
        </w:rPr>
      </w:pPr>
      <w:r>
        <w:rPr>
          <w:rFonts w:eastAsiaTheme="minorEastAsia"/>
          <w:sz w:val="24"/>
        </w:rPr>
        <w:t>对危险废物贮存建造专用的贮存设施，并在固体废物贮存（处置）场所醒目处设置标志牌，定期送有资质处理的单位集中处置。</w:t>
      </w:r>
    </w:p>
    <w:p>
      <w:pPr>
        <w:snapToGrid w:val="0"/>
        <w:spacing w:line="500" w:lineRule="exact"/>
        <w:ind w:firstLine="480" w:firstLineChars="200"/>
        <w:rPr>
          <w:rFonts w:eastAsiaTheme="minorEastAsia"/>
          <w:sz w:val="24"/>
        </w:rPr>
      </w:pPr>
      <w:r>
        <w:rPr>
          <w:rFonts w:eastAsiaTheme="minorEastAsia"/>
          <w:sz w:val="24"/>
        </w:rPr>
        <w:t>一般工业固体废物和生活垃圾应设置专用堆放场地，采取防止二次扬尘措施。</w:t>
      </w:r>
    </w:p>
    <w:p>
      <w:pPr>
        <w:snapToGrid w:val="0"/>
        <w:spacing w:line="500" w:lineRule="exact"/>
        <w:ind w:firstLine="480" w:firstLineChars="200"/>
        <w:rPr>
          <w:rFonts w:eastAsiaTheme="minorEastAsia"/>
          <w:sz w:val="24"/>
        </w:rPr>
      </w:pPr>
      <w:r>
        <w:rPr>
          <w:rFonts w:eastAsiaTheme="minorEastAsia"/>
          <w:sz w:val="24"/>
        </w:rPr>
        <w:t>5、设置标志牌要求</w:t>
      </w:r>
    </w:p>
    <w:p>
      <w:pPr>
        <w:snapToGrid w:val="0"/>
        <w:spacing w:line="500" w:lineRule="exact"/>
        <w:ind w:firstLine="480" w:firstLineChars="200"/>
        <w:rPr>
          <w:rFonts w:eastAsiaTheme="minorEastAsia"/>
          <w:sz w:val="24"/>
        </w:rPr>
      </w:pPr>
      <w:r>
        <w:rPr>
          <w:rFonts w:eastAsiaTheme="minorEastAsia"/>
          <w:sz w:val="24"/>
        </w:rPr>
        <w:t>对废水处理、废气处理装置的排口分别设置平面固定式提示标志牌或树立式固定式提示标志牌，平面固定式标志牌为0.48cm×0.3cm的长方形冷轧钢板，树立式提示标志牌为0.42cm×0.42cm的正方形冷轧钢板，提示牌的背景和立柱为绿色，图案、边框、支架和铺助标志的文字为白色，文字字型为黑体，标志牌辅助标志内容包括排污单位名称、标志牌名称、排污口编号和主要污染物名称，并交付当地环保部门注明。</w:t>
      </w:r>
    </w:p>
    <w:p>
      <w:pPr>
        <w:pStyle w:val="210"/>
        <w:spacing w:line="500" w:lineRule="exact"/>
        <w:rPr>
          <w:rFonts w:cs="Times New Roman" w:eastAsiaTheme="minorEastAsia"/>
          <w:szCs w:val="24"/>
        </w:rPr>
      </w:pPr>
      <w:r>
        <w:rPr>
          <w:rFonts w:cs="Times New Roman" w:eastAsiaTheme="minorEastAsia"/>
          <w:szCs w:val="24"/>
        </w:rPr>
        <w:t>环境保护图形标志的形状及颜色见表10.4-1，环境保护图形符号见表10.4-2。</w:t>
      </w:r>
    </w:p>
    <w:p>
      <w:pPr>
        <w:adjustRightInd w:val="0"/>
        <w:snapToGrid w:val="0"/>
        <w:spacing w:line="360" w:lineRule="auto"/>
        <w:jc w:val="center"/>
        <w:rPr>
          <w:rFonts w:eastAsiaTheme="minorEastAsia"/>
          <w:b/>
          <w:sz w:val="24"/>
        </w:rPr>
      </w:pPr>
      <w:r>
        <w:rPr>
          <w:rFonts w:eastAsiaTheme="minorEastAsia"/>
          <w:b/>
          <w:sz w:val="24"/>
        </w:rPr>
        <w:t>表10.4-1  环境保护图形标志的形状及颜色表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4"/>
        <w:gridCol w:w="1575"/>
        <w:gridCol w:w="2405"/>
        <w:gridCol w:w="24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1" w:type="dxa"/>
            <w:vAlign w:val="center"/>
          </w:tcPr>
          <w:p>
            <w:pPr>
              <w:pStyle w:val="329"/>
              <w:rPr>
                <w:rFonts w:eastAsiaTheme="minorEastAsia"/>
                <w:b/>
              </w:rPr>
            </w:pPr>
            <w:r>
              <w:rPr>
                <w:rFonts w:eastAsiaTheme="minorEastAsia"/>
                <w:b/>
              </w:rPr>
              <w:t>标志名称</w:t>
            </w:r>
          </w:p>
        </w:tc>
        <w:tc>
          <w:tcPr>
            <w:tcW w:w="1527" w:type="dxa"/>
            <w:vAlign w:val="center"/>
          </w:tcPr>
          <w:p>
            <w:pPr>
              <w:pStyle w:val="329"/>
              <w:rPr>
                <w:rFonts w:eastAsiaTheme="minorEastAsia"/>
                <w:b/>
              </w:rPr>
            </w:pPr>
            <w:r>
              <w:rPr>
                <w:rFonts w:eastAsiaTheme="minorEastAsia"/>
                <w:b/>
              </w:rPr>
              <w:t>形状</w:t>
            </w:r>
          </w:p>
        </w:tc>
        <w:tc>
          <w:tcPr>
            <w:tcW w:w="2332" w:type="dxa"/>
            <w:vAlign w:val="center"/>
          </w:tcPr>
          <w:p>
            <w:pPr>
              <w:pStyle w:val="329"/>
              <w:rPr>
                <w:rFonts w:eastAsiaTheme="minorEastAsia"/>
                <w:b/>
              </w:rPr>
            </w:pPr>
            <w:r>
              <w:rPr>
                <w:rFonts w:eastAsiaTheme="minorEastAsia"/>
                <w:b/>
              </w:rPr>
              <w:t>背景颜色</w:t>
            </w:r>
          </w:p>
        </w:tc>
        <w:tc>
          <w:tcPr>
            <w:tcW w:w="2332" w:type="dxa"/>
            <w:vAlign w:val="center"/>
          </w:tcPr>
          <w:p>
            <w:pPr>
              <w:pStyle w:val="329"/>
              <w:rPr>
                <w:rFonts w:eastAsiaTheme="minorEastAsia"/>
                <w:b/>
              </w:rPr>
            </w:pPr>
            <w:r>
              <w:rPr>
                <w:rFonts w:eastAsiaTheme="minorEastAsia"/>
                <w:b/>
              </w:rPr>
              <w:t>图形颜色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1" w:type="dxa"/>
            <w:vAlign w:val="center"/>
          </w:tcPr>
          <w:p>
            <w:pPr>
              <w:pStyle w:val="329"/>
              <w:rPr>
                <w:rFonts w:eastAsiaTheme="minorEastAsia"/>
              </w:rPr>
            </w:pPr>
            <w:r>
              <w:rPr>
                <w:rFonts w:eastAsiaTheme="minorEastAsia"/>
              </w:rPr>
              <w:t>警告标志</w:t>
            </w:r>
          </w:p>
        </w:tc>
        <w:tc>
          <w:tcPr>
            <w:tcW w:w="1527" w:type="dxa"/>
            <w:vAlign w:val="center"/>
          </w:tcPr>
          <w:p>
            <w:pPr>
              <w:pStyle w:val="329"/>
              <w:rPr>
                <w:rFonts w:eastAsiaTheme="minorEastAsia"/>
              </w:rPr>
            </w:pPr>
            <w:r>
              <w:rPr>
                <w:rFonts w:eastAsiaTheme="minorEastAsia"/>
              </w:rPr>
              <w:t>三角形边框</w:t>
            </w:r>
          </w:p>
        </w:tc>
        <w:tc>
          <w:tcPr>
            <w:tcW w:w="2332" w:type="dxa"/>
            <w:vAlign w:val="center"/>
          </w:tcPr>
          <w:p>
            <w:pPr>
              <w:pStyle w:val="329"/>
              <w:rPr>
                <w:rFonts w:eastAsiaTheme="minorEastAsia"/>
              </w:rPr>
            </w:pPr>
            <w:r>
              <w:rPr>
                <w:rFonts w:eastAsiaTheme="minorEastAsia"/>
              </w:rPr>
              <w:t>黄色</w:t>
            </w:r>
          </w:p>
        </w:tc>
        <w:tc>
          <w:tcPr>
            <w:tcW w:w="2332" w:type="dxa"/>
            <w:vAlign w:val="center"/>
          </w:tcPr>
          <w:p>
            <w:pPr>
              <w:pStyle w:val="329"/>
              <w:rPr>
                <w:rFonts w:eastAsiaTheme="minorEastAsia"/>
              </w:rPr>
            </w:pPr>
            <w:r>
              <w:rPr>
                <w:rFonts w:eastAsiaTheme="minorEastAsia"/>
              </w:rPr>
              <w:t>黑色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331" w:type="dxa"/>
            <w:vAlign w:val="center"/>
          </w:tcPr>
          <w:p>
            <w:pPr>
              <w:pStyle w:val="329"/>
              <w:rPr>
                <w:rFonts w:eastAsiaTheme="minorEastAsia"/>
              </w:rPr>
            </w:pPr>
            <w:r>
              <w:rPr>
                <w:rFonts w:eastAsiaTheme="minorEastAsia"/>
              </w:rPr>
              <w:t>提示标志</w:t>
            </w:r>
          </w:p>
        </w:tc>
        <w:tc>
          <w:tcPr>
            <w:tcW w:w="1527" w:type="dxa"/>
            <w:vAlign w:val="center"/>
          </w:tcPr>
          <w:p>
            <w:pPr>
              <w:pStyle w:val="329"/>
              <w:rPr>
                <w:rFonts w:eastAsiaTheme="minorEastAsia"/>
              </w:rPr>
            </w:pPr>
            <w:r>
              <w:rPr>
                <w:rFonts w:eastAsiaTheme="minorEastAsia"/>
              </w:rPr>
              <w:t>正方形边框</w:t>
            </w:r>
          </w:p>
        </w:tc>
        <w:tc>
          <w:tcPr>
            <w:tcW w:w="2332" w:type="dxa"/>
            <w:vAlign w:val="center"/>
          </w:tcPr>
          <w:p>
            <w:pPr>
              <w:pStyle w:val="329"/>
              <w:rPr>
                <w:rFonts w:eastAsiaTheme="minorEastAsia"/>
              </w:rPr>
            </w:pPr>
            <w:r>
              <w:rPr>
                <w:rFonts w:eastAsiaTheme="minorEastAsia"/>
              </w:rPr>
              <w:t>绿色</w:t>
            </w:r>
          </w:p>
        </w:tc>
        <w:tc>
          <w:tcPr>
            <w:tcW w:w="2332" w:type="dxa"/>
            <w:vAlign w:val="center"/>
          </w:tcPr>
          <w:p>
            <w:pPr>
              <w:pStyle w:val="329"/>
              <w:rPr>
                <w:rFonts w:eastAsiaTheme="minorEastAsia"/>
              </w:rPr>
            </w:pPr>
            <w:r>
              <w:rPr>
                <w:rFonts w:eastAsiaTheme="minorEastAsia"/>
              </w:rPr>
              <w:t>白色</w:t>
            </w:r>
          </w:p>
        </w:tc>
      </w:tr>
    </w:tbl>
    <w:p>
      <w:pPr>
        <w:adjustRightInd w:val="0"/>
        <w:snapToGrid w:val="0"/>
        <w:spacing w:line="360" w:lineRule="auto"/>
        <w:jc w:val="center"/>
        <w:rPr>
          <w:rFonts w:eastAsiaTheme="minorEastAsia"/>
          <w:b/>
          <w:sz w:val="24"/>
        </w:rPr>
      </w:pPr>
      <w:r>
        <w:rPr>
          <w:rFonts w:eastAsiaTheme="minorEastAsia"/>
          <w:b/>
          <w:sz w:val="24"/>
        </w:rPr>
        <w:t>表10.4-2  环境保护图形符号一览表</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807"/>
        <w:gridCol w:w="1842"/>
        <w:gridCol w:w="1985"/>
        <w:gridCol w:w="24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718" w:type="dxa"/>
            <w:vAlign w:val="center"/>
          </w:tcPr>
          <w:p>
            <w:pPr>
              <w:pStyle w:val="329"/>
              <w:rPr>
                <w:rFonts w:eastAsiaTheme="minorEastAsia"/>
                <w:b/>
              </w:rPr>
            </w:pPr>
            <w:r>
              <w:rPr>
                <w:rFonts w:eastAsiaTheme="minorEastAsia"/>
                <w:b/>
              </w:rPr>
              <w:t>序号</w:t>
            </w:r>
          </w:p>
        </w:tc>
        <w:tc>
          <w:tcPr>
            <w:tcW w:w="1807" w:type="dxa"/>
            <w:vAlign w:val="center"/>
          </w:tcPr>
          <w:p>
            <w:pPr>
              <w:pStyle w:val="329"/>
              <w:rPr>
                <w:rFonts w:eastAsiaTheme="minorEastAsia"/>
                <w:b/>
              </w:rPr>
            </w:pPr>
            <w:r>
              <w:rPr>
                <w:rFonts w:eastAsiaTheme="minorEastAsia"/>
                <w:b/>
              </w:rPr>
              <w:t>提示图形符号</w:t>
            </w:r>
          </w:p>
        </w:tc>
        <w:tc>
          <w:tcPr>
            <w:tcW w:w="1842" w:type="dxa"/>
            <w:vAlign w:val="center"/>
          </w:tcPr>
          <w:p>
            <w:pPr>
              <w:pStyle w:val="329"/>
              <w:rPr>
                <w:rFonts w:eastAsiaTheme="minorEastAsia"/>
                <w:b/>
              </w:rPr>
            </w:pPr>
            <w:r>
              <w:rPr>
                <w:rFonts w:eastAsiaTheme="minorEastAsia"/>
                <w:b/>
              </w:rPr>
              <w:t>警告图形符号</w:t>
            </w:r>
          </w:p>
        </w:tc>
        <w:tc>
          <w:tcPr>
            <w:tcW w:w="1985" w:type="dxa"/>
            <w:vAlign w:val="center"/>
          </w:tcPr>
          <w:p>
            <w:pPr>
              <w:pStyle w:val="329"/>
              <w:rPr>
                <w:rFonts w:eastAsiaTheme="minorEastAsia"/>
                <w:b/>
              </w:rPr>
            </w:pPr>
            <w:r>
              <w:rPr>
                <w:rFonts w:eastAsiaTheme="minorEastAsia"/>
                <w:b/>
              </w:rPr>
              <w:t>名称</w:t>
            </w:r>
          </w:p>
        </w:tc>
        <w:tc>
          <w:tcPr>
            <w:tcW w:w="2437" w:type="dxa"/>
            <w:vAlign w:val="center"/>
          </w:tcPr>
          <w:p>
            <w:pPr>
              <w:pStyle w:val="329"/>
              <w:rPr>
                <w:rFonts w:eastAsiaTheme="minorEastAsia"/>
                <w:b/>
              </w:rPr>
            </w:pPr>
            <w:r>
              <w:rPr>
                <w:rFonts w:eastAsiaTheme="minorEastAsia"/>
                <w:b/>
              </w:rPr>
              <w:t>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8" w:type="dxa"/>
            <w:vAlign w:val="center"/>
          </w:tcPr>
          <w:p>
            <w:pPr>
              <w:pStyle w:val="329"/>
              <w:rPr>
                <w:rFonts w:eastAsiaTheme="minorEastAsia"/>
              </w:rPr>
            </w:pPr>
            <w:r>
              <w:rPr>
                <w:rFonts w:eastAsiaTheme="minorEastAsia"/>
              </w:rPr>
              <w:t>1</w:t>
            </w:r>
          </w:p>
        </w:tc>
        <w:tc>
          <w:tcPr>
            <w:tcW w:w="1807" w:type="dxa"/>
            <w:vAlign w:val="center"/>
          </w:tcPr>
          <w:p>
            <w:pPr>
              <w:pStyle w:val="329"/>
              <w:rPr>
                <w:rFonts w:eastAsiaTheme="minorEastAsia"/>
              </w:rPr>
            </w:pPr>
            <w:r>
              <w:rPr>
                <w:rFonts w:eastAsiaTheme="minorEastAsia"/>
              </w:rPr>
              <w:drawing>
                <wp:inline distT="0" distB="0" distL="0" distR="0">
                  <wp:extent cx="670560" cy="683895"/>
                  <wp:effectExtent l="0" t="0" r="0" b="0"/>
                  <wp:docPr id="50" name="图片 50" descr="说明: 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说明: 1300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70749" cy="684000"/>
                          </a:xfrm>
                          <a:prstGeom prst="rect">
                            <a:avLst/>
                          </a:prstGeom>
                          <a:noFill/>
                          <a:ln>
                            <a:noFill/>
                          </a:ln>
                        </pic:spPr>
                      </pic:pic>
                    </a:graphicData>
                  </a:graphic>
                </wp:inline>
              </w:drawing>
            </w:r>
          </w:p>
        </w:tc>
        <w:tc>
          <w:tcPr>
            <w:tcW w:w="1842" w:type="dxa"/>
            <w:vAlign w:val="center"/>
          </w:tcPr>
          <w:p>
            <w:pPr>
              <w:pStyle w:val="329"/>
              <w:rPr>
                <w:rFonts w:eastAsiaTheme="minorEastAsia"/>
              </w:rPr>
            </w:pPr>
            <w:r>
              <w:rPr>
                <w:rFonts w:eastAsiaTheme="minorEastAsia"/>
              </w:rPr>
              <w:drawing>
                <wp:inline distT="0" distB="0" distL="0" distR="0">
                  <wp:extent cx="676910" cy="683895"/>
                  <wp:effectExtent l="0" t="0" r="0" b="0"/>
                  <wp:docPr id="39" name="图片 39" descr="说明: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说明: 130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77465" cy="684000"/>
                          </a:xfrm>
                          <a:prstGeom prst="rect">
                            <a:avLst/>
                          </a:prstGeom>
                          <a:noFill/>
                          <a:ln>
                            <a:noFill/>
                          </a:ln>
                        </pic:spPr>
                      </pic:pic>
                    </a:graphicData>
                  </a:graphic>
                </wp:inline>
              </w:drawing>
            </w:r>
          </w:p>
        </w:tc>
        <w:tc>
          <w:tcPr>
            <w:tcW w:w="1985" w:type="dxa"/>
            <w:vAlign w:val="center"/>
          </w:tcPr>
          <w:p>
            <w:pPr>
              <w:pStyle w:val="329"/>
              <w:rPr>
                <w:rFonts w:eastAsiaTheme="minorEastAsia"/>
              </w:rPr>
            </w:pPr>
            <w:r>
              <w:rPr>
                <w:rFonts w:eastAsiaTheme="minorEastAsia"/>
              </w:rPr>
              <w:t>废水排放口</w:t>
            </w:r>
          </w:p>
        </w:tc>
        <w:tc>
          <w:tcPr>
            <w:tcW w:w="2437" w:type="dxa"/>
            <w:vAlign w:val="center"/>
          </w:tcPr>
          <w:p>
            <w:pPr>
              <w:pStyle w:val="329"/>
              <w:rPr>
                <w:rFonts w:eastAsiaTheme="minorEastAsia"/>
              </w:rPr>
            </w:pPr>
            <w:r>
              <w:rPr>
                <w:rFonts w:eastAsiaTheme="minorEastAsia"/>
              </w:rPr>
              <w:t>表示废水向外环境排放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8" w:type="dxa"/>
            <w:vAlign w:val="center"/>
          </w:tcPr>
          <w:p>
            <w:pPr>
              <w:pStyle w:val="329"/>
              <w:rPr>
                <w:rFonts w:eastAsiaTheme="minorEastAsia"/>
              </w:rPr>
            </w:pPr>
            <w:r>
              <w:rPr>
                <w:rFonts w:eastAsiaTheme="minorEastAsia"/>
              </w:rPr>
              <w:t>2</w:t>
            </w:r>
          </w:p>
        </w:tc>
        <w:tc>
          <w:tcPr>
            <w:tcW w:w="1807" w:type="dxa"/>
            <w:vAlign w:val="center"/>
          </w:tcPr>
          <w:p>
            <w:pPr>
              <w:pStyle w:val="329"/>
              <w:rPr>
                <w:rFonts w:eastAsiaTheme="minorEastAsia"/>
              </w:rPr>
            </w:pPr>
            <w:r>
              <w:rPr>
                <w:rFonts w:eastAsiaTheme="minorEastAsia"/>
              </w:rPr>
              <w:drawing>
                <wp:inline distT="0" distB="0" distL="0" distR="0">
                  <wp:extent cx="670560" cy="683895"/>
                  <wp:effectExtent l="0" t="0" r="0" b="0"/>
                  <wp:docPr id="38" name="图片 38"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说明: 1300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70749" cy="684000"/>
                          </a:xfrm>
                          <a:prstGeom prst="rect">
                            <a:avLst/>
                          </a:prstGeom>
                          <a:noFill/>
                          <a:ln>
                            <a:noFill/>
                          </a:ln>
                        </pic:spPr>
                      </pic:pic>
                    </a:graphicData>
                  </a:graphic>
                </wp:inline>
              </w:drawing>
            </w:r>
          </w:p>
        </w:tc>
        <w:tc>
          <w:tcPr>
            <w:tcW w:w="1842" w:type="dxa"/>
            <w:vAlign w:val="center"/>
          </w:tcPr>
          <w:p>
            <w:pPr>
              <w:pStyle w:val="329"/>
              <w:rPr>
                <w:rFonts w:eastAsiaTheme="minorEastAsia"/>
              </w:rPr>
            </w:pPr>
            <w:r>
              <w:rPr>
                <w:rFonts w:eastAsiaTheme="minorEastAsia"/>
              </w:rPr>
              <w:drawing>
                <wp:inline distT="0" distB="0" distL="0" distR="0">
                  <wp:extent cx="683895" cy="683895"/>
                  <wp:effectExtent l="0" t="0" r="0" b="0"/>
                  <wp:docPr id="35" name="图片 35"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说明: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4000" cy="684000"/>
                          </a:xfrm>
                          <a:prstGeom prst="rect">
                            <a:avLst/>
                          </a:prstGeom>
                          <a:noFill/>
                          <a:ln>
                            <a:noFill/>
                          </a:ln>
                        </pic:spPr>
                      </pic:pic>
                    </a:graphicData>
                  </a:graphic>
                </wp:inline>
              </w:drawing>
            </w:r>
          </w:p>
        </w:tc>
        <w:tc>
          <w:tcPr>
            <w:tcW w:w="1985" w:type="dxa"/>
            <w:vAlign w:val="center"/>
          </w:tcPr>
          <w:p>
            <w:pPr>
              <w:pStyle w:val="329"/>
              <w:rPr>
                <w:rFonts w:eastAsiaTheme="minorEastAsia"/>
              </w:rPr>
            </w:pPr>
            <w:r>
              <w:rPr>
                <w:rFonts w:eastAsiaTheme="minorEastAsia"/>
              </w:rPr>
              <w:t>废气排放口</w:t>
            </w:r>
          </w:p>
        </w:tc>
        <w:tc>
          <w:tcPr>
            <w:tcW w:w="2437" w:type="dxa"/>
            <w:vAlign w:val="center"/>
          </w:tcPr>
          <w:p>
            <w:pPr>
              <w:pStyle w:val="329"/>
              <w:rPr>
                <w:rFonts w:eastAsiaTheme="minorEastAsia"/>
              </w:rPr>
            </w:pPr>
            <w:r>
              <w:rPr>
                <w:rFonts w:eastAsiaTheme="minorEastAsia"/>
              </w:rPr>
              <w:t>表示废气向大气环境排放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8" w:type="dxa"/>
            <w:vAlign w:val="center"/>
          </w:tcPr>
          <w:p>
            <w:pPr>
              <w:pStyle w:val="329"/>
              <w:rPr>
                <w:rFonts w:eastAsiaTheme="minorEastAsia"/>
              </w:rPr>
            </w:pPr>
            <w:r>
              <w:rPr>
                <w:rFonts w:eastAsiaTheme="minorEastAsia"/>
              </w:rPr>
              <w:t>3</w:t>
            </w:r>
          </w:p>
        </w:tc>
        <w:tc>
          <w:tcPr>
            <w:tcW w:w="1807" w:type="dxa"/>
            <w:vAlign w:val="center"/>
          </w:tcPr>
          <w:p>
            <w:pPr>
              <w:pStyle w:val="329"/>
              <w:rPr>
                <w:rFonts w:eastAsiaTheme="minorEastAsia"/>
              </w:rPr>
            </w:pPr>
            <w:r>
              <w:rPr>
                <w:rFonts w:eastAsiaTheme="minorEastAsia"/>
              </w:rPr>
              <w:drawing>
                <wp:inline distT="0" distB="0" distL="0" distR="0">
                  <wp:extent cx="677545" cy="683895"/>
                  <wp:effectExtent l="0" t="0" r="0" b="0"/>
                  <wp:docPr id="34" name="图片 34"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说明: 1400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77951" cy="684000"/>
                          </a:xfrm>
                          <a:prstGeom prst="rect">
                            <a:avLst/>
                          </a:prstGeom>
                          <a:noFill/>
                          <a:ln>
                            <a:noFill/>
                          </a:ln>
                        </pic:spPr>
                      </pic:pic>
                    </a:graphicData>
                  </a:graphic>
                </wp:inline>
              </w:drawing>
            </w:r>
          </w:p>
        </w:tc>
        <w:tc>
          <w:tcPr>
            <w:tcW w:w="1842" w:type="dxa"/>
            <w:vAlign w:val="center"/>
          </w:tcPr>
          <w:p>
            <w:pPr>
              <w:pStyle w:val="329"/>
              <w:rPr>
                <w:rFonts w:eastAsiaTheme="minorEastAsia"/>
              </w:rPr>
            </w:pPr>
            <w:r>
              <w:rPr>
                <w:rFonts w:eastAsiaTheme="minorEastAsia"/>
              </w:rPr>
              <w:drawing>
                <wp:inline distT="0" distB="0" distL="0" distR="0">
                  <wp:extent cx="725805" cy="683895"/>
                  <wp:effectExtent l="0" t="0" r="0" b="0"/>
                  <wp:docPr id="240" name="图片 240"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说明: 140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726000" cy="684000"/>
                          </a:xfrm>
                          <a:prstGeom prst="rect">
                            <a:avLst/>
                          </a:prstGeom>
                          <a:noFill/>
                          <a:ln>
                            <a:noFill/>
                          </a:ln>
                        </pic:spPr>
                      </pic:pic>
                    </a:graphicData>
                  </a:graphic>
                </wp:inline>
              </w:drawing>
            </w:r>
          </w:p>
        </w:tc>
        <w:tc>
          <w:tcPr>
            <w:tcW w:w="1985" w:type="dxa"/>
            <w:vAlign w:val="center"/>
          </w:tcPr>
          <w:p>
            <w:pPr>
              <w:pStyle w:val="329"/>
              <w:rPr>
                <w:rFonts w:eastAsiaTheme="minorEastAsia"/>
              </w:rPr>
            </w:pPr>
            <w:r>
              <w:rPr>
                <w:rFonts w:eastAsiaTheme="minorEastAsia"/>
              </w:rPr>
              <w:t>一般固体废物</w:t>
            </w:r>
          </w:p>
        </w:tc>
        <w:tc>
          <w:tcPr>
            <w:tcW w:w="2437" w:type="dxa"/>
            <w:vAlign w:val="center"/>
          </w:tcPr>
          <w:p>
            <w:pPr>
              <w:pStyle w:val="329"/>
              <w:rPr>
                <w:rFonts w:eastAsiaTheme="minorEastAsia"/>
              </w:rPr>
            </w:pPr>
            <w:r>
              <w:rPr>
                <w:rFonts w:eastAsiaTheme="minorEastAsia"/>
              </w:rPr>
              <w:t>表示一般固体废物贮存、处置场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8" w:type="dxa"/>
            <w:vAlign w:val="center"/>
          </w:tcPr>
          <w:p>
            <w:pPr>
              <w:pStyle w:val="329"/>
              <w:rPr>
                <w:rFonts w:eastAsiaTheme="minorEastAsia"/>
              </w:rPr>
            </w:pPr>
            <w:r>
              <w:rPr>
                <w:rFonts w:eastAsiaTheme="minorEastAsia"/>
              </w:rPr>
              <w:t>4</w:t>
            </w:r>
          </w:p>
        </w:tc>
        <w:tc>
          <w:tcPr>
            <w:tcW w:w="1807" w:type="dxa"/>
            <w:vAlign w:val="center"/>
          </w:tcPr>
          <w:p>
            <w:pPr>
              <w:pStyle w:val="329"/>
              <w:rPr>
                <w:rFonts w:eastAsiaTheme="minorEastAsia"/>
              </w:rPr>
            </w:pPr>
            <w:r>
              <w:rPr>
                <w:rFonts w:eastAsiaTheme="minorEastAsia"/>
              </w:rPr>
              <w:drawing>
                <wp:inline distT="0" distB="0" distL="0" distR="0">
                  <wp:extent cx="683895" cy="683895"/>
                  <wp:effectExtent l="0" t="0" r="0" b="0"/>
                  <wp:docPr id="227" name="图片 227" descr="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说明: 20060220151804985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84000" cy="684000"/>
                          </a:xfrm>
                          <a:prstGeom prst="rect">
                            <a:avLst/>
                          </a:prstGeom>
                          <a:noFill/>
                          <a:ln>
                            <a:noFill/>
                          </a:ln>
                        </pic:spPr>
                      </pic:pic>
                    </a:graphicData>
                  </a:graphic>
                </wp:inline>
              </w:drawing>
            </w:r>
          </w:p>
        </w:tc>
        <w:tc>
          <w:tcPr>
            <w:tcW w:w="1842" w:type="dxa"/>
            <w:vAlign w:val="center"/>
          </w:tcPr>
          <w:p>
            <w:pPr>
              <w:pStyle w:val="329"/>
              <w:rPr>
                <w:rFonts w:eastAsiaTheme="minorEastAsia"/>
              </w:rPr>
            </w:pPr>
            <w:r>
              <w:rPr>
                <w:rFonts w:eastAsiaTheme="minorEastAsia"/>
              </w:rPr>
              <w:drawing>
                <wp:inline distT="0" distB="0" distL="0" distR="0">
                  <wp:extent cx="767715" cy="683895"/>
                  <wp:effectExtent l="0" t="0" r="0" b="0"/>
                  <wp:docPr id="7" name="图片 7" descr="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说明: 2006022015190186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768228" cy="684000"/>
                          </a:xfrm>
                          <a:prstGeom prst="rect">
                            <a:avLst/>
                          </a:prstGeom>
                          <a:noFill/>
                          <a:ln>
                            <a:noFill/>
                          </a:ln>
                        </pic:spPr>
                      </pic:pic>
                    </a:graphicData>
                  </a:graphic>
                </wp:inline>
              </w:drawing>
            </w:r>
          </w:p>
        </w:tc>
        <w:tc>
          <w:tcPr>
            <w:tcW w:w="1985" w:type="dxa"/>
            <w:vAlign w:val="center"/>
          </w:tcPr>
          <w:p>
            <w:pPr>
              <w:pStyle w:val="329"/>
              <w:rPr>
                <w:rFonts w:eastAsiaTheme="minorEastAsia"/>
              </w:rPr>
            </w:pPr>
            <w:r>
              <w:rPr>
                <w:rFonts w:eastAsiaTheme="minorEastAsia"/>
              </w:rPr>
              <w:t>噪声排放源</w:t>
            </w:r>
          </w:p>
        </w:tc>
        <w:tc>
          <w:tcPr>
            <w:tcW w:w="2437" w:type="dxa"/>
            <w:vAlign w:val="center"/>
          </w:tcPr>
          <w:p>
            <w:pPr>
              <w:pStyle w:val="329"/>
              <w:rPr>
                <w:rFonts w:eastAsiaTheme="minorEastAsia"/>
              </w:rPr>
            </w:pPr>
            <w:r>
              <w:rPr>
                <w:rFonts w:eastAsiaTheme="minorEastAsia"/>
              </w:rPr>
              <w:t>表示噪声向外环境排放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8" w:type="dxa"/>
            <w:vAlign w:val="center"/>
          </w:tcPr>
          <w:p>
            <w:pPr>
              <w:pStyle w:val="329"/>
              <w:rPr>
                <w:rFonts w:eastAsiaTheme="minorEastAsia"/>
              </w:rPr>
            </w:pPr>
            <w:r>
              <w:rPr>
                <w:rFonts w:eastAsiaTheme="minorEastAsia"/>
              </w:rPr>
              <w:t>5</w:t>
            </w:r>
          </w:p>
        </w:tc>
        <w:tc>
          <w:tcPr>
            <w:tcW w:w="1807" w:type="dxa"/>
            <w:vAlign w:val="center"/>
          </w:tcPr>
          <w:p>
            <w:pPr>
              <w:pStyle w:val="329"/>
              <w:rPr>
                <w:rFonts w:eastAsiaTheme="minorEastAsia"/>
              </w:rPr>
            </w:pPr>
            <w:r>
              <w:rPr>
                <w:rFonts w:eastAsiaTheme="minorEastAsia"/>
              </w:rPr>
              <w:t>/</w:t>
            </w:r>
          </w:p>
        </w:tc>
        <w:tc>
          <w:tcPr>
            <w:tcW w:w="1842" w:type="dxa"/>
            <w:vAlign w:val="center"/>
          </w:tcPr>
          <w:p>
            <w:pPr>
              <w:pStyle w:val="329"/>
              <w:rPr>
                <w:rFonts w:eastAsiaTheme="minorEastAsia"/>
              </w:rPr>
            </w:pPr>
            <w:r>
              <w:rPr>
                <w:rFonts w:eastAsiaTheme="minorEastAsia"/>
              </w:rPr>
              <w:drawing>
                <wp:inline distT="0" distB="0" distL="0" distR="0">
                  <wp:extent cx="776605" cy="683895"/>
                  <wp:effectExtent l="0" t="0" r="0" b="0"/>
                  <wp:docPr id="4" name="图片 4" descr="说明: 14003_dis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说明: 14003_disp10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76775" cy="684000"/>
                          </a:xfrm>
                          <a:prstGeom prst="rect">
                            <a:avLst/>
                          </a:prstGeom>
                          <a:noFill/>
                          <a:ln>
                            <a:noFill/>
                          </a:ln>
                        </pic:spPr>
                      </pic:pic>
                    </a:graphicData>
                  </a:graphic>
                </wp:inline>
              </w:drawing>
            </w:r>
          </w:p>
        </w:tc>
        <w:tc>
          <w:tcPr>
            <w:tcW w:w="1985" w:type="dxa"/>
            <w:vAlign w:val="center"/>
          </w:tcPr>
          <w:p>
            <w:pPr>
              <w:pStyle w:val="329"/>
              <w:rPr>
                <w:rFonts w:eastAsiaTheme="minorEastAsia"/>
              </w:rPr>
            </w:pPr>
            <w:r>
              <w:rPr>
                <w:rFonts w:eastAsiaTheme="minorEastAsia"/>
              </w:rPr>
              <w:t>危险废物</w:t>
            </w:r>
          </w:p>
        </w:tc>
        <w:tc>
          <w:tcPr>
            <w:tcW w:w="2437" w:type="dxa"/>
            <w:vAlign w:val="center"/>
          </w:tcPr>
          <w:p>
            <w:pPr>
              <w:pStyle w:val="329"/>
              <w:rPr>
                <w:rFonts w:eastAsiaTheme="minorEastAsia"/>
              </w:rPr>
            </w:pPr>
            <w:r>
              <w:rPr>
                <w:rFonts w:eastAsiaTheme="minorEastAsia"/>
              </w:rPr>
              <w:t>表示危险废物贮存、处置场</w:t>
            </w:r>
          </w:p>
        </w:tc>
      </w:tr>
    </w:tbl>
    <w:p>
      <w:pPr>
        <w:pStyle w:val="3"/>
        <w:snapToGrid w:val="0"/>
        <w:spacing w:before="0" w:after="0" w:line="360" w:lineRule="auto"/>
        <w:rPr>
          <w:rFonts w:ascii="Times New Roman" w:hAnsi="Times New Roman" w:eastAsiaTheme="minorEastAsia"/>
          <w:kern w:val="0"/>
          <w:sz w:val="28"/>
        </w:rPr>
      </w:pPr>
      <w:bookmarkStart w:id="217" w:name="_Toc61026640"/>
      <w:r>
        <w:rPr>
          <w:rFonts w:ascii="Times New Roman" w:hAnsi="Times New Roman" w:eastAsiaTheme="minorEastAsia"/>
          <w:kern w:val="0"/>
          <w:sz w:val="28"/>
        </w:rPr>
        <w:t>10.5 环境监测计划</w:t>
      </w:r>
      <w:bookmarkEnd w:id="217"/>
    </w:p>
    <w:p>
      <w:pPr>
        <w:snapToGrid w:val="0"/>
        <w:spacing w:line="360" w:lineRule="auto"/>
        <w:ind w:firstLine="480" w:firstLineChars="200"/>
        <w:rPr>
          <w:rFonts w:eastAsiaTheme="minorEastAsia"/>
          <w:sz w:val="24"/>
        </w:rPr>
      </w:pPr>
      <w:r>
        <w:rPr>
          <w:rFonts w:eastAsiaTheme="minorEastAsia"/>
          <w:sz w:val="24"/>
        </w:rPr>
        <w:t>为确保环境质量目标的实施，建设单位应及时组织实施工程验收监测、定期监督性监测等，本环评监测计划根据《排污单位自行监测技术指南总则》（HJ 819-2017）、《医疗机构水污染物排放标准》（GB1846-2005），并参照《排污许可证申请与核发技术规范 医疗机构》（HJ 1105—2020）、《建设项目竣工环境保护验收技术规范 医疗机构》（HJ794-2016）等相关要求进行制定。</w:t>
      </w:r>
    </w:p>
    <w:p>
      <w:pPr>
        <w:snapToGrid w:val="0"/>
        <w:spacing w:line="360" w:lineRule="auto"/>
        <w:ind w:firstLine="480" w:firstLineChars="200"/>
        <w:rPr>
          <w:rFonts w:eastAsiaTheme="minorEastAsia"/>
          <w:color w:val="FF0000"/>
          <w:sz w:val="24"/>
        </w:rPr>
      </w:pPr>
      <w:r>
        <w:rPr>
          <w:rFonts w:eastAsiaTheme="minorEastAsia"/>
          <w:sz w:val="24"/>
        </w:rPr>
        <w:t>监测计划由医院环保科负责组织实施。如尚无条件成立内部环境监测部门，则该监测工作可委托当地环境监测站或第三方机构进行，监测结果应在监测工作完成后一个月内报环保行政主管部门。</w:t>
      </w:r>
    </w:p>
    <w:p>
      <w:pPr>
        <w:snapToGrid w:val="0"/>
        <w:spacing w:line="360" w:lineRule="auto"/>
        <w:ind w:firstLine="480" w:firstLineChars="200"/>
        <w:rPr>
          <w:rFonts w:eastAsiaTheme="minorEastAsia"/>
          <w:sz w:val="24"/>
        </w:rPr>
      </w:pPr>
      <w:r>
        <w:rPr>
          <w:rFonts w:eastAsiaTheme="minorEastAsia"/>
          <w:sz w:val="24"/>
        </w:rPr>
        <w:t>监测内容主要是污染源监测和必要的外环境监测。监测项目包括医疗废水处理设施出口、锅炉废气出口、污水处理站废水、噪声监测等。具体监测要求如下表所示：</w:t>
      </w:r>
    </w:p>
    <w:p>
      <w:pPr>
        <w:adjustRightInd w:val="0"/>
        <w:snapToGrid w:val="0"/>
        <w:spacing w:line="360" w:lineRule="auto"/>
        <w:jc w:val="center"/>
        <w:rPr>
          <w:rFonts w:eastAsiaTheme="minorEastAsia"/>
          <w:b/>
          <w:sz w:val="24"/>
        </w:rPr>
      </w:pPr>
      <w:r>
        <w:rPr>
          <w:rFonts w:eastAsiaTheme="minorEastAsia"/>
          <w:b/>
          <w:sz w:val="24"/>
        </w:rPr>
        <w:t>表10.5-1  污染源监测计划</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07"/>
        <w:gridCol w:w="3177"/>
        <w:gridCol w:w="3118"/>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shd w:val="clear" w:color="auto" w:fill="FFFFFF"/>
            <w:vAlign w:val="center"/>
          </w:tcPr>
          <w:p>
            <w:pPr>
              <w:jc w:val="center"/>
              <w:rPr>
                <w:b/>
                <w:bCs/>
                <w:kern w:val="0"/>
                <w:sz w:val="20"/>
                <w:szCs w:val="20"/>
                <w:u w:val="single"/>
                <w:lang w:val="zh-CN"/>
              </w:rPr>
            </w:pPr>
            <w:r>
              <w:rPr>
                <w:b/>
                <w:bCs/>
                <w:color w:val="000000"/>
                <w:kern w:val="0"/>
                <w:sz w:val="20"/>
                <w:szCs w:val="20"/>
                <w:u w:val="single"/>
                <w:lang w:val="zh-CN"/>
              </w:rPr>
              <w:t>项目</w:t>
            </w:r>
          </w:p>
        </w:tc>
        <w:tc>
          <w:tcPr>
            <w:tcW w:w="3177" w:type="dxa"/>
            <w:shd w:val="clear" w:color="auto" w:fill="FFFFFF"/>
            <w:vAlign w:val="center"/>
          </w:tcPr>
          <w:p>
            <w:pPr>
              <w:jc w:val="center"/>
              <w:rPr>
                <w:b/>
                <w:bCs/>
                <w:kern w:val="0"/>
                <w:sz w:val="20"/>
                <w:szCs w:val="20"/>
                <w:u w:val="single"/>
                <w:lang w:val="zh-CN"/>
              </w:rPr>
            </w:pPr>
            <w:r>
              <w:rPr>
                <w:b/>
                <w:bCs/>
                <w:color w:val="000000"/>
                <w:kern w:val="0"/>
                <w:sz w:val="20"/>
                <w:szCs w:val="20"/>
                <w:u w:val="single"/>
                <w:lang w:val="zh-CN"/>
              </w:rPr>
              <w:t>监测点</w:t>
            </w:r>
          </w:p>
        </w:tc>
        <w:tc>
          <w:tcPr>
            <w:tcW w:w="3118" w:type="dxa"/>
            <w:shd w:val="clear" w:color="auto" w:fill="FFFFFF"/>
            <w:vAlign w:val="center"/>
          </w:tcPr>
          <w:p>
            <w:pPr>
              <w:jc w:val="center"/>
              <w:rPr>
                <w:b/>
                <w:bCs/>
                <w:kern w:val="0"/>
                <w:sz w:val="20"/>
                <w:szCs w:val="20"/>
                <w:u w:val="single"/>
                <w:lang w:val="zh-CN"/>
              </w:rPr>
            </w:pPr>
            <w:r>
              <w:rPr>
                <w:b/>
                <w:bCs/>
                <w:color w:val="000000"/>
                <w:kern w:val="0"/>
                <w:sz w:val="20"/>
                <w:szCs w:val="20"/>
                <w:u w:val="single"/>
                <w:lang w:val="zh-CN"/>
              </w:rPr>
              <w:t>监测因子</w:t>
            </w:r>
          </w:p>
        </w:tc>
        <w:tc>
          <w:tcPr>
            <w:tcW w:w="1587" w:type="dxa"/>
            <w:shd w:val="clear" w:color="auto" w:fill="FFFFFF"/>
            <w:vAlign w:val="center"/>
          </w:tcPr>
          <w:p>
            <w:pPr>
              <w:jc w:val="center"/>
              <w:rPr>
                <w:b/>
                <w:bCs/>
                <w:kern w:val="0"/>
                <w:sz w:val="20"/>
                <w:szCs w:val="20"/>
                <w:u w:val="single"/>
                <w:lang w:val="zh-CN"/>
              </w:rPr>
            </w:pPr>
            <w:r>
              <w:rPr>
                <w:b/>
                <w:bCs/>
                <w:color w:val="000000"/>
                <w:kern w:val="0"/>
                <w:sz w:val="20"/>
                <w:szCs w:val="20"/>
                <w:u w:val="single"/>
                <w:lang w:val="zh-CN"/>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restart"/>
            <w:shd w:val="clear" w:color="auto" w:fill="FFFFFF"/>
            <w:vAlign w:val="center"/>
          </w:tcPr>
          <w:p>
            <w:pPr>
              <w:jc w:val="center"/>
              <w:rPr>
                <w:kern w:val="0"/>
                <w:sz w:val="20"/>
                <w:szCs w:val="20"/>
                <w:u w:val="single"/>
                <w:lang w:val="zh-CN"/>
              </w:rPr>
            </w:pPr>
            <w:r>
              <w:rPr>
                <w:color w:val="000000"/>
                <w:kern w:val="0"/>
                <w:sz w:val="20"/>
                <w:szCs w:val="20"/>
                <w:u w:val="single"/>
                <w:lang w:val="zh-CN"/>
              </w:rPr>
              <w:t>废气</w:t>
            </w:r>
          </w:p>
        </w:tc>
        <w:tc>
          <w:tcPr>
            <w:tcW w:w="3177" w:type="dxa"/>
            <w:shd w:val="clear" w:color="auto" w:fill="FFFFFF"/>
            <w:vAlign w:val="center"/>
          </w:tcPr>
          <w:p>
            <w:pPr>
              <w:jc w:val="center"/>
              <w:rPr>
                <w:kern w:val="0"/>
                <w:sz w:val="20"/>
                <w:szCs w:val="20"/>
                <w:u w:val="single"/>
                <w:lang w:val="zh-CN"/>
              </w:rPr>
            </w:pPr>
            <w:r>
              <w:rPr>
                <w:color w:val="000000"/>
                <w:kern w:val="0"/>
                <w:sz w:val="20"/>
                <w:szCs w:val="20"/>
                <w:u w:val="single"/>
                <w:lang w:val="zh-CN"/>
              </w:rPr>
              <w:t>食堂油烟</w:t>
            </w: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val="zh-CN"/>
              </w:rPr>
              <w:t>油烟浓度气浓度</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每年监测1次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FFFFFF"/>
            <w:vAlign w:val="center"/>
          </w:tcPr>
          <w:p>
            <w:pPr>
              <w:jc w:val="center"/>
              <w:rPr>
                <w:kern w:val="0"/>
                <w:sz w:val="20"/>
                <w:szCs w:val="20"/>
                <w:u w:val="single"/>
                <w:lang w:val="zh-CN"/>
              </w:rPr>
            </w:pPr>
          </w:p>
        </w:tc>
        <w:tc>
          <w:tcPr>
            <w:tcW w:w="3177" w:type="dxa"/>
            <w:shd w:val="clear" w:color="auto" w:fill="FFFFFF"/>
            <w:vAlign w:val="center"/>
          </w:tcPr>
          <w:p>
            <w:pPr>
              <w:jc w:val="center"/>
              <w:rPr>
                <w:kern w:val="0"/>
                <w:sz w:val="20"/>
                <w:szCs w:val="20"/>
                <w:u w:val="single"/>
                <w:lang w:val="zh-CN"/>
              </w:rPr>
            </w:pPr>
            <w:r>
              <w:rPr>
                <w:color w:val="000000"/>
                <w:kern w:val="0"/>
                <w:sz w:val="20"/>
                <w:szCs w:val="20"/>
                <w:u w:val="single"/>
                <w:lang w:val="zh-CN"/>
              </w:rPr>
              <w:t>污水处理站周界</w:t>
            </w: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val="zh-CN"/>
              </w:rPr>
              <w:t>氨、硫化氢、臭气浓度、氯气、</w:t>
            </w:r>
          </w:p>
          <w:p>
            <w:pPr>
              <w:jc w:val="center"/>
              <w:rPr>
                <w:kern w:val="0"/>
                <w:sz w:val="20"/>
                <w:szCs w:val="20"/>
                <w:u w:val="single"/>
                <w:lang w:val="zh-CN"/>
              </w:rPr>
            </w:pPr>
            <w:r>
              <w:rPr>
                <w:color w:val="000000"/>
                <w:kern w:val="0"/>
                <w:sz w:val="20"/>
                <w:szCs w:val="20"/>
                <w:u w:val="single"/>
                <w:lang w:val="zh-CN"/>
              </w:rPr>
              <w:t>甲烷</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每季度1次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FFFFFF"/>
            <w:vAlign w:val="center"/>
          </w:tcPr>
          <w:p>
            <w:pPr>
              <w:jc w:val="center"/>
              <w:rPr>
                <w:kern w:val="0"/>
                <w:sz w:val="20"/>
                <w:szCs w:val="20"/>
                <w:u w:val="single"/>
                <w:lang w:val="zh-CN"/>
              </w:rPr>
            </w:pPr>
          </w:p>
        </w:tc>
        <w:tc>
          <w:tcPr>
            <w:tcW w:w="3177" w:type="dxa"/>
            <w:shd w:val="clear" w:color="auto" w:fill="FFFFFF"/>
            <w:vAlign w:val="center"/>
          </w:tcPr>
          <w:p>
            <w:pPr>
              <w:jc w:val="center"/>
              <w:rPr>
                <w:kern w:val="0"/>
                <w:sz w:val="20"/>
                <w:szCs w:val="20"/>
                <w:u w:val="single"/>
                <w:lang w:val="zh-CN"/>
              </w:rPr>
            </w:pPr>
            <w:r>
              <w:rPr>
                <w:color w:val="000000"/>
                <w:kern w:val="0"/>
                <w:sz w:val="20"/>
                <w:szCs w:val="20"/>
                <w:u w:val="single"/>
                <w:lang w:val="zh-CN"/>
              </w:rPr>
              <w:t>发电机废气排放口</w:t>
            </w: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val="zh-CN"/>
              </w:rPr>
              <w:t>颗粒物、二氧化碳、氮氧化物</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使用时监测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restart"/>
            <w:shd w:val="clear" w:color="auto" w:fill="FFFFFF"/>
            <w:vAlign w:val="center"/>
          </w:tcPr>
          <w:p>
            <w:pPr>
              <w:jc w:val="center"/>
              <w:rPr>
                <w:kern w:val="0"/>
                <w:sz w:val="20"/>
                <w:szCs w:val="20"/>
                <w:u w:val="single"/>
                <w:lang w:val="zh-CN"/>
              </w:rPr>
            </w:pPr>
            <w:r>
              <w:rPr>
                <w:color w:val="000000"/>
                <w:kern w:val="0"/>
                <w:sz w:val="20"/>
                <w:szCs w:val="20"/>
                <w:u w:val="single"/>
                <w:lang w:val="zh-CN"/>
              </w:rPr>
              <w:t>废水</w:t>
            </w:r>
          </w:p>
        </w:tc>
        <w:tc>
          <w:tcPr>
            <w:tcW w:w="3177" w:type="dxa"/>
            <w:vMerge w:val="restart"/>
            <w:shd w:val="clear" w:color="auto" w:fill="FFFFFF"/>
            <w:vAlign w:val="center"/>
          </w:tcPr>
          <w:p>
            <w:pPr>
              <w:jc w:val="center"/>
              <w:rPr>
                <w:kern w:val="0"/>
                <w:sz w:val="20"/>
                <w:szCs w:val="20"/>
                <w:u w:val="single"/>
                <w:lang w:val="zh-CN"/>
              </w:rPr>
            </w:pPr>
            <w:r>
              <w:rPr>
                <w:color w:val="000000"/>
                <w:kern w:val="0"/>
                <w:sz w:val="20"/>
                <w:szCs w:val="20"/>
                <w:u w:val="single"/>
                <w:lang w:val="zh-CN"/>
              </w:rPr>
              <w:t>污水总排放口</w:t>
            </w: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val="zh-CN"/>
              </w:rPr>
              <w:t>流量</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自动监测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FFFFFF"/>
            <w:vAlign w:val="center"/>
          </w:tcPr>
          <w:p>
            <w:pPr>
              <w:jc w:val="center"/>
              <w:rPr>
                <w:kern w:val="0"/>
                <w:sz w:val="20"/>
                <w:szCs w:val="20"/>
                <w:u w:val="single"/>
                <w:lang w:val="zh-CN"/>
              </w:rPr>
            </w:pPr>
          </w:p>
        </w:tc>
        <w:tc>
          <w:tcPr>
            <w:tcW w:w="3177" w:type="dxa"/>
            <w:vMerge w:val="continue"/>
            <w:shd w:val="clear" w:color="auto" w:fill="FFFFFF"/>
            <w:vAlign w:val="center"/>
          </w:tcPr>
          <w:p>
            <w:pPr>
              <w:jc w:val="center"/>
              <w:rPr>
                <w:kern w:val="0"/>
                <w:sz w:val="20"/>
                <w:szCs w:val="20"/>
                <w:u w:val="single"/>
                <w:lang w:val="zh-CN"/>
              </w:rPr>
            </w:pP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rPr>
              <w:t>p</w:t>
            </w:r>
            <w:r>
              <w:rPr>
                <w:color w:val="000000"/>
                <w:kern w:val="0"/>
                <w:sz w:val="20"/>
                <w:szCs w:val="20"/>
                <w:u w:val="single"/>
                <w:lang w:eastAsia="en-US"/>
              </w:rPr>
              <w:t>H</w:t>
            </w:r>
            <w:r>
              <w:rPr>
                <w:color w:val="000000"/>
                <w:kern w:val="0"/>
                <w:sz w:val="20"/>
                <w:szCs w:val="20"/>
                <w:u w:val="single"/>
                <w:lang w:val="zh-CN"/>
              </w:rPr>
              <w:t>值</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每周1次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FFFFFF"/>
            <w:vAlign w:val="center"/>
          </w:tcPr>
          <w:p>
            <w:pPr>
              <w:jc w:val="center"/>
              <w:rPr>
                <w:kern w:val="0"/>
                <w:sz w:val="20"/>
                <w:szCs w:val="20"/>
                <w:u w:val="single"/>
                <w:lang w:val="zh-CN"/>
              </w:rPr>
            </w:pPr>
          </w:p>
        </w:tc>
        <w:tc>
          <w:tcPr>
            <w:tcW w:w="3177" w:type="dxa"/>
            <w:vMerge w:val="continue"/>
            <w:shd w:val="clear" w:color="auto" w:fill="FFFFFF"/>
            <w:vAlign w:val="center"/>
          </w:tcPr>
          <w:p>
            <w:pPr>
              <w:jc w:val="center"/>
              <w:rPr>
                <w:kern w:val="0"/>
                <w:sz w:val="20"/>
                <w:szCs w:val="20"/>
                <w:u w:val="single"/>
                <w:lang w:val="zh-CN"/>
              </w:rPr>
            </w:pP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val="zh-CN"/>
              </w:rPr>
              <w:t>化学需氧量、悬浮物</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每月1次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FFFFFF"/>
            <w:vAlign w:val="center"/>
          </w:tcPr>
          <w:p>
            <w:pPr>
              <w:jc w:val="center"/>
              <w:rPr>
                <w:kern w:val="0"/>
                <w:sz w:val="20"/>
                <w:szCs w:val="20"/>
                <w:u w:val="single"/>
                <w:lang w:val="zh-CN"/>
              </w:rPr>
            </w:pPr>
          </w:p>
        </w:tc>
        <w:tc>
          <w:tcPr>
            <w:tcW w:w="3177" w:type="dxa"/>
            <w:vMerge w:val="continue"/>
            <w:shd w:val="clear" w:color="auto" w:fill="FFFFFF"/>
            <w:vAlign w:val="center"/>
          </w:tcPr>
          <w:p>
            <w:pPr>
              <w:jc w:val="center"/>
              <w:rPr>
                <w:kern w:val="0"/>
                <w:sz w:val="20"/>
                <w:szCs w:val="20"/>
                <w:u w:val="single"/>
                <w:lang w:val="zh-CN"/>
              </w:rPr>
            </w:pP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val="zh-CN"/>
              </w:rPr>
              <w:t>粪大肠菌群数</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每月1次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FFFFFF"/>
            <w:vAlign w:val="center"/>
          </w:tcPr>
          <w:p>
            <w:pPr>
              <w:jc w:val="center"/>
              <w:rPr>
                <w:kern w:val="0"/>
                <w:sz w:val="20"/>
                <w:szCs w:val="20"/>
                <w:u w:val="single"/>
                <w:lang w:val="zh-CN"/>
              </w:rPr>
            </w:pPr>
          </w:p>
        </w:tc>
        <w:tc>
          <w:tcPr>
            <w:tcW w:w="3177" w:type="dxa"/>
            <w:vMerge w:val="continue"/>
            <w:shd w:val="clear" w:color="auto" w:fill="FFFFFF"/>
            <w:vAlign w:val="center"/>
          </w:tcPr>
          <w:p>
            <w:pPr>
              <w:jc w:val="center"/>
              <w:rPr>
                <w:kern w:val="0"/>
                <w:sz w:val="20"/>
                <w:szCs w:val="20"/>
                <w:u w:val="single"/>
                <w:lang w:val="zh-CN"/>
              </w:rPr>
            </w:pPr>
          </w:p>
        </w:tc>
        <w:tc>
          <w:tcPr>
            <w:tcW w:w="3118" w:type="dxa"/>
            <w:shd w:val="clear" w:color="auto" w:fill="FFFFFF"/>
            <w:vAlign w:val="center"/>
          </w:tcPr>
          <w:p>
            <w:pPr>
              <w:spacing w:line="319" w:lineRule="exact"/>
              <w:jc w:val="center"/>
              <w:rPr>
                <w:kern w:val="0"/>
                <w:sz w:val="20"/>
                <w:szCs w:val="20"/>
                <w:u w:val="single"/>
                <w:lang w:val="zh-CN"/>
              </w:rPr>
            </w:pPr>
            <w:r>
              <w:rPr>
                <w:color w:val="000000"/>
                <w:kern w:val="0"/>
                <w:sz w:val="20"/>
                <w:szCs w:val="20"/>
                <w:u w:val="single"/>
                <w:lang w:val="zh-CN"/>
              </w:rPr>
              <w:t>五日生化需氧量、石油类、挥发酚、阴离子表面活性剂、总氰化物</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每季度1次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vMerge w:val="continue"/>
            <w:shd w:val="clear" w:color="auto" w:fill="FFFFFF"/>
            <w:vAlign w:val="center"/>
          </w:tcPr>
          <w:p>
            <w:pPr>
              <w:jc w:val="center"/>
              <w:rPr>
                <w:kern w:val="0"/>
                <w:sz w:val="20"/>
                <w:szCs w:val="20"/>
                <w:u w:val="single"/>
                <w:lang w:val="zh-CN"/>
              </w:rPr>
            </w:pPr>
          </w:p>
        </w:tc>
        <w:tc>
          <w:tcPr>
            <w:tcW w:w="3177" w:type="dxa"/>
            <w:shd w:val="clear" w:color="auto" w:fill="FFFFFF"/>
            <w:vAlign w:val="center"/>
          </w:tcPr>
          <w:p>
            <w:pPr>
              <w:spacing w:line="312" w:lineRule="exact"/>
              <w:jc w:val="center"/>
              <w:rPr>
                <w:kern w:val="0"/>
                <w:sz w:val="20"/>
                <w:szCs w:val="20"/>
                <w:u w:val="single"/>
                <w:lang w:val="zh-CN"/>
              </w:rPr>
            </w:pPr>
            <w:r>
              <w:rPr>
                <w:color w:val="000000"/>
                <w:kern w:val="0"/>
                <w:sz w:val="20"/>
                <w:szCs w:val="20"/>
                <w:u w:val="single"/>
                <w:lang w:val="zh-CN"/>
              </w:rPr>
              <w:t>检验科特殊废水预处理设施排口</w:t>
            </w: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val="zh-CN"/>
              </w:rPr>
              <w:t>六价铬、总铬</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每季度1次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shd w:val="clear" w:color="auto" w:fill="FFFFFF"/>
            <w:vAlign w:val="center"/>
          </w:tcPr>
          <w:p>
            <w:pPr>
              <w:jc w:val="center"/>
              <w:rPr>
                <w:kern w:val="0"/>
                <w:sz w:val="20"/>
                <w:szCs w:val="20"/>
                <w:u w:val="single"/>
                <w:lang w:val="zh-CN"/>
              </w:rPr>
            </w:pPr>
            <w:bookmarkStart w:id="218" w:name="bookmark0"/>
            <w:r>
              <w:rPr>
                <w:color w:val="000000"/>
                <w:kern w:val="0"/>
                <w:sz w:val="20"/>
                <w:szCs w:val="20"/>
                <w:u w:val="single"/>
                <w:lang w:val="zh-CN"/>
              </w:rPr>
              <w:t>噪声</w:t>
            </w:r>
            <w:bookmarkEnd w:id="218"/>
          </w:p>
        </w:tc>
        <w:tc>
          <w:tcPr>
            <w:tcW w:w="3177" w:type="dxa"/>
            <w:shd w:val="clear" w:color="auto" w:fill="FFFFFF"/>
            <w:vAlign w:val="center"/>
          </w:tcPr>
          <w:p>
            <w:pPr>
              <w:jc w:val="center"/>
              <w:rPr>
                <w:kern w:val="0"/>
                <w:sz w:val="20"/>
                <w:szCs w:val="20"/>
                <w:u w:val="single"/>
                <w:lang w:val="zh-CN"/>
              </w:rPr>
            </w:pPr>
            <w:r>
              <w:rPr>
                <w:color w:val="000000"/>
                <w:kern w:val="0"/>
                <w:sz w:val="20"/>
                <w:szCs w:val="20"/>
                <w:u w:val="single"/>
                <w:lang w:val="zh-CN"/>
              </w:rPr>
              <w:t>场界四个方位监测点</w:t>
            </w:r>
          </w:p>
        </w:tc>
        <w:tc>
          <w:tcPr>
            <w:tcW w:w="3118" w:type="dxa"/>
            <w:shd w:val="clear" w:color="auto" w:fill="FFFFFF"/>
            <w:vAlign w:val="center"/>
          </w:tcPr>
          <w:p>
            <w:pPr>
              <w:jc w:val="center"/>
              <w:rPr>
                <w:kern w:val="0"/>
                <w:sz w:val="20"/>
                <w:szCs w:val="20"/>
                <w:u w:val="single"/>
                <w:lang w:val="zh-CN"/>
              </w:rPr>
            </w:pPr>
            <w:r>
              <w:rPr>
                <w:color w:val="000000"/>
                <w:kern w:val="0"/>
                <w:sz w:val="20"/>
                <w:szCs w:val="20"/>
                <w:u w:val="single"/>
                <w:lang w:eastAsia="en-US"/>
              </w:rPr>
              <w:t>Leq</w:t>
            </w:r>
          </w:p>
        </w:tc>
        <w:tc>
          <w:tcPr>
            <w:tcW w:w="1587" w:type="dxa"/>
            <w:shd w:val="clear" w:color="auto" w:fill="FFFFFF"/>
            <w:vAlign w:val="center"/>
          </w:tcPr>
          <w:p>
            <w:pPr>
              <w:jc w:val="center"/>
              <w:rPr>
                <w:kern w:val="0"/>
                <w:sz w:val="20"/>
                <w:szCs w:val="20"/>
                <w:u w:val="single"/>
                <w:lang w:val="zh-CN"/>
              </w:rPr>
            </w:pPr>
            <w:r>
              <w:rPr>
                <w:color w:val="000000"/>
                <w:kern w:val="0"/>
                <w:sz w:val="20"/>
                <w:szCs w:val="20"/>
                <w:u w:val="single"/>
                <w:lang w:val="zh-CN"/>
              </w:rPr>
              <w:t>每季度1次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07" w:type="dxa"/>
            <w:shd w:val="clear" w:color="auto" w:fill="FFFFFF"/>
            <w:vAlign w:val="center"/>
          </w:tcPr>
          <w:p>
            <w:pPr>
              <w:jc w:val="center"/>
              <w:rPr>
                <w:color w:val="000000"/>
                <w:kern w:val="0"/>
                <w:sz w:val="20"/>
                <w:szCs w:val="20"/>
                <w:u w:val="single"/>
                <w:lang w:val="zh-CN"/>
              </w:rPr>
            </w:pPr>
            <w:r>
              <w:rPr>
                <w:rFonts w:hint="eastAsia"/>
                <w:color w:val="000000"/>
                <w:kern w:val="0"/>
                <w:sz w:val="20"/>
                <w:szCs w:val="20"/>
                <w:u w:val="single"/>
                <w:lang w:val="zh-CN"/>
              </w:rPr>
              <w:t>固废</w:t>
            </w:r>
          </w:p>
        </w:tc>
        <w:tc>
          <w:tcPr>
            <w:tcW w:w="3177" w:type="dxa"/>
            <w:shd w:val="clear" w:color="auto" w:fill="FFFFFF"/>
            <w:vAlign w:val="center"/>
          </w:tcPr>
          <w:p>
            <w:pPr>
              <w:jc w:val="center"/>
              <w:rPr>
                <w:color w:val="000000"/>
                <w:kern w:val="0"/>
                <w:sz w:val="20"/>
                <w:szCs w:val="20"/>
                <w:u w:val="single"/>
                <w:lang w:val="zh-CN"/>
              </w:rPr>
            </w:pPr>
            <w:r>
              <w:rPr>
                <w:rFonts w:hint="eastAsia"/>
                <w:color w:val="000000"/>
                <w:kern w:val="0"/>
                <w:sz w:val="20"/>
                <w:szCs w:val="20"/>
                <w:u w:val="single"/>
                <w:lang w:val="zh-CN"/>
              </w:rPr>
              <w:t>危险废物暂存间</w:t>
            </w:r>
          </w:p>
        </w:tc>
        <w:tc>
          <w:tcPr>
            <w:tcW w:w="3118" w:type="dxa"/>
            <w:shd w:val="clear" w:color="auto" w:fill="FFFFFF"/>
            <w:vAlign w:val="center"/>
          </w:tcPr>
          <w:p>
            <w:pPr>
              <w:jc w:val="center"/>
              <w:rPr>
                <w:color w:val="000000"/>
                <w:kern w:val="0"/>
                <w:sz w:val="20"/>
                <w:szCs w:val="20"/>
                <w:u w:val="single"/>
              </w:rPr>
            </w:pPr>
            <w:r>
              <w:rPr>
                <w:rFonts w:hint="eastAsia"/>
                <w:color w:val="000000"/>
                <w:kern w:val="0"/>
                <w:sz w:val="20"/>
                <w:szCs w:val="20"/>
                <w:u w:val="single"/>
              </w:rPr>
              <w:t>医疗废物、危险废物储存情况</w:t>
            </w:r>
          </w:p>
        </w:tc>
        <w:tc>
          <w:tcPr>
            <w:tcW w:w="1587" w:type="dxa"/>
            <w:shd w:val="clear" w:color="auto" w:fill="FFFFFF"/>
            <w:vAlign w:val="center"/>
          </w:tcPr>
          <w:p>
            <w:pPr>
              <w:jc w:val="center"/>
              <w:rPr>
                <w:color w:val="000000"/>
                <w:kern w:val="0"/>
                <w:sz w:val="20"/>
                <w:szCs w:val="20"/>
                <w:u w:val="single"/>
                <w:lang w:val="zh-CN"/>
              </w:rPr>
            </w:pPr>
            <w:r>
              <w:rPr>
                <w:rFonts w:hint="eastAsia"/>
                <w:color w:val="000000"/>
                <w:kern w:val="0"/>
                <w:sz w:val="20"/>
                <w:szCs w:val="20"/>
                <w:u w:val="single"/>
                <w:lang w:val="zh-CN"/>
              </w:rPr>
              <w:t>每季度1次</w:t>
            </w:r>
          </w:p>
        </w:tc>
      </w:tr>
    </w:tbl>
    <w:p>
      <w:pPr>
        <w:snapToGrid w:val="0"/>
        <w:spacing w:line="360" w:lineRule="auto"/>
        <w:ind w:firstLine="480" w:firstLineChars="200"/>
        <w:rPr>
          <w:rFonts w:eastAsiaTheme="minorEastAsia"/>
          <w:kern w:val="0"/>
          <w:sz w:val="24"/>
        </w:rPr>
      </w:pPr>
      <w:r>
        <w:rPr>
          <w:rFonts w:eastAsiaTheme="minorEastAsia"/>
          <w:kern w:val="0"/>
          <w:sz w:val="24"/>
        </w:rPr>
        <w:t>上述监测计划可企业委托有资质单位进行监测。</w:t>
      </w:r>
    </w:p>
    <w:p>
      <w:pPr>
        <w:pStyle w:val="3"/>
        <w:snapToGrid w:val="0"/>
        <w:spacing w:before="0" w:after="0" w:line="360" w:lineRule="auto"/>
        <w:rPr>
          <w:rFonts w:ascii="Times New Roman" w:hAnsi="Times New Roman" w:eastAsiaTheme="minorEastAsia"/>
          <w:kern w:val="0"/>
          <w:sz w:val="28"/>
        </w:rPr>
      </w:pPr>
      <w:bookmarkStart w:id="219" w:name="_Toc61026641"/>
      <w:r>
        <w:rPr>
          <w:rFonts w:hint="eastAsia" w:ascii="Times New Roman" w:hAnsi="Times New Roman" w:eastAsiaTheme="minorEastAsia"/>
          <w:kern w:val="0"/>
          <w:sz w:val="28"/>
        </w:rPr>
        <w:t>10.6 总量控制指标建议</w:t>
      </w:r>
      <w:bookmarkEnd w:id="219"/>
    </w:p>
    <w:p>
      <w:pPr>
        <w:snapToGrid w:val="0"/>
        <w:spacing w:line="360" w:lineRule="auto"/>
        <w:ind w:firstLine="480" w:firstLineChars="200"/>
        <w:rPr>
          <w:rFonts w:eastAsiaTheme="minorEastAsia"/>
          <w:kern w:val="0"/>
          <w:sz w:val="24"/>
        </w:rPr>
      </w:pPr>
      <w:r>
        <w:rPr>
          <w:rFonts w:hint="eastAsia" w:eastAsiaTheme="minorEastAsia"/>
          <w:kern w:val="0"/>
          <w:sz w:val="24"/>
        </w:rPr>
        <w:t>总量控制是我国重点的污染控制政策，因此，为确保环境污染加剧的趋势得到基本控制，需根据经济技术条件严格实行总量控制。根据《“十二五”主要污染物总量控制规划编制指南》（环办[2010]97号），总量控制的指标有SO</w:t>
      </w:r>
      <w:r>
        <w:rPr>
          <w:rFonts w:hint="eastAsia" w:eastAsiaTheme="minorEastAsia"/>
          <w:kern w:val="0"/>
          <w:sz w:val="24"/>
          <w:vertAlign w:val="subscript"/>
        </w:rPr>
        <w:t>2</w:t>
      </w:r>
      <w:r>
        <w:rPr>
          <w:rFonts w:hint="eastAsia" w:eastAsiaTheme="minorEastAsia"/>
          <w:kern w:val="0"/>
          <w:sz w:val="24"/>
        </w:rPr>
        <w:t>、NOx、COD和NH</w:t>
      </w:r>
      <w:r>
        <w:rPr>
          <w:rFonts w:hint="eastAsia" w:eastAsiaTheme="minorEastAsia"/>
          <w:kern w:val="0"/>
          <w:sz w:val="24"/>
          <w:vertAlign w:val="subscript"/>
        </w:rPr>
        <w:t>3</w:t>
      </w:r>
      <w:r>
        <w:rPr>
          <w:rFonts w:hint="eastAsia" w:eastAsiaTheme="minorEastAsia"/>
          <w:kern w:val="0"/>
          <w:sz w:val="24"/>
        </w:rPr>
        <w:t>-N。本次环评在达标排放基础上给出该项目污染物排放总量控制建议指标。</w:t>
      </w:r>
    </w:p>
    <w:p>
      <w:pPr>
        <w:snapToGrid w:val="0"/>
        <w:spacing w:line="360" w:lineRule="auto"/>
        <w:ind w:firstLine="480" w:firstLineChars="200"/>
        <w:rPr>
          <w:rFonts w:eastAsiaTheme="minorEastAsia"/>
          <w:kern w:val="0"/>
          <w:sz w:val="24"/>
        </w:rPr>
      </w:pPr>
      <w:r>
        <w:rPr>
          <w:rFonts w:hint="eastAsia" w:eastAsiaTheme="minorEastAsia"/>
          <w:kern w:val="0"/>
          <w:sz w:val="24"/>
        </w:rPr>
        <w:t>（1）废水</w:t>
      </w:r>
    </w:p>
    <w:p>
      <w:pPr>
        <w:snapToGrid w:val="0"/>
        <w:spacing w:line="360" w:lineRule="auto"/>
        <w:ind w:firstLine="480" w:firstLineChars="200"/>
        <w:rPr>
          <w:rFonts w:eastAsiaTheme="minorEastAsia"/>
          <w:kern w:val="0"/>
          <w:sz w:val="24"/>
          <w:u w:val="single"/>
        </w:rPr>
      </w:pPr>
      <w:r>
        <w:rPr>
          <w:rFonts w:hint="eastAsia" w:eastAsiaTheme="minorEastAsia"/>
          <w:kern w:val="0"/>
          <w:sz w:val="24"/>
          <w:u w:val="single"/>
        </w:rPr>
        <w:t>本项目废水排放到湘阴县第一污水处理厂集中处理，各类废水均经管道收集进入项目自建污水站处理达标后由市政管网排入湘阴县第一污水处理厂进一步处理；污水中污染物的排放量是基于由湘阴县第一污水处理厂处理达标情况下的水污染物排放总量，故本项目水污染物排放总量已属于湘阴县第一污水处理厂总量控制指标，则其总量指标由该污水处理厂分配，本项目不单独另设污染物排放总量控制指标。</w:t>
      </w:r>
    </w:p>
    <w:p>
      <w:pPr>
        <w:snapToGrid w:val="0"/>
        <w:spacing w:line="360" w:lineRule="auto"/>
        <w:ind w:firstLine="480" w:firstLineChars="200"/>
        <w:rPr>
          <w:rFonts w:eastAsiaTheme="minorEastAsia"/>
          <w:kern w:val="0"/>
          <w:sz w:val="24"/>
          <w:u w:val="single"/>
        </w:rPr>
      </w:pPr>
      <w:r>
        <w:rPr>
          <w:rFonts w:hint="eastAsia" w:eastAsiaTheme="minorEastAsia"/>
          <w:kern w:val="0"/>
          <w:sz w:val="24"/>
          <w:u w:val="single"/>
        </w:rPr>
        <w:t>本项目建成后主要水污染物控制指标如下：</w:t>
      </w:r>
    </w:p>
    <w:p>
      <w:pPr>
        <w:adjustRightInd w:val="0"/>
        <w:snapToGrid w:val="0"/>
        <w:spacing w:line="360" w:lineRule="auto"/>
        <w:jc w:val="center"/>
        <w:rPr>
          <w:rFonts w:eastAsiaTheme="minorEastAsia"/>
          <w:b/>
          <w:sz w:val="24"/>
          <w:u w:val="single"/>
        </w:rPr>
      </w:pPr>
      <w:r>
        <w:rPr>
          <w:rFonts w:hint="eastAsia" w:eastAsiaTheme="minorEastAsia"/>
          <w:b/>
          <w:sz w:val="24"/>
          <w:u w:val="single"/>
        </w:rPr>
        <w:t>表10.6-1  项目改扩建前后水污染总量控制情况（单位：t/a）</w:t>
      </w:r>
    </w:p>
    <w:tbl>
      <w:tblPr>
        <w:tblStyle w:val="79"/>
        <w:tblW w:w="8789"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91"/>
        <w:gridCol w:w="1842"/>
        <w:gridCol w:w="1843"/>
        <w:gridCol w:w="1701"/>
        <w:gridCol w:w="201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1" w:hRule="atLeast"/>
          <w:jc w:val="center"/>
        </w:trPr>
        <w:tc>
          <w:tcPr>
            <w:tcW w:w="1391" w:type="dxa"/>
            <w:vAlign w:val="center"/>
          </w:tcPr>
          <w:p>
            <w:pPr>
              <w:adjustRightInd w:val="0"/>
              <w:snapToGrid w:val="0"/>
              <w:jc w:val="center"/>
              <w:rPr>
                <w:b/>
                <w:bCs/>
                <w:caps/>
                <w:color w:val="000000"/>
                <w:szCs w:val="21"/>
                <w:u w:val="single"/>
              </w:rPr>
            </w:pPr>
            <w:r>
              <w:rPr>
                <w:b/>
                <w:bCs/>
                <w:caps/>
                <w:color w:val="000000"/>
                <w:szCs w:val="21"/>
                <w:u w:val="single"/>
              </w:rPr>
              <w:t>项目名称</w:t>
            </w:r>
          </w:p>
        </w:tc>
        <w:tc>
          <w:tcPr>
            <w:tcW w:w="1842" w:type="dxa"/>
            <w:vAlign w:val="center"/>
          </w:tcPr>
          <w:p>
            <w:pPr>
              <w:adjustRightInd w:val="0"/>
              <w:snapToGrid w:val="0"/>
              <w:jc w:val="center"/>
              <w:rPr>
                <w:b/>
                <w:bCs/>
                <w:caps/>
                <w:color w:val="000000"/>
                <w:szCs w:val="21"/>
                <w:u w:val="single"/>
              </w:rPr>
            </w:pPr>
            <w:r>
              <w:rPr>
                <w:rFonts w:hint="eastAsia"/>
                <w:b/>
                <w:bCs/>
                <w:caps/>
                <w:color w:val="000000"/>
                <w:szCs w:val="21"/>
                <w:u w:val="single"/>
              </w:rPr>
              <w:t>排放浓度(</w:t>
            </w:r>
            <w:r>
              <w:rPr>
                <w:rFonts w:eastAsiaTheme="minorEastAsia"/>
                <w:b/>
                <w:szCs w:val="21"/>
                <w:u w:val="single"/>
              </w:rPr>
              <w:t>mg/L</w:t>
            </w:r>
            <w:r>
              <w:rPr>
                <w:rFonts w:hint="eastAsia"/>
                <w:b/>
                <w:bCs/>
                <w:caps/>
                <w:color w:val="000000"/>
                <w:szCs w:val="21"/>
                <w:u w:val="single"/>
              </w:rPr>
              <w:t>)</w:t>
            </w:r>
          </w:p>
        </w:tc>
        <w:tc>
          <w:tcPr>
            <w:tcW w:w="1843" w:type="dxa"/>
            <w:vAlign w:val="center"/>
          </w:tcPr>
          <w:p>
            <w:pPr>
              <w:adjustRightInd w:val="0"/>
              <w:snapToGrid w:val="0"/>
              <w:jc w:val="center"/>
              <w:rPr>
                <w:b/>
                <w:bCs/>
                <w:caps/>
                <w:color w:val="000000"/>
                <w:szCs w:val="21"/>
                <w:u w:val="single"/>
              </w:rPr>
            </w:pPr>
            <w:r>
              <w:rPr>
                <w:b/>
                <w:bCs/>
                <w:caps/>
                <w:color w:val="000000"/>
                <w:szCs w:val="21"/>
                <w:u w:val="single"/>
              </w:rPr>
              <w:t>已</w:t>
            </w:r>
            <w:r>
              <w:rPr>
                <w:rFonts w:hint="eastAsia"/>
                <w:b/>
                <w:bCs/>
                <w:caps/>
                <w:color w:val="000000"/>
                <w:szCs w:val="21"/>
                <w:u w:val="single"/>
              </w:rPr>
              <w:t>有</w:t>
            </w:r>
            <w:r>
              <w:rPr>
                <w:b/>
                <w:bCs/>
                <w:caps/>
                <w:color w:val="000000"/>
                <w:szCs w:val="21"/>
                <w:u w:val="single"/>
              </w:rPr>
              <w:t>项目总量</w:t>
            </w:r>
          </w:p>
        </w:tc>
        <w:tc>
          <w:tcPr>
            <w:tcW w:w="1701" w:type="dxa"/>
            <w:vAlign w:val="center"/>
          </w:tcPr>
          <w:p>
            <w:pPr>
              <w:adjustRightInd w:val="0"/>
              <w:snapToGrid w:val="0"/>
              <w:jc w:val="center"/>
              <w:rPr>
                <w:b/>
                <w:bCs/>
                <w:caps/>
                <w:color w:val="000000"/>
                <w:szCs w:val="21"/>
                <w:u w:val="single"/>
              </w:rPr>
            </w:pPr>
            <w:r>
              <w:rPr>
                <w:b/>
                <w:bCs/>
                <w:caps/>
                <w:color w:val="000000"/>
                <w:szCs w:val="21"/>
                <w:u w:val="single"/>
              </w:rPr>
              <w:t>改扩建项目总量</w:t>
            </w:r>
          </w:p>
        </w:tc>
        <w:tc>
          <w:tcPr>
            <w:tcW w:w="2012" w:type="dxa"/>
            <w:vAlign w:val="center"/>
          </w:tcPr>
          <w:p>
            <w:pPr>
              <w:adjustRightInd w:val="0"/>
              <w:snapToGrid w:val="0"/>
              <w:jc w:val="center"/>
              <w:rPr>
                <w:b/>
                <w:bCs/>
                <w:caps/>
                <w:color w:val="000000"/>
                <w:szCs w:val="21"/>
                <w:u w:val="single"/>
              </w:rPr>
            </w:pPr>
            <w:r>
              <w:rPr>
                <w:b/>
                <w:bCs/>
                <w:caps/>
                <w:color w:val="000000"/>
                <w:szCs w:val="21"/>
                <w:u w:val="single"/>
              </w:rPr>
              <w:t>改扩建后</w:t>
            </w:r>
            <w:r>
              <w:rPr>
                <w:rFonts w:hint="eastAsia"/>
                <w:b/>
                <w:bCs/>
                <w:caps/>
                <w:color w:val="000000"/>
                <w:szCs w:val="21"/>
                <w:u w:val="single"/>
              </w:rPr>
              <w:t>项目</w:t>
            </w:r>
            <w:r>
              <w:rPr>
                <w:b/>
                <w:bCs/>
                <w:caps/>
                <w:color w:val="000000"/>
                <w:szCs w:val="21"/>
                <w:u w:val="single"/>
              </w:rPr>
              <w:t>总量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1" w:type="dxa"/>
            <w:vAlign w:val="center"/>
          </w:tcPr>
          <w:p>
            <w:pPr>
              <w:adjustRightInd w:val="0"/>
              <w:snapToGrid w:val="0"/>
              <w:jc w:val="center"/>
              <w:rPr>
                <w:caps/>
                <w:color w:val="000000"/>
                <w:szCs w:val="21"/>
                <w:u w:val="single"/>
              </w:rPr>
            </w:pPr>
            <w:r>
              <w:rPr>
                <w:caps/>
                <w:color w:val="000000"/>
                <w:szCs w:val="21"/>
                <w:u w:val="single"/>
              </w:rPr>
              <w:t>废水总量</w:t>
            </w:r>
          </w:p>
        </w:tc>
        <w:tc>
          <w:tcPr>
            <w:tcW w:w="1842" w:type="dxa"/>
            <w:vAlign w:val="center"/>
          </w:tcPr>
          <w:p>
            <w:pPr>
              <w:widowControl/>
              <w:snapToGrid w:val="0"/>
              <w:jc w:val="center"/>
              <w:textAlignment w:val="bottom"/>
              <w:rPr>
                <w:color w:val="000000"/>
                <w:kern w:val="0"/>
                <w:szCs w:val="21"/>
                <w:u w:val="single"/>
                <w:lang w:bidi="en-US"/>
              </w:rPr>
            </w:pPr>
            <w:r>
              <w:rPr>
                <w:rFonts w:hint="eastAsia"/>
                <w:color w:val="000000"/>
                <w:kern w:val="0"/>
                <w:szCs w:val="21"/>
                <w:u w:val="single"/>
                <w:lang w:bidi="ar"/>
              </w:rPr>
              <w:t>/</w:t>
            </w:r>
          </w:p>
        </w:tc>
        <w:tc>
          <w:tcPr>
            <w:tcW w:w="1843" w:type="dxa"/>
            <w:vAlign w:val="center"/>
          </w:tcPr>
          <w:p>
            <w:pPr>
              <w:widowControl/>
              <w:snapToGrid w:val="0"/>
              <w:jc w:val="center"/>
              <w:textAlignment w:val="center"/>
              <w:rPr>
                <w:color w:val="000000"/>
                <w:kern w:val="0"/>
                <w:szCs w:val="21"/>
                <w:u w:val="single"/>
                <w:lang w:bidi="ar"/>
              </w:rPr>
            </w:pPr>
            <w:r>
              <w:rPr>
                <w:rFonts w:hint="eastAsia"/>
                <w:color w:val="000000"/>
                <w:kern w:val="0"/>
                <w:szCs w:val="21"/>
                <w:u w:val="single"/>
                <w:lang w:bidi="ar"/>
              </w:rPr>
              <w:t>62190</w:t>
            </w:r>
          </w:p>
        </w:tc>
        <w:tc>
          <w:tcPr>
            <w:tcW w:w="1701" w:type="dxa"/>
            <w:vAlign w:val="center"/>
          </w:tcPr>
          <w:p>
            <w:pPr>
              <w:widowControl/>
              <w:snapToGrid w:val="0"/>
              <w:jc w:val="center"/>
              <w:textAlignment w:val="center"/>
              <w:rPr>
                <w:color w:val="000000"/>
                <w:kern w:val="0"/>
                <w:szCs w:val="21"/>
                <w:u w:val="single"/>
                <w:lang w:bidi="ar"/>
              </w:rPr>
            </w:pPr>
            <w:r>
              <w:rPr>
                <w:rFonts w:hint="eastAsia"/>
                <w:color w:val="000000"/>
                <w:kern w:val="0"/>
                <w:szCs w:val="21"/>
                <w:u w:val="single"/>
                <w:lang w:bidi="ar"/>
              </w:rPr>
              <w:t>4145</w:t>
            </w:r>
            <w:r>
              <w:rPr>
                <w:color w:val="000000"/>
                <w:kern w:val="0"/>
                <w:szCs w:val="21"/>
                <w:u w:val="single"/>
                <w:lang w:bidi="ar"/>
              </w:rPr>
              <w:t>3.67</w:t>
            </w:r>
          </w:p>
        </w:tc>
        <w:tc>
          <w:tcPr>
            <w:tcW w:w="2012" w:type="dxa"/>
            <w:vAlign w:val="center"/>
          </w:tcPr>
          <w:p>
            <w:pPr>
              <w:widowControl/>
              <w:snapToGrid w:val="0"/>
              <w:jc w:val="center"/>
              <w:textAlignment w:val="center"/>
              <w:rPr>
                <w:color w:val="000000"/>
                <w:kern w:val="0"/>
                <w:szCs w:val="21"/>
                <w:u w:val="single"/>
                <w:lang w:bidi="ar"/>
              </w:rPr>
            </w:pPr>
            <w:r>
              <w:rPr>
                <w:color w:val="000000"/>
                <w:kern w:val="0"/>
                <w:szCs w:val="21"/>
                <w:u w:val="single"/>
                <w:lang w:bidi="en-US"/>
              </w:rPr>
              <w:t>104636.47</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1" w:type="dxa"/>
            <w:vAlign w:val="center"/>
          </w:tcPr>
          <w:p>
            <w:pPr>
              <w:adjustRightInd w:val="0"/>
              <w:snapToGrid w:val="0"/>
              <w:jc w:val="center"/>
              <w:rPr>
                <w:caps/>
                <w:color w:val="000000"/>
                <w:szCs w:val="21"/>
                <w:u w:val="single"/>
              </w:rPr>
            </w:pPr>
            <w:r>
              <w:rPr>
                <w:caps/>
                <w:color w:val="000000"/>
                <w:szCs w:val="21"/>
                <w:u w:val="single"/>
              </w:rPr>
              <w:t>COD</w:t>
            </w:r>
          </w:p>
        </w:tc>
        <w:tc>
          <w:tcPr>
            <w:tcW w:w="1842" w:type="dxa"/>
            <w:vAlign w:val="center"/>
          </w:tcPr>
          <w:p>
            <w:pPr>
              <w:widowControl/>
              <w:snapToGrid w:val="0"/>
              <w:jc w:val="center"/>
              <w:textAlignment w:val="bottom"/>
              <w:rPr>
                <w:color w:val="000000"/>
                <w:kern w:val="0"/>
                <w:szCs w:val="21"/>
                <w:u w:val="single"/>
                <w:lang w:eastAsia="en-US" w:bidi="en-US"/>
              </w:rPr>
            </w:pPr>
            <w:r>
              <w:rPr>
                <w:rFonts w:hint="eastAsia"/>
                <w:color w:val="000000"/>
                <w:kern w:val="0"/>
                <w:szCs w:val="21"/>
                <w:u w:val="single"/>
                <w:lang w:bidi="ar"/>
              </w:rPr>
              <w:t>50</w:t>
            </w:r>
          </w:p>
        </w:tc>
        <w:tc>
          <w:tcPr>
            <w:tcW w:w="1843" w:type="dxa"/>
            <w:vAlign w:val="center"/>
          </w:tcPr>
          <w:p>
            <w:pPr>
              <w:widowControl/>
              <w:snapToGrid w:val="0"/>
              <w:jc w:val="center"/>
              <w:textAlignment w:val="center"/>
              <w:rPr>
                <w:color w:val="000000"/>
                <w:kern w:val="0"/>
                <w:szCs w:val="21"/>
                <w:u w:val="single"/>
                <w:lang w:bidi="ar"/>
              </w:rPr>
            </w:pPr>
            <w:r>
              <w:rPr>
                <w:rFonts w:hint="eastAsia"/>
                <w:color w:val="000000"/>
                <w:kern w:val="0"/>
                <w:szCs w:val="21"/>
                <w:u w:val="single"/>
                <w:lang w:bidi="ar"/>
              </w:rPr>
              <w:t>3.1095</w:t>
            </w:r>
          </w:p>
        </w:tc>
        <w:tc>
          <w:tcPr>
            <w:tcW w:w="1701"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2.1225</w:t>
            </w:r>
          </w:p>
        </w:tc>
        <w:tc>
          <w:tcPr>
            <w:tcW w:w="2012"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5.</w:t>
            </w:r>
            <w:r>
              <w:rPr>
                <w:rFonts w:hint="eastAsia"/>
                <w:color w:val="000000"/>
                <w:kern w:val="0"/>
                <w:szCs w:val="21"/>
                <w:u w:val="single"/>
                <w:lang w:bidi="ar"/>
              </w:rPr>
              <w:t>23</w:t>
            </w:r>
            <w:r>
              <w:rPr>
                <w:color w:val="000000"/>
                <w:kern w:val="0"/>
                <w:szCs w:val="21"/>
                <w:u w:val="single"/>
                <w:lang w:bidi="ar"/>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1" w:type="dxa"/>
            <w:vAlign w:val="center"/>
          </w:tcPr>
          <w:p>
            <w:pPr>
              <w:adjustRightInd w:val="0"/>
              <w:snapToGrid w:val="0"/>
              <w:jc w:val="center"/>
              <w:rPr>
                <w:caps/>
                <w:color w:val="000000"/>
                <w:szCs w:val="21"/>
                <w:u w:val="single"/>
              </w:rPr>
            </w:pPr>
            <w:r>
              <w:rPr>
                <w:caps/>
                <w:color w:val="000000"/>
                <w:szCs w:val="21"/>
                <w:u w:val="single"/>
              </w:rPr>
              <w:t>氨氮</w:t>
            </w:r>
          </w:p>
        </w:tc>
        <w:tc>
          <w:tcPr>
            <w:tcW w:w="1842" w:type="dxa"/>
            <w:vAlign w:val="center"/>
          </w:tcPr>
          <w:p>
            <w:pPr>
              <w:widowControl/>
              <w:snapToGrid w:val="0"/>
              <w:jc w:val="center"/>
              <w:textAlignment w:val="bottom"/>
              <w:rPr>
                <w:bCs/>
                <w:color w:val="000000"/>
                <w:szCs w:val="21"/>
                <w:u w:val="single"/>
              </w:rPr>
            </w:pPr>
            <w:r>
              <w:rPr>
                <w:rFonts w:hint="eastAsia"/>
                <w:color w:val="000000"/>
                <w:kern w:val="0"/>
                <w:szCs w:val="21"/>
                <w:u w:val="single"/>
                <w:lang w:bidi="ar"/>
              </w:rPr>
              <w:t>10</w:t>
            </w:r>
          </w:p>
        </w:tc>
        <w:tc>
          <w:tcPr>
            <w:tcW w:w="1843" w:type="dxa"/>
            <w:vAlign w:val="center"/>
          </w:tcPr>
          <w:p>
            <w:pPr>
              <w:widowControl/>
              <w:snapToGrid w:val="0"/>
              <w:jc w:val="center"/>
              <w:textAlignment w:val="center"/>
              <w:rPr>
                <w:color w:val="000000"/>
                <w:kern w:val="0"/>
                <w:szCs w:val="21"/>
                <w:u w:val="single"/>
                <w:lang w:bidi="ar"/>
              </w:rPr>
            </w:pPr>
            <w:r>
              <w:rPr>
                <w:rFonts w:hint="eastAsia"/>
                <w:color w:val="000000"/>
                <w:kern w:val="0"/>
                <w:szCs w:val="21"/>
                <w:u w:val="single"/>
                <w:lang w:bidi="ar"/>
              </w:rPr>
              <w:t>0.6219</w:t>
            </w:r>
          </w:p>
        </w:tc>
        <w:tc>
          <w:tcPr>
            <w:tcW w:w="1701"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0.4241</w:t>
            </w:r>
          </w:p>
        </w:tc>
        <w:tc>
          <w:tcPr>
            <w:tcW w:w="2012"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1.0</w:t>
            </w:r>
            <w:r>
              <w:rPr>
                <w:rFonts w:hint="eastAsia"/>
                <w:color w:val="000000"/>
                <w:kern w:val="0"/>
                <w:szCs w:val="21"/>
                <w:u w:val="single"/>
                <w:lang w:bidi="ar"/>
              </w:rPr>
              <w:t>4</w:t>
            </w:r>
            <w:r>
              <w:rPr>
                <w:color w:val="000000"/>
                <w:kern w:val="0"/>
                <w:szCs w:val="21"/>
                <w:u w:val="single"/>
                <w:lang w:bidi="ar"/>
              </w:rPr>
              <w:t>6</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1" w:type="dxa"/>
            <w:vAlign w:val="center"/>
          </w:tcPr>
          <w:p>
            <w:pPr>
              <w:adjustRightInd w:val="0"/>
              <w:snapToGrid w:val="0"/>
              <w:jc w:val="center"/>
              <w:rPr>
                <w:caps/>
                <w:color w:val="000000"/>
                <w:szCs w:val="21"/>
                <w:u w:val="single"/>
              </w:rPr>
            </w:pPr>
            <w:r>
              <w:rPr>
                <w:rFonts w:hint="eastAsia"/>
                <w:caps/>
                <w:color w:val="000000"/>
                <w:szCs w:val="21"/>
                <w:u w:val="single"/>
              </w:rPr>
              <w:t>总氮</w:t>
            </w:r>
          </w:p>
        </w:tc>
        <w:tc>
          <w:tcPr>
            <w:tcW w:w="1842" w:type="dxa"/>
            <w:vAlign w:val="center"/>
          </w:tcPr>
          <w:p>
            <w:pPr>
              <w:widowControl/>
              <w:snapToGrid w:val="0"/>
              <w:jc w:val="center"/>
              <w:textAlignment w:val="bottom"/>
              <w:rPr>
                <w:color w:val="000000"/>
                <w:kern w:val="0"/>
                <w:szCs w:val="21"/>
                <w:u w:val="single"/>
                <w:lang w:bidi="ar"/>
              </w:rPr>
            </w:pPr>
            <w:r>
              <w:rPr>
                <w:rFonts w:hint="eastAsia"/>
                <w:color w:val="000000"/>
                <w:kern w:val="0"/>
                <w:szCs w:val="21"/>
                <w:u w:val="single"/>
                <w:lang w:bidi="ar"/>
              </w:rPr>
              <w:t>15</w:t>
            </w:r>
          </w:p>
        </w:tc>
        <w:tc>
          <w:tcPr>
            <w:tcW w:w="1843"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0.93285</w:t>
            </w:r>
          </w:p>
        </w:tc>
        <w:tc>
          <w:tcPr>
            <w:tcW w:w="1701"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0.63715</w:t>
            </w:r>
          </w:p>
        </w:tc>
        <w:tc>
          <w:tcPr>
            <w:tcW w:w="2012"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1.57</w:t>
            </w:r>
            <w:r>
              <w:rPr>
                <w:rFonts w:hint="eastAsia"/>
                <w:color w:val="000000"/>
                <w:kern w:val="0"/>
                <w:szCs w:val="21"/>
                <w:u w:val="single"/>
                <w:lang w:bidi="ar"/>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391" w:type="dxa"/>
            <w:vAlign w:val="center"/>
          </w:tcPr>
          <w:p>
            <w:pPr>
              <w:adjustRightInd w:val="0"/>
              <w:snapToGrid w:val="0"/>
              <w:jc w:val="center"/>
              <w:rPr>
                <w:caps/>
                <w:color w:val="000000"/>
                <w:szCs w:val="21"/>
                <w:u w:val="single"/>
              </w:rPr>
            </w:pPr>
            <w:r>
              <w:rPr>
                <w:rFonts w:hint="eastAsia"/>
                <w:caps/>
                <w:color w:val="000000"/>
                <w:szCs w:val="21"/>
                <w:u w:val="single"/>
              </w:rPr>
              <w:t>总磷</w:t>
            </w:r>
          </w:p>
        </w:tc>
        <w:tc>
          <w:tcPr>
            <w:tcW w:w="1842" w:type="dxa"/>
            <w:vAlign w:val="center"/>
          </w:tcPr>
          <w:p>
            <w:pPr>
              <w:widowControl/>
              <w:snapToGrid w:val="0"/>
              <w:jc w:val="center"/>
              <w:textAlignment w:val="bottom"/>
              <w:rPr>
                <w:color w:val="000000"/>
                <w:kern w:val="0"/>
                <w:szCs w:val="21"/>
                <w:u w:val="single"/>
                <w:lang w:bidi="ar"/>
              </w:rPr>
            </w:pPr>
            <w:r>
              <w:rPr>
                <w:rFonts w:hint="eastAsia"/>
                <w:color w:val="000000"/>
                <w:kern w:val="0"/>
                <w:szCs w:val="21"/>
                <w:u w:val="single"/>
                <w:lang w:bidi="ar"/>
              </w:rPr>
              <w:t>0.5</w:t>
            </w:r>
          </w:p>
        </w:tc>
        <w:tc>
          <w:tcPr>
            <w:tcW w:w="1843" w:type="dxa"/>
            <w:vAlign w:val="center"/>
          </w:tcPr>
          <w:p>
            <w:pPr>
              <w:widowControl/>
              <w:snapToGrid w:val="0"/>
              <w:jc w:val="center"/>
              <w:textAlignment w:val="center"/>
              <w:rPr>
                <w:color w:val="000000"/>
                <w:kern w:val="0"/>
                <w:szCs w:val="21"/>
                <w:u w:val="single"/>
                <w:lang w:bidi="ar"/>
              </w:rPr>
            </w:pPr>
            <w:r>
              <w:rPr>
                <w:rFonts w:hint="eastAsia"/>
                <w:color w:val="000000"/>
                <w:kern w:val="0"/>
                <w:szCs w:val="21"/>
                <w:u w:val="single"/>
                <w:lang w:bidi="ar"/>
              </w:rPr>
              <w:t>0.031095</w:t>
            </w:r>
          </w:p>
        </w:tc>
        <w:tc>
          <w:tcPr>
            <w:tcW w:w="1701" w:type="dxa"/>
            <w:vAlign w:val="center"/>
          </w:tcPr>
          <w:p>
            <w:pPr>
              <w:widowControl/>
              <w:snapToGrid w:val="0"/>
              <w:jc w:val="center"/>
              <w:textAlignment w:val="center"/>
              <w:rPr>
                <w:color w:val="000000"/>
                <w:kern w:val="0"/>
                <w:szCs w:val="21"/>
                <w:u w:val="single"/>
                <w:lang w:bidi="ar"/>
              </w:rPr>
            </w:pPr>
            <w:r>
              <w:rPr>
                <w:color w:val="000000"/>
                <w:kern w:val="0"/>
                <w:szCs w:val="21"/>
                <w:u w:val="single"/>
                <w:lang w:bidi="ar"/>
              </w:rPr>
              <w:t>0.0212</w:t>
            </w:r>
          </w:p>
        </w:tc>
        <w:tc>
          <w:tcPr>
            <w:tcW w:w="2012" w:type="dxa"/>
            <w:vAlign w:val="center"/>
          </w:tcPr>
          <w:p>
            <w:pPr>
              <w:widowControl/>
              <w:snapToGrid w:val="0"/>
              <w:jc w:val="center"/>
              <w:textAlignment w:val="center"/>
              <w:rPr>
                <w:color w:val="000000"/>
                <w:kern w:val="0"/>
                <w:szCs w:val="21"/>
                <w:u w:val="single"/>
                <w:lang w:bidi="ar"/>
              </w:rPr>
            </w:pPr>
            <w:r>
              <w:rPr>
                <w:rFonts w:hint="eastAsia"/>
                <w:color w:val="000000"/>
                <w:kern w:val="0"/>
                <w:szCs w:val="21"/>
                <w:u w:val="single"/>
                <w:lang w:bidi="ar"/>
              </w:rPr>
              <w:t>0.0523</w:t>
            </w:r>
          </w:p>
        </w:tc>
      </w:tr>
    </w:tbl>
    <w:p>
      <w:pPr>
        <w:snapToGrid w:val="0"/>
        <w:spacing w:line="360" w:lineRule="auto"/>
        <w:ind w:firstLine="480" w:firstLineChars="200"/>
        <w:rPr>
          <w:rFonts w:eastAsiaTheme="minorEastAsia"/>
          <w:kern w:val="0"/>
          <w:sz w:val="24"/>
        </w:rPr>
      </w:pPr>
      <w:r>
        <w:rPr>
          <w:rFonts w:hint="eastAsia" w:eastAsiaTheme="minorEastAsia"/>
          <w:kern w:val="0"/>
          <w:sz w:val="24"/>
        </w:rPr>
        <w:t>（2）废气</w:t>
      </w:r>
    </w:p>
    <w:p>
      <w:pPr>
        <w:snapToGrid w:val="0"/>
        <w:spacing w:line="360" w:lineRule="auto"/>
        <w:ind w:firstLine="480" w:firstLineChars="200"/>
        <w:rPr>
          <w:rFonts w:eastAsiaTheme="minorEastAsia"/>
          <w:kern w:val="0"/>
          <w:sz w:val="24"/>
        </w:rPr>
      </w:pPr>
      <w:r>
        <w:rPr>
          <w:rFonts w:hint="eastAsia" w:eastAsiaTheme="minorEastAsia"/>
          <w:kern w:val="0"/>
          <w:sz w:val="24"/>
        </w:rPr>
        <w:t>根据《国务院关于印发大气污染防治行动计划的通知》（国发[2013]37号，2013年9月10日），“严格实施污染物排放总量控制，将二氧化硫、氮氧化物、烟粉尘及挥发性有机物排放是否符合总量控制要求作为建设项目环境影响评价审批的前置条件”。</w:t>
      </w:r>
    </w:p>
    <w:p>
      <w:pPr>
        <w:snapToGrid w:val="0"/>
        <w:spacing w:line="360" w:lineRule="auto"/>
        <w:ind w:firstLine="480" w:firstLineChars="200"/>
        <w:rPr>
          <w:rFonts w:eastAsiaTheme="minorEastAsia"/>
          <w:kern w:val="0"/>
          <w:sz w:val="24"/>
        </w:rPr>
      </w:pPr>
      <w:r>
        <w:rPr>
          <w:rFonts w:hint="eastAsia" w:eastAsiaTheme="minorEastAsia"/>
          <w:kern w:val="0"/>
          <w:sz w:val="24"/>
        </w:rPr>
        <w:t>本项目运营期的大气污染物主要有H</w:t>
      </w:r>
      <w:r>
        <w:rPr>
          <w:rFonts w:hint="eastAsia" w:eastAsiaTheme="minorEastAsia"/>
          <w:kern w:val="0"/>
          <w:sz w:val="24"/>
          <w:vertAlign w:val="subscript"/>
        </w:rPr>
        <w:t>2</w:t>
      </w:r>
      <w:r>
        <w:rPr>
          <w:rFonts w:hint="eastAsia" w:eastAsiaTheme="minorEastAsia"/>
          <w:kern w:val="0"/>
          <w:sz w:val="24"/>
        </w:rPr>
        <w:t>S、NH</w:t>
      </w:r>
      <w:r>
        <w:rPr>
          <w:rFonts w:hint="eastAsia" w:eastAsiaTheme="minorEastAsia"/>
          <w:kern w:val="0"/>
          <w:sz w:val="24"/>
          <w:vertAlign w:val="subscript"/>
        </w:rPr>
        <w:t>3</w:t>
      </w:r>
      <w:r>
        <w:rPr>
          <w:rFonts w:hint="eastAsia" w:eastAsiaTheme="minorEastAsia"/>
          <w:kern w:val="0"/>
          <w:sz w:val="24"/>
        </w:rPr>
        <w:t>、臭气，无需申请总量控制指标。此外，发电机仅为备用电源，备用发电机使用含硫量低于0.001%的普通柴油作为燃料，且项目所在地极少停电，因此备用发电机使用频率极低，SO</w:t>
      </w:r>
      <w:r>
        <w:rPr>
          <w:rFonts w:hint="eastAsia" w:eastAsiaTheme="minorEastAsia"/>
          <w:kern w:val="0"/>
          <w:sz w:val="24"/>
          <w:vertAlign w:val="subscript"/>
        </w:rPr>
        <w:t>2</w:t>
      </w:r>
      <w:r>
        <w:rPr>
          <w:rFonts w:hint="eastAsia" w:eastAsiaTheme="minorEastAsia"/>
          <w:kern w:val="0"/>
          <w:sz w:val="24"/>
        </w:rPr>
        <w:t>、NOx排放量极少，根据本项所产生的污染物的具体况及特征，不建议分配备用发电机大气污染物的总量控制指标。</w:t>
      </w:r>
    </w:p>
    <w:p>
      <w:pPr>
        <w:adjustRightInd w:val="0"/>
        <w:snapToGrid w:val="0"/>
        <w:spacing w:line="360" w:lineRule="auto"/>
        <w:jc w:val="center"/>
        <w:rPr>
          <w:rFonts w:eastAsiaTheme="minorEastAsia"/>
          <w:b/>
          <w:sz w:val="24"/>
        </w:rPr>
      </w:pPr>
      <w:r>
        <w:rPr>
          <w:rFonts w:hint="eastAsia" w:eastAsiaTheme="minorEastAsia"/>
          <w:b/>
          <w:sz w:val="24"/>
        </w:rPr>
        <w:t>表10.6-2  项目改扩建后大气污染总量控制情况（单位：t/a）</w:t>
      </w:r>
    </w:p>
    <w:tbl>
      <w:tblPr>
        <w:tblStyle w:val="79"/>
        <w:tblW w:w="878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0"/>
        <w:gridCol w:w="2456"/>
        <w:gridCol w:w="2044"/>
        <w:gridCol w:w="21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06" w:type="pct"/>
            <w:vAlign w:val="center"/>
          </w:tcPr>
          <w:p>
            <w:pPr>
              <w:jc w:val="center"/>
              <w:rPr>
                <w:b/>
                <w:bCs/>
              </w:rPr>
            </w:pPr>
            <w:r>
              <w:rPr>
                <w:b/>
                <w:bCs/>
              </w:rPr>
              <w:t>污染物名称</w:t>
            </w:r>
          </w:p>
        </w:tc>
        <w:tc>
          <w:tcPr>
            <w:tcW w:w="1397" w:type="pct"/>
            <w:vAlign w:val="center"/>
          </w:tcPr>
          <w:p>
            <w:pPr>
              <w:jc w:val="center"/>
              <w:rPr>
                <w:b/>
                <w:bCs/>
              </w:rPr>
            </w:pPr>
            <w:r>
              <w:rPr>
                <w:b/>
                <w:bCs/>
              </w:rPr>
              <w:t>污染物</w:t>
            </w:r>
            <w:r>
              <w:rPr>
                <w:rFonts w:hint="eastAsia"/>
                <w:b/>
                <w:bCs/>
              </w:rPr>
              <w:t>产生量</w:t>
            </w:r>
          </w:p>
        </w:tc>
        <w:tc>
          <w:tcPr>
            <w:tcW w:w="1163" w:type="pct"/>
            <w:vAlign w:val="center"/>
          </w:tcPr>
          <w:p>
            <w:pPr>
              <w:jc w:val="center"/>
              <w:rPr>
                <w:b/>
                <w:bCs/>
              </w:rPr>
            </w:pPr>
            <w:r>
              <w:rPr>
                <w:rFonts w:hint="eastAsia"/>
                <w:b/>
                <w:bCs/>
              </w:rPr>
              <w:t>自身</w:t>
            </w:r>
            <w:r>
              <w:rPr>
                <w:b/>
                <w:bCs/>
              </w:rPr>
              <w:t>削减量</w:t>
            </w:r>
          </w:p>
        </w:tc>
        <w:tc>
          <w:tcPr>
            <w:tcW w:w="1234" w:type="pct"/>
            <w:vAlign w:val="center"/>
          </w:tcPr>
          <w:p>
            <w:pPr>
              <w:jc w:val="center"/>
              <w:rPr>
                <w:b/>
                <w:bCs/>
              </w:rPr>
            </w:pPr>
            <w:r>
              <w:rPr>
                <w:rFonts w:hint="eastAsia"/>
                <w:b/>
                <w:bCs/>
              </w:rPr>
              <w:t>最终</w:t>
            </w:r>
            <w:r>
              <w:rPr>
                <w:b/>
                <w:bCs/>
              </w:rPr>
              <w:t>排放总量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06" w:type="pct"/>
            <w:vAlign w:val="center"/>
          </w:tcPr>
          <w:p>
            <w:pPr>
              <w:adjustRightInd w:val="0"/>
              <w:snapToGrid w:val="0"/>
              <w:jc w:val="center"/>
            </w:pPr>
            <w:r>
              <w:rPr>
                <w:rFonts w:hint="eastAsia"/>
              </w:rPr>
              <w:t>SO</w:t>
            </w:r>
            <w:r>
              <w:rPr>
                <w:rFonts w:hint="eastAsia"/>
                <w:vertAlign w:val="subscript"/>
              </w:rPr>
              <w:t>2</w:t>
            </w:r>
          </w:p>
        </w:tc>
        <w:tc>
          <w:tcPr>
            <w:tcW w:w="1397" w:type="pct"/>
            <w:vAlign w:val="center"/>
          </w:tcPr>
          <w:p>
            <w:pPr>
              <w:jc w:val="center"/>
            </w:pPr>
            <w:r>
              <w:t>0.01265t/a</w:t>
            </w:r>
          </w:p>
        </w:tc>
        <w:tc>
          <w:tcPr>
            <w:tcW w:w="1163" w:type="pct"/>
            <w:vAlign w:val="center"/>
          </w:tcPr>
          <w:p>
            <w:pPr>
              <w:jc w:val="center"/>
              <w:rPr>
                <w:kern w:val="0"/>
              </w:rPr>
            </w:pPr>
            <w:r>
              <w:rPr>
                <w:rFonts w:hint="eastAsia"/>
                <w:kern w:val="0"/>
              </w:rPr>
              <w:t>0</w:t>
            </w:r>
          </w:p>
        </w:tc>
        <w:tc>
          <w:tcPr>
            <w:tcW w:w="1234" w:type="pct"/>
            <w:vAlign w:val="center"/>
          </w:tcPr>
          <w:p>
            <w:pPr>
              <w:jc w:val="center"/>
            </w:pPr>
            <w:r>
              <w:t>0.01265t/a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06" w:type="pct"/>
            <w:vAlign w:val="center"/>
          </w:tcPr>
          <w:p>
            <w:pPr>
              <w:adjustRightInd w:val="0"/>
              <w:snapToGrid w:val="0"/>
              <w:jc w:val="center"/>
            </w:pPr>
            <w:r>
              <w:rPr>
                <w:rFonts w:hint="eastAsia"/>
              </w:rPr>
              <w:t>NO</w:t>
            </w:r>
            <w:r>
              <w:rPr>
                <w:rFonts w:hint="eastAsia"/>
                <w:vertAlign w:val="subscript"/>
              </w:rPr>
              <w:t>x</w:t>
            </w:r>
          </w:p>
        </w:tc>
        <w:tc>
          <w:tcPr>
            <w:tcW w:w="1397" w:type="pct"/>
            <w:vAlign w:val="center"/>
          </w:tcPr>
          <w:p>
            <w:pPr>
              <w:jc w:val="center"/>
            </w:pPr>
            <w:r>
              <w:t>0.0</w:t>
            </w:r>
            <w:r>
              <w:rPr>
                <w:rFonts w:hint="eastAsia"/>
              </w:rPr>
              <w:t>0</w:t>
            </w:r>
            <w:r>
              <w:t>814t/a</w:t>
            </w:r>
          </w:p>
        </w:tc>
        <w:tc>
          <w:tcPr>
            <w:tcW w:w="1163" w:type="pct"/>
            <w:vAlign w:val="center"/>
          </w:tcPr>
          <w:p>
            <w:pPr>
              <w:jc w:val="center"/>
              <w:rPr>
                <w:kern w:val="0"/>
              </w:rPr>
            </w:pPr>
            <w:r>
              <w:rPr>
                <w:rFonts w:hint="eastAsia"/>
                <w:kern w:val="0"/>
              </w:rPr>
              <w:t>0</w:t>
            </w:r>
          </w:p>
        </w:tc>
        <w:tc>
          <w:tcPr>
            <w:tcW w:w="1234" w:type="pct"/>
            <w:vAlign w:val="center"/>
          </w:tcPr>
          <w:p>
            <w:pPr>
              <w:jc w:val="center"/>
            </w:pPr>
            <w:r>
              <w:t>0.0</w:t>
            </w:r>
            <w:r>
              <w:rPr>
                <w:rFonts w:hint="eastAsia"/>
              </w:rPr>
              <w:t>0</w:t>
            </w:r>
            <w:r>
              <w:t>814t/a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206" w:type="pct"/>
            <w:vAlign w:val="center"/>
          </w:tcPr>
          <w:p>
            <w:pPr>
              <w:adjustRightInd w:val="0"/>
              <w:snapToGrid w:val="0"/>
              <w:jc w:val="center"/>
            </w:pPr>
            <w:r>
              <w:rPr>
                <w:rFonts w:hint="eastAsia"/>
              </w:rPr>
              <w:t>烟尘</w:t>
            </w:r>
          </w:p>
        </w:tc>
        <w:tc>
          <w:tcPr>
            <w:tcW w:w="1397" w:type="pct"/>
            <w:vAlign w:val="center"/>
          </w:tcPr>
          <w:p>
            <w:pPr>
              <w:jc w:val="center"/>
            </w:pPr>
            <w:r>
              <w:rPr>
                <w:rFonts w:hint="eastAsia"/>
              </w:rPr>
              <w:t>0.00224</w:t>
            </w:r>
            <w:r>
              <w:t xml:space="preserve"> t/a</w:t>
            </w:r>
          </w:p>
        </w:tc>
        <w:tc>
          <w:tcPr>
            <w:tcW w:w="1163" w:type="pct"/>
            <w:vAlign w:val="center"/>
          </w:tcPr>
          <w:p>
            <w:pPr>
              <w:jc w:val="center"/>
              <w:rPr>
                <w:kern w:val="0"/>
              </w:rPr>
            </w:pPr>
            <w:r>
              <w:rPr>
                <w:rFonts w:hint="eastAsia"/>
                <w:kern w:val="0"/>
              </w:rPr>
              <w:t>0</w:t>
            </w:r>
          </w:p>
        </w:tc>
        <w:tc>
          <w:tcPr>
            <w:tcW w:w="1234" w:type="pct"/>
            <w:vAlign w:val="center"/>
          </w:tcPr>
          <w:p>
            <w:pPr>
              <w:jc w:val="center"/>
            </w:pPr>
            <w:r>
              <w:rPr>
                <w:rFonts w:hint="eastAsia"/>
              </w:rPr>
              <w:t>0.00224</w:t>
            </w:r>
            <w:r>
              <w:t xml:space="preserve"> t/a</w:t>
            </w:r>
          </w:p>
        </w:tc>
      </w:tr>
    </w:tbl>
    <w:p>
      <w:pPr>
        <w:snapToGrid w:val="0"/>
        <w:spacing w:line="360" w:lineRule="auto"/>
        <w:ind w:firstLine="480" w:firstLineChars="200"/>
        <w:rPr>
          <w:rFonts w:eastAsiaTheme="minorEastAsia"/>
          <w:kern w:val="0"/>
          <w:sz w:val="24"/>
        </w:rPr>
      </w:pPr>
      <w:r>
        <w:rPr>
          <w:rFonts w:hint="eastAsia" w:eastAsiaTheme="minorEastAsia"/>
          <w:kern w:val="0"/>
          <w:sz w:val="24"/>
        </w:rPr>
        <w:t>（3）固废</w:t>
      </w:r>
    </w:p>
    <w:p>
      <w:pPr>
        <w:snapToGrid w:val="0"/>
        <w:spacing w:line="360" w:lineRule="auto"/>
        <w:ind w:firstLine="480" w:firstLineChars="200"/>
        <w:rPr>
          <w:rFonts w:eastAsiaTheme="minorEastAsia"/>
          <w:sz w:val="24"/>
        </w:rPr>
      </w:pPr>
      <w:r>
        <w:rPr>
          <w:rFonts w:hint="eastAsia" w:eastAsiaTheme="minorEastAsia"/>
          <w:kern w:val="0"/>
          <w:sz w:val="24"/>
        </w:rPr>
        <w:t>项目产生的固体废物主要有生活垃圾、医疗废物和污水处理站污泥，必须分类收集，并由相关固体废物处理处置单位安全处置，禁止直接排放至环境中，统计收集率达到100％，因此不需要申请总量控制指标。</w:t>
      </w:r>
    </w:p>
    <w:p>
      <w:pPr>
        <w:pStyle w:val="2"/>
        <w:spacing w:after="0" w:line="480" w:lineRule="auto"/>
        <w:jc w:val="center"/>
        <w:rPr>
          <w:rFonts w:ascii="Times New Roman" w:eastAsiaTheme="minorEastAsia"/>
          <w:b/>
          <w:bCs/>
          <w:color w:val="FF0000"/>
          <w:sz w:val="36"/>
          <w:szCs w:val="36"/>
          <w:lang w:val="zh-CN"/>
        </w:rPr>
        <w:sectPr>
          <w:pgSz w:w="11906" w:h="16838"/>
          <w:pgMar w:top="1418" w:right="1304" w:bottom="1418" w:left="1474" w:header="851" w:footer="680" w:gutter="0"/>
          <w:cols w:space="720" w:num="1"/>
          <w:docGrid w:linePitch="312" w:charSpace="0"/>
        </w:sectPr>
      </w:pPr>
      <w:bookmarkStart w:id="220" w:name="_Toc299451650"/>
      <w:bookmarkStart w:id="221" w:name="_Toc299450880"/>
      <w:bookmarkStart w:id="222" w:name="_Toc299450980"/>
      <w:bookmarkStart w:id="223" w:name="_Toc299451842"/>
      <w:bookmarkStart w:id="224" w:name="_Toc299451080"/>
    </w:p>
    <w:p>
      <w:pPr>
        <w:pStyle w:val="2"/>
        <w:spacing w:after="0" w:line="480" w:lineRule="auto"/>
        <w:jc w:val="center"/>
        <w:rPr>
          <w:rFonts w:ascii="Times New Roman" w:eastAsiaTheme="minorEastAsia"/>
          <w:b/>
          <w:bCs/>
          <w:sz w:val="36"/>
          <w:szCs w:val="36"/>
          <w:lang w:val="zh-CN"/>
        </w:rPr>
      </w:pPr>
      <w:bookmarkStart w:id="225" w:name="_Toc61026642"/>
      <w:r>
        <w:rPr>
          <w:rFonts w:ascii="Times New Roman" w:eastAsiaTheme="minorEastAsia"/>
          <w:b/>
          <w:bCs/>
          <w:sz w:val="36"/>
          <w:szCs w:val="36"/>
          <w:lang w:val="zh-CN"/>
        </w:rPr>
        <w:t>11 环境影响评价结论</w:t>
      </w:r>
      <w:bookmarkEnd w:id="225"/>
    </w:p>
    <w:p>
      <w:pPr>
        <w:pStyle w:val="3"/>
        <w:snapToGrid w:val="0"/>
        <w:spacing w:before="0" w:after="0" w:line="360" w:lineRule="auto"/>
        <w:rPr>
          <w:rFonts w:ascii="Times New Roman" w:hAnsi="Times New Roman" w:eastAsiaTheme="minorEastAsia"/>
          <w:kern w:val="0"/>
          <w:sz w:val="28"/>
        </w:rPr>
      </w:pPr>
      <w:bookmarkStart w:id="226" w:name="_Toc61026643"/>
      <w:r>
        <w:rPr>
          <w:rFonts w:ascii="Times New Roman" w:hAnsi="Times New Roman" w:eastAsiaTheme="minorEastAsia"/>
          <w:kern w:val="0"/>
          <w:sz w:val="28"/>
        </w:rPr>
        <w:t>11.1 项目概况</w:t>
      </w:r>
      <w:bookmarkEnd w:id="220"/>
      <w:bookmarkEnd w:id="221"/>
      <w:bookmarkEnd w:id="222"/>
      <w:bookmarkEnd w:id="223"/>
      <w:bookmarkEnd w:id="224"/>
      <w:bookmarkEnd w:id="226"/>
    </w:p>
    <w:p>
      <w:pPr>
        <w:pStyle w:val="45"/>
        <w:snapToGrid w:val="0"/>
        <w:spacing w:line="360" w:lineRule="auto"/>
        <w:ind w:left="0" w:leftChars="0" w:firstLine="480" w:firstLineChars="200"/>
        <w:rPr>
          <w:rFonts w:eastAsiaTheme="minorEastAsia"/>
          <w:sz w:val="24"/>
        </w:rPr>
      </w:pPr>
      <w:bookmarkStart w:id="227" w:name="_Hlk59022606"/>
      <w:bookmarkStart w:id="228" w:name="_Toc299450981"/>
      <w:bookmarkStart w:id="229" w:name="_Toc299451651"/>
      <w:bookmarkStart w:id="230" w:name="_Toc299451081"/>
      <w:bookmarkStart w:id="231" w:name="_Toc299450881"/>
      <w:bookmarkStart w:id="232" w:name="_Toc299451843"/>
      <w:r>
        <w:rPr>
          <w:rFonts w:eastAsiaTheme="minorEastAsia"/>
          <w:sz w:val="24"/>
        </w:rPr>
        <w:t>湘阴县中医院整体搬迁项目拟投资25300.00万元，项目位于湘阴县文星镇先锋路69 号（县人民医院旧址），项目总用地面积20114.50 平方米（约30.17亩），总建筑面积59100.00平方米，主要新建1栋门诊大楼、新建3个立体车库、利用改造一栋住院大楼、改造7栋住宿楼以及改造一栋食堂楼，并配套建设给排水、供配电、环保等基础设施。</w:t>
      </w:r>
      <w:bookmarkEnd w:id="227"/>
      <w:r>
        <w:rPr>
          <w:rFonts w:eastAsiaTheme="minorEastAsia"/>
          <w:sz w:val="24"/>
        </w:rPr>
        <w:t>放射科医用射线装置应根据国家相关要求，另行办理环保手续，不在本次评价范围内。</w:t>
      </w:r>
    </w:p>
    <w:p>
      <w:pPr>
        <w:pStyle w:val="45"/>
        <w:snapToGrid w:val="0"/>
        <w:spacing w:line="360" w:lineRule="auto"/>
        <w:ind w:left="0" w:leftChars="0" w:firstLine="480" w:firstLineChars="200"/>
        <w:rPr>
          <w:rFonts w:eastAsiaTheme="minorEastAsia"/>
          <w:sz w:val="24"/>
        </w:rPr>
      </w:pPr>
      <w:r>
        <w:rPr>
          <w:rFonts w:eastAsiaTheme="minorEastAsia"/>
          <w:sz w:val="24"/>
        </w:rPr>
        <w:t>项目迁建后，病床为508张、年门诊量预计增加至9.92万人次。项目建设后仍为综合性二级甲等医院，工作人员增加至480人。</w:t>
      </w:r>
    </w:p>
    <w:p>
      <w:pPr>
        <w:pStyle w:val="3"/>
        <w:snapToGrid w:val="0"/>
        <w:spacing w:before="0" w:after="0" w:line="360" w:lineRule="auto"/>
        <w:rPr>
          <w:rFonts w:ascii="Times New Roman" w:hAnsi="Times New Roman" w:eastAsiaTheme="minorEastAsia"/>
          <w:kern w:val="0"/>
          <w:sz w:val="28"/>
        </w:rPr>
      </w:pPr>
      <w:bookmarkStart w:id="233" w:name="_Toc61026644"/>
      <w:r>
        <w:rPr>
          <w:rFonts w:ascii="Times New Roman" w:hAnsi="Times New Roman" w:eastAsiaTheme="minorEastAsia"/>
          <w:kern w:val="0"/>
          <w:sz w:val="28"/>
        </w:rPr>
        <w:t>11.2 产业政策的相符合性结论</w:t>
      </w:r>
      <w:bookmarkEnd w:id="228"/>
      <w:bookmarkEnd w:id="229"/>
      <w:bookmarkEnd w:id="230"/>
      <w:bookmarkEnd w:id="231"/>
      <w:bookmarkEnd w:id="232"/>
      <w:bookmarkEnd w:id="233"/>
    </w:p>
    <w:p>
      <w:pPr>
        <w:snapToGrid w:val="0"/>
        <w:spacing w:line="360" w:lineRule="auto"/>
        <w:ind w:firstLine="480" w:firstLineChars="200"/>
        <w:jc w:val="left"/>
        <w:rPr>
          <w:rFonts w:eastAsiaTheme="minorEastAsia"/>
          <w:sz w:val="24"/>
        </w:rPr>
      </w:pPr>
      <w:bookmarkStart w:id="234" w:name="_Toc299451654"/>
      <w:bookmarkStart w:id="235" w:name="_Toc299450984"/>
      <w:bookmarkStart w:id="236" w:name="_Toc299450884"/>
      <w:bookmarkStart w:id="237" w:name="_Toc299451084"/>
      <w:r>
        <w:rPr>
          <w:rFonts w:eastAsiaTheme="minorEastAsia"/>
          <w:sz w:val="24"/>
        </w:rPr>
        <w:t>本项目属于医疗卫生机构的建设，根据</w:t>
      </w:r>
      <w:r>
        <w:rPr>
          <w:rFonts w:hint="eastAsia" w:eastAsiaTheme="minorEastAsia"/>
          <w:sz w:val="24"/>
        </w:rPr>
        <w:t>《产业结构调整指导目录（2019年本）》</w:t>
      </w:r>
      <w:r>
        <w:rPr>
          <w:rFonts w:eastAsiaTheme="minorEastAsia"/>
          <w:sz w:val="24"/>
        </w:rPr>
        <w:t>，本项目为鼓励类“第三十六、教育、文化、卫生、体育服务业”中的“29、医疗卫生服务设施建设”，符合国家产业政策。</w:t>
      </w:r>
    </w:p>
    <w:p>
      <w:pPr>
        <w:snapToGrid w:val="0"/>
        <w:spacing w:line="360" w:lineRule="auto"/>
        <w:ind w:firstLine="480" w:firstLineChars="200"/>
        <w:jc w:val="left"/>
        <w:rPr>
          <w:rFonts w:eastAsiaTheme="minorEastAsia"/>
          <w:sz w:val="24"/>
        </w:rPr>
      </w:pPr>
      <w:r>
        <w:rPr>
          <w:rFonts w:eastAsiaTheme="minorEastAsia"/>
          <w:sz w:val="24"/>
        </w:rPr>
        <w:t>搬迁后，本项目选址位于湘阴县文星镇先锋路69 号（县人民医院旧址），项目东侧紧邻先锋路，西侧紧邻建新</w:t>
      </w:r>
      <w:bookmarkStart w:id="246" w:name="_GoBack"/>
      <w:bookmarkEnd w:id="246"/>
      <w:r>
        <w:rPr>
          <w:rFonts w:eastAsiaTheme="minorEastAsia"/>
          <w:sz w:val="24"/>
        </w:rPr>
        <w:t>路，建新路直接连接至滨江路，交通相对便利。此外，项目西侧约260m为湘江，环境相对较好。项目选址周边无工业污染，交通便利，环境较好。根据《湘阴县总体布局规划》（2009-2030），本项目用地为医疗卫生用地，不属于居住用地、基本农田、自然保护区等非建设区，符合土地利用规划。</w:t>
      </w:r>
    </w:p>
    <w:bookmarkEnd w:id="234"/>
    <w:bookmarkEnd w:id="235"/>
    <w:bookmarkEnd w:id="236"/>
    <w:bookmarkEnd w:id="237"/>
    <w:p>
      <w:pPr>
        <w:pStyle w:val="3"/>
        <w:snapToGrid w:val="0"/>
        <w:spacing w:before="0" w:after="0" w:line="360" w:lineRule="auto"/>
        <w:rPr>
          <w:rFonts w:ascii="Times New Roman" w:hAnsi="Times New Roman" w:eastAsiaTheme="minorEastAsia"/>
          <w:kern w:val="0"/>
          <w:sz w:val="28"/>
        </w:rPr>
      </w:pPr>
      <w:bookmarkStart w:id="238" w:name="_Toc61026645"/>
      <w:r>
        <w:rPr>
          <w:rFonts w:ascii="Times New Roman" w:hAnsi="Times New Roman" w:eastAsiaTheme="minorEastAsia"/>
          <w:kern w:val="0"/>
          <w:sz w:val="28"/>
        </w:rPr>
        <w:t>11.3 环境质量现状</w:t>
      </w:r>
      <w:bookmarkEnd w:id="238"/>
    </w:p>
    <w:p>
      <w:pPr>
        <w:snapToGrid w:val="0"/>
        <w:spacing w:line="360" w:lineRule="auto"/>
        <w:ind w:firstLine="480" w:firstLineChars="200"/>
        <w:rPr>
          <w:rFonts w:eastAsiaTheme="minorEastAsia"/>
          <w:sz w:val="24"/>
        </w:rPr>
      </w:pPr>
      <w:bookmarkStart w:id="239" w:name="_Toc8876"/>
      <w:r>
        <w:rPr>
          <w:rFonts w:eastAsiaTheme="minorEastAsia"/>
          <w:sz w:val="24"/>
        </w:rPr>
        <w:t>1、地表水</w:t>
      </w:r>
    </w:p>
    <w:p>
      <w:pPr>
        <w:snapToGrid w:val="0"/>
        <w:spacing w:line="360" w:lineRule="auto"/>
        <w:ind w:firstLine="480" w:firstLineChars="200"/>
        <w:rPr>
          <w:rFonts w:eastAsiaTheme="minorEastAsia"/>
          <w:color w:val="FF0000"/>
          <w:sz w:val="24"/>
          <w:u w:val="single"/>
        </w:rPr>
      </w:pPr>
      <w:r>
        <w:rPr>
          <w:rFonts w:eastAsiaTheme="minorEastAsia"/>
          <w:sz w:val="24"/>
        </w:rPr>
        <w:t>本项目产生的废水经预处理达标后，进入湘阴县第一污水处理厂，最终排入湘江。根据湘阴县环境监测站2019年5月、6月对湘江设置的乌龙嘴断面的监测数据（监测因子：选定为pH、DO、COD、BOD</w:t>
      </w:r>
      <w:r>
        <w:rPr>
          <w:rFonts w:eastAsiaTheme="minorEastAsia"/>
          <w:sz w:val="24"/>
          <w:vertAlign w:val="subscript"/>
        </w:rPr>
        <w:t>5</w:t>
      </w:r>
      <w:r>
        <w:rPr>
          <w:rFonts w:eastAsiaTheme="minorEastAsia"/>
          <w:sz w:val="24"/>
        </w:rPr>
        <w:t>、氨氮、石油类、总磷、粪大肠菌群），湘江乌龙嘴断面水质监测因子监测值均达到《地表水环境质量标准》（GB3838-2002）中的III类标准要求。</w:t>
      </w:r>
      <w:r>
        <w:rPr>
          <w:rFonts w:hint="eastAsia" w:eastAsiaTheme="minorEastAsia"/>
          <w:sz w:val="24"/>
          <w:u w:val="single"/>
        </w:rPr>
        <w:t>湘阴县东湖水质监测因子监测值除总氮超标外（超标100.04%达到《地表水环境质量标准》（GB3838-2002）中的III类标准要求。</w:t>
      </w:r>
    </w:p>
    <w:p>
      <w:pPr>
        <w:snapToGrid w:val="0"/>
        <w:spacing w:line="360" w:lineRule="auto"/>
        <w:ind w:firstLine="480" w:firstLineChars="200"/>
        <w:rPr>
          <w:rFonts w:eastAsiaTheme="minorEastAsia"/>
          <w:bCs/>
          <w:sz w:val="24"/>
        </w:rPr>
      </w:pPr>
      <w:r>
        <w:rPr>
          <w:rFonts w:eastAsiaTheme="minorEastAsia"/>
          <w:bCs/>
          <w:sz w:val="24"/>
        </w:rPr>
        <w:t>2、环境空气</w:t>
      </w:r>
    </w:p>
    <w:p>
      <w:pPr>
        <w:adjustRightInd w:val="0"/>
        <w:snapToGrid w:val="0"/>
        <w:spacing w:line="360" w:lineRule="auto"/>
        <w:ind w:firstLine="480" w:firstLineChars="200"/>
        <w:rPr>
          <w:rFonts w:eastAsiaTheme="minorEastAsia"/>
          <w:sz w:val="24"/>
        </w:rPr>
      </w:pPr>
      <w:r>
        <w:rPr>
          <w:rFonts w:eastAsiaTheme="minorEastAsia"/>
          <w:sz w:val="24"/>
        </w:rPr>
        <w:t>根据2018年和2019年湘阴县环境空气质量公告中湘阴县环境空气质量数据可知，湘阴县PM</w:t>
      </w:r>
      <w:r>
        <w:rPr>
          <w:rFonts w:eastAsiaTheme="minorEastAsia"/>
          <w:sz w:val="24"/>
          <w:vertAlign w:val="subscript"/>
        </w:rPr>
        <w:t>10</w:t>
      </w:r>
      <w:r>
        <w:rPr>
          <w:rFonts w:eastAsiaTheme="minorEastAsia"/>
          <w:sz w:val="24"/>
        </w:rPr>
        <w:t>、SO</w:t>
      </w:r>
      <w:r>
        <w:rPr>
          <w:rFonts w:eastAsiaTheme="minorEastAsia"/>
          <w:sz w:val="24"/>
          <w:vertAlign w:val="subscript"/>
        </w:rPr>
        <w:t>2</w:t>
      </w:r>
      <w:r>
        <w:rPr>
          <w:rFonts w:eastAsiaTheme="minorEastAsia"/>
          <w:sz w:val="24"/>
        </w:rPr>
        <w:t>、NO</w:t>
      </w:r>
      <w:r>
        <w:rPr>
          <w:rFonts w:eastAsiaTheme="minorEastAsia"/>
          <w:sz w:val="24"/>
          <w:vertAlign w:val="subscript"/>
        </w:rPr>
        <w:t>2</w:t>
      </w:r>
      <w:r>
        <w:rPr>
          <w:rFonts w:eastAsiaTheme="minorEastAsia"/>
          <w:sz w:val="24"/>
        </w:rPr>
        <w:t>平均质量浓度和CO 95百分数日平均质量浓度、O</w:t>
      </w:r>
      <w:r>
        <w:rPr>
          <w:rFonts w:eastAsiaTheme="minorEastAsia"/>
          <w:sz w:val="24"/>
          <w:vertAlign w:val="subscript"/>
        </w:rPr>
        <w:t>3</w:t>
      </w:r>
      <w:r>
        <w:rPr>
          <w:rFonts w:eastAsiaTheme="minorEastAsia"/>
          <w:sz w:val="24"/>
        </w:rPr>
        <w:t xml:space="preserve"> 90百分位数最大8小时平均质量浓度可达到《环境空气质量标准》（GB3095-2012）中二级标准。PM</w:t>
      </w:r>
      <w:r>
        <w:rPr>
          <w:rFonts w:eastAsiaTheme="minorEastAsia"/>
          <w:sz w:val="24"/>
          <w:vertAlign w:val="subscript"/>
        </w:rPr>
        <w:t>2.5</w:t>
      </w:r>
      <w:r>
        <w:rPr>
          <w:rFonts w:eastAsiaTheme="minorEastAsia"/>
          <w:sz w:val="24"/>
        </w:rPr>
        <w:t>年平均质量浓度尚未达到《环境空气质量标准》（GB3095-2012）中的二级标准，由此可知，项目所在区域为环境空气质量不达标区。但2018年PM</w:t>
      </w:r>
      <w:r>
        <w:rPr>
          <w:rFonts w:eastAsiaTheme="minorEastAsia"/>
          <w:sz w:val="24"/>
          <w:vertAlign w:val="subscript"/>
        </w:rPr>
        <w:t>2.5</w:t>
      </w:r>
      <w:r>
        <w:rPr>
          <w:rFonts w:eastAsiaTheme="minorEastAsia"/>
          <w:sz w:val="24"/>
        </w:rPr>
        <w:t>年平均浓度超标倍数为0.14，2019年PM</w:t>
      </w:r>
      <w:r>
        <w:rPr>
          <w:rFonts w:eastAsiaTheme="minorEastAsia"/>
          <w:sz w:val="24"/>
          <w:vertAlign w:val="subscript"/>
        </w:rPr>
        <w:t>2.5</w:t>
      </w:r>
      <w:r>
        <w:rPr>
          <w:rFonts w:eastAsiaTheme="minorEastAsia"/>
          <w:sz w:val="24"/>
        </w:rPr>
        <w:t>年平均浓度超标倍数0.12，由此可知湘阴县环境空气质量正在逐步改善。湘阴县可进一步采取产业和能源结构调整措施、大气污染治理的措施等一系列措施，逐步改善湘阴县环境空气质量。</w:t>
      </w:r>
    </w:p>
    <w:p>
      <w:pPr>
        <w:snapToGrid w:val="0"/>
        <w:spacing w:line="360" w:lineRule="auto"/>
        <w:ind w:firstLine="556" w:firstLineChars="232"/>
        <w:rPr>
          <w:rFonts w:eastAsiaTheme="minorEastAsia"/>
          <w:sz w:val="24"/>
        </w:rPr>
      </w:pPr>
      <w:r>
        <w:rPr>
          <w:rFonts w:eastAsiaTheme="minorEastAsia"/>
          <w:sz w:val="24"/>
        </w:rPr>
        <w:t>根据湖南谱实检测技术有限公司2020年11月18日~11月24日对现有项目所在地以及拟建项目所在地分别进行了环境空气监测，监测结果表明，</w:t>
      </w:r>
      <w:r>
        <w:rPr>
          <w:rFonts w:eastAsiaTheme="minorEastAsia"/>
          <w:bCs/>
          <w:sz w:val="24"/>
        </w:rPr>
        <w:t>本项目所在区域特征因子：硫化氢、氨满足《环境影响评价技术导则大气环境》(HJ2.2-2018)附录D限值要求。</w:t>
      </w:r>
    </w:p>
    <w:p>
      <w:pPr>
        <w:snapToGrid w:val="0"/>
        <w:spacing w:line="360" w:lineRule="auto"/>
        <w:ind w:firstLine="480" w:firstLineChars="200"/>
        <w:rPr>
          <w:rFonts w:eastAsiaTheme="minorEastAsia"/>
          <w:bCs/>
          <w:sz w:val="24"/>
        </w:rPr>
      </w:pPr>
      <w:r>
        <w:rPr>
          <w:rFonts w:eastAsiaTheme="minorEastAsia"/>
          <w:bCs/>
          <w:sz w:val="24"/>
        </w:rPr>
        <w:t>4、声环境</w:t>
      </w:r>
    </w:p>
    <w:p>
      <w:pPr>
        <w:snapToGrid w:val="0"/>
        <w:spacing w:line="360" w:lineRule="auto"/>
        <w:ind w:firstLine="480" w:firstLineChars="200"/>
        <w:rPr>
          <w:rFonts w:eastAsiaTheme="minorEastAsia"/>
          <w:sz w:val="24"/>
        </w:rPr>
      </w:pPr>
      <w:r>
        <w:rPr>
          <w:rFonts w:eastAsiaTheme="minorEastAsia"/>
          <w:sz w:val="24"/>
        </w:rPr>
        <w:t>根据湖南谱实检测技术有限公司2020年11月18日~11月19日对周边厂界及敏感点进行的声环境监测数据，项目所在地及周边敏感点能满足《声环境质量标准》（GB3096-2008）中2类标准要求。</w:t>
      </w:r>
    </w:p>
    <w:p>
      <w:pPr>
        <w:pStyle w:val="3"/>
        <w:snapToGrid w:val="0"/>
        <w:spacing w:before="0" w:after="0" w:line="360" w:lineRule="auto"/>
        <w:rPr>
          <w:rFonts w:ascii="Times New Roman" w:hAnsi="Times New Roman" w:eastAsiaTheme="minorEastAsia"/>
          <w:kern w:val="0"/>
          <w:sz w:val="28"/>
        </w:rPr>
      </w:pPr>
      <w:bookmarkStart w:id="240" w:name="_Toc61026646"/>
      <w:r>
        <w:rPr>
          <w:rFonts w:ascii="Times New Roman" w:hAnsi="Times New Roman" w:eastAsiaTheme="minorEastAsia"/>
          <w:kern w:val="0"/>
          <w:sz w:val="28"/>
        </w:rPr>
        <w:t>11.4 环境影响分析</w:t>
      </w:r>
      <w:bookmarkEnd w:id="239"/>
      <w:r>
        <w:rPr>
          <w:rFonts w:ascii="Times New Roman" w:hAnsi="Times New Roman" w:eastAsiaTheme="minorEastAsia"/>
          <w:kern w:val="0"/>
          <w:sz w:val="28"/>
        </w:rPr>
        <w:t>及保护措施</w:t>
      </w:r>
      <w:bookmarkEnd w:id="240"/>
    </w:p>
    <w:p>
      <w:pPr>
        <w:pStyle w:val="113"/>
        <w:snapToGrid w:val="0"/>
        <w:spacing w:line="360" w:lineRule="auto"/>
        <w:rPr>
          <w:rFonts w:ascii="Times New Roman" w:hAnsi="Times New Roman" w:eastAsiaTheme="minorEastAsia"/>
          <w:kern w:val="0"/>
        </w:rPr>
      </w:pPr>
      <w:r>
        <w:rPr>
          <w:rFonts w:ascii="Times New Roman" w:hAnsi="Times New Roman" w:eastAsiaTheme="minorEastAsia"/>
          <w:kern w:val="0"/>
        </w:rPr>
        <w:t>1、废水</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食堂废水经隔油预处理后排入化粪池，与其他污水一同处理；检验室酸碱废水经预处理槽中和预处理，含氰废水采用预处理槽碱式氯化法预处理，检验科生化标本清洗废水经84消毒液（次氯酸钠）预处理后，排入污水处理站；检验室产生的少量含重金属废水在检验科废液桶内收集作为危废交有资质单位处理；口腔科漱口废水经84消毒液（次氯酸钠）消毒后排入污水处理站。医院综合废水经污水处理站处理达标后，进入湘阴县第一污水处理厂最终处理，最终排入湘江。本项目产生的各类废水经妥善处理后，对周边水环境影响较小。</w:t>
      </w:r>
    </w:p>
    <w:p>
      <w:pPr>
        <w:widowControl/>
        <w:shd w:val="clear" w:color="auto" w:fill="FFFFFF"/>
        <w:snapToGrid w:val="0"/>
        <w:spacing w:line="360" w:lineRule="auto"/>
        <w:ind w:firstLine="480" w:firstLineChars="200"/>
        <w:rPr>
          <w:rFonts w:eastAsiaTheme="minorEastAsia"/>
          <w:sz w:val="24"/>
        </w:rPr>
      </w:pPr>
      <w:r>
        <w:rPr>
          <w:rFonts w:eastAsiaTheme="minorEastAsia"/>
          <w:sz w:val="24"/>
        </w:rPr>
        <w:t>2、废气</w:t>
      </w:r>
    </w:p>
    <w:p>
      <w:pPr>
        <w:pStyle w:val="113"/>
        <w:snapToGrid w:val="0"/>
        <w:spacing w:line="360" w:lineRule="auto"/>
        <w:rPr>
          <w:rFonts w:ascii="Times New Roman" w:hAnsi="Times New Roman" w:eastAsiaTheme="minorEastAsia"/>
        </w:rPr>
      </w:pPr>
      <w:r>
        <w:rPr>
          <w:rFonts w:ascii="Times New Roman" w:hAnsi="Times New Roman" w:eastAsiaTheme="minorEastAsia"/>
        </w:rPr>
        <w:t>污水处理站各反应池均为地下式结构且均进行加盖密闭处理</w:t>
      </w:r>
      <w:r>
        <w:rPr>
          <w:rFonts w:hint="eastAsia" w:ascii="Times New Roman" w:hAnsi="Times New Roman" w:eastAsiaTheme="minorEastAsia"/>
        </w:rPr>
        <w:t>，废气通过收集除臭后经过15m高排气筒排放，并</w:t>
      </w:r>
      <w:r>
        <w:rPr>
          <w:rFonts w:ascii="Times New Roman" w:hAnsi="Times New Roman" w:eastAsiaTheme="minorEastAsia"/>
        </w:rPr>
        <w:t>要求建设单位适时喷洒除臭剂、加强通风；食堂油烟废气由集气罩收集，经静电油烟净化器处理后，引至食堂楼顶排放；柴油发电机废气进入门诊楼预留的独立排烟竖井至楼顶高空排放。项目废气在采取对应的废气防治措施后，废气对周边环境空气影响在环境可接受范围内。</w:t>
      </w:r>
    </w:p>
    <w:p>
      <w:pPr>
        <w:pStyle w:val="113"/>
        <w:snapToGrid w:val="0"/>
        <w:spacing w:line="360" w:lineRule="auto"/>
        <w:rPr>
          <w:rFonts w:ascii="Times New Roman" w:hAnsi="Times New Roman" w:eastAsiaTheme="minorEastAsia"/>
        </w:rPr>
      </w:pPr>
      <w:r>
        <w:rPr>
          <w:rFonts w:ascii="Times New Roman" w:hAnsi="Times New Roman" w:eastAsiaTheme="minorEastAsia"/>
        </w:rPr>
        <w:t>3、噪声</w:t>
      </w:r>
    </w:p>
    <w:p>
      <w:pPr>
        <w:pStyle w:val="113"/>
        <w:snapToGrid w:val="0"/>
        <w:spacing w:line="360" w:lineRule="auto"/>
        <w:rPr>
          <w:rFonts w:ascii="Times New Roman" w:hAnsi="Times New Roman" w:eastAsiaTheme="minorEastAsia"/>
        </w:rPr>
      </w:pPr>
      <w:r>
        <w:rPr>
          <w:rFonts w:ascii="Times New Roman" w:hAnsi="Times New Roman" w:eastAsiaTheme="minorEastAsia"/>
        </w:rPr>
        <w:t>冷水机、水泵、风机、柴油发电机、锅炉等动力设备均布置在地下层，利用建筑墙体进行隔声；柴油发电机安装于地下一层发电机房内，电机尾气安装消声器。经过采取以上措施后，预计项目场界噪声能够满足《工业企业厂界环境噪声排放标准》（GB12348－2008）中的2类标准要求，对周边影响较小。</w:t>
      </w:r>
    </w:p>
    <w:p>
      <w:pPr>
        <w:pStyle w:val="113"/>
        <w:snapToGrid w:val="0"/>
        <w:spacing w:line="360" w:lineRule="auto"/>
        <w:rPr>
          <w:rFonts w:ascii="Times New Roman" w:hAnsi="Times New Roman" w:eastAsiaTheme="minorEastAsia"/>
        </w:rPr>
      </w:pPr>
      <w:r>
        <w:rPr>
          <w:rFonts w:ascii="Times New Roman" w:hAnsi="Times New Roman" w:eastAsiaTheme="minorEastAsia"/>
        </w:rPr>
        <w:t>4、固体废物</w:t>
      </w:r>
    </w:p>
    <w:p>
      <w:pPr>
        <w:pStyle w:val="113"/>
        <w:snapToGrid w:val="0"/>
        <w:spacing w:line="360" w:lineRule="auto"/>
        <w:rPr>
          <w:rFonts w:ascii="Times New Roman" w:hAnsi="Times New Roman" w:eastAsiaTheme="minorEastAsia"/>
          <w:kern w:val="0"/>
        </w:rPr>
      </w:pPr>
      <w:r>
        <w:rPr>
          <w:rFonts w:ascii="Times New Roman" w:hAnsi="Times New Roman" w:eastAsiaTheme="minorEastAsia"/>
          <w:kern w:val="0"/>
        </w:rPr>
        <w:t>生活垃圾统一收集至地下室生活垃圾暂存间，然后由环卫部门清运处理；餐厨垃圾严格按照相关要求进行处置，用专门容器收集，交有资质单位回收处理；废水处理污泥经采用石灰消毒后，采用防渗漏的危废收集桶密封储存，储存时间不超过48h，及时交由有资质单位处置。在采取上述措施处理后，项目产生的固体废物对周边环境影响较小，措施可行。</w:t>
      </w:r>
    </w:p>
    <w:p>
      <w:pPr>
        <w:pStyle w:val="3"/>
        <w:snapToGrid w:val="0"/>
        <w:spacing w:before="0" w:after="0" w:line="360" w:lineRule="auto"/>
        <w:rPr>
          <w:rFonts w:ascii="Times New Roman" w:hAnsi="Times New Roman" w:eastAsiaTheme="minorEastAsia"/>
          <w:kern w:val="0"/>
          <w:sz w:val="28"/>
        </w:rPr>
      </w:pPr>
      <w:bookmarkStart w:id="241" w:name="_Toc11166010"/>
      <w:bookmarkStart w:id="242" w:name="_Toc61026647"/>
      <w:r>
        <w:rPr>
          <w:rFonts w:ascii="Times New Roman" w:hAnsi="Times New Roman" w:eastAsiaTheme="minorEastAsia"/>
          <w:kern w:val="0"/>
          <w:sz w:val="28"/>
        </w:rPr>
        <w:t>11.5 公众参与</w:t>
      </w:r>
      <w:bookmarkEnd w:id="241"/>
      <w:bookmarkEnd w:id="242"/>
    </w:p>
    <w:p>
      <w:pPr>
        <w:pStyle w:val="113"/>
        <w:snapToGrid w:val="0"/>
        <w:spacing w:line="360" w:lineRule="auto"/>
        <w:rPr>
          <w:rFonts w:ascii="Times New Roman" w:hAnsi="Times New Roman" w:eastAsiaTheme="minorEastAsia"/>
          <w:kern w:val="0"/>
        </w:rPr>
      </w:pPr>
      <w:r>
        <w:rPr>
          <w:rFonts w:ascii="Times New Roman" w:hAnsi="Times New Roman" w:eastAsiaTheme="minorEastAsia"/>
          <w:kern w:val="0"/>
        </w:rPr>
        <w:t>建设单位于20</w:t>
      </w:r>
      <w:r>
        <w:rPr>
          <w:rFonts w:hint="eastAsia" w:ascii="Times New Roman" w:hAnsi="Times New Roman" w:eastAsiaTheme="minorEastAsia"/>
          <w:kern w:val="0"/>
        </w:rPr>
        <w:t>20</w:t>
      </w:r>
      <w:r>
        <w:rPr>
          <w:rFonts w:ascii="Times New Roman" w:hAnsi="Times New Roman" w:eastAsiaTheme="minorEastAsia"/>
          <w:kern w:val="0"/>
        </w:rPr>
        <w:t>年</w:t>
      </w:r>
      <w:r>
        <w:rPr>
          <w:rFonts w:hint="eastAsia" w:ascii="Times New Roman" w:hAnsi="Times New Roman" w:eastAsiaTheme="minorEastAsia"/>
          <w:kern w:val="0"/>
        </w:rPr>
        <w:t>11</w:t>
      </w:r>
      <w:r>
        <w:rPr>
          <w:rFonts w:ascii="Times New Roman" w:hAnsi="Times New Roman" w:eastAsiaTheme="minorEastAsia"/>
          <w:kern w:val="0"/>
        </w:rPr>
        <w:t>月</w:t>
      </w:r>
      <w:r>
        <w:rPr>
          <w:rFonts w:hint="eastAsia" w:ascii="Times New Roman" w:hAnsi="Times New Roman" w:eastAsiaTheme="minorEastAsia"/>
          <w:kern w:val="0"/>
        </w:rPr>
        <w:t>10</w:t>
      </w:r>
      <w:r>
        <w:rPr>
          <w:rFonts w:ascii="Times New Roman" w:hAnsi="Times New Roman" w:eastAsiaTheme="minorEastAsia"/>
          <w:kern w:val="0"/>
        </w:rPr>
        <w:t>日委托北京国环益达环保技术有限公司开展本项目环境影响评价工作；20</w:t>
      </w:r>
      <w:r>
        <w:rPr>
          <w:rFonts w:hint="eastAsia" w:ascii="Times New Roman" w:hAnsi="Times New Roman" w:eastAsiaTheme="minorEastAsia"/>
          <w:kern w:val="0"/>
        </w:rPr>
        <w:t>20</w:t>
      </w:r>
      <w:r>
        <w:rPr>
          <w:rFonts w:ascii="Times New Roman" w:hAnsi="Times New Roman" w:eastAsiaTheme="minorEastAsia"/>
          <w:kern w:val="0"/>
        </w:rPr>
        <w:t>年</w:t>
      </w:r>
      <w:bookmarkStart w:id="243" w:name="_Hlk59022676"/>
      <w:r>
        <w:rPr>
          <w:rFonts w:hint="eastAsia" w:ascii="Times New Roman" w:hAnsi="Times New Roman" w:eastAsiaTheme="minorEastAsia"/>
          <w:kern w:val="0"/>
        </w:rPr>
        <w:t>11</w:t>
      </w:r>
      <w:r>
        <w:rPr>
          <w:rFonts w:ascii="Times New Roman" w:hAnsi="Times New Roman" w:eastAsiaTheme="minorEastAsia"/>
          <w:kern w:val="0"/>
        </w:rPr>
        <w:t>月</w:t>
      </w:r>
      <w:r>
        <w:rPr>
          <w:rFonts w:hint="eastAsia" w:ascii="Times New Roman" w:hAnsi="Times New Roman" w:eastAsiaTheme="minorEastAsia"/>
          <w:kern w:val="0"/>
        </w:rPr>
        <w:t>13</w:t>
      </w:r>
      <w:r>
        <w:rPr>
          <w:rFonts w:ascii="Times New Roman" w:hAnsi="Times New Roman" w:eastAsiaTheme="minorEastAsia"/>
          <w:kern w:val="0"/>
        </w:rPr>
        <w:t>日在</w:t>
      </w:r>
      <w:r>
        <w:rPr>
          <w:rFonts w:hint="eastAsia" w:ascii="Times New Roman" w:hAnsi="Times New Roman" w:eastAsiaTheme="minorEastAsia"/>
          <w:kern w:val="0"/>
        </w:rPr>
        <w:t>湘阴县</w:t>
      </w:r>
      <w:r>
        <w:rPr>
          <w:rFonts w:ascii="Times New Roman" w:hAnsi="Times New Roman" w:eastAsiaTheme="minorEastAsia"/>
          <w:kern w:val="0"/>
        </w:rPr>
        <w:t>人民政府网上进行了第一次网上公示</w:t>
      </w:r>
      <w:bookmarkEnd w:id="243"/>
      <w:r>
        <w:rPr>
          <w:rFonts w:ascii="Times New Roman" w:hAnsi="Times New Roman" w:eastAsiaTheme="minorEastAsia"/>
          <w:kern w:val="0"/>
        </w:rPr>
        <w:t>；</w:t>
      </w:r>
      <w:bookmarkStart w:id="244" w:name="_Hlk59022959"/>
      <w:r>
        <w:rPr>
          <w:rFonts w:ascii="Times New Roman" w:hAnsi="Times New Roman" w:eastAsiaTheme="minorEastAsia"/>
          <w:kern w:val="0"/>
        </w:rPr>
        <w:t>20</w:t>
      </w:r>
      <w:r>
        <w:rPr>
          <w:rFonts w:hint="eastAsia" w:ascii="Times New Roman" w:hAnsi="Times New Roman" w:eastAsiaTheme="minorEastAsia"/>
          <w:kern w:val="0"/>
        </w:rPr>
        <w:t>20</w:t>
      </w:r>
      <w:r>
        <w:rPr>
          <w:rFonts w:ascii="Times New Roman" w:hAnsi="Times New Roman" w:eastAsiaTheme="minorEastAsia"/>
          <w:kern w:val="0"/>
        </w:rPr>
        <w:t>年11月</w:t>
      </w:r>
      <w:r>
        <w:rPr>
          <w:rFonts w:hint="eastAsia" w:ascii="Times New Roman" w:hAnsi="Times New Roman" w:eastAsiaTheme="minorEastAsia"/>
          <w:kern w:val="0"/>
        </w:rPr>
        <w:t>30</w:t>
      </w:r>
      <w:r>
        <w:rPr>
          <w:rFonts w:ascii="Times New Roman" w:hAnsi="Times New Roman" w:eastAsiaTheme="minorEastAsia"/>
          <w:kern w:val="0"/>
        </w:rPr>
        <w:t>日在</w:t>
      </w:r>
      <w:r>
        <w:rPr>
          <w:rFonts w:hint="eastAsia" w:ascii="Times New Roman" w:hAnsi="Times New Roman" w:eastAsiaTheme="minorEastAsia"/>
          <w:kern w:val="0"/>
        </w:rPr>
        <w:t>湘阴县</w:t>
      </w:r>
      <w:r>
        <w:rPr>
          <w:rFonts w:ascii="Times New Roman" w:hAnsi="Times New Roman" w:eastAsiaTheme="minorEastAsia"/>
          <w:kern w:val="0"/>
        </w:rPr>
        <w:t>人民政府网上进行了征求意见稿公示，并提供了报告书的下载链接</w:t>
      </w:r>
      <w:bookmarkEnd w:id="244"/>
      <w:r>
        <w:rPr>
          <w:rFonts w:ascii="Times New Roman" w:hAnsi="Times New Roman" w:eastAsiaTheme="minorEastAsia"/>
          <w:kern w:val="0"/>
        </w:rPr>
        <w:t>；20</w:t>
      </w:r>
      <w:r>
        <w:rPr>
          <w:rFonts w:hint="eastAsia" w:ascii="Times New Roman" w:hAnsi="Times New Roman" w:eastAsiaTheme="minorEastAsia"/>
          <w:kern w:val="0"/>
        </w:rPr>
        <w:t>20</w:t>
      </w:r>
      <w:r>
        <w:rPr>
          <w:rFonts w:ascii="Times New Roman" w:hAnsi="Times New Roman" w:eastAsiaTheme="minorEastAsia"/>
          <w:kern w:val="0"/>
        </w:rPr>
        <w:t>年1</w:t>
      </w:r>
      <w:r>
        <w:rPr>
          <w:rFonts w:hint="eastAsia" w:ascii="Times New Roman" w:hAnsi="Times New Roman" w:eastAsiaTheme="minorEastAsia"/>
          <w:kern w:val="0"/>
        </w:rPr>
        <w:t>2</w:t>
      </w:r>
      <w:r>
        <w:rPr>
          <w:rFonts w:ascii="Times New Roman" w:hAnsi="Times New Roman" w:eastAsiaTheme="minorEastAsia"/>
          <w:kern w:val="0"/>
        </w:rPr>
        <w:t>月8日和1</w:t>
      </w:r>
      <w:r>
        <w:rPr>
          <w:rFonts w:hint="eastAsia" w:ascii="Times New Roman" w:hAnsi="Times New Roman" w:eastAsiaTheme="minorEastAsia"/>
          <w:kern w:val="0"/>
        </w:rPr>
        <w:t>2</w:t>
      </w:r>
      <w:r>
        <w:rPr>
          <w:rFonts w:ascii="Times New Roman" w:hAnsi="Times New Roman" w:eastAsiaTheme="minorEastAsia"/>
          <w:kern w:val="0"/>
        </w:rPr>
        <w:t>月1</w:t>
      </w:r>
      <w:r>
        <w:rPr>
          <w:rFonts w:hint="eastAsia" w:ascii="Times New Roman" w:hAnsi="Times New Roman" w:eastAsiaTheme="minorEastAsia"/>
          <w:kern w:val="0"/>
        </w:rPr>
        <w:t>0</w:t>
      </w:r>
      <w:r>
        <w:rPr>
          <w:rFonts w:ascii="Times New Roman" w:hAnsi="Times New Roman" w:eastAsiaTheme="minorEastAsia"/>
          <w:kern w:val="0"/>
        </w:rPr>
        <w:t>日，在</w:t>
      </w:r>
      <w:r>
        <w:rPr>
          <w:rFonts w:hint="eastAsia" w:ascii="Times New Roman" w:hAnsi="Times New Roman" w:eastAsiaTheme="minorEastAsia"/>
          <w:kern w:val="0"/>
        </w:rPr>
        <w:t>国际商务报</w:t>
      </w:r>
      <w:r>
        <w:rPr>
          <w:rFonts w:ascii="Times New Roman" w:hAnsi="Times New Roman" w:eastAsiaTheme="minorEastAsia"/>
          <w:kern w:val="0"/>
        </w:rPr>
        <w:t>上进行了征求意见稿公示，并提供了报告书的下载链接；</w:t>
      </w:r>
      <w:r>
        <w:rPr>
          <w:rFonts w:hint="eastAsia" w:ascii="Times New Roman" w:hAnsi="Times New Roman" w:eastAsiaTheme="minorEastAsia"/>
          <w:kern w:val="0"/>
        </w:rPr>
        <w:t>2020年12月10日，在项目地附近居民区、学校等环境敏感点就本项目建设内容、报告书下载链接进行现场张贴公示。</w:t>
      </w:r>
      <w:r>
        <w:rPr>
          <w:rFonts w:ascii="Times New Roman" w:hAnsi="Times New Roman" w:eastAsiaTheme="minorEastAsia"/>
          <w:kern w:val="0"/>
        </w:rPr>
        <w:t>公示期间，未收到公众意见。具体详见《湘阴县中医院整体搬迁项目环境影响评价公众参与说明》。</w:t>
      </w:r>
    </w:p>
    <w:p>
      <w:pPr>
        <w:pStyle w:val="3"/>
        <w:snapToGrid w:val="0"/>
        <w:spacing w:before="0" w:after="0" w:line="360" w:lineRule="auto"/>
        <w:rPr>
          <w:rFonts w:ascii="Times New Roman" w:hAnsi="Times New Roman" w:eastAsiaTheme="minorEastAsia"/>
          <w:kern w:val="0"/>
          <w:sz w:val="28"/>
        </w:rPr>
      </w:pPr>
      <w:bookmarkStart w:id="245" w:name="_Toc61026648"/>
      <w:r>
        <w:rPr>
          <w:rFonts w:ascii="Times New Roman" w:hAnsi="Times New Roman" w:eastAsiaTheme="minorEastAsia"/>
          <w:kern w:val="0"/>
          <w:sz w:val="28"/>
        </w:rPr>
        <w:t>11.6 评价结论</w:t>
      </w:r>
      <w:bookmarkEnd w:id="245"/>
    </w:p>
    <w:p>
      <w:pPr>
        <w:snapToGrid w:val="0"/>
        <w:spacing w:line="360" w:lineRule="auto"/>
        <w:ind w:firstLine="480" w:firstLineChars="200"/>
        <w:rPr>
          <w:bCs/>
          <w:sz w:val="24"/>
        </w:rPr>
      </w:pPr>
      <w:r>
        <w:rPr>
          <w:bCs/>
          <w:sz w:val="24"/>
        </w:rPr>
        <w:t>本项目为医疗机构的建设，它的建成可大大提升湘阴县公众医疗水平，缓解地区就医紧张的现状，为社会公众提供健康保障，因此项目的建设具有必要性和紧迫性。项目采用的治理技术对污染物进行了有效控制，使其排放达到国家所确定的标准，且不影响当地的环境功能。因此，从环境保护的角度出发，本评价认为在建设单位加强环境管理、做好污染控制措施前提下，本项目的建设是可行的。</w:t>
      </w:r>
    </w:p>
    <w:p>
      <w:pPr>
        <w:pStyle w:val="113"/>
        <w:snapToGrid w:val="0"/>
        <w:spacing w:line="360" w:lineRule="auto"/>
        <w:rPr>
          <w:rFonts w:ascii="Times New Roman" w:hAnsi="Times New Roman" w:eastAsiaTheme="minorEastAsia"/>
          <w:kern w:val="0"/>
        </w:rPr>
      </w:pPr>
    </w:p>
    <w:sectPr>
      <w:pgSz w:w="11906" w:h="16838"/>
      <w:pgMar w:top="1418" w:right="1304" w:bottom="1418" w:left="1474" w:header="851" w:footer="68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laska">
    <w:altName w:val="Tahoma"/>
    <w:panose1 w:val="00000000000000000000"/>
    <w:charset w:val="00"/>
    <w:family w:val="auto"/>
    <w:pitch w:val="default"/>
    <w:sig w:usb0="00000000" w:usb1="00000000" w:usb2="00000000" w:usb3="00000000" w:csb0="00000011"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swiss"/>
    <w:pitch w:val="default"/>
    <w:sig w:usb0="E1002EFF" w:usb1="C000605B" w:usb2="00000029" w:usb3="00000000" w:csb0="200101FF" w:csb1="20280000"/>
  </w:font>
  <w:font w:name="汉鼎简书宋">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imesNewRoman">
    <w:altName w:val="MS Gothic"/>
    <w:panose1 w:val="00000000000000000000"/>
    <w:charset w:val="80"/>
    <w:family w:val="auto"/>
    <w:pitch w:val="default"/>
    <w:sig w:usb0="00000000" w:usb1="00000000" w:usb2="00000010" w:usb3="00000000" w:csb0="00020000" w:csb1="00000000"/>
  </w:font>
  <w:font w:name="TimesNewRomanPSMT">
    <w:altName w:val="Times New Roman"/>
    <w:panose1 w:val="00000000000000000000"/>
    <w:charset w:val="00"/>
    <w:family w:val="roman"/>
    <w:pitch w:val="default"/>
    <w:sig w:usb0="00000000" w:usb1="00000000" w:usb2="00000010" w:usb3="00000000" w:csb0="00020001" w:csb1="00000000"/>
  </w:font>
  <w:font w:name="Arial Unicode MS">
    <w:altName w:val="宋体"/>
    <w:panose1 w:val="020B0604020202020204"/>
    <w:charset w:val="86"/>
    <w:family w:val="swiss"/>
    <w:pitch w:val="default"/>
    <w:sig w:usb0="00000000" w:usb1="00000000" w:usb2="0000003F" w:usb3="00000000" w:csb0="003F01FF" w:csb1="00000000"/>
  </w:font>
  <w:font w:name="Arial Black">
    <w:panose1 w:val="020B0A04020102020204"/>
    <w:charset w:val="00"/>
    <w:family w:val="swiss"/>
    <w:pitch w:val="default"/>
    <w:sig w:usb0="A00002AF" w:usb1="400078FB" w:usb2="00000000" w:usb3="00000000" w:csb0="6000009F" w:csb1="DFD70000"/>
  </w:font>
  <w:font w:name="方正宋三简体">
    <w:altName w:val="宋体"/>
    <w:panose1 w:val="00000000000000000000"/>
    <w:charset w:val="86"/>
    <w:family w:val="auto"/>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新宋体">
    <w:panose1 w:val="02010609030101010101"/>
    <w:charset w:val="86"/>
    <w:family w:val="modern"/>
    <w:pitch w:val="default"/>
    <w:sig w:usb0="00000283" w:usb1="288F0000" w:usb2="00000006" w:usb3="00000000" w:csb0="00040001" w:csb1="00000000"/>
  </w:font>
  <w:font w:name="隶书">
    <w:panose1 w:val="0201050906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Wingdings 2">
    <w:panose1 w:val="05020102010507070707"/>
    <w:charset w:val="02"/>
    <w:family w:val="roman"/>
    <w:pitch w:val="default"/>
    <w:sig w:usb0="00000000" w:usb1="00000000" w:usb2="00000000" w:usb3="00000000" w:csb0="80000000" w:csb1="0000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p>
  <w:p>
    <w:pPr>
      <w:pStyle w:val="5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separate"/>
    </w:r>
    <w:r>
      <w:rPr>
        <w:rStyle w:val="87"/>
      </w:rPr>
      <w:t>103</w:t>
    </w:r>
    <w:r>
      <w:fldChar w:fldCharType="end"/>
    </w:r>
  </w:p>
  <w:p>
    <w:pPr>
      <w:pStyle w:val="50"/>
      <w:wordWrap w:val="0"/>
      <w:ind w:firstLine="4230" w:firstLineChars="2350"/>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separate"/>
    </w:r>
    <w:r>
      <w:rPr>
        <w:rStyle w:val="87"/>
      </w:rPr>
      <w:t>138</w:t>
    </w:r>
    <w:r>
      <w:fldChar w:fldCharType="end"/>
    </w:r>
  </w:p>
  <w:p>
    <w:pPr>
      <w:pStyle w:val="5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end"/>
    </w:r>
  </w:p>
  <w:p>
    <w:pPr>
      <w:pStyle w:val="5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 PAGE </w:instrText>
    </w:r>
    <w:r>
      <w:fldChar w:fldCharType="separate"/>
    </w:r>
    <w:r>
      <w:rPr>
        <w:rStyle w:val="87"/>
      </w:rPr>
      <w:t>ii</w:t>
    </w:r>
    <w:r>
      <w:fldChar w:fldCharType="end"/>
    </w:r>
  </w:p>
  <w:p>
    <w:pPr>
      <w:pStyle w:val="5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end"/>
    </w:r>
  </w:p>
  <w:p>
    <w:pPr>
      <w:pStyle w:val="5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separate"/>
    </w:r>
    <w:r>
      <w:rPr>
        <w:rStyle w:val="87"/>
      </w:rPr>
      <w:t>7</w:t>
    </w:r>
    <w:r>
      <w:fldChar w:fldCharType="end"/>
    </w:r>
  </w:p>
  <w:p>
    <w:pPr>
      <w:pStyle w:val="5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separate"/>
    </w:r>
    <w:r>
      <w:rPr>
        <w:rStyle w:val="87"/>
      </w:rPr>
      <w:t>24</w:t>
    </w:r>
    <w:r>
      <w:fldChar w:fldCharType="end"/>
    </w:r>
  </w:p>
  <w:p>
    <w:pPr>
      <w:pStyle w:val="50"/>
      <w:wordWrap w:val="0"/>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separate"/>
    </w:r>
    <w:r>
      <w:rPr>
        <w:rStyle w:val="87"/>
      </w:rPr>
      <w:t>62</w:t>
    </w:r>
    <w:r>
      <w:fldChar w:fldCharType="end"/>
    </w:r>
  </w:p>
  <w:p>
    <w:pPr>
      <w:pStyle w:val="50"/>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framePr w:wrap="around" w:vAnchor="text" w:hAnchor="margin" w:xAlign="center" w:y="1"/>
      <w:rPr>
        <w:rStyle w:val="87"/>
      </w:rPr>
    </w:pPr>
    <w:r>
      <w:fldChar w:fldCharType="begin"/>
    </w:r>
    <w:r>
      <w:rPr>
        <w:rStyle w:val="87"/>
      </w:rPr>
      <w:instrText xml:space="preserve">PAGE  </w:instrText>
    </w:r>
    <w:r>
      <w:fldChar w:fldCharType="end"/>
    </w:r>
  </w:p>
  <w:p>
    <w:pPr>
      <w:pStyle w:val="5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Bdr>
        <w:bottom w:val="single" w:color="auto" w:sz="6" w:space="0"/>
      </w:pBdr>
      <w:tabs>
        <w:tab w:val="right" w:pos="8080"/>
        <w:tab w:val="clear" w:pos="8306"/>
      </w:tabs>
      <w:ind w:right="195" w:rightChars="93" w:firstLine="140" w:firstLineChars="78"/>
    </w:pPr>
    <w:r>
      <w:rPr>
        <w:rFonts w:hint="eastAsia"/>
      </w:rPr>
      <w:t>湘阴县中医院整体搬迁项目环境影响报告书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1687E"/>
    <w:multiLevelType w:val="multilevel"/>
    <w:tmpl w:val="1601687E"/>
    <w:lvl w:ilvl="0" w:tentative="0">
      <w:start w:val="1"/>
      <w:numFmt w:val="decimalEnclosedCircle"/>
      <w:lvlText w:val="%1"/>
      <w:lvlJc w:val="left"/>
      <w:pPr>
        <w:ind w:left="840" w:hanging="360"/>
      </w:pPr>
      <w:rPr>
        <w:rFonts w:hint="default"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4F541F04"/>
    <w:multiLevelType w:val="multilevel"/>
    <w:tmpl w:val="4F541F04"/>
    <w:lvl w:ilvl="0" w:tentative="0">
      <w:start w:val="1"/>
      <w:numFmt w:val="decimal"/>
      <w:lvlText w:val="%1"/>
      <w:lvlJc w:val="left"/>
      <w:pPr>
        <w:tabs>
          <w:tab w:val="left" w:pos="432"/>
        </w:tabs>
        <w:ind w:left="432" w:hanging="432"/>
      </w:pPr>
      <w:rPr>
        <w:rFonts w:hint="default"/>
      </w:rPr>
    </w:lvl>
    <w:lvl w:ilvl="1" w:tentative="0">
      <w:start w:val="1"/>
      <w:numFmt w:val="decimal"/>
      <w:lvlText w:val="%1.%2"/>
      <w:lvlJc w:val="left"/>
      <w:pPr>
        <w:tabs>
          <w:tab w:val="left" w:pos="567"/>
        </w:tabs>
        <w:ind w:left="425" w:hanging="425"/>
      </w:pPr>
      <w:rPr>
        <w:rFonts w:hint="eastAsia"/>
      </w:rPr>
    </w:lvl>
    <w:lvl w:ilvl="2" w:tentative="0">
      <w:start w:val="1"/>
      <w:numFmt w:val="decimal"/>
      <w:lvlText w:val="%1.%2.%3"/>
      <w:lvlJc w:val="left"/>
      <w:pPr>
        <w:tabs>
          <w:tab w:val="left" w:pos="1800"/>
        </w:tabs>
        <w:ind w:left="1800" w:hanging="720"/>
      </w:pPr>
      <w:rPr>
        <w:rFonts w:hint="eastAsia"/>
        <w:color w:val="auto"/>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20D"/>
    <w:rsid w:val="000007EC"/>
    <w:rsid w:val="00000EEF"/>
    <w:rsid w:val="000011A7"/>
    <w:rsid w:val="000012F1"/>
    <w:rsid w:val="00001367"/>
    <w:rsid w:val="000017CE"/>
    <w:rsid w:val="00001C47"/>
    <w:rsid w:val="00001F48"/>
    <w:rsid w:val="00002962"/>
    <w:rsid w:val="00003173"/>
    <w:rsid w:val="0000336A"/>
    <w:rsid w:val="00003631"/>
    <w:rsid w:val="00003999"/>
    <w:rsid w:val="00003CA9"/>
    <w:rsid w:val="00003D27"/>
    <w:rsid w:val="00003E00"/>
    <w:rsid w:val="00003FFC"/>
    <w:rsid w:val="00004297"/>
    <w:rsid w:val="0000431E"/>
    <w:rsid w:val="00004A5D"/>
    <w:rsid w:val="00004BD6"/>
    <w:rsid w:val="00004E04"/>
    <w:rsid w:val="0000500F"/>
    <w:rsid w:val="0000548E"/>
    <w:rsid w:val="00005760"/>
    <w:rsid w:val="00005BEC"/>
    <w:rsid w:val="0000658C"/>
    <w:rsid w:val="00006630"/>
    <w:rsid w:val="000069AC"/>
    <w:rsid w:val="00006B7E"/>
    <w:rsid w:val="00007255"/>
    <w:rsid w:val="0000747C"/>
    <w:rsid w:val="00007649"/>
    <w:rsid w:val="00007C68"/>
    <w:rsid w:val="00007DBF"/>
    <w:rsid w:val="0001007E"/>
    <w:rsid w:val="0001025D"/>
    <w:rsid w:val="00010A3A"/>
    <w:rsid w:val="00010AC1"/>
    <w:rsid w:val="000112A1"/>
    <w:rsid w:val="00011EFE"/>
    <w:rsid w:val="000125B1"/>
    <w:rsid w:val="00012828"/>
    <w:rsid w:val="00012BF2"/>
    <w:rsid w:val="00012E18"/>
    <w:rsid w:val="00013126"/>
    <w:rsid w:val="00013187"/>
    <w:rsid w:val="000139C2"/>
    <w:rsid w:val="00014596"/>
    <w:rsid w:val="00015237"/>
    <w:rsid w:val="00015446"/>
    <w:rsid w:val="00015903"/>
    <w:rsid w:val="00015CCC"/>
    <w:rsid w:val="0001603A"/>
    <w:rsid w:val="000160ED"/>
    <w:rsid w:val="00017020"/>
    <w:rsid w:val="000171C6"/>
    <w:rsid w:val="00020071"/>
    <w:rsid w:val="00020563"/>
    <w:rsid w:val="000206B3"/>
    <w:rsid w:val="000207A1"/>
    <w:rsid w:val="0002101D"/>
    <w:rsid w:val="00021428"/>
    <w:rsid w:val="000215F6"/>
    <w:rsid w:val="0002192B"/>
    <w:rsid w:val="0002269D"/>
    <w:rsid w:val="000247DF"/>
    <w:rsid w:val="0002516A"/>
    <w:rsid w:val="000252A5"/>
    <w:rsid w:val="000254D9"/>
    <w:rsid w:val="00025771"/>
    <w:rsid w:val="0002614D"/>
    <w:rsid w:val="000268B1"/>
    <w:rsid w:val="000274C9"/>
    <w:rsid w:val="000278A5"/>
    <w:rsid w:val="00027F22"/>
    <w:rsid w:val="00030269"/>
    <w:rsid w:val="00030518"/>
    <w:rsid w:val="00030EEE"/>
    <w:rsid w:val="00031090"/>
    <w:rsid w:val="0003122F"/>
    <w:rsid w:val="0003159D"/>
    <w:rsid w:val="000319B6"/>
    <w:rsid w:val="000319D1"/>
    <w:rsid w:val="000320A9"/>
    <w:rsid w:val="0003228F"/>
    <w:rsid w:val="0003242F"/>
    <w:rsid w:val="00032456"/>
    <w:rsid w:val="0003268E"/>
    <w:rsid w:val="00032A55"/>
    <w:rsid w:val="000331D4"/>
    <w:rsid w:val="0003393D"/>
    <w:rsid w:val="00033C7E"/>
    <w:rsid w:val="00033E32"/>
    <w:rsid w:val="00033EB2"/>
    <w:rsid w:val="000343BC"/>
    <w:rsid w:val="00034948"/>
    <w:rsid w:val="000349ED"/>
    <w:rsid w:val="00034C47"/>
    <w:rsid w:val="0003547C"/>
    <w:rsid w:val="000354A6"/>
    <w:rsid w:val="000354C8"/>
    <w:rsid w:val="00035569"/>
    <w:rsid w:val="0003557F"/>
    <w:rsid w:val="000361B8"/>
    <w:rsid w:val="0003636F"/>
    <w:rsid w:val="00037860"/>
    <w:rsid w:val="00040139"/>
    <w:rsid w:val="00040D05"/>
    <w:rsid w:val="00040D1C"/>
    <w:rsid w:val="00041816"/>
    <w:rsid w:val="00041912"/>
    <w:rsid w:val="00041B17"/>
    <w:rsid w:val="00041BB2"/>
    <w:rsid w:val="00041F00"/>
    <w:rsid w:val="00042693"/>
    <w:rsid w:val="0004289F"/>
    <w:rsid w:val="00042BE4"/>
    <w:rsid w:val="00042CB9"/>
    <w:rsid w:val="00043005"/>
    <w:rsid w:val="00043C7B"/>
    <w:rsid w:val="00043D6A"/>
    <w:rsid w:val="00043DE2"/>
    <w:rsid w:val="00044470"/>
    <w:rsid w:val="00044613"/>
    <w:rsid w:val="00044776"/>
    <w:rsid w:val="00044EF7"/>
    <w:rsid w:val="00044FC8"/>
    <w:rsid w:val="000453F4"/>
    <w:rsid w:val="00045A40"/>
    <w:rsid w:val="00045AD9"/>
    <w:rsid w:val="00045CD6"/>
    <w:rsid w:val="000462C6"/>
    <w:rsid w:val="0004642A"/>
    <w:rsid w:val="00046561"/>
    <w:rsid w:val="000466C0"/>
    <w:rsid w:val="000468A3"/>
    <w:rsid w:val="00046F55"/>
    <w:rsid w:val="000476A6"/>
    <w:rsid w:val="00047772"/>
    <w:rsid w:val="00047F80"/>
    <w:rsid w:val="00047F9F"/>
    <w:rsid w:val="00050197"/>
    <w:rsid w:val="00050442"/>
    <w:rsid w:val="00050768"/>
    <w:rsid w:val="0005097F"/>
    <w:rsid w:val="00050B23"/>
    <w:rsid w:val="00050F6F"/>
    <w:rsid w:val="0005156A"/>
    <w:rsid w:val="00051788"/>
    <w:rsid w:val="00051947"/>
    <w:rsid w:val="00051E38"/>
    <w:rsid w:val="00051EA7"/>
    <w:rsid w:val="00052840"/>
    <w:rsid w:val="00053298"/>
    <w:rsid w:val="000536E4"/>
    <w:rsid w:val="00053CF8"/>
    <w:rsid w:val="00054175"/>
    <w:rsid w:val="00054366"/>
    <w:rsid w:val="0005471D"/>
    <w:rsid w:val="0005494C"/>
    <w:rsid w:val="0005504E"/>
    <w:rsid w:val="00056197"/>
    <w:rsid w:val="00056C03"/>
    <w:rsid w:val="00056C17"/>
    <w:rsid w:val="00056CDB"/>
    <w:rsid w:val="00056FC6"/>
    <w:rsid w:val="0005756A"/>
    <w:rsid w:val="000578CF"/>
    <w:rsid w:val="00057E62"/>
    <w:rsid w:val="00061359"/>
    <w:rsid w:val="00061659"/>
    <w:rsid w:val="000616D6"/>
    <w:rsid w:val="00061C6F"/>
    <w:rsid w:val="0006231C"/>
    <w:rsid w:val="0006234B"/>
    <w:rsid w:val="00062461"/>
    <w:rsid w:val="00062CB4"/>
    <w:rsid w:val="0006395B"/>
    <w:rsid w:val="00063E50"/>
    <w:rsid w:val="00064508"/>
    <w:rsid w:val="0006480A"/>
    <w:rsid w:val="00064914"/>
    <w:rsid w:val="00064B0B"/>
    <w:rsid w:val="00064C3F"/>
    <w:rsid w:val="000650E4"/>
    <w:rsid w:val="00065B17"/>
    <w:rsid w:val="00065E3B"/>
    <w:rsid w:val="00066955"/>
    <w:rsid w:val="00066E34"/>
    <w:rsid w:val="00066ECB"/>
    <w:rsid w:val="00067AC3"/>
    <w:rsid w:val="00067D0C"/>
    <w:rsid w:val="00067EEB"/>
    <w:rsid w:val="00070620"/>
    <w:rsid w:val="00070722"/>
    <w:rsid w:val="00070C85"/>
    <w:rsid w:val="00070F3C"/>
    <w:rsid w:val="000713CD"/>
    <w:rsid w:val="00071A05"/>
    <w:rsid w:val="00071BB5"/>
    <w:rsid w:val="00071DD4"/>
    <w:rsid w:val="00071E09"/>
    <w:rsid w:val="00072F16"/>
    <w:rsid w:val="00072F27"/>
    <w:rsid w:val="00074505"/>
    <w:rsid w:val="00074A1F"/>
    <w:rsid w:val="000750F3"/>
    <w:rsid w:val="0007515B"/>
    <w:rsid w:val="00075425"/>
    <w:rsid w:val="00075520"/>
    <w:rsid w:val="0007578C"/>
    <w:rsid w:val="000758A0"/>
    <w:rsid w:val="00075E21"/>
    <w:rsid w:val="00075F09"/>
    <w:rsid w:val="0007635C"/>
    <w:rsid w:val="00076A19"/>
    <w:rsid w:val="000770F9"/>
    <w:rsid w:val="00077D14"/>
    <w:rsid w:val="00080052"/>
    <w:rsid w:val="000809E3"/>
    <w:rsid w:val="00080B01"/>
    <w:rsid w:val="00081339"/>
    <w:rsid w:val="000818AD"/>
    <w:rsid w:val="000819D0"/>
    <w:rsid w:val="00081FA5"/>
    <w:rsid w:val="00082269"/>
    <w:rsid w:val="00082352"/>
    <w:rsid w:val="00082454"/>
    <w:rsid w:val="00082725"/>
    <w:rsid w:val="0008342B"/>
    <w:rsid w:val="00083529"/>
    <w:rsid w:val="0008358D"/>
    <w:rsid w:val="00083949"/>
    <w:rsid w:val="00083A46"/>
    <w:rsid w:val="00084113"/>
    <w:rsid w:val="00084D88"/>
    <w:rsid w:val="000864B6"/>
    <w:rsid w:val="0008668D"/>
    <w:rsid w:val="00087645"/>
    <w:rsid w:val="00087815"/>
    <w:rsid w:val="0008791B"/>
    <w:rsid w:val="00087BF2"/>
    <w:rsid w:val="00087DFE"/>
    <w:rsid w:val="0009068A"/>
    <w:rsid w:val="00090937"/>
    <w:rsid w:val="00090B09"/>
    <w:rsid w:val="00090F9B"/>
    <w:rsid w:val="00091002"/>
    <w:rsid w:val="0009104A"/>
    <w:rsid w:val="000910B4"/>
    <w:rsid w:val="00091266"/>
    <w:rsid w:val="00091DF4"/>
    <w:rsid w:val="00092227"/>
    <w:rsid w:val="00092895"/>
    <w:rsid w:val="00093033"/>
    <w:rsid w:val="00093396"/>
    <w:rsid w:val="00093407"/>
    <w:rsid w:val="00093671"/>
    <w:rsid w:val="00093AA1"/>
    <w:rsid w:val="00093FA8"/>
    <w:rsid w:val="00094BC2"/>
    <w:rsid w:val="000954B6"/>
    <w:rsid w:val="00095833"/>
    <w:rsid w:val="0009619E"/>
    <w:rsid w:val="0009637E"/>
    <w:rsid w:val="0009728A"/>
    <w:rsid w:val="000972D3"/>
    <w:rsid w:val="000979D8"/>
    <w:rsid w:val="00097B94"/>
    <w:rsid w:val="000A01A5"/>
    <w:rsid w:val="000A08A2"/>
    <w:rsid w:val="000A0B0D"/>
    <w:rsid w:val="000A1088"/>
    <w:rsid w:val="000A11ED"/>
    <w:rsid w:val="000A120B"/>
    <w:rsid w:val="000A1765"/>
    <w:rsid w:val="000A1A53"/>
    <w:rsid w:val="000A1B83"/>
    <w:rsid w:val="000A2300"/>
    <w:rsid w:val="000A2A1C"/>
    <w:rsid w:val="000A2BC5"/>
    <w:rsid w:val="000A2E7A"/>
    <w:rsid w:val="000A30B9"/>
    <w:rsid w:val="000A30D3"/>
    <w:rsid w:val="000A3926"/>
    <w:rsid w:val="000A3C70"/>
    <w:rsid w:val="000A3CF5"/>
    <w:rsid w:val="000A3D2B"/>
    <w:rsid w:val="000A3E3F"/>
    <w:rsid w:val="000A440D"/>
    <w:rsid w:val="000A4CD6"/>
    <w:rsid w:val="000A5021"/>
    <w:rsid w:val="000A57CC"/>
    <w:rsid w:val="000A5888"/>
    <w:rsid w:val="000A5C50"/>
    <w:rsid w:val="000A5D32"/>
    <w:rsid w:val="000A64CA"/>
    <w:rsid w:val="000A651D"/>
    <w:rsid w:val="000A65CC"/>
    <w:rsid w:val="000A675E"/>
    <w:rsid w:val="000A6771"/>
    <w:rsid w:val="000A6826"/>
    <w:rsid w:val="000A6E69"/>
    <w:rsid w:val="000A740F"/>
    <w:rsid w:val="000A7637"/>
    <w:rsid w:val="000A7B38"/>
    <w:rsid w:val="000B077D"/>
    <w:rsid w:val="000B09E0"/>
    <w:rsid w:val="000B1148"/>
    <w:rsid w:val="000B1221"/>
    <w:rsid w:val="000B14B0"/>
    <w:rsid w:val="000B21A1"/>
    <w:rsid w:val="000B2A97"/>
    <w:rsid w:val="000B2CA7"/>
    <w:rsid w:val="000B2CD9"/>
    <w:rsid w:val="000B31DA"/>
    <w:rsid w:val="000B32C6"/>
    <w:rsid w:val="000B35B2"/>
    <w:rsid w:val="000B3CCD"/>
    <w:rsid w:val="000B3F91"/>
    <w:rsid w:val="000B3FE2"/>
    <w:rsid w:val="000B4098"/>
    <w:rsid w:val="000B453F"/>
    <w:rsid w:val="000B4732"/>
    <w:rsid w:val="000B477E"/>
    <w:rsid w:val="000B566F"/>
    <w:rsid w:val="000B584D"/>
    <w:rsid w:val="000B5855"/>
    <w:rsid w:val="000B5A80"/>
    <w:rsid w:val="000B5EEC"/>
    <w:rsid w:val="000B6065"/>
    <w:rsid w:val="000B6125"/>
    <w:rsid w:val="000B62E8"/>
    <w:rsid w:val="000B69FA"/>
    <w:rsid w:val="000B6A4B"/>
    <w:rsid w:val="000B6BFA"/>
    <w:rsid w:val="000B6EE9"/>
    <w:rsid w:val="000B73E6"/>
    <w:rsid w:val="000B7590"/>
    <w:rsid w:val="000C00C8"/>
    <w:rsid w:val="000C0492"/>
    <w:rsid w:val="000C0BEB"/>
    <w:rsid w:val="000C158A"/>
    <w:rsid w:val="000C2496"/>
    <w:rsid w:val="000C29EA"/>
    <w:rsid w:val="000C316A"/>
    <w:rsid w:val="000C329E"/>
    <w:rsid w:val="000C3859"/>
    <w:rsid w:val="000C4218"/>
    <w:rsid w:val="000C425D"/>
    <w:rsid w:val="000C43CC"/>
    <w:rsid w:val="000C4A8F"/>
    <w:rsid w:val="000C4FBC"/>
    <w:rsid w:val="000C5B23"/>
    <w:rsid w:val="000C6306"/>
    <w:rsid w:val="000C685C"/>
    <w:rsid w:val="000C6972"/>
    <w:rsid w:val="000C6B37"/>
    <w:rsid w:val="000C6BE0"/>
    <w:rsid w:val="000C71E6"/>
    <w:rsid w:val="000C790F"/>
    <w:rsid w:val="000C7C5B"/>
    <w:rsid w:val="000C7C66"/>
    <w:rsid w:val="000D02DC"/>
    <w:rsid w:val="000D0909"/>
    <w:rsid w:val="000D0EF4"/>
    <w:rsid w:val="000D20B3"/>
    <w:rsid w:val="000D23A2"/>
    <w:rsid w:val="000D2C3E"/>
    <w:rsid w:val="000D2D7E"/>
    <w:rsid w:val="000D32CE"/>
    <w:rsid w:val="000D33D7"/>
    <w:rsid w:val="000D3712"/>
    <w:rsid w:val="000D37D4"/>
    <w:rsid w:val="000D3FE2"/>
    <w:rsid w:val="000D4118"/>
    <w:rsid w:val="000D424E"/>
    <w:rsid w:val="000D5152"/>
    <w:rsid w:val="000D546D"/>
    <w:rsid w:val="000D55E0"/>
    <w:rsid w:val="000D5AD9"/>
    <w:rsid w:val="000D6012"/>
    <w:rsid w:val="000D6FF5"/>
    <w:rsid w:val="000D702A"/>
    <w:rsid w:val="000D7750"/>
    <w:rsid w:val="000E03C1"/>
    <w:rsid w:val="000E0935"/>
    <w:rsid w:val="000E0989"/>
    <w:rsid w:val="000E0BBE"/>
    <w:rsid w:val="000E0D56"/>
    <w:rsid w:val="000E1889"/>
    <w:rsid w:val="000E197B"/>
    <w:rsid w:val="000E1FD6"/>
    <w:rsid w:val="000E2E87"/>
    <w:rsid w:val="000E32B3"/>
    <w:rsid w:val="000E34F4"/>
    <w:rsid w:val="000E379B"/>
    <w:rsid w:val="000E3C28"/>
    <w:rsid w:val="000E3CEB"/>
    <w:rsid w:val="000E3D39"/>
    <w:rsid w:val="000E3D97"/>
    <w:rsid w:val="000E3E66"/>
    <w:rsid w:val="000E45A4"/>
    <w:rsid w:val="000E4958"/>
    <w:rsid w:val="000E506A"/>
    <w:rsid w:val="000E5FF4"/>
    <w:rsid w:val="000E625A"/>
    <w:rsid w:val="000E6405"/>
    <w:rsid w:val="000E64E8"/>
    <w:rsid w:val="000E7018"/>
    <w:rsid w:val="000E72C4"/>
    <w:rsid w:val="000E7B34"/>
    <w:rsid w:val="000E7D09"/>
    <w:rsid w:val="000E7D1C"/>
    <w:rsid w:val="000E7FD6"/>
    <w:rsid w:val="000F0414"/>
    <w:rsid w:val="000F0AD5"/>
    <w:rsid w:val="000F0BFA"/>
    <w:rsid w:val="000F0DA4"/>
    <w:rsid w:val="000F0E4C"/>
    <w:rsid w:val="000F1827"/>
    <w:rsid w:val="000F1B88"/>
    <w:rsid w:val="000F1BBD"/>
    <w:rsid w:val="000F262C"/>
    <w:rsid w:val="000F26B7"/>
    <w:rsid w:val="000F389E"/>
    <w:rsid w:val="000F3947"/>
    <w:rsid w:val="000F43A0"/>
    <w:rsid w:val="000F4482"/>
    <w:rsid w:val="000F4624"/>
    <w:rsid w:val="000F50AB"/>
    <w:rsid w:val="000F5631"/>
    <w:rsid w:val="000F5CB5"/>
    <w:rsid w:val="000F636B"/>
    <w:rsid w:val="000F6895"/>
    <w:rsid w:val="000F69F6"/>
    <w:rsid w:val="000F719A"/>
    <w:rsid w:val="000F72C1"/>
    <w:rsid w:val="000F73F4"/>
    <w:rsid w:val="000F7A25"/>
    <w:rsid w:val="001002CE"/>
    <w:rsid w:val="001009BD"/>
    <w:rsid w:val="00100F51"/>
    <w:rsid w:val="00100F82"/>
    <w:rsid w:val="0010174A"/>
    <w:rsid w:val="00101997"/>
    <w:rsid w:val="001019F5"/>
    <w:rsid w:val="00101F3F"/>
    <w:rsid w:val="00102CE1"/>
    <w:rsid w:val="00102E09"/>
    <w:rsid w:val="001033EA"/>
    <w:rsid w:val="001038FE"/>
    <w:rsid w:val="00103E93"/>
    <w:rsid w:val="00103F7B"/>
    <w:rsid w:val="00104670"/>
    <w:rsid w:val="00104D64"/>
    <w:rsid w:val="00104E3E"/>
    <w:rsid w:val="00104FE2"/>
    <w:rsid w:val="001056FA"/>
    <w:rsid w:val="00105C5F"/>
    <w:rsid w:val="00106041"/>
    <w:rsid w:val="001060C6"/>
    <w:rsid w:val="0010671F"/>
    <w:rsid w:val="00107302"/>
    <w:rsid w:val="00107830"/>
    <w:rsid w:val="0010792A"/>
    <w:rsid w:val="00107A27"/>
    <w:rsid w:val="00107D0B"/>
    <w:rsid w:val="0011034C"/>
    <w:rsid w:val="00110A6E"/>
    <w:rsid w:val="001114A6"/>
    <w:rsid w:val="0011175F"/>
    <w:rsid w:val="001117F8"/>
    <w:rsid w:val="00111D0C"/>
    <w:rsid w:val="0011347E"/>
    <w:rsid w:val="00113750"/>
    <w:rsid w:val="00114008"/>
    <w:rsid w:val="0011434C"/>
    <w:rsid w:val="00115055"/>
    <w:rsid w:val="001150EA"/>
    <w:rsid w:val="00115645"/>
    <w:rsid w:val="0011594C"/>
    <w:rsid w:val="00115D26"/>
    <w:rsid w:val="00115DFE"/>
    <w:rsid w:val="00116229"/>
    <w:rsid w:val="001164B8"/>
    <w:rsid w:val="001166D8"/>
    <w:rsid w:val="00116B25"/>
    <w:rsid w:val="00116C01"/>
    <w:rsid w:val="00116D33"/>
    <w:rsid w:val="00117117"/>
    <w:rsid w:val="00117920"/>
    <w:rsid w:val="00117B94"/>
    <w:rsid w:val="0012012A"/>
    <w:rsid w:val="001202CB"/>
    <w:rsid w:val="001203CC"/>
    <w:rsid w:val="00120695"/>
    <w:rsid w:val="00120A63"/>
    <w:rsid w:val="00120E98"/>
    <w:rsid w:val="00120F98"/>
    <w:rsid w:val="001211B1"/>
    <w:rsid w:val="001219AC"/>
    <w:rsid w:val="001225EC"/>
    <w:rsid w:val="00123009"/>
    <w:rsid w:val="0012301A"/>
    <w:rsid w:val="00123821"/>
    <w:rsid w:val="00123A5D"/>
    <w:rsid w:val="00123EBC"/>
    <w:rsid w:val="0012417C"/>
    <w:rsid w:val="00124652"/>
    <w:rsid w:val="001251B1"/>
    <w:rsid w:val="001252F8"/>
    <w:rsid w:val="0012538E"/>
    <w:rsid w:val="0012540A"/>
    <w:rsid w:val="00126150"/>
    <w:rsid w:val="0012674D"/>
    <w:rsid w:val="00126FF3"/>
    <w:rsid w:val="00127147"/>
    <w:rsid w:val="00127CBE"/>
    <w:rsid w:val="00130011"/>
    <w:rsid w:val="00130034"/>
    <w:rsid w:val="00130885"/>
    <w:rsid w:val="00130C00"/>
    <w:rsid w:val="001311CF"/>
    <w:rsid w:val="0013155E"/>
    <w:rsid w:val="00131630"/>
    <w:rsid w:val="00131885"/>
    <w:rsid w:val="001330BE"/>
    <w:rsid w:val="001334FA"/>
    <w:rsid w:val="0013417A"/>
    <w:rsid w:val="0013450C"/>
    <w:rsid w:val="001345D6"/>
    <w:rsid w:val="00134DAB"/>
    <w:rsid w:val="001351E1"/>
    <w:rsid w:val="00136791"/>
    <w:rsid w:val="00136E80"/>
    <w:rsid w:val="0013708B"/>
    <w:rsid w:val="001371D4"/>
    <w:rsid w:val="00137A2B"/>
    <w:rsid w:val="00137BF0"/>
    <w:rsid w:val="00137D12"/>
    <w:rsid w:val="00140118"/>
    <w:rsid w:val="00140E79"/>
    <w:rsid w:val="0014150E"/>
    <w:rsid w:val="00141C54"/>
    <w:rsid w:val="00141DE0"/>
    <w:rsid w:val="00141EA6"/>
    <w:rsid w:val="00141FA8"/>
    <w:rsid w:val="00142053"/>
    <w:rsid w:val="00142079"/>
    <w:rsid w:val="001423BF"/>
    <w:rsid w:val="0014358E"/>
    <w:rsid w:val="00143919"/>
    <w:rsid w:val="00143960"/>
    <w:rsid w:val="00143AE5"/>
    <w:rsid w:val="0014406B"/>
    <w:rsid w:val="001440D5"/>
    <w:rsid w:val="0014451A"/>
    <w:rsid w:val="00144552"/>
    <w:rsid w:val="00144A10"/>
    <w:rsid w:val="00144E90"/>
    <w:rsid w:val="001458D5"/>
    <w:rsid w:val="00145C24"/>
    <w:rsid w:val="00145F51"/>
    <w:rsid w:val="0014662B"/>
    <w:rsid w:val="001468F2"/>
    <w:rsid w:val="0014703C"/>
    <w:rsid w:val="001479B3"/>
    <w:rsid w:val="00147C3B"/>
    <w:rsid w:val="00147F36"/>
    <w:rsid w:val="001504A2"/>
    <w:rsid w:val="00151131"/>
    <w:rsid w:val="00151787"/>
    <w:rsid w:val="00151D5A"/>
    <w:rsid w:val="00151E71"/>
    <w:rsid w:val="00152396"/>
    <w:rsid w:val="00152CBD"/>
    <w:rsid w:val="0015304B"/>
    <w:rsid w:val="00153B5A"/>
    <w:rsid w:val="001541FA"/>
    <w:rsid w:val="0015425D"/>
    <w:rsid w:val="0015435D"/>
    <w:rsid w:val="001553A4"/>
    <w:rsid w:val="001557F8"/>
    <w:rsid w:val="0015649D"/>
    <w:rsid w:val="00156B43"/>
    <w:rsid w:val="00156E94"/>
    <w:rsid w:val="00157CF8"/>
    <w:rsid w:val="00157D5F"/>
    <w:rsid w:val="001600E3"/>
    <w:rsid w:val="001603DE"/>
    <w:rsid w:val="00161194"/>
    <w:rsid w:val="00161F69"/>
    <w:rsid w:val="001627FD"/>
    <w:rsid w:val="00162931"/>
    <w:rsid w:val="001629C7"/>
    <w:rsid w:val="00162AFF"/>
    <w:rsid w:val="00162BEA"/>
    <w:rsid w:val="00163682"/>
    <w:rsid w:val="0016376B"/>
    <w:rsid w:val="00165CE1"/>
    <w:rsid w:val="00166673"/>
    <w:rsid w:val="0016671B"/>
    <w:rsid w:val="00166A55"/>
    <w:rsid w:val="00166AB3"/>
    <w:rsid w:val="00166AD0"/>
    <w:rsid w:val="001675D7"/>
    <w:rsid w:val="001675F9"/>
    <w:rsid w:val="00167C46"/>
    <w:rsid w:val="00167E79"/>
    <w:rsid w:val="00167FB1"/>
    <w:rsid w:val="001700B8"/>
    <w:rsid w:val="001700CF"/>
    <w:rsid w:val="00170206"/>
    <w:rsid w:val="001704A0"/>
    <w:rsid w:val="00170664"/>
    <w:rsid w:val="00170AA0"/>
    <w:rsid w:val="001714E4"/>
    <w:rsid w:val="001716AA"/>
    <w:rsid w:val="0017179C"/>
    <w:rsid w:val="00171D04"/>
    <w:rsid w:val="00172665"/>
    <w:rsid w:val="00172820"/>
    <w:rsid w:val="001729EE"/>
    <w:rsid w:val="00172A27"/>
    <w:rsid w:val="00173136"/>
    <w:rsid w:val="00173510"/>
    <w:rsid w:val="001735CA"/>
    <w:rsid w:val="0017382D"/>
    <w:rsid w:val="00173852"/>
    <w:rsid w:val="00173F2A"/>
    <w:rsid w:val="00174537"/>
    <w:rsid w:val="001754FC"/>
    <w:rsid w:val="00175DE5"/>
    <w:rsid w:val="001762D7"/>
    <w:rsid w:val="00176673"/>
    <w:rsid w:val="00176770"/>
    <w:rsid w:val="001773C6"/>
    <w:rsid w:val="001800A5"/>
    <w:rsid w:val="001801FE"/>
    <w:rsid w:val="00180A0E"/>
    <w:rsid w:val="00180A84"/>
    <w:rsid w:val="00180E10"/>
    <w:rsid w:val="00180E1D"/>
    <w:rsid w:val="00180FE2"/>
    <w:rsid w:val="00181088"/>
    <w:rsid w:val="00181177"/>
    <w:rsid w:val="00181426"/>
    <w:rsid w:val="0018157E"/>
    <w:rsid w:val="00181777"/>
    <w:rsid w:val="00181BF4"/>
    <w:rsid w:val="001822CA"/>
    <w:rsid w:val="001825C2"/>
    <w:rsid w:val="00182D3D"/>
    <w:rsid w:val="00183028"/>
    <w:rsid w:val="0018356E"/>
    <w:rsid w:val="00183EA8"/>
    <w:rsid w:val="001845D0"/>
    <w:rsid w:val="00184CF4"/>
    <w:rsid w:val="00184D97"/>
    <w:rsid w:val="00184E1E"/>
    <w:rsid w:val="00185027"/>
    <w:rsid w:val="00187C18"/>
    <w:rsid w:val="00191459"/>
    <w:rsid w:val="00191475"/>
    <w:rsid w:val="001919D1"/>
    <w:rsid w:val="001921DC"/>
    <w:rsid w:val="00192576"/>
    <w:rsid w:val="00192630"/>
    <w:rsid w:val="00192B3F"/>
    <w:rsid w:val="00192C22"/>
    <w:rsid w:val="001932E6"/>
    <w:rsid w:val="00193476"/>
    <w:rsid w:val="001935EE"/>
    <w:rsid w:val="00194276"/>
    <w:rsid w:val="0019429E"/>
    <w:rsid w:val="00194525"/>
    <w:rsid w:val="00195350"/>
    <w:rsid w:val="00195885"/>
    <w:rsid w:val="00196759"/>
    <w:rsid w:val="001968A9"/>
    <w:rsid w:val="001969BB"/>
    <w:rsid w:val="00196C2A"/>
    <w:rsid w:val="001971F2"/>
    <w:rsid w:val="001978D6"/>
    <w:rsid w:val="00197F52"/>
    <w:rsid w:val="001A0322"/>
    <w:rsid w:val="001A0591"/>
    <w:rsid w:val="001A07B3"/>
    <w:rsid w:val="001A1542"/>
    <w:rsid w:val="001A192B"/>
    <w:rsid w:val="001A203C"/>
    <w:rsid w:val="001A2074"/>
    <w:rsid w:val="001A2352"/>
    <w:rsid w:val="001A35DE"/>
    <w:rsid w:val="001A3AE9"/>
    <w:rsid w:val="001A3B88"/>
    <w:rsid w:val="001A442A"/>
    <w:rsid w:val="001A4A94"/>
    <w:rsid w:val="001A4F73"/>
    <w:rsid w:val="001A5187"/>
    <w:rsid w:val="001A5360"/>
    <w:rsid w:val="001A537E"/>
    <w:rsid w:val="001A55F6"/>
    <w:rsid w:val="001A6A5A"/>
    <w:rsid w:val="001A710E"/>
    <w:rsid w:val="001A7A30"/>
    <w:rsid w:val="001B0528"/>
    <w:rsid w:val="001B0B10"/>
    <w:rsid w:val="001B0CF7"/>
    <w:rsid w:val="001B0E0E"/>
    <w:rsid w:val="001B0F3A"/>
    <w:rsid w:val="001B1404"/>
    <w:rsid w:val="001B1644"/>
    <w:rsid w:val="001B1988"/>
    <w:rsid w:val="001B1FEA"/>
    <w:rsid w:val="001B29A1"/>
    <w:rsid w:val="001B2A5B"/>
    <w:rsid w:val="001B2B63"/>
    <w:rsid w:val="001B36BD"/>
    <w:rsid w:val="001B3E94"/>
    <w:rsid w:val="001B469F"/>
    <w:rsid w:val="001B473C"/>
    <w:rsid w:val="001B509A"/>
    <w:rsid w:val="001B5643"/>
    <w:rsid w:val="001B606B"/>
    <w:rsid w:val="001B668E"/>
    <w:rsid w:val="001B6A5D"/>
    <w:rsid w:val="001B71BA"/>
    <w:rsid w:val="001B7E80"/>
    <w:rsid w:val="001C0598"/>
    <w:rsid w:val="001C0749"/>
    <w:rsid w:val="001C07A2"/>
    <w:rsid w:val="001C09B6"/>
    <w:rsid w:val="001C0A0E"/>
    <w:rsid w:val="001C0BF2"/>
    <w:rsid w:val="001C0D7F"/>
    <w:rsid w:val="001C174D"/>
    <w:rsid w:val="001C1AE7"/>
    <w:rsid w:val="001C1D07"/>
    <w:rsid w:val="001C324C"/>
    <w:rsid w:val="001C449D"/>
    <w:rsid w:val="001C4B0B"/>
    <w:rsid w:val="001C4D37"/>
    <w:rsid w:val="001C4DA7"/>
    <w:rsid w:val="001C4DA8"/>
    <w:rsid w:val="001C4F9F"/>
    <w:rsid w:val="001C51E9"/>
    <w:rsid w:val="001C54CB"/>
    <w:rsid w:val="001C55E4"/>
    <w:rsid w:val="001C60A2"/>
    <w:rsid w:val="001C641A"/>
    <w:rsid w:val="001C67D4"/>
    <w:rsid w:val="001C69F6"/>
    <w:rsid w:val="001C6DBF"/>
    <w:rsid w:val="001C71CA"/>
    <w:rsid w:val="001C7BB2"/>
    <w:rsid w:val="001D0015"/>
    <w:rsid w:val="001D0129"/>
    <w:rsid w:val="001D0315"/>
    <w:rsid w:val="001D05BB"/>
    <w:rsid w:val="001D0850"/>
    <w:rsid w:val="001D0929"/>
    <w:rsid w:val="001D0A38"/>
    <w:rsid w:val="001D1211"/>
    <w:rsid w:val="001D1401"/>
    <w:rsid w:val="001D168D"/>
    <w:rsid w:val="001D1FD4"/>
    <w:rsid w:val="001D2024"/>
    <w:rsid w:val="001D2209"/>
    <w:rsid w:val="001D2A1A"/>
    <w:rsid w:val="001D3394"/>
    <w:rsid w:val="001D45C0"/>
    <w:rsid w:val="001D4C70"/>
    <w:rsid w:val="001D5384"/>
    <w:rsid w:val="001D54AF"/>
    <w:rsid w:val="001D57FE"/>
    <w:rsid w:val="001D5AAF"/>
    <w:rsid w:val="001D682E"/>
    <w:rsid w:val="001D68B5"/>
    <w:rsid w:val="001D6B28"/>
    <w:rsid w:val="001D6C3D"/>
    <w:rsid w:val="001D6CE3"/>
    <w:rsid w:val="001D7028"/>
    <w:rsid w:val="001D7393"/>
    <w:rsid w:val="001D7525"/>
    <w:rsid w:val="001D7C99"/>
    <w:rsid w:val="001E0017"/>
    <w:rsid w:val="001E06D7"/>
    <w:rsid w:val="001E0DDF"/>
    <w:rsid w:val="001E154B"/>
    <w:rsid w:val="001E1E89"/>
    <w:rsid w:val="001E2293"/>
    <w:rsid w:val="001E266F"/>
    <w:rsid w:val="001E28E8"/>
    <w:rsid w:val="001E2BC3"/>
    <w:rsid w:val="001E397D"/>
    <w:rsid w:val="001E3D52"/>
    <w:rsid w:val="001E40E6"/>
    <w:rsid w:val="001E414F"/>
    <w:rsid w:val="001E45E9"/>
    <w:rsid w:val="001E4603"/>
    <w:rsid w:val="001E4B1B"/>
    <w:rsid w:val="001E4E10"/>
    <w:rsid w:val="001E4F3C"/>
    <w:rsid w:val="001E576B"/>
    <w:rsid w:val="001E57B6"/>
    <w:rsid w:val="001E5E23"/>
    <w:rsid w:val="001E6293"/>
    <w:rsid w:val="001E68D0"/>
    <w:rsid w:val="001E7387"/>
    <w:rsid w:val="001E79EE"/>
    <w:rsid w:val="001F016C"/>
    <w:rsid w:val="001F09F6"/>
    <w:rsid w:val="001F12AC"/>
    <w:rsid w:val="001F1590"/>
    <w:rsid w:val="001F16CD"/>
    <w:rsid w:val="001F1A33"/>
    <w:rsid w:val="001F1FE9"/>
    <w:rsid w:val="001F2083"/>
    <w:rsid w:val="001F255D"/>
    <w:rsid w:val="001F2660"/>
    <w:rsid w:val="001F2C34"/>
    <w:rsid w:val="001F37BC"/>
    <w:rsid w:val="001F3ACD"/>
    <w:rsid w:val="001F4218"/>
    <w:rsid w:val="001F427A"/>
    <w:rsid w:val="001F4476"/>
    <w:rsid w:val="001F57D6"/>
    <w:rsid w:val="001F5917"/>
    <w:rsid w:val="001F6714"/>
    <w:rsid w:val="001F6788"/>
    <w:rsid w:val="001F7089"/>
    <w:rsid w:val="001F7F54"/>
    <w:rsid w:val="00200870"/>
    <w:rsid w:val="00201461"/>
    <w:rsid w:val="002018AE"/>
    <w:rsid w:val="00201EF5"/>
    <w:rsid w:val="0020230B"/>
    <w:rsid w:val="002023C6"/>
    <w:rsid w:val="00202412"/>
    <w:rsid w:val="0020258E"/>
    <w:rsid w:val="002025EE"/>
    <w:rsid w:val="00202746"/>
    <w:rsid w:val="002028D9"/>
    <w:rsid w:val="00202960"/>
    <w:rsid w:val="00202E14"/>
    <w:rsid w:val="00202F33"/>
    <w:rsid w:val="00203025"/>
    <w:rsid w:val="00203303"/>
    <w:rsid w:val="0020367D"/>
    <w:rsid w:val="002039D3"/>
    <w:rsid w:val="0020434B"/>
    <w:rsid w:val="0020436A"/>
    <w:rsid w:val="002043A1"/>
    <w:rsid w:val="00204771"/>
    <w:rsid w:val="00204A59"/>
    <w:rsid w:val="00204C61"/>
    <w:rsid w:val="00204C70"/>
    <w:rsid w:val="00204E46"/>
    <w:rsid w:val="00204EF0"/>
    <w:rsid w:val="00204F0E"/>
    <w:rsid w:val="00204F39"/>
    <w:rsid w:val="00205387"/>
    <w:rsid w:val="0020543B"/>
    <w:rsid w:val="002059AF"/>
    <w:rsid w:val="00205F52"/>
    <w:rsid w:val="00206E72"/>
    <w:rsid w:val="0020714F"/>
    <w:rsid w:val="00207436"/>
    <w:rsid w:val="0020753E"/>
    <w:rsid w:val="00207A83"/>
    <w:rsid w:val="00210861"/>
    <w:rsid w:val="00210B4B"/>
    <w:rsid w:val="00210EFB"/>
    <w:rsid w:val="00210FEA"/>
    <w:rsid w:val="002114EC"/>
    <w:rsid w:val="00211BF3"/>
    <w:rsid w:val="00211E12"/>
    <w:rsid w:val="00211FC4"/>
    <w:rsid w:val="0021217A"/>
    <w:rsid w:val="002121DE"/>
    <w:rsid w:val="00212794"/>
    <w:rsid w:val="00212A51"/>
    <w:rsid w:val="00212D84"/>
    <w:rsid w:val="00213102"/>
    <w:rsid w:val="002131DB"/>
    <w:rsid w:val="002134E8"/>
    <w:rsid w:val="00213806"/>
    <w:rsid w:val="00213872"/>
    <w:rsid w:val="0021404D"/>
    <w:rsid w:val="00214178"/>
    <w:rsid w:val="00214531"/>
    <w:rsid w:val="002145DF"/>
    <w:rsid w:val="00214744"/>
    <w:rsid w:val="002152CD"/>
    <w:rsid w:val="002154B7"/>
    <w:rsid w:val="00215761"/>
    <w:rsid w:val="002157B1"/>
    <w:rsid w:val="0021595C"/>
    <w:rsid w:val="00215BD8"/>
    <w:rsid w:val="00215BFA"/>
    <w:rsid w:val="00216517"/>
    <w:rsid w:val="00216AC5"/>
    <w:rsid w:val="00216F40"/>
    <w:rsid w:val="0021700B"/>
    <w:rsid w:val="0021736D"/>
    <w:rsid w:val="002174C0"/>
    <w:rsid w:val="00217833"/>
    <w:rsid w:val="00217858"/>
    <w:rsid w:val="00220465"/>
    <w:rsid w:val="002208DF"/>
    <w:rsid w:val="00220C1E"/>
    <w:rsid w:val="0022105C"/>
    <w:rsid w:val="002213EC"/>
    <w:rsid w:val="00221438"/>
    <w:rsid w:val="002233F6"/>
    <w:rsid w:val="002235C7"/>
    <w:rsid w:val="002238A8"/>
    <w:rsid w:val="00223BC4"/>
    <w:rsid w:val="00223C88"/>
    <w:rsid w:val="00224D58"/>
    <w:rsid w:val="00224FC7"/>
    <w:rsid w:val="002252D3"/>
    <w:rsid w:val="002253C3"/>
    <w:rsid w:val="002263F1"/>
    <w:rsid w:val="0022643B"/>
    <w:rsid w:val="00226ED3"/>
    <w:rsid w:val="00226F64"/>
    <w:rsid w:val="00227F60"/>
    <w:rsid w:val="00227F65"/>
    <w:rsid w:val="00230071"/>
    <w:rsid w:val="00230906"/>
    <w:rsid w:val="002309FD"/>
    <w:rsid w:val="00230BB9"/>
    <w:rsid w:val="00231164"/>
    <w:rsid w:val="002315A6"/>
    <w:rsid w:val="002322D1"/>
    <w:rsid w:val="00232F84"/>
    <w:rsid w:val="00233561"/>
    <w:rsid w:val="0023368E"/>
    <w:rsid w:val="002341E6"/>
    <w:rsid w:val="00235826"/>
    <w:rsid w:val="00235B16"/>
    <w:rsid w:val="00236D50"/>
    <w:rsid w:val="002372EC"/>
    <w:rsid w:val="00237307"/>
    <w:rsid w:val="00237C31"/>
    <w:rsid w:val="002402E9"/>
    <w:rsid w:val="002403C1"/>
    <w:rsid w:val="00240CFB"/>
    <w:rsid w:val="00242E24"/>
    <w:rsid w:val="00242FA4"/>
    <w:rsid w:val="00243289"/>
    <w:rsid w:val="002436A9"/>
    <w:rsid w:val="00244420"/>
    <w:rsid w:val="0024494D"/>
    <w:rsid w:val="002449BB"/>
    <w:rsid w:val="00245CCD"/>
    <w:rsid w:val="0024614F"/>
    <w:rsid w:val="0024616B"/>
    <w:rsid w:val="002461F2"/>
    <w:rsid w:val="0024622F"/>
    <w:rsid w:val="0024653C"/>
    <w:rsid w:val="00246BFA"/>
    <w:rsid w:val="00246FD3"/>
    <w:rsid w:val="00247146"/>
    <w:rsid w:val="0024723F"/>
    <w:rsid w:val="00250DE2"/>
    <w:rsid w:val="00250E59"/>
    <w:rsid w:val="0025178F"/>
    <w:rsid w:val="00251E53"/>
    <w:rsid w:val="00251EC2"/>
    <w:rsid w:val="002521CF"/>
    <w:rsid w:val="002521D9"/>
    <w:rsid w:val="00252426"/>
    <w:rsid w:val="00252A8A"/>
    <w:rsid w:val="00252BE1"/>
    <w:rsid w:val="00252CD0"/>
    <w:rsid w:val="002532E9"/>
    <w:rsid w:val="00253837"/>
    <w:rsid w:val="00253F12"/>
    <w:rsid w:val="002541E9"/>
    <w:rsid w:val="00254338"/>
    <w:rsid w:val="002543B8"/>
    <w:rsid w:val="002544A9"/>
    <w:rsid w:val="0025465A"/>
    <w:rsid w:val="00254A36"/>
    <w:rsid w:val="00254AC1"/>
    <w:rsid w:val="00255D82"/>
    <w:rsid w:val="002561C3"/>
    <w:rsid w:val="002561DA"/>
    <w:rsid w:val="002565A3"/>
    <w:rsid w:val="0025723C"/>
    <w:rsid w:val="00257791"/>
    <w:rsid w:val="00257853"/>
    <w:rsid w:val="00257C01"/>
    <w:rsid w:val="00257C99"/>
    <w:rsid w:val="00260915"/>
    <w:rsid w:val="002612F5"/>
    <w:rsid w:val="00261690"/>
    <w:rsid w:val="002618D5"/>
    <w:rsid w:val="00261F2F"/>
    <w:rsid w:val="00262A42"/>
    <w:rsid w:val="00263A4C"/>
    <w:rsid w:val="00263AD2"/>
    <w:rsid w:val="00263D5F"/>
    <w:rsid w:val="0026429F"/>
    <w:rsid w:val="002642DC"/>
    <w:rsid w:val="00264A0C"/>
    <w:rsid w:val="00264BF7"/>
    <w:rsid w:val="002655FC"/>
    <w:rsid w:val="00265B9B"/>
    <w:rsid w:val="00265B9D"/>
    <w:rsid w:val="00265E46"/>
    <w:rsid w:val="0026603C"/>
    <w:rsid w:val="0026696B"/>
    <w:rsid w:val="00266977"/>
    <w:rsid w:val="00266AFD"/>
    <w:rsid w:val="00267192"/>
    <w:rsid w:val="002674C0"/>
    <w:rsid w:val="0027000A"/>
    <w:rsid w:val="0027003A"/>
    <w:rsid w:val="00271227"/>
    <w:rsid w:val="00271825"/>
    <w:rsid w:val="00271928"/>
    <w:rsid w:val="00271994"/>
    <w:rsid w:val="0027296D"/>
    <w:rsid w:val="00272A24"/>
    <w:rsid w:val="00272B8E"/>
    <w:rsid w:val="00272D34"/>
    <w:rsid w:val="00272FAB"/>
    <w:rsid w:val="0027336A"/>
    <w:rsid w:val="002737FE"/>
    <w:rsid w:val="00273985"/>
    <w:rsid w:val="00273BB8"/>
    <w:rsid w:val="00273BC9"/>
    <w:rsid w:val="00273E90"/>
    <w:rsid w:val="00273ED3"/>
    <w:rsid w:val="002740D8"/>
    <w:rsid w:val="002741D6"/>
    <w:rsid w:val="0027435F"/>
    <w:rsid w:val="00274538"/>
    <w:rsid w:val="002749F1"/>
    <w:rsid w:val="00274B7E"/>
    <w:rsid w:val="00275016"/>
    <w:rsid w:val="002752F0"/>
    <w:rsid w:val="002753DF"/>
    <w:rsid w:val="00275405"/>
    <w:rsid w:val="002757F8"/>
    <w:rsid w:val="00275D83"/>
    <w:rsid w:val="0027671A"/>
    <w:rsid w:val="00277400"/>
    <w:rsid w:val="0027743B"/>
    <w:rsid w:val="00277528"/>
    <w:rsid w:val="002779A8"/>
    <w:rsid w:val="00280DFB"/>
    <w:rsid w:val="00281476"/>
    <w:rsid w:val="002819AB"/>
    <w:rsid w:val="00281C64"/>
    <w:rsid w:val="00281D5F"/>
    <w:rsid w:val="00281FB0"/>
    <w:rsid w:val="002821B9"/>
    <w:rsid w:val="002822D4"/>
    <w:rsid w:val="002825AE"/>
    <w:rsid w:val="002827E9"/>
    <w:rsid w:val="00282A70"/>
    <w:rsid w:val="00282C0E"/>
    <w:rsid w:val="00282D9E"/>
    <w:rsid w:val="00283B2E"/>
    <w:rsid w:val="00283C48"/>
    <w:rsid w:val="002840EB"/>
    <w:rsid w:val="00285A50"/>
    <w:rsid w:val="00285C54"/>
    <w:rsid w:val="00285F1E"/>
    <w:rsid w:val="00286161"/>
    <w:rsid w:val="00286282"/>
    <w:rsid w:val="0028642C"/>
    <w:rsid w:val="0028653A"/>
    <w:rsid w:val="00286AC3"/>
    <w:rsid w:val="00286C63"/>
    <w:rsid w:val="00287048"/>
    <w:rsid w:val="00287263"/>
    <w:rsid w:val="00287975"/>
    <w:rsid w:val="00290616"/>
    <w:rsid w:val="00290951"/>
    <w:rsid w:val="00290AED"/>
    <w:rsid w:val="00290D6C"/>
    <w:rsid w:val="00290D6D"/>
    <w:rsid w:val="002915F6"/>
    <w:rsid w:val="0029184A"/>
    <w:rsid w:val="00292247"/>
    <w:rsid w:val="002925BC"/>
    <w:rsid w:val="00292AA6"/>
    <w:rsid w:val="00292CD3"/>
    <w:rsid w:val="00292E9E"/>
    <w:rsid w:val="00292EB1"/>
    <w:rsid w:val="0029332C"/>
    <w:rsid w:val="002936FE"/>
    <w:rsid w:val="00293B12"/>
    <w:rsid w:val="00293F74"/>
    <w:rsid w:val="0029404C"/>
    <w:rsid w:val="0029414E"/>
    <w:rsid w:val="0029527D"/>
    <w:rsid w:val="002953FA"/>
    <w:rsid w:val="00295501"/>
    <w:rsid w:val="0029571B"/>
    <w:rsid w:val="002959D8"/>
    <w:rsid w:val="00296268"/>
    <w:rsid w:val="0029629F"/>
    <w:rsid w:val="00296353"/>
    <w:rsid w:val="00296699"/>
    <w:rsid w:val="00296965"/>
    <w:rsid w:val="00296CDA"/>
    <w:rsid w:val="0029712B"/>
    <w:rsid w:val="00297306"/>
    <w:rsid w:val="0029734D"/>
    <w:rsid w:val="00297569"/>
    <w:rsid w:val="002A020B"/>
    <w:rsid w:val="002A0987"/>
    <w:rsid w:val="002A0E5D"/>
    <w:rsid w:val="002A107A"/>
    <w:rsid w:val="002A127E"/>
    <w:rsid w:val="002A1492"/>
    <w:rsid w:val="002A1AF1"/>
    <w:rsid w:val="002A22E7"/>
    <w:rsid w:val="002A38FA"/>
    <w:rsid w:val="002A39B0"/>
    <w:rsid w:val="002A3B26"/>
    <w:rsid w:val="002A4E55"/>
    <w:rsid w:val="002A4F1A"/>
    <w:rsid w:val="002A5673"/>
    <w:rsid w:val="002A5DA8"/>
    <w:rsid w:val="002A681C"/>
    <w:rsid w:val="002A6CB3"/>
    <w:rsid w:val="002A7716"/>
    <w:rsid w:val="002A7959"/>
    <w:rsid w:val="002A7A8D"/>
    <w:rsid w:val="002A7CF3"/>
    <w:rsid w:val="002B0497"/>
    <w:rsid w:val="002B069C"/>
    <w:rsid w:val="002B0C54"/>
    <w:rsid w:val="002B0F8B"/>
    <w:rsid w:val="002B157D"/>
    <w:rsid w:val="002B17E7"/>
    <w:rsid w:val="002B19D6"/>
    <w:rsid w:val="002B262F"/>
    <w:rsid w:val="002B2BF5"/>
    <w:rsid w:val="002B31D7"/>
    <w:rsid w:val="002B36A7"/>
    <w:rsid w:val="002B3ABC"/>
    <w:rsid w:val="002B3EA6"/>
    <w:rsid w:val="002B42BD"/>
    <w:rsid w:val="002B59FA"/>
    <w:rsid w:val="002B613C"/>
    <w:rsid w:val="002B647E"/>
    <w:rsid w:val="002B65BC"/>
    <w:rsid w:val="002B6635"/>
    <w:rsid w:val="002B6B71"/>
    <w:rsid w:val="002B7358"/>
    <w:rsid w:val="002B73C9"/>
    <w:rsid w:val="002B7452"/>
    <w:rsid w:val="002B7820"/>
    <w:rsid w:val="002C0B05"/>
    <w:rsid w:val="002C0CBC"/>
    <w:rsid w:val="002C0D2B"/>
    <w:rsid w:val="002C10AA"/>
    <w:rsid w:val="002C1114"/>
    <w:rsid w:val="002C12D5"/>
    <w:rsid w:val="002C1BC3"/>
    <w:rsid w:val="002C244F"/>
    <w:rsid w:val="002C2514"/>
    <w:rsid w:val="002C329D"/>
    <w:rsid w:val="002C356D"/>
    <w:rsid w:val="002C3D02"/>
    <w:rsid w:val="002C42AF"/>
    <w:rsid w:val="002C42B6"/>
    <w:rsid w:val="002C43AF"/>
    <w:rsid w:val="002C43BB"/>
    <w:rsid w:val="002C4420"/>
    <w:rsid w:val="002C4936"/>
    <w:rsid w:val="002C498A"/>
    <w:rsid w:val="002C558C"/>
    <w:rsid w:val="002C5661"/>
    <w:rsid w:val="002C56C9"/>
    <w:rsid w:val="002C5BAA"/>
    <w:rsid w:val="002C5D88"/>
    <w:rsid w:val="002C5EA8"/>
    <w:rsid w:val="002C62E4"/>
    <w:rsid w:val="002C6B76"/>
    <w:rsid w:val="002C71E0"/>
    <w:rsid w:val="002C7584"/>
    <w:rsid w:val="002C78CC"/>
    <w:rsid w:val="002D0963"/>
    <w:rsid w:val="002D0DE5"/>
    <w:rsid w:val="002D14DC"/>
    <w:rsid w:val="002D217D"/>
    <w:rsid w:val="002D2B95"/>
    <w:rsid w:val="002D2C4D"/>
    <w:rsid w:val="002D33CA"/>
    <w:rsid w:val="002D3769"/>
    <w:rsid w:val="002D380D"/>
    <w:rsid w:val="002D4642"/>
    <w:rsid w:val="002D46E1"/>
    <w:rsid w:val="002D4B97"/>
    <w:rsid w:val="002D4E0E"/>
    <w:rsid w:val="002D4EE1"/>
    <w:rsid w:val="002D585B"/>
    <w:rsid w:val="002D621F"/>
    <w:rsid w:val="002D648E"/>
    <w:rsid w:val="002D67BB"/>
    <w:rsid w:val="002D6AB6"/>
    <w:rsid w:val="002D6B85"/>
    <w:rsid w:val="002D6C07"/>
    <w:rsid w:val="002D6F71"/>
    <w:rsid w:val="002D734D"/>
    <w:rsid w:val="002D78BC"/>
    <w:rsid w:val="002D7A42"/>
    <w:rsid w:val="002E0AC2"/>
    <w:rsid w:val="002E1091"/>
    <w:rsid w:val="002E12C9"/>
    <w:rsid w:val="002E16D0"/>
    <w:rsid w:val="002E1F39"/>
    <w:rsid w:val="002E21A3"/>
    <w:rsid w:val="002E22CC"/>
    <w:rsid w:val="002E24DF"/>
    <w:rsid w:val="002E2827"/>
    <w:rsid w:val="002E301B"/>
    <w:rsid w:val="002E3693"/>
    <w:rsid w:val="002E36E7"/>
    <w:rsid w:val="002E394F"/>
    <w:rsid w:val="002E3AD0"/>
    <w:rsid w:val="002E3DED"/>
    <w:rsid w:val="002E3E4C"/>
    <w:rsid w:val="002E43B2"/>
    <w:rsid w:val="002E462D"/>
    <w:rsid w:val="002E4693"/>
    <w:rsid w:val="002E54A0"/>
    <w:rsid w:val="002E576C"/>
    <w:rsid w:val="002E5ABC"/>
    <w:rsid w:val="002E5CFB"/>
    <w:rsid w:val="002E6645"/>
    <w:rsid w:val="002E668E"/>
    <w:rsid w:val="002E6716"/>
    <w:rsid w:val="002E6E29"/>
    <w:rsid w:val="002E70C0"/>
    <w:rsid w:val="002E764A"/>
    <w:rsid w:val="002E7DA2"/>
    <w:rsid w:val="002F057D"/>
    <w:rsid w:val="002F0D46"/>
    <w:rsid w:val="002F0DB6"/>
    <w:rsid w:val="002F1734"/>
    <w:rsid w:val="002F1B99"/>
    <w:rsid w:val="002F1D61"/>
    <w:rsid w:val="002F21B6"/>
    <w:rsid w:val="002F24E8"/>
    <w:rsid w:val="002F263E"/>
    <w:rsid w:val="002F292B"/>
    <w:rsid w:val="002F2CA2"/>
    <w:rsid w:val="002F2E72"/>
    <w:rsid w:val="002F2EB1"/>
    <w:rsid w:val="002F35DE"/>
    <w:rsid w:val="002F438C"/>
    <w:rsid w:val="002F4561"/>
    <w:rsid w:val="002F46B6"/>
    <w:rsid w:val="002F49C8"/>
    <w:rsid w:val="002F4B53"/>
    <w:rsid w:val="002F506A"/>
    <w:rsid w:val="002F543C"/>
    <w:rsid w:val="002F56AB"/>
    <w:rsid w:val="002F57BC"/>
    <w:rsid w:val="002F759F"/>
    <w:rsid w:val="002F7794"/>
    <w:rsid w:val="002F7F5F"/>
    <w:rsid w:val="002F7FAE"/>
    <w:rsid w:val="002F7FB5"/>
    <w:rsid w:val="00300912"/>
    <w:rsid w:val="00300B61"/>
    <w:rsid w:val="00300BDD"/>
    <w:rsid w:val="003010B4"/>
    <w:rsid w:val="00302754"/>
    <w:rsid w:val="0030275F"/>
    <w:rsid w:val="00302CD2"/>
    <w:rsid w:val="0030329F"/>
    <w:rsid w:val="00303340"/>
    <w:rsid w:val="003033F9"/>
    <w:rsid w:val="003037AA"/>
    <w:rsid w:val="0030392D"/>
    <w:rsid w:val="00304006"/>
    <w:rsid w:val="00304581"/>
    <w:rsid w:val="003045CD"/>
    <w:rsid w:val="00304D57"/>
    <w:rsid w:val="003054F7"/>
    <w:rsid w:val="00305545"/>
    <w:rsid w:val="00305799"/>
    <w:rsid w:val="003057C2"/>
    <w:rsid w:val="003064B4"/>
    <w:rsid w:val="00306530"/>
    <w:rsid w:val="00306A01"/>
    <w:rsid w:val="00306C30"/>
    <w:rsid w:val="0031075D"/>
    <w:rsid w:val="003107D6"/>
    <w:rsid w:val="0031091A"/>
    <w:rsid w:val="003112F6"/>
    <w:rsid w:val="00311453"/>
    <w:rsid w:val="0031148B"/>
    <w:rsid w:val="003118F5"/>
    <w:rsid w:val="003119EC"/>
    <w:rsid w:val="0031226C"/>
    <w:rsid w:val="00312BA3"/>
    <w:rsid w:val="003131B2"/>
    <w:rsid w:val="00313803"/>
    <w:rsid w:val="00313CCE"/>
    <w:rsid w:val="003148AD"/>
    <w:rsid w:val="00315823"/>
    <w:rsid w:val="00315AE3"/>
    <w:rsid w:val="00315F8E"/>
    <w:rsid w:val="0031625D"/>
    <w:rsid w:val="003163FE"/>
    <w:rsid w:val="00316606"/>
    <w:rsid w:val="003169B8"/>
    <w:rsid w:val="0031713A"/>
    <w:rsid w:val="0031737F"/>
    <w:rsid w:val="00317D91"/>
    <w:rsid w:val="003200FE"/>
    <w:rsid w:val="003202E5"/>
    <w:rsid w:val="0032044E"/>
    <w:rsid w:val="00320592"/>
    <w:rsid w:val="003206A2"/>
    <w:rsid w:val="00320D51"/>
    <w:rsid w:val="003216A5"/>
    <w:rsid w:val="00321DB2"/>
    <w:rsid w:val="003228F7"/>
    <w:rsid w:val="0032342B"/>
    <w:rsid w:val="00323E0C"/>
    <w:rsid w:val="0032435A"/>
    <w:rsid w:val="00324882"/>
    <w:rsid w:val="00324C98"/>
    <w:rsid w:val="00325094"/>
    <w:rsid w:val="003250B0"/>
    <w:rsid w:val="003258C9"/>
    <w:rsid w:val="003259A1"/>
    <w:rsid w:val="00325A09"/>
    <w:rsid w:val="00325DB4"/>
    <w:rsid w:val="00326052"/>
    <w:rsid w:val="00326159"/>
    <w:rsid w:val="003265A8"/>
    <w:rsid w:val="00326FD6"/>
    <w:rsid w:val="0032731C"/>
    <w:rsid w:val="003275B6"/>
    <w:rsid w:val="003275DB"/>
    <w:rsid w:val="0032770A"/>
    <w:rsid w:val="00327AB9"/>
    <w:rsid w:val="00327BC6"/>
    <w:rsid w:val="0033029E"/>
    <w:rsid w:val="00330A81"/>
    <w:rsid w:val="00331252"/>
    <w:rsid w:val="003317E7"/>
    <w:rsid w:val="0033191E"/>
    <w:rsid w:val="00331EA9"/>
    <w:rsid w:val="00332E35"/>
    <w:rsid w:val="003334BC"/>
    <w:rsid w:val="00333566"/>
    <w:rsid w:val="00333EBA"/>
    <w:rsid w:val="0033413A"/>
    <w:rsid w:val="00334963"/>
    <w:rsid w:val="003349C1"/>
    <w:rsid w:val="00334D29"/>
    <w:rsid w:val="003354AE"/>
    <w:rsid w:val="00335512"/>
    <w:rsid w:val="003362A0"/>
    <w:rsid w:val="003365CB"/>
    <w:rsid w:val="00336766"/>
    <w:rsid w:val="00336B07"/>
    <w:rsid w:val="00336E29"/>
    <w:rsid w:val="00336F23"/>
    <w:rsid w:val="00336F33"/>
    <w:rsid w:val="00337095"/>
    <w:rsid w:val="00337C5D"/>
    <w:rsid w:val="00337FCB"/>
    <w:rsid w:val="00340081"/>
    <w:rsid w:val="003403C4"/>
    <w:rsid w:val="00341758"/>
    <w:rsid w:val="00342264"/>
    <w:rsid w:val="0034266E"/>
    <w:rsid w:val="003429A6"/>
    <w:rsid w:val="00342E2C"/>
    <w:rsid w:val="0034306F"/>
    <w:rsid w:val="0034323C"/>
    <w:rsid w:val="00343630"/>
    <w:rsid w:val="003436EF"/>
    <w:rsid w:val="003439BC"/>
    <w:rsid w:val="003439E6"/>
    <w:rsid w:val="00343B5A"/>
    <w:rsid w:val="003441C2"/>
    <w:rsid w:val="003445CD"/>
    <w:rsid w:val="00344AB6"/>
    <w:rsid w:val="00344DE2"/>
    <w:rsid w:val="003457BD"/>
    <w:rsid w:val="00345E80"/>
    <w:rsid w:val="00346866"/>
    <w:rsid w:val="00346AFD"/>
    <w:rsid w:val="00346C16"/>
    <w:rsid w:val="003475B8"/>
    <w:rsid w:val="00347783"/>
    <w:rsid w:val="003477C6"/>
    <w:rsid w:val="00347858"/>
    <w:rsid w:val="003478C0"/>
    <w:rsid w:val="00347C1A"/>
    <w:rsid w:val="00347F84"/>
    <w:rsid w:val="003500C4"/>
    <w:rsid w:val="003502AD"/>
    <w:rsid w:val="00350A49"/>
    <w:rsid w:val="00350C29"/>
    <w:rsid w:val="00350D40"/>
    <w:rsid w:val="00350E69"/>
    <w:rsid w:val="00350F61"/>
    <w:rsid w:val="0035120E"/>
    <w:rsid w:val="0035166E"/>
    <w:rsid w:val="00351776"/>
    <w:rsid w:val="00351940"/>
    <w:rsid w:val="00351B09"/>
    <w:rsid w:val="00352656"/>
    <w:rsid w:val="00352769"/>
    <w:rsid w:val="00352C52"/>
    <w:rsid w:val="00352EDB"/>
    <w:rsid w:val="00352FDE"/>
    <w:rsid w:val="00353070"/>
    <w:rsid w:val="0035370B"/>
    <w:rsid w:val="00353A14"/>
    <w:rsid w:val="00354131"/>
    <w:rsid w:val="0035433A"/>
    <w:rsid w:val="00354427"/>
    <w:rsid w:val="0035495B"/>
    <w:rsid w:val="00354A11"/>
    <w:rsid w:val="00354E1B"/>
    <w:rsid w:val="003552C9"/>
    <w:rsid w:val="0035547F"/>
    <w:rsid w:val="00355C91"/>
    <w:rsid w:val="003567FB"/>
    <w:rsid w:val="00356865"/>
    <w:rsid w:val="003570E7"/>
    <w:rsid w:val="0035762C"/>
    <w:rsid w:val="00357870"/>
    <w:rsid w:val="00357A73"/>
    <w:rsid w:val="00357CA9"/>
    <w:rsid w:val="00357D31"/>
    <w:rsid w:val="00360611"/>
    <w:rsid w:val="00360888"/>
    <w:rsid w:val="00361040"/>
    <w:rsid w:val="003615D1"/>
    <w:rsid w:val="00361DCF"/>
    <w:rsid w:val="00361E64"/>
    <w:rsid w:val="0036229E"/>
    <w:rsid w:val="00362839"/>
    <w:rsid w:val="0036334B"/>
    <w:rsid w:val="003634C1"/>
    <w:rsid w:val="00363893"/>
    <w:rsid w:val="00363B17"/>
    <w:rsid w:val="00363B1A"/>
    <w:rsid w:val="00363B89"/>
    <w:rsid w:val="00364568"/>
    <w:rsid w:val="00364B83"/>
    <w:rsid w:val="00364D00"/>
    <w:rsid w:val="00364EFC"/>
    <w:rsid w:val="00365894"/>
    <w:rsid w:val="00365A5F"/>
    <w:rsid w:val="003663B0"/>
    <w:rsid w:val="00366A16"/>
    <w:rsid w:val="00366D7C"/>
    <w:rsid w:val="003670C9"/>
    <w:rsid w:val="003670E7"/>
    <w:rsid w:val="00367CC4"/>
    <w:rsid w:val="00367F31"/>
    <w:rsid w:val="003702AC"/>
    <w:rsid w:val="003703F2"/>
    <w:rsid w:val="0037067A"/>
    <w:rsid w:val="003709AE"/>
    <w:rsid w:val="00371462"/>
    <w:rsid w:val="00371857"/>
    <w:rsid w:val="00371B34"/>
    <w:rsid w:val="00371DBD"/>
    <w:rsid w:val="003725BC"/>
    <w:rsid w:val="00372645"/>
    <w:rsid w:val="0037268B"/>
    <w:rsid w:val="003726E8"/>
    <w:rsid w:val="00372E84"/>
    <w:rsid w:val="003731B3"/>
    <w:rsid w:val="003733A5"/>
    <w:rsid w:val="00373E42"/>
    <w:rsid w:val="00374088"/>
    <w:rsid w:val="003745B4"/>
    <w:rsid w:val="0037479D"/>
    <w:rsid w:val="003749B5"/>
    <w:rsid w:val="00374FB9"/>
    <w:rsid w:val="0037511F"/>
    <w:rsid w:val="0037625A"/>
    <w:rsid w:val="003769D5"/>
    <w:rsid w:val="00376C28"/>
    <w:rsid w:val="00376F0A"/>
    <w:rsid w:val="00376FA0"/>
    <w:rsid w:val="003770DB"/>
    <w:rsid w:val="0037736F"/>
    <w:rsid w:val="00377BE4"/>
    <w:rsid w:val="00377C2F"/>
    <w:rsid w:val="00377FD7"/>
    <w:rsid w:val="00380056"/>
    <w:rsid w:val="003800C7"/>
    <w:rsid w:val="0038027D"/>
    <w:rsid w:val="003805F1"/>
    <w:rsid w:val="003819F7"/>
    <w:rsid w:val="00382661"/>
    <w:rsid w:val="00382ACC"/>
    <w:rsid w:val="00382D15"/>
    <w:rsid w:val="00382F0B"/>
    <w:rsid w:val="00382F9F"/>
    <w:rsid w:val="0038383C"/>
    <w:rsid w:val="0038386E"/>
    <w:rsid w:val="00383930"/>
    <w:rsid w:val="00383AE6"/>
    <w:rsid w:val="00383E86"/>
    <w:rsid w:val="0038421F"/>
    <w:rsid w:val="0038519F"/>
    <w:rsid w:val="003854B4"/>
    <w:rsid w:val="00385685"/>
    <w:rsid w:val="00385FAF"/>
    <w:rsid w:val="00386D44"/>
    <w:rsid w:val="00387599"/>
    <w:rsid w:val="00390224"/>
    <w:rsid w:val="0039095F"/>
    <w:rsid w:val="00391C06"/>
    <w:rsid w:val="00391FFA"/>
    <w:rsid w:val="00392362"/>
    <w:rsid w:val="00392817"/>
    <w:rsid w:val="00392E65"/>
    <w:rsid w:val="00392ECC"/>
    <w:rsid w:val="003936D6"/>
    <w:rsid w:val="003940B6"/>
    <w:rsid w:val="00395C06"/>
    <w:rsid w:val="00395E83"/>
    <w:rsid w:val="00395FBF"/>
    <w:rsid w:val="00396170"/>
    <w:rsid w:val="00396622"/>
    <w:rsid w:val="003970BF"/>
    <w:rsid w:val="003970C4"/>
    <w:rsid w:val="0039720A"/>
    <w:rsid w:val="00397DDB"/>
    <w:rsid w:val="003A008A"/>
    <w:rsid w:val="003A01E7"/>
    <w:rsid w:val="003A0DD7"/>
    <w:rsid w:val="003A11A9"/>
    <w:rsid w:val="003A149D"/>
    <w:rsid w:val="003A18EF"/>
    <w:rsid w:val="003A1C94"/>
    <w:rsid w:val="003A1CB9"/>
    <w:rsid w:val="003A1E8B"/>
    <w:rsid w:val="003A2AFA"/>
    <w:rsid w:val="003A2C68"/>
    <w:rsid w:val="003A2F80"/>
    <w:rsid w:val="003A3147"/>
    <w:rsid w:val="003A3560"/>
    <w:rsid w:val="003A3B31"/>
    <w:rsid w:val="003A3E60"/>
    <w:rsid w:val="003A3F26"/>
    <w:rsid w:val="003A42CD"/>
    <w:rsid w:val="003A47F6"/>
    <w:rsid w:val="003A4BBE"/>
    <w:rsid w:val="003A4FB1"/>
    <w:rsid w:val="003A50D4"/>
    <w:rsid w:val="003A56C1"/>
    <w:rsid w:val="003A5866"/>
    <w:rsid w:val="003A6549"/>
    <w:rsid w:val="003A67A2"/>
    <w:rsid w:val="003A6A0D"/>
    <w:rsid w:val="003A72F2"/>
    <w:rsid w:val="003A77E6"/>
    <w:rsid w:val="003A7DEF"/>
    <w:rsid w:val="003A7E77"/>
    <w:rsid w:val="003B0138"/>
    <w:rsid w:val="003B01BF"/>
    <w:rsid w:val="003B02A3"/>
    <w:rsid w:val="003B0EFF"/>
    <w:rsid w:val="003B11D0"/>
    <w:rsid w:val="003B13AF"/>
    <w:rsid w:val="003B1A26"/>
    <w:rsid w:val="003B1B18"/>
    <w:rsid w:val="003B1C6A"/>
    <w:rsid w:val="003B2CB2"/>
    <w:rsid w:val="003B2CB4"/>
    <w:rsid w:val="003B3014"/>
    <w:rsid w:val="003B319A"/>
    <w:rsid w:val="003B349B"/>
    <w:rsid w:val="003B35FE"/>
    <w:rsid w:val="003B3861"/>
    <w:rsid w:val="003B38DE"/>
    <w:rsid w:val="003B3916"/>
    <w:rsid w:val="003B3CE6"/>
    <w:rsid w:val="003B3ECD"/>
    <w:rsid w:val="003B43DA"/>
    <w:rsid w:val="003B4677"/>
    <w:rsid w:val="003B4ADA"/>
    <w:rsid w:val="003B4E96"/>
    <w:rsid w:val="003B5446"/>
    <w:rsid w:val="003B58E0"/>
    <w:rsid w:val="003B5A17"/>
    <w:rsid w:val="003B5F36"/>
    <w:rsid w:val="003B63E8"/>
    <w:rsid w:val="003B6AF7"/>
    <w:rsid w:val="003B6B00"/>
    <w:rsid w:val="003B6B1F"/>
    <w:rsid w:val="003B7542"/>
    <w:rsid w:val="003B7E8A"/>
    <w:rsid w:val="003C0747"/>
    <w:rsid w:val="003C08F3"/>
    <w:rsid w:val="003C1EE0"/>
    <w:rsid w:val="003C2BF2"/>
    <w:rsid w:val="003C2D91"/>
    <w:rsid w:val="003C2DA2"/>
    <w:rsid w:val="003C3996"/>
    <w:rsid w:val="003C4063"/>
    <w:rsid w:val="003C408A"/>
    <w:rsid w:val="003C4CFD"/>
    <w:rsid w:val="003C51A9"/>
    <w:rsid w:val="003C52C6"/>
    <w:rsid w:val="003C5DA4"/>
    <w:rsid w:val="003C5E6E"/>
    <w:rsid w:val="003C5FFE"/>
    <w:rsid w:val="003C63FC"/>
    <w:rsid w:val="003C6A75"/>
    <w:rsid w:val="003C7216"/>
    <w:rsid w:val="003C7446"/>
    <w:rsid w:val="003C76F9"/>
    <w:rsid w:val="003C77F0"/>
    <w:rsid w:val="003C7B7E"/>
    <w:rsid w:val="003C7EF7"/>
    <w:rsid w:val="003D00E6"/>
    <w:rsid w:val="003D0389"/>
    <w:rsid w:val="003D0393"/>
    <w:rsid w:val="003D061A"/>
    <w:rsid w:val="003D0B0A"/>
    <w:rsid w:val="003D11D2"/>
    <w:rsid w:val="003D12E3"/>
    <w:rsid w:val="003D192B"/>
    <w:rsid w:val="003D1B54"/>
    <w:rsid w:val="003D1E60"/>
    <w:rsid w:val="003D27ED"/>
    <w:rsid w:val="003D2A6C"/>
    <w:rsid w:val="003D2BCD"/>
    <w:rsid w:val="003D2F76"/>
    <w:rsid w:val="003D3112"/>
    <w:rsid w:val="003D3979"/>
    <w:rsid w:val="003D4029"/>
    <w:rsid w:val="003D40B6"/>
    <w:rsid w:val="003D4994"/>
    <w:rsid w:val="003D4F5A"/>
    <w:rsid w:val="003D5326"/>
    <w:rsid w:val="003D5625"/>
    <w:rsid w:val="003D5A15"/>
    <w:rsid w:val="003D5D01"/>
    <w:rsid w:val="003D64EC"/>
    <w:rsid w:val="003D671C"/>
    <w:rsid w:val="003D6EFD"/>
    <w:rsid w:val="003D7A76"/>
    <w:rsid w:val="003D7EAE"/>
    <w:rsid w:val="003D7F35"/>
    <w:rsid w:val="003E06CE"/>
    <w:rsid w:val="003E091F"/>
    <w:rsid w:val="003E0AD7"/>
    <w:rsid w:val="003E10F0"/>
    <w:rsid w:val="003E1151"/>
    <w:rsid w:val="003E1213"/>
    <w:rsid w:val="003E17BF"/>
    <w:rsid w:val="003E1882"/>
    <w:rsid w:val="003E1C4C"/>
    <w:rsid w:val="003E1F4A"/>
    <w:rsid w:val="003E256B"/>
    <w:rsid w:val="003E26AF"/>
    <w:rsid w:val="003E2C4A"/>
    <w:rsid w:val="003E30E2"/>
    <w:rsid w:val="003E31FB"/>
    <w:rsid w:val="003E441C"/>
    <w:rsid w:val="003E448B"/>
    <w:rsid w:val="003E4521"/>
    <w:rsid w:val="003E4CEB"/>
    <w:rsid w:val="003E4F08"/>
    <w:rsid w:val="003E531C"/>
    <w:rsid w:val="003E5482"/>
    <w:rsid w:val="003E5639"/>
    <w:rsid w:val="003E5714"/>
    <w:rsid w:val="003E5868"/>
    <w:rsid w:val="003E5AE7"/>
    <w:rsid w:val="003E5ECA"/>
    <w:rsid w:val="003E5EE8"/>
    <w:rsid w:val="003E61C0"/>
    <w:rsid w:val="003E6A2C"/>
    <w:rsid w:val="003E70DA"/>
    <w:rsid w:val="003E7470"/>
    <w:rsid w:val="003E7978"/>
    <w:rsid w:val="003E7BAC"/>
    <w:rsid w:val="003F00DD"/>
    <w:rsid w:val="003F0A87"/>
    <w:rsid w:val="003F0C4C"/>
    <w:rsid w:val="003F0CD3"/>
    <w:rsid w:val="003F0E60"/>
    <w:rsid w:val="003F1445"/>
    <w:rsid w:val="003F1878"/>
    <w:rsid w:val="003F191D"/>
    <w:rsid w:val="003F20F5"/>
    <w:rsid w:val="003F2280"/>
    <w:rsid w:val="003F241C"/>
    <w:rsid w:val="003F27F0"/>
    <w:rsid w:val="003F2BBA"/>
    <w:rsid w:val="003F331A"/>
    <w:rsid w:val="003F368F"/>
    <w:rsid w:val="003F3767"/>
    <w:rsid w:val="003F3D06"/>
    <w:rsid w:val="003F4968"/>
    <w:rsid w:val="003F5006"/>
    <w:rsid w:val="003F5792"/>
    <w:rsid w:val="003F763E"/>
    <w:rsid w:val="003F7669"/>
    <w:rsid w:val="003F7694"/>
    <w:rsid w:val="003F7C42"/>
    <w:rsid w:val="003F7D1E"/>
    <w:rsid w:val="00400442"/>
    <w:rsid w:val="004008BC"/>
    <w:rsid w:val="00400B86"/>
    <w:rsid w:val="00401043"/>
    <w:rsid w:val="00401277"/>
    <w:rsid w:val="0040279D"/>
    <w:rsid w:val="004027C0"/>
    <w:rsid w:val="00402E2C"/>
    <w:rsid w:val="0040341A"/>
    <w:rsid w:val="00403D54"/>
    <w:rsid w:val="004041E6"/>
    <w:rsid w:val="00404764"/>
    <w:rsid w:val="004047E4"/>
    <w:rsid w:val="00404DF0"/>
    <w:rsid w:val="00404DF8"/>
    <w:rsid w:val="00405193"/>
    <w:rsid w:val="004055FE"/>
    <w:rsid w:val="0040608E"/>
    <w:rsid w:val="00406779"/>
    <w:rsid w:val="00406A30"/>
    <w:rsid w:val="00406CFB"/>
    <w:rsid w:val="00407230"/>
    <w:rsid w:val="004074C6"/>
    <w:rsid w:val="004075BA"/>
    <w:rsid w:val="0040767C"/>
    <w:rsid w:val="00407A6F"/>
    <w:rsid w:val="00407D24"/>
    <w:rsid w:val="004100CC"/>
    <w:rsid w:val="00410396"/>
    <w:rsid w:val="00410C5C"/>
    <w:rsid w:val="00411B40"/>
    <w:rsid w:val="00412787"/>
    <w:rsid w:val="00412810"/>
    <w:rsid w:val="0041300C"/>
    <w:rsid w:val="004131EE"/>
    <w:rsid w:val="00413251"/>
    <w:rsid w:val="0041338D"/>
    <w:rsid w:val="0041358A"/>
    <w:rsid w:val="00413694"/>
    <w:rsid w:val="00413D77"/>
    <w:rsid w:val="004143AD"/>
    <w:rsid w:val="00415129"/>
    <w:rsid w:val="004151B1"/>
    <w:rsid w:val="004151F6"/>
    <w:rsid w:val="00415854"/>
    <w:rsid w:val="00415B79"/>
    <w:rsid w:val="00416008"/>
    <w:rsid w:val="0041608D"/>
    <w:rsid w:val="00416B35"/>
    <w:rsid w:val="004173D1"/>
    <w:rsid w:val="00417CED"/>
    <w:rsid w:val="00417DE1"/>
    <w:rsid w:val="00417EFC"/>
    <w:rsid w:val="00417FBE"/>
    <w:rsid w:val="004202E9"/>
    <w:rsid w:val="00420628"/>
    <w:rsid w:val="00420B5D"/>
    <w:rsid w:val="00420C05"/>
    <w:rsid w:val="004210C9"/>
    <w:rsid w:val="004216A8"/>
    <w:rsid w:val="0042185E"/>
    <w:rsid w:val="00421E75"/>
    <w:rsid w:val="00421FBA"/>
    <w:rsid w:val="0042211B"/>
    <w:rsid w:val="004223BD"/>
    <w:rsid w:val="004228B0"/>
    <w:rsid w:val="004229D2"/>
    <w:rsid w:val="0042376D"/>
    <w:rsid w:val="00423B25"/>
    <w:rsid w:val="00423E85"/>
    <w:rsid w:val="0042403C"/>
    <w:rsid w:val="004241F4"/>
    <w:rsid w:val="0042465F"/>
    <w:rsid w:val="00424FC4"/>
    <w:rsid w:val="00430410"/>
    <w:rsid w:val="00430464"/>
    <w:rsid w:val="0043098E"/>
    <w:rsid w:val="00430D7E"/>
    <w:rsid w:val="00430F58"/>
    <w:rsid w:val="004310A6"/>
    <w:rsid w:val="00432013"/>
    <w:rsid w:val="0043235E"/>
    <w:rsid w:val="004323D6"/>
    <w:rsid w:val="004329B6"/>
    <w:rsid w:val="00432B27"/>
    <w:rsid w:val="00433197"/>
    <w:rsid w:val="00433AF3"/>
    <w:rsid w:val="0043470E"/>
    <w:rsid w:val="00434FCD"/>
    <w:rsid w:val="00435A8E"/>
    <w:rsid w:val="00435C84"/>
    <w:rsid w:val="00435E59"/>
    <w:rsid w:val="00436401"/>
    <w:rsid w:val="00436C61"/>
    <w:rsid w:val="004371E1"/>
    <w:rsid w:val="004372E5"/>
    <w:rsid w:val="0043763F"/>
    <w:rsid w:val="00437E9B"/>
    <w:rsid w:val="00437EC4"/>
    <w:rsid w:val="004402C8"/>
    <w:rsid w:val="00440493"/>
    <w:rsid w:val="00440684"/>
    <w:rsid w:val="004408EA"/>
    <w:rsid w:val="00441AEE"/>
    <w:rsid w:val="00442B2F"/>
    <w:rsid w:val="00442D4E"/>
    <w:rsid w:val="0044309F"/>
    <w:rsid w:val="0044325A"/>
    <w:rsid w:val="004436C0"/>
    <w:rsid w:val="004442C4"/>
    <w:rsid w:val="00444302"/>
    <w:rsid w:val="004445C1"/>
    <w:rsid w:val="00444F5C"/>
    <w:rsid w:val="00445213"/>
    <w:rsid w:val="00446355"/>
    <w:rsid w:val="004466A1"/>
    <w:rsid w:val="00446BCA"/>
    <w:rsid w:val="00446F42"/>
    <w:rsid w:val="00446FC3"/>
    <w:rsid w:val="00447553"/>
    <w:rsid w:val="004476AA"/>
    <w:rsid w:val="0044782E"/>
    <w:rsid w:val="00447928"/>
    <w:rsid w:val="00447952"/>
    <w:rsid w:val="00447CC8"/>
    <w:rsid w:val="00450629"/>
    <w:rsid w:val="00450B4F"/>
    <w:rsid w:val="004511EF"/>
    <w:rsid w:val="00451457"/>
    <w:rsid w:val="00451D1D"/>
    <w:rsid w:val="00451DE2"/>
    <w:rsid w:val="00451EC1"/>
    <w:rsid w:val="00451F0C"/>
    <w:rsid w:val="00452503"/>
    <w:rsid w:val="00452DB8"/>
    <w:rsid w:val="00453313"/>
    <w:rsid w:val="00453636"/>
    <w:rsid w:val="0045398D"/>
    <w:rsid w:val="00453F33"/>
    <w:rsid w:val="004541F8"/>
    <w:rsid w:val="00454BE0"/>
    <w:rsid w:val="00454F46"/>
    <w:rsid w:val="00455084"/>
    <w:rsid w:val="00455485"/>
    <w:rsid w:val="004564E3"/>
    <w:rsid w:val="004579F3"/>
    <w:rsid w:val="00457AEA"/>
    <w:rsid w:val="00457CCC"/>
    <w:rsid w:val="0046010F"/>
    <w:rsid w:val="00460157"/>
    <w:rsid w:val="004602B6"/>
    <w:rsid w:val="0046045C"/>
    <w:rsid w:val="004607DA"/>
    <w:rsid w:val="00460D31"/>
    <w:rsid w:val="0046142E"/>
    <w:rsid w:val="0046181F"/>
    <w:rsid w:val="00461BF1"/>
    <w:rsid w:val="004620FC"/>
    <w:rsid w:val="0046229F"/>
    <w:rsid w:val="004627E0"/>
    <w:rsid w:val="00462E57"/>
    <w:rsid w:val="0046318F"/>
    <w:rsid w:val="004631F9"/>
    <w:rsid w:val="004632F4"/>
    <w:rsid w:val="00463778"/>
    <w:rsid w:val="00463DAB"/>
    <w:rsid w:val="00463EFE"/>
    <w:rsid w:val="004646D9"/>
    <w:rsid w:val="00464727"/>
    <w:rsid w:val="00464830"/>
    <w:rsid w:val="00464B57"/>
    <w:rsid w:val="004653A4"/>
    <w:rsid w:val="004657C0"/>
    <w:rsid w:val="0046599F"/>
    <w:rsid w:val="00465F03"/>
    <w:rsid w:val="00466BF6"/>
    <w:rsid w:val="00467000"/>
    <w:rsid w:val="00467ECE"/>
    <w:rsid w:val="004702C2"/>
    <w:rsid w:val="004707D8"/>
    <w:rsid w:val="0047116C"/>
    <w:rsid w:val="004713DD"/>
    <w:rsid w:val="0047147F"/>
    <w:rsid w:val="00471A72"/>
    <w:rsid w:val="00471E36"/>
    <w:rsid w:val="00471FFC"/>
    <w:rsid w:val="0047239A"/>
    <w:rsid w:val="004726AA"/>
    <w:rsid w:val="00473382"/>
    <w:rsid w:val="00473E05"/>
    <w:rsid w:val="00473ECE"/>
    <w:rsid w:val="0047404C"/>
    <w:rsid w:val="00474635"/>
    <w:rsid w:val="00474641"/>
    <w:rsid w:val="0047474E"/>
    <w:rsid w:val="00474A8F"/>
    <w:rsid w:val="004752BF"/>
    <w:rsid w:val="004752F6"/>
    <w:rsid w:val="004764AA"/>
    <w:rsid w:val="004764AC"/>
    <w:rsid w:val="00476A8D"/>
    <w:rsid w:val="0047706C"/>
    <w:rsid w:val="004775CE"/>
    <w:rsid w:val="00477997"/>
    <w:rsid w:val="00480102"/>
    <w:rsid w:val="00480958"/>
    <w:rsid w:val="00480B1E"/>
    <w:rsid w:val="00481331"/>
    <w:rsid w:val="004813E6"/>
    <w:rsid w:val="00481986"/>
    <w:rsid w:val="00481E6A"/>
    <w:rsid w:val="00482493"/>
    <w:rsid w:val="004824B7"/>
    <w:rsid w:val="00482B12"/>
    <w:rsid w:val="00483865"/>
    <w:rsid w:val="0048424A"/>
    <w:rsid w:val="00485251"/>
    <w:rsid w:val="00485265"/>
    <w:rsid w:val="00485359"/>
    <w:rsid w:val="00485793"/>
    <w:rsid w:val="00485A5E"/>
    <w:rsid w:val="00485CBD"/>
    <w:rsid w:val="00485DB8"/>
    <w:rsid w:val="00485F93"/>
    <w:rsid w:val="0048610E"/>
    <w:rsid w:val="0048674A"/>
    <w:rsid w:val="00486C29"/>
    <w:rsid w:val="004872A0"/>
    <w:rsid w:val="00487526"/>
    <w:rsid w:val="004875F2"/>
    <w:rsid w:val="0048771F"/>
    <w:rsid w:val="004904DD"/>
    <w:rsid w:val="00490A81"/>
    <w:rsid w:val="00491319"/>
    <w:rsid w:val="004919AB"/>
    <w:rsid w:val="00491C03"/>
    <w:rsid w:val="00491C7F"/>
    <w:rsid w:val="00491D3A"/>
    <w:rsid w:val="00491F1F"/>
    <w:rsid w:val="004926AE"/>
    <w:rsid w:val="00492A96"/>
    <w:rsid w:val="00492B37"/>
    <w:rsid w:val="00492F0E"/>
    <w:rsid w:val="00492F51"/>
    <w:rsid w:val="0049331F"/>
    <w:rsid w:val="0049347A"/>
    <w:rsid w:val="00493751"/>
    <w:rsid w:val="0049390D"/>
    <w:rsid w:val="00494170"/>
    <w:rsid w:val="00494965"/>
    <w:rsid w:val="00494B06"/>
    <w:rsid w:val="00495537"/>
    <w:rsid w:val="004956C5"/>
    <w:rsid w:val="0049596F"/>
    <w:rsid w:val="00495C73"/>
    <w:rsid w:val="00496087"/>
    <w:rsid w:val="0049638D"/>
    <w:rsid w:val="00496E7F"/>
    <w:rsid w:val="00496EEB"/>
    <w:rsid w:val="00496F03"/>
    <w:rsid w:val="004972DA"/>
    <w:rsid w:val="00497678"/>
    <w:rsid w:val="00497709"/>
    <w:rsid w:val="00497D06"/>
    <w:rsid w:val="00497D50"/>
    <w:rsid w:val="004A048A"/>
    <w:rsid w:val="004A0518"/>
    <w:rsid w:val="004A0628"/>
    <w:rsid w:val="004A1937"/>
    <w:rsid w:val="004A2279"/>
    <w:rsid w:val="004A239E"/>
    <w:rsid w:val="004A25D8"/>
    <w:rsid w:val="004A26EA"/>
    <w:rsid w:val="004A28C0"/>
    <w:rsid w:val="004A2FBE"/>
    <w:rsid w:val="004A32AF"/>
    <w:rsid w:val="004A33EC"/>
    <w:rsid w:val="004A3588"/>
    <w:rsid w:val="004A3983"/>
    <w:rsid w:val="004A4527"/>
    <w:rsid w:val="004A4DE0"/>
    <w:rsid w:val="004A5162"/>
    <w:rsid w:val="004A553E"/>
    <w:rsid w:val="004A621A"/>
    <w:rsid w:val="004A62AF"/>
    <w:rsid w:val="004A66A3"/>
    <w:rsid w:val="004A676C"/>
    <w:rsid w:val="004A7739"/>
    <w:rsid w:val="004A776D"/>
    <w:rsid w:val="004A780D"/>
    <w:rsid w:val="004A7DF1"/>
    <w:rsid w:val="004A7FF1"/>
    <w:rsid w:val="004B02F3"/>
    <w:rsid w:val="004B0634"/>
    <w:rsid w:val="004B1023"/>
    <w:rsid w:val="004B11D4"/>
    <w:rsid w:val="004B13FD"/>
    <w:rsid w:val="004B2292"/>
    <w:rsid w:val="004B269A"/>
    <w:rsid w:val="004B2B19"/>
    <w:rsid w:val="004B309D"/>
    <w:rsid w:val="004B33CF"/>
    <w:rsid w:val="004B3742"/>
    <w:rsid w:val="004B3CAD"/>
    <w:rsid w:val="004B3CF8"/>
    <w:rsid w:val="004B403C"/>
    <w:rsid w:val="004B4323"/>
    <w:rsid w:val="004B438C"/>
    <w:rsid w:val="004B495D"/>
    <w:rsid w:val="004B5006"/>
    <w:rsid w:val="004B5623"/>
    <w:rsid w:val="004B58F6"/>
    <w:rsid w:val="004B65B9"/>
    <w:rsid w:val="004B6D19"/>
    <w:rsid w:val="004B6E86"/>
    <w:rsid w:val="004B73A0"/>
    <w:rsid w:val="004B7517"/>
    <w:rsid w:val="004C01F0"/>
    <w:rsid w:val="004C065E"/>
    <w:rsid w:val="004C0E5F"/>
    <w:rsid w:val="004C0FE3"/>
    <w:rsid w:val="004C1536"/>
    <w:rsid w:val="004C38B1"/>
    <w:rsid w:val="004C3A28"/>
    <w:rsid w:val="004C3D37"/>
    <w:rsid w:val="004C440B"/>
    <w:rsid w:val="004C4427"/>
    <w:rsid w:val="004C497A"/>
    <w:rsid w:val="004C4B35"/>
    <w:rsid w:val="004C4B75"/>
    <w:rsid w:val="004C4E15"/>
    <w:rsid w:val="004C4EED"/>
    <w:rsid w:val="004C4F21"/>
    <w:rsid w:val="004C515C"/>
    <w:rsid w:val="004C51D6"/>
    <w:rsid w:val="004C5345"/>
    <w:rsid w:val="004C5BED"/>
    <w:rsid w:val="004C6371"/>
    <w:rsid w:val="004C63B7"/>
    <w:rsid w:val="004C7636"/>
    <w:rsid w:val="004C7821"/>
    <w:rsid w:val="004C7A2B"/>
    <w:rsid w:val="004C7D9F"/>
    <w:rsid w:val="004C7F5D"/>
    <w:rsid w:val="004D02F9"/>
    <w:rsid w:val="004D0D68"/>
    <w:rsid w:val="004D0FBF"/>
    <w:rsid w:val="004D1096"/>
    <w:rsid w:val="004D1607"/>
    <w:rsid w:val="004D16D3"/>
    <w:rsid w:val="004D1868"/>
    <w:rsid w:val="004D2673"/>
    <w:rsid w:val="004D28B0"/>
    <w:rsid w:val="004D34DD"/>
    <w:rsid w:val="004D355D"/>
    <w:rsid w:val="004D35EE"/>
    <w:rsid w:val="004D3902"/>
    <w:rsid w:val="004D3EBA"/>
    <w:rsid w:val="004D4367"/>
    <w:rsid w:val="004D4402"/>
    <w:rsid w:val="004D4AB0"/>
    <w:rsid w:val="004D537D"/>
    <w:rsid w:val="004D6CA5"/>
    <w:rsid w:val="004D7499"/>
    <w:rsid w:val="004D75E2"/>
    <w:rsid w:val="004D7679"/>
    <w:rsid w:val="004D7AC6"/>
    <w:rsid w:val="004E0700"/>
    <w:rsid w:val="004E0F06"/>
    <w:rsid w:val="004E13A1"/>
    <w:rsid w:val="004E2BA3"/>
    <w:rsid w:val="004E2DBB"/>
    <w:rsid w:val="004E30F7"/>
    <w:rsid w:val="004E33F5"/>
    <w:rsid w:val="004E353E"/>
    <w:rsid w:val="004E36A3"/>
    <w:rsid w:val="004E3BCE"/>
    <w:rsid w:val="004E3D33"/>
    <w:rsid w:val="004E48CE"/>
    <w:rsid w:val="004E4F24"/>
    <w:rsid w:val="004E4F28"/>
    <w:rsid w:val="004E4F51"/>
    <w:rsid w:val="004E54DE"/>
    <w:rsid w:val="004E55D3"/>
    <w:rsid w:val="004E573B"/>
    <w:rsid w:val="004E57D0"/>
    <w:rsid w:val="004E7A2B"/>
    <w:rsid w:val="004E7CC3"/>
    <w:rsid w:val="004E7D97"/>
    <w:rsid w:val="004F0AF7"/>
    <w:rsid w:val="004F0D74"/>
    <w:rsid w:val="004F11D5"/>
    <w:rsid w:val="004F187D"/>
    <w:rsid w:val="004F1BD7"/>
    <w:rsid w:val="004F2464"/>
    <w:rsid w:val="004F2F05"/>
    <w:rsid w:val="004F3992"/>
    <w:rsid w:val="004F4562"/>
    <w:rsid w:val="004F4A75"/>
    <w:rsid w:val="004F4BAF"/>
    <w:rsid w:val="004F53BE"/>
    <w:rsid w:val="004F557F"/>
    <w:rsid w:val="004F5AA4"/>
    <w:rsid w:val="004F5E5A"/>
    <w:rsid w:val="004F6282"/>
    <w:rsid w:val="004F62FE"/>
    <w:rsid w:val="004F6623"/>
    <w:rsid w:val="004F6B98"/>
    <w:rsid w:val="004F6BE4"/>
    <w:rsid w:val="004F715B"/>
    <w:rsid w:val="005006AA"/>
    <w:rsid w:val="00500BB1"/>
    <w:rsid w:val="00501B9C"/>
    <w:rsid w:val="00501C9D"/>
    <w:rsid w:val="0050205B"/>
    <w:rsid w:val="00502137"/>
    <w:rsid w:val="005032D2"/>
    <w:rsid w:val="0050354D"/>
    <w:rsid w:val="00503B6F"/>
    <w:rsid w:val="00503E60"/>
    <w:rsid w:val="00503FF2"/>
    <w:rsid w:val="00504FAE"/>
    <w:rsid w:val="005051B1"/>
    <w:rsid w:val="005051B4"/>
    <w:rsid w:val="00505CDE"/>
    <w:rsid w:val="00505DEC"/>
    <w:rsid w:val="00506ADA"/>
    <w:rsid w:val="00506AFA"/>
    <w:rsid w:val="00506B4E"/>
    <w:rsid w:val="00507091"/>
    <w:rsid w:val="00507193"/>
    <w:rsid w:val="00507560"/>
    <w:rsid w:val="00507BFD"/>
    <w:rsid w:val="00507C81"/>
    <w:rsid w:val="0051021E"/>
    <w:rsid w:val="00510562"/>
    <w:rsid w:val="00510971"/>
    <w:rsid w:val="005109EB"/>
    <w:rsid w:val="00510D7C"/>
    <w:rsid w:val="00510D9D"/>
    <w:rsid w:val="00511961"/>
    <w:rsid w:val="00511BFC"/>
    <w:rsid w:val="00511EA7"/>
    <w:rsid w:val="005120A8"/>
    <w:rsid w:val="00512D97"/>
    <w:rsid w:val="0051385F"/>
    <w:rsid w:val="00513954"/>
    <w:rsid w:val="00513D86"/>
    <w:rsid w:val="00513E28"/>
    <w:rsid w:val="0051427D"/>
    <w:rsid w:val="005144EB"/>
    <w:rsid w:val="0051469C"/>
    <w:rsid w:val="00514879"/>
    <w:rsid w:val="005151B8"/>
    <w:rsid w:val="00515D6C"/>
    <w:rsid w:val="00516311"/>
    <w:rsid w:val="00516ED1"/>
    <w:rsid w:val="00517037"/>
    <w:rsid w:val="005177D2"/>
    <w:rsid w:val="00517F71"/>
    <w:rsid w:val="005203A9"/>
    <w:rsid w:val="00520645"/>
    <w:rsid w:val="005208F8"/>
    <w:rsid w:val="00520C2D"/>
    <w:rsid w:val="00520CDF"/>
    <w:rsid w:val="00520EA3"/>
    <w:rsid w:val="00521327"/>
    <w:rsid w:val="00521B00"/>
    <w:rsid w:val="00521B7E"/>
    <w:rsid w:val="00522087"/>
    <w:rsid w:val="00522334"/>
    <w:rsid w:val="005224DC"/>
    <w:rsid w:val="00523103"/>
    <w:rsid w:val="00523612"/>
    <w:rsid w:val="00523F50"/>
    <w:rsid w:val="00524132"/>
    <w:rsid w:val="00524259"/>
    <w:rsid w:val="0052490F"/>
    <w:rsid w:val="0052492D"/>
    <w:rsid w:val="00524E5F"/>
    <w:rsid w:val="00524E88"/>
    <w:rsid w:val="0052535F"/>
    <w:rsid w:val="0052547F"/>
    <w:rsid w:val="0052589E"/>
    <w:rsid w:val="00525E00"/>
    <w:rsid w:val="00526587"/>
    <w:rsid w:val="005265BF"/>
    <w:rsid w:val="00526910"/>
    <w:rsid w:val="00526938"/>
    <w:rsid w:val="00526A23"/>
    <w:rsid w:val="00526E05"/>
    <w:rsid w:val="0052738E"/>
    <w:rsid w:val="00527467"/>
    <w:rsid w:val="00527B70"/>
    <w:rsid w:val="00527BAB"/>
    <w:rsid w:val="00527DB0"/>
    <w:rsid w:val="00530122"/>
    <w:rsid w:val="00530315"/>
    <w:rsid w:val="005306D0"/>
    <w:rsid w:val="005314DB"/>
    <w:rsid w:val="00531551"/>
    <w:rsid w:val="00531DE4"/>
    <w:rsid w:val="00532781"/>
    <w:rsid w:val="00532F93"/>
    <w:rsid w:val="0053395E"/>
    <w:rsid w:val="00533E28"/>
    <w:rsid w:val="0053476C"/>
    <w:rsid w:val="0053482E"/>
    <w:rsid w:val="00534CB4"/>
    <w:rsid w:val="005358C8"/>
    <w:rsid w:val="005366B5"/>
    <w:rsid w:val="00536C4D"/>
    <w:rsid w:val="00536DF9"/>
    <w:rsid w:val="00537387"/>
    <w:rsid w:val="00537554"/>
    <w:rsid w:val="00537DF0"/>
    <w:rsid w:val="00537E46"/>
    <w:rsid w:val="00537F40"/>
    <w:rsid w:val="00537F9E"/>
    <w:rsid w:val="0054059F"/>
    <w:rsid w:val="005405CC"/>
    <w:rsid w:val="00540D16"/>
    <w:rsid w:val="0054116F"/>
    <w:rsid w:val="0054120D"/>
    <w:rsid w:val="00541B85"/>
    <w:rsid w:val="00541C53"/>
    <w:rsid w:val="00541DFF"/>
    <w:rsid w:val="00541FB2"/>
    <w:rsid w:val="0054224F"/>
    <w:rsid w:val="00542895"/>
    <w:rsid w:val="00542F49"/>
    <w:rsid w:val="005433CA"/>
    <w:rsid w:val="00543EA6"/>
    <w:rsid w:val="00544B2D"/>
    <w:rsid w:val="00544EF2"/>
    <w:rsid w:val="005455E1"/>
    <w:rsid w:val="00545B0B"/>
    <w:rsid w:val="00545D1F"/>
    <w:rsid w:val="00546025"/>
    <w:rsid w:val="005462F8"/>
    <w:rsid w:val="00546794"/>
    <w:rsid w:val="005471F3"/>
    <w:rsid w:val="005475C0"/>
    <w:rsid w:val="00547D1F"/>
    <w:rsid w:val="00550191"/>
    <w:rsid w:val="00550602"/>
    <w:rsid w:val="00550C16"/>
    <w:rsid w:val="00550CBC"/>
    <w:rsid w:val="00550FAE"/>
    <w:rsid w:val="0055184F"/>
    <w:rsid w:val="00551925"/>
    <w:rsid w:val="00552493"/>
    <w:rsid w:val="005528A3"/>
    <w:rsid w:val="005528A7"/>
    <w:rsid w:val="00552B5A"/>
    <w:rsid w:val="00552CF9"/>
    <w:rsid w:val="00552E02"/>
    <w:rsid w:val="00552EB3"/>
    <w:rsid w:val="00553D74"/>
    <w:rsid w:val="0055402B"/>
    <w:rsid w:val="0055478A"/>
    <w:rsid w:val="00554DD5"/>
    <w:rsid w:val="00555F1D"/>
    <w:rsid w:val="005567FC"/>
    <w:rsid w:val="00556DAB"/>
    <w:rsid w:val="00556E3D"/>
    <w:rsid w:val="0055756E"/>
    <w:rsid w:val="00557799"/>
    <w:rsid w:val="005605E3"/>
    <w:rsid w:val="005608A2"/>
    <w:rsid w:val="00561391"/>
    <w:rsid w:val="00561591"/>
    <w:rsid w:val="005615BE"/>
    <w:rsid w:val="005623DE"/>
    <w:rsid w:val="005624C1"/>
    <w:rsid w:val="005626CC"/>
    <w:rsid w:val="005632AC"/>
    <w:rsid w:val="005633EB"/>
    <w:rsid w:val="0056366B"/>
    <w:rsid w:val="00563DA4"/>
    <w:rsid w:val="00564A97"/>
    <w:rsid w:val="00564BCB"/>
    <w:rsid w:val="00564D2C"/>
    <w:rsid w:val="00564D45"/>
    <w:rsid w:val="00565124"/>
    <w:rsid w:val="005653DA"/>
    <w:rsid w:val="00565A57"/>
    <w:rsid w:val="00565AFD"/>
    <w:rsid w:val="00565D28"/>
    <w:rsid w:val="00566527"/>
    <w:rsid w:val="00566649"/>
    <w:rsid w:val="00566A1E"/>
    <w:rsid w:val="00566B60"/>
    <w:rsid w:val="00566EFA"/>
    <w:rsid w:val="00567FB3"/>
    <w:rsid w:val="00570B96"/>
    <w:rsid w:val="0057107F"/>
    <w:rsid w:val="00571CBA"/>
    <w:rsid w:val="00571FA9"/>
    <w:rsid w:val="0057219F"/>
    <w:rsid w:val="005729EC"/>
    <w:rsid w:val="00572BC8"/>
    <w:rsid w:val="00572C10"/>
    <w:rsid w:val="00572DC8"/>
    <w:rsid w:val="00572DDD"/>
    <w:rsid w:val="00573571"/>
    <w:rsid w:val="00573746"/>
    <w:rsid w:val="00573863"/>
    <w:rsid w:val="005738D5"/>
    <w:rsid w:val="00573BA0"/>
    <w:rsid w:val="005743EA"/>
    <w:rsid w:val="0057548F"/>
    <w:rsid w:val="005754B2"/>
    <w:rsid w:val="00575C06"/>
    <w:rsid w:val="00575D33"/>
    <w:rsid w:val="00576876"/>
    <w:rsid w:val="00577405"/>
    <w:rsid w:val="005775F3"/>
    <w:rsid w:val="0057795E"/>
    <w:rsid w:val="00577B5D"/>
    <w:rsid w:val="00577D19"/>
    <w:rsid w:val="00577D9F"/>
    <w:rsid w:val="00580068"/>
    <w:rsid w:val="00580326"/>
    <w:rsid w:val="0058065F"/>
    <w:rsid w:val="0058068B"/>
    <w:rsid w:val="00580991"/>
    <w:rsid w:val="00580BD5"/>
    <w:rsid w:val="00580DFB"/>
    <w:rsid w:val="00580F67"/>
    <w:rsid w:val="00581127"/>
    <w:rsid w:val="0058119B"/>
    <w:rsid w:val="0058168C"/>
    <w:rsid w:val="00581BDA"/>
    <w:rsid w:val="00582254"/>
    <w:rsid w:val="00582B21"/>
    <w:rsid w:val="00582F18"/>
    <w:rsid w:val="0058302C"/>
    <w:rsid w:val="00583049"/>
    <w:rsid w:val="00583217"/>
    <w:rsid w:val="00583F06"/>
    <w:rsid w:val="005844AE"/>
    <w:rsid w:val="00584D78"/>
    <w:rsid w:val="0058558E"/>
    <w:rsid w:val="005859B3"/>
    <w:rsid w:val="005859B7"/>
    <w:rsid w:val="005861BB"/>
    <w:rsid w:val="00586DB2"/>
    <w:rsid w:val="005872B2"/>
    <w:rsid w:val="0059059F"/>
    <w:rsid w:val="00590763"/>
    <w:rsid w:val="00590ABC"/>
    <w:rsid w:val="00590BD3"/>
    <w:rsid w:val="00590C9D"/>
    <w:rsid w:val="00590DAC"/>
    <w:rsid w:val="005913D5"/>
    <w:rsid w:val="005925EC"/>
    <w:rsid w:val="00592C18"/>
    <w:rsid w:val="005939CD"/>
    <w:rsid w:val="00593DE8"/>
    <w:rsid w:val="00594313"/>
    <w:rsid w:val="005945FF"/>
    <w:rsid w:val="00594AD4"/>
    <w:rsid w:val="00594D9A"/>
    <w:rsid w:val="005950BA"/>
    <w:rsid w:val="005953A0"/>
    <w:rsid w:val="00595834"/>
    <w:rsid w:val="00595A83"/>
    <w:rsid w:val="00595D0B"/>
    <w:rsid w:val="00595FCC"/>
    <w:rsid w:val="00596631"/>
    <w:rsid w:val="00596692"/>
    <w:rsid w:val="00596BE0"/>
    <w:rsid w:val="00596E2D"/>
    <w:rsid w:val="00597BF5"/>
    <w:rsid w:val="00597C06"/>
    <w:rsid w:val="005A0605"/>
    <w:rsid w:val="005A0C67"/>
    <w:rsid w:val="005A141F"/>
    <w:rsid w:val="005A1C32"/>
    <w:rsid w:val="005A1D2F"/>
    <w:rsid w:val="005A1D3D"/>
    <w:rsid w:val="005A1FE6"/>
    <w:rsid w:val="005A24A3"/>
    <w:rsid w:val="005A2AA2"/>
    <w:rsid w:val="005A2C6A"/>
    <w:rsid w:val="005A2CA4"/>
    <w:rsid w:val="005A2CE6"/>
    <w:rsid w:val="005A2CFE"/>
    <w:rsid w:val="005A2D74"/>
    <w:rsid w:val="005A316D"/>
    <w:rsid w:val="005A31BB"/>
    <w:rsid w:val="005A3293"/>
    <w:rsid w:val="005A3A2E"/>
    <w:rsid w:val="005A3AB6"/>
    <w:rsid w:val="005A3B67"/>
    <w:rsid w:val="005A4176"/>
    <w:rsid w:val="005A4DF8"/>
    <w:rsid w:val="005A5B4F"/>
    <w:rsid w:val="005A5C2A"/>
    <w:rsid w:val="005A5D00"/>
    <w:rsid w:val="005A6B50"/>
    <w:rsid w:val="005A7010"/>
    <w:rsid w:val="005A737B"/>
    <w:rsid w:val="005A7C36"/>
    <w:rsid w:val="005B02D3"/>
    <w:rsid w:val="005B0B13"/>
    <w:rsid w:val="005B0D15"/>
    <w:rsid w:val="005B14EA"/>
    <w:rsid w:val="005B154F"/>
    <w:rsid w:val="005B1861"/>
    <w:rsid w:val="005B1A69"/>
    <w:rsid w:val="005B1A91"/>
    <w:rsid w:val="005B1AA6"/>
    <w:rsid w:val="005B1BAC"/>
    <w:rsid w:val="005B2461"/>
    <w:rsid w:val="005B2711"/>
    <w:rsid w:val="005B2716"/>
    <w:rsid w:val="005B2914"/>
    <w:rsid w:val="005B2C0A"/>
    <w:rsid w:val="005B2F09"/>
    <w:rsid w:val="005B30E0"/>
    <w:rsid w:val="005B3D7B"/>
    <w:rsid w:val="005B3FD9"/>
    <w:rsid w:val="005B41DE"/>
    <w:rsid w:val="005B42CF"/>
    <w:rsid w:val="005B442A"/>
    <w:rsid w:val="005B48B2"/>
    <w:rsid w:val="005B4AE8"/>
    <w:rsid w:val="005B5241"/>
    <w:rsid w:val="005B52C6"/>
    <w:rsid w:val="005B5C6F"/>
    <w:rsid w:val="005B61D1"/>
    <w:rsid w:val="005B69B7"/>
    <w:rsid w:val="005B6B2B"/>
    <w:rsid w:val="005B6EF8"/>
    <w:rsid w:val="005B7732"/>
    <w:rsid w:val="005C0111"/>
    <w:rsid w:val="005C098D"/>
    <w:rsid w:val="005C0E44"/>
    <w:rsid w:val="005C15C3"/>
    <w:rsid w:val="005C18EA"/>
    <w:rsid w:val="005C1C8C"/>
    <w:rsid w:val="005C1E28"/>
    <w:rsid w:val="005C2301"/>
    <w:rsid w:val="005C26D5"/>
    <w:rsid w:val="005C2D37"/>
    <w:rsid w:val="005C3351"/>
    <w:rsid w:val="005C41E3"/>
    <w:rsid w:val="005C4A3F"/>
    <w:rsid w:val="005C5CF7"/>
    <w:rsid w:val="005C6A84"/>
    <w:rsid w:val="005C6AA2"/>
    <w:rsid w:val="005C7286"/>
    <w:rsid w:val="005C73E3"/>
    <w:rsid w:val="005C7DD6"/>
    <w:rsid w:val="005D01E6"/>
    <w:rsid w:val="005D0442"/>
    <w:rsid w:val="005D06DA"/>
    <w:rsid w:val="005D0A3D"/>
    <w:rsid w:val="005D14BB"/>
    <w:rsid w:val="005D1E84"/>
    <w:rsid w:val="005D22B6"/>
    <w:rsid w:val="005D22F5"/>
    <w:rsid w:val="005D23E9"/>
    <w:rsid w:val="005D249C"/>
    <w:rsid w:val="005D3712"/>
    <w:rsid w:val="005D4612"/>
    <w:rsid w:val="005D4824"/>
    <w:rsid w:val="005D489D"/>
    <w:rsid w:val="005D4A85"/>
    <w:rsid w:val="005D56A5"/>
    <w:rsid w:val="005D5A54"/>
    <w:rsid w:val="005D619C"/>
    <w:rsid w:val="005D662D"/>
    <w:rsid w:val="005D7D01"/>
    <w:rsid w:val="005E0005"/>
    <w:rsid w:val="005E0121"/>
    <w:rsid w:val="005E07A2"/>
    <w:rsid w:val="005E0AF9"/>
    <w:rsid w:val="005E110D"/>
    <w:rsid w:val="005E1195"/>
    <w:rsid w:val="005E1C30"/>
    <w:rsid w:val="005E1C9B"/>
    <w:rsid w:val="005E1E17"/>
    <w:rsid w:val="005E1F37"/>
    <w:rsid w:val="005E29D5"/>
    <w:rsid w:val="005E29F2"/>
    <w:rsid w:val="005E29F9"/>
    <w:rsid w:val="005E2DAF"/>
    <w:rsid w:val="005E2DE0"/>
    <w:rsid w:val="005E3522"/>
    <w:rsid w:val="005E3629"/>
    <w:rsid w:val="005E3D94"/>
    <w:rsid w:val="005E4278"/>
    <w:rsid w:val="005E4476"/>
    <w:rsid w:val="005E4654"/>
    <w:rsid w:val="005E4663"/>
    <w:rsid w:val="005E4AFA"/>
    <w:rsid w:val="005E4CCA"/>
    <w:rsid w:val="005E4CD3"/>
    <w:rsid w:val="005E4DC1"/>
    <w:rsid w:val="005E5024"/>
    <w:rsid w:val="005E52B5"/>
    <w:rsid w:val="005E5FF2"/>
    <w:rsid w:val="005E60D2"/>
    <w:rsid w:val="005E626A"/>
    <w:rsid w:val="005E6CE4"/>
    <w:rsid w:val="005E6FFE"/>
    <w:rsid w:val="005E72B1"/>
    <w:rsid w:val="005E7648"/>
    <w:rsid w:val="005E79E8"/>
    <w:rsid w:val="005F0065"/>
    <w:rsid w:val="005F0306"/>
    <w:rsid w:val="005F0DB2"/>
    <w:rsid w:val="005F0DDC"/>
    <w:rsid w:val="005F13D4"/>
    <w:rsid w:val="005F1A14"/>
    <w:rsid w:val="005F1AEC"/>
    <w:rsid w:val="005F1E7B"/>
    <w:rsid w:val="005F2445"/>
    <w:rsid w:val="005F2C07"/>
    <w:rsid w:val="005F30E7"/>
    <w:rsid w:val="005F3495"/>
    <w:rsid w:val="005F42B1"/>
    <w:rsid w:val="005F4678"/>
    <w:rsid w:val="005F489D"/>
    <w:rsid w:val="005F4B44"/>
    <w:rsid w:val="005F52B5"/>
    <w:rsid w:val="005F530D"/>
    <w:rsid w:val="005F56A4"/>
    <w:rsid w:val="005F627A"/>
    <w:rsid w:val="005F6CF4"/>
    <w:rsid w:val="005F71CF"/>
    <w:rsid w:val="005F7422"/>
    <w:rsid w:val="005F788E"/>
    <w:rsid w:val="005F7D81"/>
    <w:rsid w:val="0060002D"/>
    <w:rsid w:val="00600758"/>
    <w:rsid w:val="00601967"/>
    <w:rsid w:val="00601A11"/>
    <w:rsid w:val="00601AEB"/>
    <w:rsid w:val="00601D39"/>
    <w:rsid w:val="00602B66"/>
    <w:rsid w:val="00602E4A"/>
    <w:rsid w:val="00603578"/>
    <w:rsid w:val="0060358A"/>
    <w:rsid w:val="0060391F"/>
    <w:rsid w:val="00603BCE"/>
    <w:rsid w:val="00604708"/>
    <w:rsid w:val="0060482F"/>
    <w:rsid w:val="00605559"/>
    <w:rsid w:val="0060577F"/>
    <w:rsid w:val="00605B92"/>
    <w:rsid w:val="00605C45"/>
    <w:rsid w:val="00605CBF"/>
    <w:rsid w:val="00605DFC"/>
    <w:rsid w:val="006063BD"/>
    <w:rsid w:val="00607250"/>
    <w:rsid w:val="00607875"/>
    <w:rsid w:val="006078B4"/>
    <w:rsid w:val="0061011E"/>
    <w:rsid w:val="00610865"/>
    <w:rsid w:val="0061094D"/>
    <w:rsid w:val="006109CD"/>
    <w:rsid w:val="0061270F"/>
    <w:rsid w:val="00612868"/>
    <w:rsid w:val="00612C4C"/>
    <w:rsid w:val="00612FDB"/>
    <w:rsid w:val="00612FF6"/>
    <w:rsid w:val="0061301B"/>
    <w:rsid w:val="006130BE"/>
    <w:rsid w:val="006131C3"/>
    <w:rsid w:val="006131DA"/>
    <w:rsid w:val="006133C8"/>
    <w:rsid w:val="0061379F"/>
    <w:rsid w:val="006137BA"/>
    <w:rsid w:val="00613D04"/>
    <w:rsid w:val="00613D4C"/>
    <w:rsid w:val="0061444F"/>
    <w:rsid w:val="00614903"/>
    <w:rsid w:val="00614DC4"/>
    <w:rsid w:val="0061519D"/>
    <w:rsid w:val="00615DD2"/>
    <w:rsid w:val="00616015"/>
    <w:rsid w:val="006161A9"/>
    <w:rsid w:val="006168DB"/>
    <w:rsid w:val="00616E31"/>
    <w:rsid w:val="00616EB6"/>
    <w:rsid w:val="00617512"/>
    <w:rsid w:val="00617B7D"/>
    <w:rsid w:val="00617CBB"/>
    <w:rsid w:val="006205C4"/>
    <w:rsid w:val="006214AF"/>
    <w:rsid w:val="006219CB"/>
    <w:rsid w:val="00621AA1"/>
    <w:rsid w:val="00621AAD"/>
    <w:rsid w:val="006220D5"/>
    <w:rsid w:val="00622930"/>
    <w:rsid w:val="00622C67"/>
    <w:rsid w:val="00622C7E"/>
    <w:rsid w:val="00622D96"/>
    <w:rsid w:val="0062305A"/>
    <w:rsid w:val="006239A6"/>
    <w:rsid w:val="00623F71"/>
    <w:rsid w:val="0062432E"/>
    <w:rsid w:val="00624783"/>
    <w:rsid w:val="006256B7"/>
    <w:rsid w:val="00626355"/>
    <w:rsid w:val="00626433"/>
    <w:rsid w:val="00626480"/>
    <w:rsid w:val="00626698"/>
    <w:rsid w:val="00626984"/>
    <w:rsid w:val="00626ACD"/>
    <w:rsid w:val="00626DA5"/>
    <w:rsid w:val="00627650"/>
    <w:rsid w:val="006300F7"/>
    <w:rsid w:val="006302A4"/>
    <w:rsid w:val="00630984"/>
    <w:rsid w:val="00631744"/>
    <w:rsid w:val="006318A2"/>
    <w:rsid w:val="00632354"/>
    <w:rsid w:val="0063265A"/>
    <w:rsid w:val="00632A0C"/>
    <w:rsid w:val="00632F5A"/>
    <w:rsid w:val="00633224"/>
    <w:rsid w:val="006332E7"/>
    <w:rsid w:val="006335A0"/>
    <w:rsid w:val="0063475A"/>
    <w:rsid w:val="006349C5"/>
    <w:rsid w:val="00634B72"/>
    <w:rsid w:val="00635198"/>
    <w:rsid w:val="0063544F"/>
    <w:rsid w:val="006356D5"/>
    <w:rsid w:val="00635A40"/>
    <w:rsid w:val="0063654F"/>
    <w:rsid w:val="006366AF"/>
    <w:rsid w:val="00636815"/>
    <w:rsid w:val="00636A8D"/>
    <w:rsid w:val="00636BC2"/>
    <w:rsid w:val="00636C0E"/>
    <w:rsid w:val="00636DAA"/>
    <w:rsid w:val="00636E63"/>
    <w:rsid w:val="00637675"/>
    <w:rsid w:val="00637B87"/>
    <w:rsid w:val="00640363"/>
    <w:rsid w:val="0064065C"/>
    <w:rsid w:val="006406D7"/>
    <w:rsid w:val="0064119C"/>
    <w:rsid w:val="006412FE"/>
    <w:rsid w:val="00641618"/>
    <w:rsid w:val="006416F4"/>
    <w:rsid w:val="00641B36"/>
    <w:rsid w:val="00641C70"/>
    <w:rsid w:val="00641F34"/>
    <w:rsid w:val="006429A1"/>
    <w:rsid w:val="00642E8C"/>
    <w:rsid w:val="00643026"/>
    <w:rsid w:val="006436A8"/>
    <w:rsid w:val="006446C8"/>
    <w:rsid w:val="0064493F"/>
    <w:rsid w:val="00644B0E"/>
    <w:rsid w:val="00644B4F"/>
    <w:rsid w:val="00644C8D"/>
    <w:rsid w:val="00644DED"/>
    <w:rsid w:val="0064525F"/>
    <w:rsid w:val="006455B1"/>
    <w:rsid w:val="00645BF9"/>
    <w:rsid w:val="00645CBC"/>
    <w:rsid w:val="00645FBE"/>
    <w:rsid w:val="00645FE6"/>
    <w:rsid w:val="006466C3"/>
    <w:rsid w:val="00646750"/>
    <w:rsid w:val="00646B0E"/>
    <w:rsid w:val="006471D6"/>
    <w:rsid w:val="00647460"/>
    <w:rsid w:val="006475F0"/>
    <w:rsid w:val="006477A1"/>
    <w:rsid w:val="00647C15"/>
    <w:rsid w:val="00650046"/>
    <w:rsid w:val="0065075F"/>
    <w:rsid w:val="00651022"/>
    <w:rsid w:val="0065115A"/>
    <w:rsid w:val="006511E5"/>
    <w:rsid w:val="00651265"/>
    <w:rsid w:val="00651580"/>
    <w:rsid w:val="00651659"/>
    <w:rsid w:val="006518DA"/>
    <w:rsid w:val="006518F6"/>
    <w:rsid w:val="00651CED"/>
    <w:rsid w:val="00651FF1"/>
    <w:rsid w:val="006527DB"/>
    <w:rsid w:val="00653350"/>
    <w:rsid w:val="00653A11"/>
    <w:rsid w:val="00653CDE"/>
    <w:rsid w:val="00653DC9"/>
    <w:rsid w:val="0065415E"/>
    <w:rsid w:val="006543FA"/>
    <w:rsid w:val="00654A84"/>
    <w:rsid w:val="00654CF9"/>
    <w:rsid w:val="00654FF1"/>
    <w:rsid w:val="00655064"/>
    <w:rsid w:val="00655B44"/>
    <w:rsid w:val="00655B96"/>
    <w:rsid w:val="00655D79"/>
    <w:rsid w:val="00655E84"/>
    <w:rsid w:val="00655FD1"/>
    <w:rsid w:val="00656214"/>
    <w:rsid w:val="00656DA1"/>
    <w:rsid w:val="00656F6A"/>
    <w:rsid w:val="006575CF"/>
    <w:rsid w:val="006579AE"/>
    <w:rsid w:val="00660243"/>
    <w:rsid w:val="006603F3"/>
    <w:rsid w:val="006612F8"/>
    <w:rsid w:val="006619E8"/>
    <w:rsid w:val="00661C2D"/>
    <w:rsid w:val="00662FB2"/>
    <w:rsid w:val="006637D2"/>
    <w:rsid w:val="00663A80"/>
    <w:rsid w:val="006643DB"/>
    <w:rsid w:val="006647C2"/>
    <w:rsid w:val="00664BED"/>
    <w:rsid w:val="00665785"/>
    <w:rsid w:val="0066585F"/>
    <w:rsid w:val="006659DA"/>
    <w:rsid w:val="006660C1"/>
    <w:rsid w:val="0066652F"/>
    <w:rsid w:val="00666963"/>
    <w:rsid w:val="006669E3"/>
    <w:rsid w:val="00667362"/>
    <w:rsid w:val="006675BA"/>
    <w:rsid w:val="00667C4D"/>
    <w:rsid w:val="00667DEC"/>
    <w:rsid w:val="0067067C"/>
    <w:rsid w:val="00670C93"/>
    <w:rsid w:val="006710B8"/>
    <w:rsid w:val="006711FD"/>
    <w:rsid w:val="006715AD"/>
    <w:rsid w:val="00671E84"/>
    <w:rsid w:val="00672271"/>
    <w:rsid w:val="006722F2"/>
    <w:rsid w:val="00672382"/>
    <w:rsid w:val="0067284C"/>
    <w:rsid w:val="00672D86"/>
    <w:rsid w:val="00672F32"/>
    <w:rsid w:val="0067300A"/>
    <w:rsid w:val="00673B6D"/>
    <w:rsid w:val="00673E3E"/>
    <w:rsid w:val="00673FC9"/>
    <w:rsid w:val="006742E5"/>
    <w:rsid w:val="00674982"/>
    <w:rsid w:val="00674D3B"/>
    <w:rsid w:val="006750F2"/>
    <w:rsid w:val="006755CE"/>
    <w:rsid w:val="006762F7"/>
    <w:rsid w:val="0067644D"/>
    <w:rsid w:val="00676DB6"/>
    <w:rsid w:val="00676E88"/>
    <w:rsid w:val="00677446"/>
    <w:rsid w:val="006774C0"/>
    <w:rsid w:val="00677614"/>
    <w:rsid w:val="00677A7A"/>
    <w:rsid w:val="006800D1"/>
    <w:rsid w:val="00680181"/>
    <w:rsid w:val="006806C2"/>
    <w:rsid w:val="00680831"/>
    <w:rsid w:val="00680B97"/>
    <w:rsid w:val="0068265A"/>
    <w:rsid w:val="006827FF"/>
    <w:rsid w:val="00682EA7"/>
    <w:rsid w:val="0068311C"/>
    <w:rsid w:val="006832C0"/>
    <w:rsid w:val="00683704"/>
    <w:rsid w:val="006838DA"/>
    <w:rsid w:val="00683BEF"/>
    <w:rsid w:val="00684687"/>
    <w:rsid w:val="00684B2C"/>
    <w:rsid w:val="00685360"/>
    <w:rsid w:val="00685414"/>
    <w:rsid w:val="006854B0"/>
    <w:rsid w:val="006858C2"/>
    <w:rsid w:val="00685916"/>
    <w:rsid w:val="00686962"/>
    <w:rsid w:val="00686F0F"/>
    <w:rsid w:val="00687621"/>
    <w:rsid w:val="0068795B"/>
    <w:rsid w:val="00687C01"/>
    <w:rsid w:val="00687C19"/>
    <w:rsid w:val="00687F54"/>
    <w:rsid w:val="00690032"/>
    <w:rsid w:val="00690287"/>
    <w:rsid w:val="006906E0"/>
    <w:rsid w:val="00691182"/>
    <w:rsid w:val="006911CF"/>
    <w:rsid w:val="00691641"/>
    <w:rsid w:val="00691C02"/>
    <w:rsid w:val="00692295"/>
    <w:rsid w:val="0069270D"/>
    <w:rsid w:val="006929E2"/>
    <w:rsid w:val="00692C86"/>
    <w:rsid w:val="006931E7"/>
    <w:rsid w:val="0069347B"/>
    <w:rsid w:val="00693597"/>
    <w:rsid w:val="006935A5"/>
    <w:rsid w:val="0069378F"/>
    <w:rsid w:val="006938A3"/>
    <w:rsid w:val="0069397B"/>
    <w:rsid w:val="00693CD2"/>
    <w:rsid w:val="0069407A"/>
    <w:rsid w:val="006940D9"/>
    <w:rsid w:val="006949A0"/>
    <w:rsid w:val="00694A1C"/>
    <w:rsid w:val="00694B3D"/>
    <w:rsid w:val="00694E1C"/>
    <w:rsid w:val="00695316"/>
    <w:rsid w:val="00695362"/>
    <w:rsid w:val="00695471"/>
    <w:rsid w:val="00695806"/>
    <w:rsid w:val="00695A55"/>
    <w:rsid w:val="00695BE1"/>
    <w:rsid w:val="00695E64"/>
    <w:rsid w:val="006962D3"/>
    <w:rsid w:val="00696CEA"/>
    <w:rsid w:val="0069717C"/>
    <w:rsid w:val="00697191"/>
    <w:rsid w:val="00697C38"/>
    <w:rsid w:val="00697ECA"/>
    <w:rsid w:val="006A0712"/>
    <w:rsid w:val="006A0D1F"/>
    <w:rsid w:val="006A1666"/>
    <w:rsid w:val="006A20EF"/>
    <w:rsid w:val="006A2F4B"/>
    <w:rsid w:val="006A3370"/>
    <w:rsid w:val="006A37E6"/>
    <w:rsid w:val="006A3816"/>
    <w:rsid w:val="006A3EA1"/>
    <w:rsid w:val="006A4668"/>
    <w:rsid w:val="006A4AD5"/>
    <w:rsid w:val="006A4E4F"/>
    <w:rsid w:val="006A514F"/>
    <w:rsid w:val="006A56D4"/>
    <w:rsid w:val="006A5814"/>
    <w:rsid w:val="006A5EC1"/>
    <w:rsid w:val="006A61D4"/>
    <w:rsid w:val="006A6511"/>
    <w:rsid w:val="006A6A10"/>
    <w:rsid w:val="006A6BDC"/>
    <w:rsid w:val="006A718F"/>
    <w:rsid w:val="006A76A8"/>
    <w:rsid w:val="006A783B"/>
    <w:rsid w:val="006A7ED9"/>
    <w:rsid w:val="006A7FC2"/>
    <w:rsid w:val="006B0384"/>
    <w:rsid w:val="006B08E9"/>
    <w:rsid w:val="006B0913"/>
    <w:rsid w:val="006B0AF4"/>
    <w:rsid w:val="006B0CE1"/>
    <w:rsid w:val="006B10D2"/>
    <w:rsid w:val="006B1291"/>
    <w:rsid w:val="006B1936"/>
    <w:rsid w:val="006B1B64"/>
    <w:rsid w:val="006B1E71"/>
    <w:rsid w:val="006B2440"/>
    <w:rsid w:val="006B24FD"/>
    <w:rsid w:val="006B2A06"/>
    <w:rsid w:val="006B2BCF"/>
    <w:rsid w:val="006B2CB4"/>
    <w:rsid w:val="006B2D12"/>
    <w:rsid w:val="006B2EA6"/>
    <w:rsid w:val="006B33BB"/>
    <w:rsid w:val="006B3C45"/>
    <w:rsid w:val="006B425F"/>
    <w:rsid w:val="006B4466"/>
    <w:rsid w:val="006B472B"/>
    <w:rsid w:val="006B489E"/>
    <w:rsid w:val="006B4F14"/>
    <w:rsid w:val="006B556A"/>
    <w:rsid w:val="006B57D7"/>
    <w:rsid w:val="006B5FA3"/>
    <w:rsid w:val="006B66BF"/>
    <w:rsid w:val="006B7349"/>
    <w:rsid w:val="006C0D6F"/>
    <w:rsid w:val="006C0DAC"/>
    <w:rsid w:val="006C0DBB"/>
    <w:rsid w:val="006C1737"/>
    <w:rsid w:val="006C3C26"/>
    <w:rsid w:val="006C446F"/>
    <w:rsid w:val="006C4983"/>
    <w:rsid w:val="006C5341"/>
    <w:rsid w:val="006C55B6"/>
    <w:rsid w:val="006C573A"/>
    <w:rsid w:val="006C5BD8"/>
    <w:rsid w:val="006C5EE3"/>
    <w:rsid w:val="006C61C3"/>
    <w:rsid w:val="006C624C"/>
    <w:rsid w:val="006C6464"/>
    <w:rsid w:val="006C65EF"/>
    <w:rsid w:val="006C669C"/>
    <w:rsid w:val="006C6926"/>
    <w:rsid w:val="006C70C4"/>
    <w:rsid w:val="006C724F"/>
    <w:rsid w:val="006C7778"/>
    <w:rsid w:val="006C7CE6"/>
    <w:rsid w:val="006C7D62"/>
    <w:rsid w:val="006D060E"/>
    <w:rsid w:val="006D0918"/>
    <w:rsid w:val="006D0D49"/>
    <w:rsid w:val="006D1025"/>
    <w:rsid w:val="006D1402"/>
    <w:rsid w:val="006D174E"/>
    <w:rsid w:val="006D191F"/>
    <w:rsid w:val="006D24FA"/>
    <w:rsid w:val="006D265B"/>
    <w:rsid w:val="006D4DAA"/>
    <w:rsid w:val="006D5528"/>
    <w:rsid w:val="006D5E39"/>
    <w:rsid w:val="006D5E44"/>
    <w:rsid w:val="006D692D"/>
    <w:rsid w:val="006D6A05"/>
    <w:rsid w:val="006D6C88"/>
    <w:rsid w:val="006D7469"/>
    <w:rsid w:val="006D7966"/>
    <w:rsid w:val="006E06A8"/>
    <w:rsid w:val="006E0BE6"/>
    <w:rsid w:val="006E1545"/>
    <w:rsid w:val="006E15A1"/>
    <w:rsid w:val="006E1B46"/>
    <w:rsid w:val="006E1C94"/>
    <w:rsid w:val="006E2346"/>
    <w:rsid w:val="006E2875"/>
    <w:rsid w:val="006E33C2"/>
    <w:rsid w:val="006E36A7"/>
    <w:rsid w:val="006E41F1"/>
    <w:rsid w:val="006E4253"/>
    <w:rsid w:val="006E451C"/>
    <w:rsid w:val="006E47BA"/>
    <w:rsid w:val="006E48EF"/>
    <w:rsid w:val="006E4FFE"/>
    <w:rsid w:val="006E53E0"/>
    <w:rsid w:val="006E543A"/>
    <w:rsid w:val="006E5585"/>
    <w:rsid w:val="006E6C93"/>
    <w:rsid w:val="006E7A12"/>
    <w:rsid w:val="006E7CBB"/>
    <w:rsid w:val="006E7D77"/>
    <w:rsid w:val="006F0299"/>
    <w:rsid w:val="006F0637"/>
    <w:rsid w:val="006F083A"/>
    <w:rsid w:val="006F153F"/>
    <w:rsid w:val="006F1616"/>
    <w:rsid w:val="006F1971"/>
    <w:rsid w:val="006F1C39"/>
    <w:rsid w:val="006F1D22"/>
    <w:rsid w:val="006F1DE8"/>
    <w:rsid w:val="006F201D"/>
    <w:rsid w:val="006F227C"/>
    <w:rsid w:val="006F252E"/>
    <w:rsid w:val="006F2C97"/>
    <w:rsid w:val="006F2E99"/>
    <w:rsid w:val="006F3276"/>
    <w:rsid w:val="006F32BC"/>
    <w:rsid w:val="006F32E0"/>
    <w:rsid w:val="006F33F5"/>
    <w:rsid w:val="006F390A"/>
    <w:rsid w:val="006F3EE2"/>
    <w:rsid w:val="006F41BB"/>
    <w:rsid w:val="006F4538"/>
    <w:rsid w:val="006F4865"/>
    <w:rsid w:val="006F4F00"/>
    <w:rsid w:val="006F50D3"/>
    <w:rsid w:val="006F577D"/>
    <w:rsid w:val="006F58BF"/>
    <w:rsid w:val="006F5BB6"/>
    <w:rsid w:val="006F5CA5"/>
    <w:rsid w:val="006F5D62"/>
    <w:rsid w:val="006F62E6"/>
    <w:rsid w:val="006F6A16"/>
    <w:rsid w:val="006F707E"/>
    <w:rsid w:val="006F7C14"/>
    <w:rsid w:val="0070097F"/>
    <w:rsid w:val="007009D4"/>
    <w:rsid w:val="00701179"/>
    <w:rsid w:val="007018E7"/>
    <w:rsid w:val="00701AAE"/>
    <w:rsid w:val="00701E18"/>
    <w:rsid w:val="00701EF4"/>
    <w:rsid w:val="00702CEB"/>
    <w:rsid w:val="00702E66"/>
    <w:rsid w:val="00702EC4"/>
    <w:rsid w:val="00703557"/>
    <w:rsid w:val="007035D1"/>
    <w:rsid w:val="00703FFA"/>
    <w:rsid w:val="007045B1"/>
    <w:rsid w:val="00704740"/>
    <w:rsid w:val="00704F7C"/>
    <w:rsid w:val="00705384"/>
    <w:rsid w:val="00705944"/>
    <w:rsid w:val="00705D3F"/>
    <w:rsid w:val="00706EBE"/>
    <w:rsid w:val="00710710"/>
    <w:rsid w:val="007108AE"/>
    <w:rsid w:val="00710900"/>
    <w:rsid w:val="0071134F"/>
    <w:rsid w:val="00711688"/>
    <w:rsid w:val="007117A9"/>
    <w:rsid w:val="007118C8"/>
    <w:rsid w:val="00711D64"/>
    <w:rsid w:val="00712147"/>
    <w:rsid w:val="00712BE6"/>
    <w:rsid w:val="00713254"/>
    <w:rsid w:val="007134A8"/>
    <w:rsid w:val="00713B2C"/>
    <w:rsid w:val="007142C3"/>
    <w:rsid w:val="00714AD4"/>
    <w:rsid w:val="00714D4A"/>
    <w:rsid w:val="00715037"/>
    <w:rsid w:val="007156EE"/>
    <w:rsid w:val="007157D5"/>
    <w:rsid w:val="00716731"/>
    <w:rsid w:val="007172E8"/>
    <w:rsid w:val="00720243"/>
    <w:rsid w:val="00720A53"/>
    <w:rsid w:val="00720A72"/>
    <w:rsid w:val="00722220"/>
    <w:rsid w:val="0072258F"/>
    <w:rsid w:val="00722A87"/>
    <w:rsid w:val="00722DB6"/>
    <w:rsid w:val="00722FE4"/>
    <w:rsid w:val="00723389"/>
    <w:rsid w:val="0072338B"/>
    <w:rsid w:val="00723498"/>
    <w:rsid w:val="0072369B"/>
    <w:rsid w:val="007237A3"/>
    <w:rsid w:val="007241A5"/>
    <w:rsid w:val="00724704"/>
    <w:rsid w:val="00724823"/>
    <w:rsid w:val="00724929"/>
    <w:rsid w:val="0072493F"/>
    <w:rsid w:val="00724EDD"/>
    <w:rsid w:val="00725D81"/>
    <w:rsid w:val="00725E27"/>
    <w:rsid w:val="00725F3D"/>
    <w:rsid w:val="0072627C"/>
    <w:rsid w:val="00727179"/>
    <w:rsid w:val="007272F3"/>
    <w:rsid w:val="00727609"/>
    <w:rsid w:val="007277DE"/>
    <w:rsid w:val="00727862"/>
    <w:rsid w:val="00727BF7"/>
    <w:rsid w:val="007302D9"/>
    <w:rsid w:val="007304FE"/>
    <w:rsid w:val="0073052C"/>
    <w:rsid w:val="00730A45"/>
    <w:rsid w:val="00730BDF"/>
    <w:rsid w:val="00730DDF"/>
    <w:rsid w:val="00730E7C"/>
    <w:rsid w:val="00730E8D"/>
    <w:rsid w:val="00730FAD"/>
    <w:rsid w:val="0073152F"/>
    <w:rsid w:val="00732123"/>
    <w:rsid w:val="007329C2"/>
    <w:rsid w:val="00732C1C"/>
    <w:rsid w:val="0073404C"/>
    <w:rsid w:val="0073497B"/>
    <w:rsid w:val="00734EAB"/>
    <w:rsid w:val="007355C2"/>
    <w:rsid w:val="007356F5"/>
    <w:rsid w:val="0073580A"/>
    <w:rsid w:val="00735B7D"/>
    <w:rsid w:val="007362DD"/>
    <w:rsid w:val="007364A6"/>
    <w:rsid w:val="0073720B"/>
    <w:rsid w:val="0073770B"/>
    <w:rsid w:val="00737740"/>
    <w:rsid w:val="00737E14"/>
    <w:rsid w:val="00737F5D"/>
    <w:rsid w:val="00740AF9"/>
    <w:rsid w:val="00740E49"/>
    <w:rsid w:val="00741243"/>
    <w:rsid w:val="007419D5"/>
    <w:rsid w:val="00741AA7"/>
    <w:rsid w:val="00742099"/>
    <w:rsid w:val="00743096"/>
    <w:rsid w:val="0074371E"/>
    <w:rsid w:val="00743BD7"/>
    <w:rsid w:val="00743DE6"/>
    <w:rsid w:val="00743E32"/>
    <w:rsid w:val="00743FDB"/>
    <w:rsid w:val="007441DA"/>
    <w:rsid w:val="007447CB"/>
    <w:rsid w:val="00744B7B"/>
    <w:rsid w:val="00744F3F"/>
    <w:rsid w:val="00745ADB"/>
    <w:rsid w:val="00745CF2"/>
    <w:rsid w:val="00745D4E"/>
    <w:rsid w:val="00745E55"/>
    <w:rsid w:val="00745EB0"/>
    <w:rsid w:val="00746B02"/>
    <w:rsid w:val="00746DD4"/>
    <w:rsid w:val="00746E41"/>
    <w:rsid w:val="0074760C"/>
    <w:rsid w:val="00747B36"/>
    <w:rsid w:val="00747D32"/>
    <w:rsid w:val="00747EAD"/>
    <w:rsid w:val="00747FFC"/>
    <w:rsid w:val="00750796"/>
    <w:rsid w:val="00750C9F"/>
    <w:rsid w:val="007510D5"/>
    <w:rsid w:val="00751190"/>
    <w:rsid w:val="007513A3"/>
    <w:rsid w:val="00752803"/>
    <w:rsid w:val="007532ED"/>
    <w:rsid w:val="007533C9"/>
    <w:rsid w:val="00753606"/>
    <w:rsid w:val="007538D4"/>
    <w:rsid w:val="00753999"/>
    <w:rsid w:val="007540D2"/>
    <w:rsid w:val="0075472F"/>
    <w:rsid w:val="00754A0E"/>
    <w:rsid w:val="0075514C"/>
    <w:rsid w:val="00755532"/>
    <w:rsid w:val="007558D8"/>
    <w:rsid w:val="00755B70"/>
    <w:rsid w:val="00755DD9"/>
    <w:rsid w:val="00755F0F"/>
    <w:rsid w:val="007562F5"/>
    <w:rsid w:val="00756A1A"/>
    <w:rsid w:val="00756A90"/>
    <w:rsid w:val="00760511"/>
    <w:rsid w:val="007606F7"/>
    <w:rsid w:val="00760744"/>
    <w:rsid w:val="007607CB"/>
    <w:rsid w:val="00760F64"/>
    <w:rsid w:val="007611F7"/>
    <w:rsid w:val="00761275"/>
    <w:rsid w:val="0076190D"/>
    <w:rsid w:val="00761BF4"/>
    <w:rsid w:val="00761DE9"/>
    <w:rsid w:val="00761E6D"/>
    <w:rsid w:val="00761EDC"/>
    <w:rsid w:val="0076204E"/>
    <w:rsid w:val="007620E0"/>
    <w:rsid w:val="0076225C"/>
    <w:rsid w:val="007623E6"/>
    <w:rsid w:val="00762668"/>
    <w:rsid w:val="00762838"/>
    <w:rsid w:val="007628F9"/>
    <w:rsid w:val="0076295D"/>
    <w:rsid w:val="007632B5"/>
    <w:rsid w:val="00763761"/>
    <w:rsid w:val="00763819"/>
    <w:rsid w:val="007639BA"/>
    <w:rsid w:val="00763BE5"/>
    <w:rsid w:val="00763C9C"/>
    <w:rsid w:val="00764197"/>
    <w:rsid w:val="007642F6"/>
    <w:rsid w:val="00764DB6"/>
    <w:rsid w:val="00764F10"/>
    <w:rsid w:val="0076507D"/>
    <w:rsid w:val="007669D4"/>
    <w:rsid w:val="00766DC9"/>
    <w:rsid w:val="0076739D"/>
    <w:rsid w:val="00767A8B"/>
    <w:rsid w:val="00767A96"/>
    <w:rsid w:val="00767A9E"/>
    <w:rsid w:val="00767FF5"/>
    <w:rsid w:val="007702A2"/>
    <w:rsid w:val="00770DCA"/>
    <w:rsid w:val="00770F76"/>
    <w:rsid w:val="00771140"/>
    <w:rsid w:val="00771CA9"/>
    <w:rsid w:val="00772D7B"/>
    <w:rsid w:val="00772FD0"/>
    <w:rsid w:val="0077305C"/>
    <w:rsid w:val="0077335B"/>
    <w:rsid w:val="00774612"/>
    <w:rsid w:val="00774629"/>
    <w:rsid w:val="00774739"/>
    <w:rsid w:val="00774F27"/>
    <w:rsid w:val="00775282"/>
    <w:rsid w:val="0077546D"/>
    <w:rsid w:val="0077555A"/>
    <w:rsid w:val="0077720B"/>
    <w:rsid w:val="0077728F"/>
    <w:rsid w:val="007774F1"/>
    <w:rsid w:val="00777883"/>
    <w:rsid w:val="00777B97"/>
    <w:rsid w:val="0078032F"/>
    <w:rsid w:val="007811BB"/>
    <w:rsid w:val="007811E6"/>
    <w:rsid w:val="00781733"/>
    <w:rsid w:val="00781E6B"/>
    <w:rsid w:val="007827C0"/>
    <w:rsid w:val="00782807"/>
    <w:rsid w:val="00782D3E"/>
    <w:rsid w:val="007839BF"/>
    <w:rsid w:val="00783EEC"/>
    <w:rsid w:val="0078430A"/>
    <w:rsid w:val="00784A3F"/>
    <w:rsid w:val="00784F7A"/>
    <w:rsid w:val="0078533D"/>
    <w:rsid w:val="007855E5"/>
    <w:rsid w:val="0078623F"/>
    <w:rsid w:val="007864BF"/>
    <w:rsid w:val="00786555"/>
    <w:rsid w:val="00786BD3"/>
    <w:rsid w:val="007871AA"/>
    <w:rsid w:val="007876A3"/>
    <w:rsid w:val="00791090"/>
    <w:rsid w:val="00791F7F"/>
    <w:rsid w:val="00791F98"/>
    <w:rsid w:val="007925F2"/>
    <w:rsid w:val="007932F0"/>
    <w:rsid w:val="00793351"/>
    <w:rsid w:val="00793396"/>
    <w:rsid w:val="0079343B"/>
    <w:rsid w:val="00793E44"/>
    <w:rsid w:val="0079402E"/>
    <w:rsid w:val="0079416A"/>
    <w:rsid w:val="00794A85"/>
    <w:rsid w:val="00795C4B"/>
    <w:rsid w:val="00796964"/>
    <w:rsid w:val="007969B1"/>
    <w:rsid w:val="00796A15"/>
    <w:rsid w:val="00797E42"/>
    <w:rsid w:val="007A0DF2"/>
    <w:rsid w:val="007A0F44"/>
    <w:rsid w:val="007A164C"/>
    <w:rsid w:val="007A1948"/>
    <w:rsid w:val="007A1970"/>
    <w:rsid w:val="007A19F1"/>
    <w:rsid w:val="007A1EC1"/>
    <w:rsid w:val="007A212B"/>
    <w:rsid w:val="007A214F"/>
    <w:rsid w:val="007A2561"/>
    <w:rsid w:val="007A25CB"/>
    <w:rsid w:val="007A2994"/>
    <w:rsid w:val="007A299E"/>
    <w:rsid w:val="007A30BC"/>
    <w:rsid w:val="007A3DFB"/>
    <w:rsid w:val="007A3ED0"/>
    <w:rsid w:val="007A3F74"/>
    <w:rsid w:val="007A4229"/>
    <w:rsid w:val="007A43CD"/>
    <w:rsid w:val="007A47FD"/>
    <w:rsid w:val="007A4A73"/>
    <w:rsid w:val="007A4D59"/>
    <w:rsid w:val="007A4FFA"/>
    <w:rsid w:val="007A5079"/>
    <w:rsid w:val="007A624D"/>
    <w:rsid w:val="007A6B39"/>
    <w:rsid w:val="007A6FF0"/>
    <w:rsid w:val="007A76CD"/>
    <w:rsid w:val="007A775B"/>
    <w:rsid w:val="007A79A1"/>
    <w:rsid w:val="007A7E46"/>
    <w:rsid w:val="007B01A5"/>
    <w:rsid w:val="007B0591"/>
    <w:rsid w:val="007B09EC"/>
    <w:rsid w:val="007B11F4"/>
    <w:rsid w:val="007B17D3"/>
    <w:rsid w:val="007B1CA1"/>
    <w:rsid w:val="007B1F24"/>
    <w:rsid w:val="007B228F"/>
    <w:rsid w:val="007B22D2"/>
    <w:rsid w:val="007B2B28"/>
    <w:rsid w:val="007B3105"/>
    <w:rsid w:val="007B3163"/>
    <w:rsid w:val="007B33BE"/>
    <w:rsid w:val="007B3427"/>
    <w:rsid w:val="007B37D0"/>
    <w:rsid w:val="007B39DB"/>
    <w:rsid w:val="007B3DC9"/>
    <w:rsid w:val="007B3E26"/>
    <w:rsid w:val="007B3EF0"/>
    <w:rsid w:val="007B4CA5"/>
    <w:rsid w:val="007B4D57"/>
    <w:rsid w:val="007B5D6E"/>
    <w:rsid w:val="007B6314"/>
    <w:rsid w:val="007B63DA"/>
    <w:rsid w:val="007B67B7"/>
    <w:rsid w:val="007B6F05"/>
    <w:rsid w:val="007B71CD"/>
    <w:rsid w:val="007B71ED"/>
    <w:rsid w:val="007B74EE"/>
    <w:rsid w:val="007B7736"/>
    <w:rsid w:val="007B7CD6"/>
    <w:rsid w:val="007C0659"/>
    <w:rsid w:val="007C0AA0"/>
    <w:rsid w:val="007C0E53"/>
    <w:rsid w:val="007C1044"/>
    <w:rsid w:val="007C14F2"/>
    <w:rsid w:val="007C1D2F"/>
    <w:rsid w:val="007C1D8F"/>
    <w:rsid w:val="007C1E8A"/>
    <w:rsid w:val="007C2353"/>
    <w:rsid w:val="007C242C"/>
    <w:rsid w:val="007C2478"/>
    <w:rsid w:val="007C257A"/>
    <w:rsid w:val="007C2587"/>
    <w:rsid w:val="007C310E"/>
    <w:rsid w:val="007C332F"/>
    <w:rsid w:val="007C359A"/>
    <w:rsid w:val="007C36B5"/>
    <w:rsid w:val="007C3951"/>
    <w:rsid w:val="007C3996"/>
    <w:rsid w:val="007C3B58"/>
    <w:rsid w:val="007C3CFD"/>
    <w:rsid w:val="007C43D9"/>
    <w:rsid w:val="007C43F7"/>
    <w:rsid w:val="007C472B"/>
    <w:rsid w:val="007C4B8A"/>
    <w:rsid w:val="007C4D08"/>
    <w:rsid w:val="007C52CE"/>
    <w:rsid w:val="007C5488"/>
    <w:rsid w:val="007C5EAD"/>
    <w:rsid w:val="007C6033"/>
    <w:rsid w:val="007C6A84"/>
    <w:rsid w:val="007C7D93"/>
    <w:rsid w:val="007D0312"/>
    <w:rsid w:val="007D0C65"/>
    <w:rsid w:val="007D1401"/>
    <w:rsid w:val="007D1460"/>
    <w:rsid w:val="007D1BAC"/>
    <w:rsid w:val="007D1E02"/>
    <w:rsid w:val="007D1E0B"/>
    <w:rsid w:val="007D22A2"/>
    <w:rsid w:val="007D25E6"/>
    <w:rsid w:val="007D261C"/>
    <w:rsid w:val="007D274D"/>
    <w:rsid w:val="007D2D91"/>
    <w:rsid w:val="007D3235"/>
    <w:rsid w:val="007D34B3"/>
    <w:rsid w:val="007D41AC"/>
    <w:rsid w:val="007D42DE"/>
    <w:rsid w:val="007D44B1"/>
    <w:rsid w:val="007D4989"/>
    <w:rsid w:val="007D4C00"/>
    <w:rsid w:val="007D5357"/>
    <w:rsid w:val="007D5772"/>
    <w:rsid w:val="007D5CF4"/>
    <w:rsid w:val="007D5EC3"/>
    <w:rsid w:val="007D60C7"/>
    <w:rsid w:val="007D6272"/>
    <w:rsid w:val="007D6335"/>
    <w:rsid w:val="007D68A9"/>
    <w:rsid w:val="007D6AD5"/>
    <w:rsid w:val="007D6DC6"/>
    <w:rsid w:val="007D7085"/>
    <w:rsid w:val="007D78F9"/>
    <w:rsid w:val="007D791D"/>
    <w:rsid w:val="007D7F88"/>
    <w:rsid w:val="007D7FDF"/>
    <w:rsid w:val="007E06B7"/>
    <w:rsid w:val="007E0742"/>
    <w:rsid w:val="007E07CA"/>
    <w:rsid w:val="007E088C"/>
    <w:rsid w:val="007E0A6E"/>
    <w:rsid w:val="007E1296"/>
    <w:rsid w:val="007E1392"/>
    <w:rsid w:val="007E15CD"/>
    <w:rsid w:val="007E1672"/>
    <w:rsid w:val="007E17A7"/>
    <w:rsid w:val="007E1CCC"/>
    <w:rsid w:val="007E2560"/>
    <w:rsid w:val="007E2E10"/>
    <w:rsid w:val="007E383F"/>
    <w:rsid w:val="007E403D"/>
    <w:rsid w:val="007E4291"/>
    <w:rsid w:val="007E43E6"/>
    <w:rsid w:val="007E482D"/>
    <w:rsid w:val="007E4AD2"/>
    <w:rsid w:val="007E4B6C"/>
    <w:rsid w:val="007E4E55"/>
    <w:rsid w:val="007E53E4"/>
    <w:rsid w:val="007E607C"/>
    <w:rsid w:val="007E6203"/>
    <w:rsid w:val="007E6533"/>
    <w:rsid w:val="007E66E4"/>
    <w:rsid w:val="007E71CA"/>
    <w:rsid w:val="007E738B"/>
    <w:rsid w:val="007E7569"/>
    <w:rsid w:val="007E7723"/>
    <w:rsid w:val="007F0860"/>
    <w:rsid w:val="007F0AFA"/>
    <w:rsid w:val="007F0B4B"/>
    <w:rsid w:val="007F0D21"/>
    <w:rsid w:val="007F14D2"/>
    <w:rsid w:val="007F1771"/>
    <w:rsid w:val="007F1A58"/>
    <w:rsid w:val="007F1A7A"/>
    <w:rsid w:val="007F1A90"/>
    <w:rsid w:val="007F1B5D"/>
    <w:rsid w:val="007F208F"/>
    <w:rsid w:val="007F26C5"/>
    <w:rsid w:val="007F26D1"/>
    <w:rsid w:val="007F2762"/>
    <w:rsid w:val="007F2CF2"/>
    <w:rsid w:val="007F2E24"/>
    <w:rsid w:val="007F302E"/>
    <w:rsid w:val="007F33F0"/>
    <w:rsid w:val="007F3717"/>
    <w:rsid w:val="007F3BB2"/>
    <w:rsid w:val="007F3ED1"/>
    <w:rsid w:val="007F4472"/>
    <w:rsid w:val="007F485B"/>
    <w:rsid w:val="007F498E"/>
    <w:rsid w:val="007F55D4"/>
    <w:rsid w:val="007F5AC2"/>
    <w:rsid w:val="007F5D80"/>
    <w:rsid w:val="007F66F6"/>
    <w:rsid w:val="007F72EF"/>
    <w:rsid w:val="007F758E"/>
    <w:rsid w:val="007F7936"/>
    <w:rsid w:val="007F7E82"/>
    <w:rsid w:val="0080038A"/>
    <w:rsid w:val="00800607"/>
    <w:rsid w:val="00800E06"/>
    <w:rsid w:val="008011C0"/>
    <w:rsid w:val="00801460"/>
    <w:rsid w:val="008014C0"/>
    <w:rsid w:val="0080264C"/>
    <w:rsid w:val="00802C33"/>
    <w:rsid w:val="0080360C"/>
    <w:rsid w:val="008038A9"/>
    <w:rsid w:val="00803B91"/>
    <w:rsid w:val="0080406F"/>
    <w:rsid w:val="00804CEE"/>
    <w:rsid w:val="00804E83"/>
    <w:rsid w:val="00805135"/>
    <w:rsid w:val="00805291"/>
    <w:rsid w:val="0080544E"/>
    <w:rsid w:val="008058FE"/>
    <w:rsid w:val="00805C0B"/>
    <w:rsid w:val="00806739"/>
    <w:rsid w:val="008068A1"/>
    <w:rsid w:val="00806B94"/>
    <w:rsid w:val="0080731E"/>
    <w:rsid w:val="008101A7"/>
    <w:rsid w:val="00810319"/>
    <w:rsid w:val="00810C4A"/>
    <w:rsid w:val="00810E3C"/>
    <w:rsid w:val="0081108B"/>
    <w:rsid w:val="0081158E"/>
    <w:rsid w:val="00811B23"/>
    <w:rsid w:val="0081246C"/>
    <w:rsid w:val="008127DD"/>
    <w:rsid w:val="00812ADB"/>
    <w:rsid w:val="00812BB9"/>
    <w:rsid w:val="00813089"/>
    <w:rsid w:val="00813F60"/>
    <w:rsid w:val="00813FAD"/>
    <w:rsid w:val="00814057"/>
    <w:rsid w:val="0081433B"/>
    <w:rsid w:val="00814606"/>
    <w:rsid w:val="008147E8"/>
    <w:rsid w:val="00814887"/>
    <w:rsid w:val="008154E9"/>
    <w:rsid w:val="00815CA8"/>
    <w:rsid w:val="00816050"/>
    <w:rsid w:val="008160C4"/>
    <w:rsid w:val="00816AE2"/>
    <w:rsid w:val="00816D59"/>
    <w:rsid w:val="00817975"/>
    <w:rsid w:val="00817989"/>
    <w:rsid w:val="00817B00"/>
    <w:rsid w:val="00817F66"/>
    <w:rsid w:val="00820102"/>
    <w:rsid w:val="00820983"/>
    <w:rsid w:val="00820AEE"/>
    <w:rsid w:val="00820B29"/>
    <w:rsid w:val="008218A1"/>
    <w:rsid w:val="00821EAD"/>
    <w:rsid w:val="0082203B"/>
    <w:rsid w:val="0082209E"/>
    <w:rsid w:val="00822106"/>
    <w:rsid w:val="0082376B"/>
    <w:rsid w:val="008239D1"/>
    <w:rsid w:val="00823D9A"/>
    <w:rsid w:val="00824517"/>
    <w:rsid w:val="0082470C"/>
    <w:rsid w:val="00824AD7"/>
    <w:rsid w:val="00824BED"/>
    <w:rsid w:val="00825484"/>
    <w:rsid w:val="008254BC"/>
    <w:rsid w:val="008254EB"/>
    <w:rsid w:val="008260FF"/>
    <w:rsid w:val="00826359"/>
    <w:rsid w:val="008265A6"/>
    <w:rsid w:val="00826BBB"/>
    <w:rsid w:val="0082725D"/>
    <w:rsid w:val="00827B43"/>
    <w:rsid w:val="00830694"/>
    <w:rsid w:val="00830BF9"/>
    <w:rsid w:val="00831A0C"/>
    <w:rsid w:val="0083235B"/>
    <w:rsid w:val="00832475"/>
    <w:rsid w:val="008331E4"/>
    <w:rsid w:val="0083389C"/>
    <w:rsid w:val="00833B26"/>
    <w:rsid w:val="00833B79"/>
    <w:rsid w:val="00833CD4"/>
    <w:rsid w:val="00834642"/>
    <w:rsid w:val="00834D13"/>
    <w:rsid w:val="00835147"/>
    <w:rsid w:val="00836031"/>
    <w:rsid w:val="0083612F"/>
    <w:rsid w:val="0083662B"/>
    <w:rsid w:val="008370BE"/>
    <w:rsid w:val="008371C2"/>
    <w:rsid w:val="00837C2A"/>
    <w:rsid w:val="008400BA"/>
    <w:rsid w:val="0084077B"/>
    <w:rsid w:val="008407CF"/>
    <w:rsid w:val="00840CB8"/>
    <w:rsid w:val="00840D6B"/>
    <w:rsid w:val="00840FFE"/>
    <w:rsid w:val="00842BAC"/>
    <w:rsid w:val="00842BFF"/>
    <w:rsid w:val="00843B8B"/>
    <w:rsid w:val="0084453D"/>
    <w:rsid w:val="008445E3"/>
    <w:rsid w:val="00844A43"/>
    <w:rsid w:val="008460BA"/>
    <w:rsid w:val="00846431"/>
    <w:rsid w:val="00846491"/>
    <w:rsid w:val="008469CF"/>
    <w:rsid w:val="00846AFD"/>
    <w:rsid w:val="00846CA1"/>
    <w:rsid w:val="00846E1E"/>
    <w:rsid w:val="00847265"/>
    <w:rsid w:val="00847496"/>
    <w:rsid w:val="008478B5"/>
    <w:rsid w:val="008479CD"/>
    <w:rsid w:val="008506E0"/>
    <w:rsid w:val="00850880"/>
    <w:rsid w:val="00850A10"/>
    <w:rsid w:val="008513AB"/>
    <w:rsid w:val="00851BFC"/>
    <w:rsid w:val="00851EE9"/>
    <w:rsid w:val="00851FA0"/>
    <w:rsid w:val="008522EF"/>
    <w:rsid w:val="0085249E"/>
    <w:rsid w:val="0085263F"/>
    <w:rsid w:val="0085298C"/>
    <w:rsid w:val="00852B50"/>
    <w:rsid w:val="0085330D"/>
    <w:rsid w:val="00853449"/>
    <w:rsid w:val="008539FA"/>
    <w:rsid w:val="008542D3"/>
    <w:rsid w:val="00854567"/>
    <w:rsid w:val="0085495F"/>
    <w:rsid w:val="00854CF5"/>
    <w:rsid w:val="00854E01"/>
    <w:rsid w:val="00855881"/>
    <w:rsid w:val="00855CBD"/>
    <w:rsid w:val="00855E94"/>
    <w:rsid w:val="008570BF"/>
    <w:rsid w:val="00857729"/>
    <w:rsid w:val="008579A0"/>
    <w:rsid w:val="00860539"/>
    <w:rsid w:val="008606D7"/>
    <w:rsid w:val="008607DB"/>
    <w:rsid w:val="00860F4A"/>
    <w:rsid w:val="00861E1B"/>
    <w:rsid w:val="0086218F"/>
    <w:rsid w:val="008622D5"/>
    <w:rsid w:val="008625A9"/>
    <w:rsid w:val="00862787"/>
    <w:rsid w:val="0086317A"/>
    <w:rsid w:val="008633F3"/>
    <w:rsid w:val="0086346A"/>
    <w:rsid w:val="0086401E"/>
    <w:rsid w:val="00864280"/>
    <w:rsid w:val="0086457B"/>
    <w:rsid w:val="00864A2C"/>
    <w:rsid w:val="008652BB"/>
    <w:rsid w:val="00865393"/>
    <w:rsid w:val="0086559C"/>
    <w:rsid w:val="00865673"/>
    <w:rsid w:val="008658C3"/>
    <w:rsid w:val="008659E0"/>
    <w:rsid w:val="008661D9"/>
    <w:rsid w:val="008662B8"/>
    <w:rsid w:val="008664CC"/>
    <w:rsid w:val="008664FD"/>
    <w:rsid w:val="008669DA"/>
    <w:rsid w:val="00866D65"/>
    <w:rsid w:val="00866E92"/>
    <w:rsid w:val="00866F3E"/>
    <w:rsid w:val="00867027"/>
    <w:rsid w:val="008677B0"/>
    <w:rsid w:val="008679F4"/>
    <w:rsid w:val="00867C6C"/>
    <w:rsid w:val="00867F1B"/>
    <w:rsid w:val="008705CA"/>
    <w:rsid w:val="008707AE"/>
    <w:rsid w:val="00870827"/>
    <w:rsid w:val="008710BC"/>
    <w:rsid w:val="008712BD"/>
    <w:rsid w:val="008712E4"/>
    <w:rsid w:val="008718A6"/>
    <w:rsid w:val="008718DB"/>
    <w:rsid w:val="0087196A"/>
    <w:rsid w:val="0087244D"/>
    <w:rsid w:val="0087265C"/>
    <w:rsid w:val="00872F2D"/>
    <w:rsid w:val="00873234"/>
    <w:rsid w:val="008732C6"/>
    <w:rsid w:val="00873601"/>
    <w:rsid w:val="008739D6"/>
    <w:rsid w:val="00874A03"/>
    <w:rsid w:val="00875169"/>
    <w:rsid w:val="00875428"/>
    <w:rsid w:val="0087560C"/>
    <w:rsid w:val="008756EC"/>
    <w:rsid w:val="00875AD5"/>
    <w:rsid w:val="0087667D"/>
    <w:rsid w:val="008767EC"/>
    <w:rsid w:val="00876B01"/>
    <w:rsid w:val="008770E3"/>
    <w:rsid w:val="00877363"/>
    <w:rsid w:val="008773EA"/>
    <w:rsid w:val="008776E5"/>
    <w:rsid w:val="0087781F"/>
    <w:rsid w:val="00877C0E"/>
    <w:rsid w:val="0088014D"/>
    <w:rsid w:val="0088062B"/>
    <w:rsid w:val="00880E24"/>
    <w:rsid w:val="008811DD"/>
    <w:rsid w:val="0088132A"/>
    <w:rsid w:val="00881BC8"/>
    <w:rsid w:val="00881CF4"/>
    <w:rsid w:val="0088242C"/>
    <w:rsid w:val="00882B73"/>
    <w:rsid w:val="00882C9E"/>
    <w:rsid w:val="00882D3F"/>
    <w:rsid w:val="0088342B"/>
    <w:rsid w:val="00883616"/>
    <w:rsid w:val="00883CD2"/>
    <w:rsid w:val="00884A89"/>
    <w:rsid w:val="00885CDA"/>
    <w:rsid w:val="008860F8"/>
    <w:rsid w:val="00886787"/>
    <w:rsid w:val="0088708C"/>
    <w:rsid w:val="0088763B"/>
    <w:rsid w:val="00887831"/>
    <w:rsid w:val="008879CA"/>
    <w:rsid w:val="00887A33"/>
    <w:rsid w:val="00890588"/>
    <w:rsid w:val="00890663"/>
    <w:rsid w:val="0089088E"/>
    <w:rsid w:val="0089099A"/>
    <w:rsid w:val="008909D1"/>
    <w:rsid w:val="00890DDB"/>
    <w:rsid w:val="0089127E"/>
    <w:rsid w:val="00891458"/>
    <w:rsid w:val="00891464"/>
    <w:rsid w:val="0089205E"/>
    <w:rsid w:val="0089326D"/>
    <w:rsid w:val="008939A2"/>
    <w:rsid w:val="00893FF4"/>
    <w:rsid w:val="00894006"/>
    <w:rsid w:val="00894DD2"/>
    <w:rsid w:val="008950B6"/>
    <w:rsid w:val="008950DC"/>
    <w:rsid w:val="008959FF"/>
    <w:rsid w:val="00895A0B"/>
    <w:rsid w:val="00895A0F"/>
    <w:rsid w:val="00896173"/>
    <w:rsid w:val="00896A63"/>
    <w:rsid w:val="00896E15"/>
    <w:rsid w:val="00897B74"/>
    <w:rsid w:val="00897D49"/>
    <w:rsid w:val="008A082D"/>
    <w:rsid w:val="008A0A89"/>
    <w:rsid w:val="008A0E1C"/>
    <w:rsid w:val="008A14A2"/>
    <w:rsid w:val="008A157A"/>
    <w:rsid w:val="008A2296"/>
    <w:rsid w:val="008A2313"/>
    <w:rsid w:val="008A2E85"/>
    <w:rsid w:val="008A37AD"/>
    <w:rsid w:val="008A3C89"/>
    <w:rsid w:val="008A3DDF"/>
    <w:rsid w:val="008A3DEE"/>
    <w:rsid w:val="008A3ED8"/>
    <w:rsid w:val="008A4017"/>
    <w:rsid w:val="008A43D1"/>
    <w:rsid w:val="008A44CE"/>
    <w:rsid w:val="008A48BC"/>
    <w:rsid w:val="008A48EE"/>
    <w:rsid w:val="008A4E30"/>
    <w:rsid w:val="008A4F87"/>
    <w:rsid w:val="008A4F8E"/>
    <w:rsid w:val="008A50B1"/>
    <w:rsid w:val="008A5868"/>
    <w:rsid w:val="008A5A14"/>
    <w:rsid w:val="008A63F8"/>
    <w:rsid w:val="008A6DC6"/>
    <w:rsid w:val="008A6E93"/>
    <w:rsid w:val="008A70E2"/>
    <w:rsid w:val="008A7948"/>
    <w:rsid w:val="008B0024"/>
    <w:rsid w:val="008B0FEE"/>
    <w:rsid w:val="008B12EA"/>
    <w:rsid w:val="008B137A"/>
    <w:rsid w:val="008B1653"/>
    <w:rsid w:val="008B1B34"/>
    <w:rsid w:val="008B1FFA"/>
    <w:rsid w:val="008B2166"/>
    <w:rsid w:val="008B22CE"/>
    <w:rsid w:val="008B244C"/>
    <w:rsid w:val="008B2588"/>
    <w:rsid w:val="008B25AB"/>
    <w:rsid w:val="008B27E8"/>
    <w:rsid w:val="008B2A3E"/>
    <w:rsid w:val="008B2B7F"/>
    <w:rsid w:val="008B2FFB"/>
    <w:rsid w:val="008B30D0"/>
    <w:rsid w:val="008B394B"/>
    <w:rsid w:val="008B3CB7"/>
    <w:rsid w:val="008B44A3"/>
    <w:rsid w:val="008B4C2A"/>
    <w:rsid w:val="008B4CCD"/>
    <w:rsid w:val="008B4E09"/>
    <w:rsid w:val="008B522C"/>
    <w:rsid w:val="008B5801"/>
    <w:rsid w:val="008B5805"/>
    <w:rsid w:val="008B61A3"/>
    <w:rsid w:val="008B62D4"/>
    <w:rsid w:val="008B62E8"/>
    <w:rsid w:val="008B6925"/>
    <w:rsid w:val="008B6C95"/>
    <w:rsid w:val="008B6E8E"/>
    <w:rsid w:val="008B70E4"/>
    <w:rsid w:val="008B7508"/>
    <w:rsid w:val="008B77DB"/>
    <w:rsid w:val="008B7928"/>
    <w:rsid w:val="008B7954"/>
    <w:rsid w:val="008B7B3C"/>
    <w:rsid w:val="008B7D84"/>
    <w:rsid w:val="008B7F55"/>
    <w:rsid w:val="008C00F1"/>
    <w:rsid w:val="008C05CB"/>
    <w:rsid w:val="008C0787"/>
    <w:rsid w:val="008C182C"/>
    <w:rsid w:val="008C1B72"/>
    <w:rsid w:val="008C1C32"/>
    <w:rsid w:val="008C2674"/>
    <w:rsid w:val="008C28C0"/>
    <w:rsid w:val="008C2DE5"/>
    <w:rsid w:val="008C400B"/>
    <w:rsid w:val="008C46F5"/>
    <w:rsid w:val="008C47BE"/>
    <w:rsid w:val="008C4895"/>
    <w:rsid w:val="008C5597"/>
    <w:rsid w:val="008C5D8E"/>
    <w:rsid w:val="008C5F6A"/>
    <w:rsid w:val="008C6494"/>
    <w:rsid w:val="008C6683"/>
    <w:rsid w:val="008C6C93"/>
    <w:rsid w:val="008C6D99"/>
    <w:rsid w:val="008C70D4"/>
    <w:rsid w:val="008C7484"/>
    <w:rsid w:val="008C7C3F"/>
    <w:rsid w:val="008C7D52"/>
    <w:rsid w:val="008C7EDC"/>
    <w:rsid w:val="008D062D"/>
    <w:rsid w:val="008D0951"/>
    <w:rsid w:val="008D099E"/>
    <w:rsid w:val="008D151E"/>
    <w:rsid w:val="008D18C8"/>
    <w:rsid w:val="008D1B62"/>
    <w:rsid w:val="008D2ACD"/>
    <w:rsid w:val="008D2BC9"/>
    <w:rsid w:val="008D2D41"/>
    <w:rsid w:val="008D31C3"/>
    <w:rsid w:val="008D3BF0"/>
    <w:rsid w:val="008D3D23"/>
    <w:rsid w:val="008D417B"/>
    <w:rsid w:val="008D4431"/>
    <w:rsid w:val="008D4A1A"/>
    <w:rsid w:val="008D4C95"/>
    <w:rsid w:val="008D4E59"/>
    <w:rsid w:val="008D517F"/>
    <w:rsid w:val="008D557A"/>
    <w:rsid w:val="008D5D43"/>
    <w:rsid w:val="008D6040"/>
    <w:rsid w:val="008D7201"/>
    <w:rsid w:val="008D7520"/>
    <w:rsid w:val="008D7A2E"/>
    <w:rsid w:val="008D7A92"/>
    <w:rsid w:val="008D7B3F"/>
    <w:rsid w:val="008D7B9E"/>
    <w:rsid w:val="008E052C"/>
    <w:rsid w:val="008E06EF"/>
    <w:rsid w:val="008E095A"/>
    <w:rsid w:val="008E0E89"/>
    <w:rsid w:val="008E0F4A"/>
    <w:rsid w:val="008E259F"/>
    <w:rsid w:val="008E25B4"/>
    <w:rsid w:val="008E2BB0"/>
    <w:rsid w:val="008E2BFD"/>
    <w:rsid w:val="008E371E"/>
    <w:rsid w:val="008E37E2"/>
    <w:rsid w:val="008E40A3"/>
    <w:rsid w:val="008E447C"/>
    <w:rsid w:val="008E471E"/>
    <w:rsid w:val="008E56F6"/>
    <w:rsid w:val="008E57C3"/>
    <w:rsid w:val="008E6006"/>
    <w:rsid w:val="008E6292"/>
    <w:rsid w:val="008E63B2"/>
    <w:rsid w:val="008E64E7"/>
    <w:rsid w:val="008E6760"/>
    <w:rsid w:val="008E6E53"/>
    <w:rsid w:val="008E6FCD"/>
    <w:rsid w:val="008E76EA"/>
    <w:rsid w:val="008E7E08"/>
    <w:rsid w:val="008F0710"/>
    <w:rsid w:val="008F0994"/>
    <w:rsid w:val="008F0B61"/>
    <w:rsid w:val="008F0C8F"/>
    <w:rsid w:val="008F0FD2"/>
    <w:rsid w:val="008F11F7"/>
    <w:rsid w:val="008F1235"/>
    <w:rsid w:val="008F17B4"/>
    <w:rsid w:val="008F189A"/>
    <w:rsid w:val="008F2166"/>
    <w:rsid w:val="008F2331"/>
    <w:rsid w:val="008F2439"/>
    <w:rsid w:val="008F2460"/>
    <w:rsid w:val="008F2C7F"/>
    <w:rsid w:val="008F2DE1"/>
    <w:rsid w:val="008F33D5"/>
    <w:rsid w:val="008F351F"/>
    <w:rsid w:val="008F3557"/>
    <w:rsid w:val="008F37F0"/>
    <w:rsid w:val="008F4332"/>
    <w:rsid w:val="008F47C0"/>
    <w:rsid w:val="008F54EF"/>
    <w:rsid w:val="008F573C"/>
    <w:rsid w:val="008F6C6C"/>
    <w:rsid w:val="008F6F74"/>
    <w:rsid w:val="008F7141"/>
    <w:rsid w:val="008F7175"/>
    <w:rsid w:val="008F7215"/>
    <w:rsid w:val="008F7513"/>
    <w:rsid w:val="008F7767"/>
    <w:rsid w:val="008F7BB5"/>
    <w:rsid w:val="009002E1"/>
    <w:rsid w:val="00900361"/>
    <w:rsid w:val="0090070D"/>
    <w:rsid w:val="00901722"/>
    <w:rsid w:val="00901A62"/>
    <w:rsid w:val="009022C6"/>
    <w:rsid w:val="00902471"/>
    <w:rsid w:val="00902510"/>
    <w:rsid w:val="00902BD1"/>
    <w:rsid w:val="009033D3"/>
    <w:rsid w:val="00904162"/>
    <w:rsid w:val="00904636"/>
    <w:rsid w:val="00904707"/>
    <w:rsid w:val="00904AA0"/>
    <w:rsid w:val="00904AD0"/>
    <w:rsid w:val="00904CA9"/>
    <w:rsid w:val="0090599C"/>
    <w:rsid w:val="00905C64"/>
    <w:rsid w:val="00905D2A"/>
    <w:rsid w:val="00905F94"/>
    <w:rsid w:val="00906896"/>
    <w:rsid w:val="00906B97"/>
    <w:rsid w:val="009104E3"/>
    <w:rsid w:val="00910547"/>
    <w:rsid w:val="009109CC"/>
    <w:rsid w:val="00910B7D"/>
    <w:rsid w:val="00910CDC"/>
    <w:rsid w:val="00910D3F"/>
    <w:rsid w:val="00911334"/>
    <w:rsid w:val="00911382"/>
    <w:rsid w:val="009113B4"/>
    <w:rsid w:val="00911599"/>
    <w:rsid w:val="00911998"/>
    <w:rsid w:val="00911FFD"/>
    <w:rsid w:val="009121B1"/>
    <w:rsid w:val="009128C4"/>
    <w:rsid w:val="009138C9"/>
    <w:rsid w:val="00914622"/>
    <w:rsid w:val="0091484D"/>
    <w:rsid w:val="00914BFA"/>
    <w:rsid w:val="00915742"/>
    <w:rsid w:val="009159D2"/>
    <w:rsid w:val="00915E1C"/>
    <w:rsid w:val="009165FD"/>
    <w:rsid w:val="00916B43"/>
    <w:rsid w:val="009170C8"/>
    <w:rsid w:val="009178B6"/>
    <w:rsid w:val="009179A5"/>
    <w:rsid w:val="00917D90"/>
    <w:rsid w:val="0092001A"/>
    <w:rsid w:val="00920323"/>
    <w:rsid w:val="00920A33"/>
    <w:rsid w:val="009211B4"/>
    <w:rsid w:val="0092167C"/>
    <w:rsid w:val="00921879"/>
    <w:rsid w:val="00921ADC"/>
    <w:rsid w:val="00921DF8"/>
    <w:rsid w:val="00921F3B"/>
    <w:rsid w:val="009223F8"/>
    <w:rsid w:val="009226DD"/>
    <w:rsid w:val="0092304B"/>
    <w:rsid w:val="00923157"/>
    <w:rsid w:val="009233C4"/>
    <w:rsid w:val="0092358B"/>
    <w:rsid w:val="00923676"/>
    <w:rsid w:val="00923852"/>
    <w:rsid w:val="00924398"/>
    <w:rsid w:val="00924799"/>
    <w:rsid w:val="00925209"/>
    <w:rsid w:val="0092560D"/>
    <w:rsid w:val="00925BB7"/>
    <w:rsid w:val="0092666C"/>
    <w:rsid w:val="00926A65"/>
    <w:rsid w:val="00926E3F"/>
    <w:rsid w:val="00927AF2"/>
    <w:rsid w:val="00927B19"/>
    <w:rsid w:val="009303A2"/>
    <w:rsid w:val="009305E7"/>
    <w:rsid w:val="00930784"/>
    <w:rsid w:val="00930BEB"/>
    <w:rsid w:val="0093122E"/>
    <w:rsid w:val="0093145E"/>
    <w:rsid w:val="009316B5"/>
    <w:rsid w:val="009316FD"/>
    <w:rsid w:val="00931922"/>
    <w:rsid w:val="00931B88"/>
    <w:rsid w:val="00932EE5"/>
    <w:rsid w:val="00933178"/>
    <w:rsid w:val="009335AC"/>
    <w:rsid w:val="0093384D"/>
    <w:rsid w:val="00933B14"/>
    <w:rsid w:val="00933C4A"/>
    <w:rsid w:val="00933E12"/>
    <w:rsid w:val="009342D9"/>
    <w:rsid w:val="00934636"/>
    <w:rsid w:val="00935447"/>
    <w:rsid w:val="0093572E"/>
    <w:rsid w:val="009359E5"/>
    <w:rsid w:val="00935CA7"/>
    <w:rsid w:val="009367F1"/>
    <w:rsid w:val="00937613"/>
    <w:rsid w:val="009400AA"/>
    <w:rsid w:val="00940104"/>
    <w:rsid w:val="009404EB"/>
    <w:rsid w:val="00940D22"/>
    <w:rsid w:val="00940EB5"/>
    <w:rsid w:val="0094102C"/>
    <w:rsid w:val="0094121D"/>
    <w:rsid w:val="00941236"/>
    <w:rsid w:val="0094137B"/>
    <w:rsid w:val="00941408"/>
    <w:rsid w:val="009417C7"/>
    <w:rsid w:val="0094186F"/>
    <w:rsid w:val="00941AF7"/>
    <w:rsid w:val="009426C2"/>
    <w:rsid w:val="00942D07"/>
    <w:rsid w:val="009434D6"/>
    <w:rsid w:val="009437FA"/>
    <w:rsid w:val="00943D9C"/>
    <w:rsid w:val="009442A5"/>
    <w:rsid w:val="00944535"/>
    <w:rsid w:val="00944750"/>
    <w:rsid w:val="009448F7"/>
    <w:rsid w:val="00944C9E"/>
    <w:rsid w:val="00944EEB"/>
    <w:rsid w:val="00945E05"/>
    <w:rsid w:val="00945EE7"/>
    <w:rsid w:val="0094632D"/>
    <w:rsid w:val="009463C4"/>
    <w:rsid w:val="009464D7"/>
    <w:rsid w:val="0094663E"/>
    <w:rsid w:val="00946A7F"/>
    <w:rsid w:val="00946BB1"/>
    <w:rsid w:val="00946CF3"/>
    <w:rsid w:val="00946E1F"/>
    <w:rsid w:val="009470CB"/>
    <w:rsid w:val="00950079"/>
    <w:rsid w:val="0095009A"/>
    <w:rsid w:val="00950555"/>
    <w:rsid w:val="00950CCA"/>
    <w:rsid w:val="009514E1"/>
    <w:rsid w:val="00951F3B"/>
    <w:rsid w:val="00952AD0"/>
    <w:rsid w:val="00952CBC"/>
    <w:rsid w:val="00953715"/>
    <w:rsid w:val="00953CBD"/>
    <w:rsid w:val="00953CC6"/>
    <w:rsid w:val="00953D04"/>
    <w:rsid w:val="00953FDF"/>
    <w:rsid w:val="0095405C"/>
    <w:rsid w:val="009541FF"/>
    <w:rsid w:val="00954783"/>
    <w:rsid w:val="00954A73"/>
    <w:rsid w:val="00954E01"/>
    <w:rsid w:val="00954F78"/>
    <w:rsid w:val="00955360"/>
    <w:rsid w:val="0095548E"/>
    <w:rsid w:val="0095551B"/>
    <w:rsid w:val="0095565A"/>
    <w:rsid w:val="00955D0F"/>
    <w:rsid w:val="00955E16"/>
    <w:rsid w:val="00955EC0"/>
    <w:rsid w:val="0095615F"/>
    <w:rsid w:val="009561D4"/>
    <w:rsid w:val="0095684E"/>
    <w:rsid w:val="00956A8F"/>
    <w:rsid w:val="00956B66"/>
    <w:rsid w:val="00956CA9"/>
    <w:rsid w:val="00956FAD"/>
    <w:rsid w:val="009603EC"/>
    <w:rsid w:val="009604D4"/>
    <w:rsid w:val="00960893"/>
    <w:rsid w:val="00960ADB"/>
    <w:rsid w:val="00960E05"/>
    <w:rsid w:val="0096188B"/>
    <w:rsid w:val="009619E8"/>
    <w:rsid w:val="009624F3"/>
    <w:rsid w:val="00963800"/>
    <w:rsid w:val="00963BDE"/>
    <w:rsid w:val="00964AD5"/>
    <w:rsid w:val="00964F04"/>
    <w:rsid w:val="009657B5"/>
    <w:rsid w:val="00965B01"/>
    <w:rsid w:val="00966F08"/>
    <w:rsid w:val="00967185"/>
    <w:rsid w:val="0096762E"/>
    <w:rsid w:val="00967B1A"/>
    <w:rsid w:val="00967E4F"/>
    <w:rsid w:val="00967F00"/>
    <w:rsid w:val="009701A5"/>
    <w:rsid w:val="009704AC"/>
    <w:rsid w:val="0097090B"/>
    <w:rsid w:val="00971094"/>
    <w:rsid w:val="00971286"/>
    <w:rsid w:val="009718DC"/>
    <w:rsid w:val="00972BB8"/>
    <w:rsid w:val="00972BF8"/>
    <w:rsid w:val="00972EDB"/>
    <w:rsid w:val="00973CA5"/>
    <w:rsid w:val="00974237"/>
    <w:rsid w:val="009743DE"/>
    <w:rsid w:val="00974F3B"/>
    <w:rsid w:val="00974F61"/>
    <w:rsid w:val="009763F1"/>
    <w:rsid w:val="0097647F"/>
    <w:rsid w:val="00976527"/>
    <w:rsid w:val="0097668F"/>
    <w:rsid w:val="00976B68"/>
    <w:rsid w:val="00976D03"/>
    <w:rsid w:val="00976E1D"/>
    <w:rsid w:val="0098033F"/>
    <w:rsid w:val="009806EC"/>
    <w:rsid w:val="00980BE1"/>
    <w:rsid w:val="00980FF8"/>
    <w:rsid w:val="009815B2"/>
    <w:rsid w:val="009817EF"/>
    <w:rsid w:val="00981F94"/>
    <w:rsid w:val="00982068"/>
    <w:rsid w:val="00982485"/>
    <w:rsid w:val="00982664"/>
    <w:rsid w:val="00982C24"/>
    <w:rsid w:val="00982C8D"/>
    <w:rsid w:val="009832AA"/>
    <w:rsid w:val="00983668"/>
    <w:rsid w:val="00983751"/>
    <w:rsid w:val="00983D22"/>
    <w:rsid w:val="00983FD8"/>
    <w:rsid w:val="00984881"/>
    <w:rsid w:val="00984FEA"/>
    <w:rsid w:val="00985481"/>
    <w:rsid w:val="00985CC0"/>
    <w:rsid w:val="00986379"/>
    <w:rsid w:val="00986685"/>
    <w:rsid w:val="00987341"/>
    <w:rsid w:val="00987A2C"/>
    <w:rsid w:val="00987CCE"/>
    <w:rsid w:val="00987E12"/>
    <w:rsid w:val="00987EA0"/>
    <w:rsid w:val="009904F9"/>
    <w:rsid w:val="00990621"/>
    <w:rsid w:val="00990733"/>
    <w:rsid w:val="00990F63"/>
    <w:rsid w:val="00990F7B"/>
    <w:rsid w:val="009913DB"/>
    <w:rsid w:val="00991908"/>
    <w:rsid w:val="00991A94"/>
    <w:rsid w:val="00991C02"/>
    <w:rsid w:val="00991C18"/>
    <w:rsid w:val="00991DA7"/>
    <w:rsid w:val="00991F59"/>
    <w:rsid w:val="00992DF4"/>
    <w:rsid w:val="00992FF9"/>
    <w:rsid w:val="009930BC"/>
    <w:rsid w:val="00993208"/>
    <w:rsid w:val="0099320A"/>
    <w:rsid w:val="00994181"/>
    <w:rsid w:val="00994722"/>
    <w:rsid w:val="009949D8"/>
    <w:rsid w:val="00994D99"/>
    <w:rsid w:val="00994E89"/>
    <w:rsid w:val="00995578"/>
    <w:rsid w:val="00995A74"/>
    <w:rsid w:val="00995CAA"/>
    <w:rsid w:val="0099639A"/>
    <w:rsid w:val="009964D9"/>
    <w:rsid w:val="009965E5"/>
    <w:rsid w:val="00996A91"/>
    <w:rsid w:val="00996D3E"/>
    <w:rsid w:val="00996F44"/>
    <w:rsid w:val="0099711D"/>
    <w:rsid w:val="00997177"/>
    <w:rsid w:val="00997774"/>
    <w:rsid w:val="00997D10"/>
    <w:rsid w:val="009A005F"/>
    <w:rsid w:val="009A0095"/>
    <w:rsid w:val="009A0B92"/>
    <w:rsid w:val="009A0BE5"/>
    <w:rsid w:val="009A0E85"/>
    <w:rsid w:val="009A11B6"/>
    <w:rsid w:val="009A14C0"/>
    <w:rsid w:val="009A16C2"/>
    <w:rsid w:val="009A18BA"/>
    <w:rsid w:val="009A1A3E"/>
    <w:rsid w:val="009A1B4C"/>
    <w:rsid w:val="009A1E43"/>
    <w:rsid w:val="009A1EF2"/>
    <w:rsid w:val="009A1EFB"/>
    <w:rsid w:val="009A2232"/>
    <w:rsid w:val="009A2713"/>
    <w:rsid w:val="009A2FFC"/>
    <w:rsid w:val="009A3390"/>
    <w:rsid w:val="009A4092"/>
    <w:rsid w:val="009A44D4"/>
    <w:rsid w:val="009A44DD"/>
    <w:rsid w:val="009A4593"/>
    <w:rsid w:val="009A462A"/>
    <w:rsid w:val="009A4F1D"/>
    <w:rsid w:val="009A50B7"/>
    <w:rsid w:val="009A57A8"/>
    <w:rsid w:val="009A588A"/>
    <w:rsid w:val="009A5B35"/>
    <w:rsid w:val="009A5CD6"/>
    <w:rsid w:val="009A5CD9"/>
    <w:rsid w:val="009A5D4F"/>
    <w:rsid w:val="009A65C8"/>
    <w:rsid w:val="009A661C"/>
    <w:rsid w:val="009A7535"/>
    <w:rsid w:val="009B0607"/>
    <w:rsid w:val="009B0A6C"/>
    <w:rsid w:val="009B0C12"/>
    <w:rsid w:val="009B134B"/>
    <w:rsid w:val="009B138C"/>
    <w:rsid w:val="009B1C7B"/>
    <w:rsid w:val="009B276D"/>
    <w:rsid w:val="009B27B2"/>
    <w:rsid w:val="009B3370"/>
    <w:rsid w:val="009B33FC"/>
    <w:rsid w:val="009B3C17"/>
    <w:rsid w:val="009B4317"/>
    <w:rsid w:val="009B4877"/>
    <w:rsid w:val="009B5547"/>
    <w:rsid w:val="009B5A77"/>
    <w:rsid w:val="009B687E"/>
    <w:rsid w:val="009B6AED"/>
    <w:rsid w:val="009B7552"/>
    <w:rsid w:val="009B7982"/>
    <w:rsid w:val="009B7D87"/>
    <w:rsid w:val="009C0169"/>
    <w:rsid w:val="009C04EA"/>
    <w:rsid w:val="009C0957"/>
    <w:rsid w:val="009C0F61"/>
    <w:rsid w:val="009C15B8"/>
    <w:rsid w:val="009C18FE"/>
    <w:rsid w:val="009C22F8"/>
    <w:rsid w:val="009C256E"/>
    <w:rsid w:val="009C2876"/>
    <w:rsid w:val="009C2A03"/>
    <w:rsid w:val="009C2B09"/>
    <w:rsid w:val="009C2D07"/>
    <w:rsid w:val="009C3209"/>
    <w:rsid w:val="009C3FCD"/>
    <w:rsid w:val="009C417D"/>
    <w:rsid w:val="009C4226"/>
    <w:rsid w:val="009C4311"/>
    <w:rsid w:val="009C452D"/>
    <w:rsid w:val="009C45F6"/>
    <w:rsid w:val="009C479D"/>
    <w:rsid w:val="009C55B8"/>
    <w:rsid w:val="009C5674"/>
    <w:rsid w:val="009C5899"/>
    <w:rsid w:val="009C5D4A"/>
    <w:rsid w:val="009C5D7C"/>
    <w:rsid w:val="009C6499"/>
    <w:rsid w:val="009C74B7"/>
    <w:rsid w:val="009C7DEC"/>
    <w:rsid w:val="009C7F55"/>
    <w:rsid w:val="009D034B"/>
    <w:rsid w:val="009D0596"/>
    <w:rsid w:val="009D060A"/>
    <w:rsid w:val="009D06B1"/>
    <w:rsid w:val="009D06F1"/>
    <w:rsid w:val="009D0D37"/>
    <w:rsid w:val="009D0EB9"/>
    <w:rsid w:val="009D0F7B"/>
    <w:rsid w:val="009D1D79"/>
    <w:rsid w:val="009D2487"/>
    <w:rsid w:val="009D2A3F"/>
    <w:rsid w:val="009D2B1C"/>
    <w:rsid w:val="009D303E"/>
    <w:rsid w:val="009D32EB"/>
    <w:rsid w:val="009D3B1F"/>
    <w:rsid w:val="009D3C68"/>
    <w:rsid w:val="009D40D7"/>
    <w:rsid w:val="009D415A"/>
    <w:rsid w:val="009D4259"/>
    <w:rsid w:val="009D453A"/>
    <w:rsid w:val="009D5437"/>
    <w:rsid w:val="009D5E70"/>
    <w:rsid w:val="009D6429"/>
    <w:rsid w:val="009D6608"/>
    <w:rsid w:val="009D6D65"/>
    <w:rsid w:val="009D6E38"/>
    <w:rsid w:val="009D6F60"/>
    <w:rsid w:val="009E0271"/>
    <w:rsid w:val="009E04C9"/>
    <w:rsid w:val="009E0648"/>
    <w:rsid w:val="009E0A87"/>
    <w:rsid w:val="009E18B0"/>
    <w:rsid w:val="009E2025"/>
    <w:rsid w:val="009E2038"/>
    <w:rsid w:val="009E2386"/>
    <w:rsid w:val="009E2599"/>
    <w:rsid w:val="009E28EA"/>
    <w:rsid w:val="009E28FE"/>
    <w:rsid w:val="009E3EA6"/>
    <w:rsid w:val="009E41B4"/>
    <w:rsid w:val="009E4898"/>
    <w:rsid w:val="009E4D4D"/>
    <w:rsid w:val="009E4E65"/>
    <w:rsid w:val="009E5076"/>
    <w:rsid w:val="009E59AB"/>
    <w:rsid w:val="009E5B40"/>
    <w:rsid w:val="009E5DE9"/>
    <w:rsid w:val="009E5FD4"/>
    <w:rsid w:val="009E6146"/>
    <w:rsid w:val="009E62EA"/>
    <w:rsid w:val="009E649E"/>
    <w:rsid w:val="009E6559"/>
    <w:rsid w:val="009E6797"/>
    <w:rsid w:val="009E69FD"/>
    <w:rsid w:val="009E763E"/>
    <w:rsid w:val="009E7AC6"/>
    <w:rsid w:val="009F009A"/>
    <w:rsid w:val="009F0249"/>
    <w:rsid w:val="009F07C1"/>
    <w:rsid w:val="009F087C"/>
    <w:rsid w:val="009F0A09"/>
    <w:rsid w:val="009F0B11"/>
    <w:rsid w:val="009F11F1"/>
    <w:rsid w:val="009F17F9"/>
    <w:rsid w:val="009F1B22"/>
    <w:rsid w:val="009F381A"/>
    <w:rsid w:val="009F3B20"/>
    <w:rsid w:val="009F3BF2"/>
    <w:rsid w:val="009F3D18"/>
    <w:rsid w:val="009F40D1"/>
    <w:rsid w:val="009F539A"/>
    <w:rsid w:val="009F5A30"/>
    <w:rsid w:val="009F5AAD"/>
    <w:rsid w:val="009F5B3C"/>
    <w:rsid w:val="009F5CAC"/>
    <w:rsid w:val="009F5D41"/>
    <w:rsid w:val="009F63A6"/>
    <w:rsid w:val="009F6432"/>
    <w:rsid w:val="009F64DF"/>
    <w:rsid w:val="009F656B"/>
    <w:rsid w:val="009F68AD"/>
    <w:rsid w:val="009F6955"/>
    <w:rsid w:val="009F6E94"/>
    <w:rsid w:val="009F761E"/>
    <w:rsid w:val="009F7806"/>
    <w:rsid w:val="009F7C23"/>
    <w:rsid w:val="00A009A4"/>
    <w:rsid w:val="00A00A15"/>
    <w:rsid w:val="00A00AA4"/>
    <w:rsid w:val="00A01691"/>
    <w:rsid w:val="00A018B4"/>
    <w:rsid w:val="00A01CF5"/>
    <w:rsid w:val="00A01D1D"/>
    <w:rsid w:val="00A01D35"/>
    <w:rsid w:val="00A0285F"/>
    <w:rsid w:val="00A02EA1"/>
    <w:rsid w:val="00A02FCE"/>
    <w:rsid w:val="00A0345A"/>
    <w:rsid w:val="00A03741"/>
    <w:rsid w:val="00A037D1"/>
    <w:rsid w:val="00A04189"/>
    <w:rsid w:val="00A04343"/>
    <w:rsid w:val="00A0498F"/>
    <w:rsid w:val="00A04CCC"/>
    <w:rsid w:val="00A051AD"/>
    <w:rsid w:val="00A05713"/>
    <w:rsid w:val="00A05D11"/>
    <w:rsid w:val="00A067A5"/>
    <w:rsid w:val="00A068B8"/>
    <w:rsid w:val="00A0740E"/>
    <w:rsid w:val="00A07AD4"/>
    <w:rsid w:val="00A07E52"/>
    <w:rsid w:val="00A10AB0"/>
    <w:rsid w:val="00A10B39"/>
    <w:rsid w:val="00A11205"/>
    <w:rsid w:val="00A11CA4"/>
    <w:rsid w:val="00A1210D"/>
    <w:rsid w:val="00A126F2"/>
    <w:rsid w:val="00A12995"/>
    <w:rsid w:val="00A12A36"/>
    <w:rsid w:val="00A12D28"/>
    <w:rsid w:val="00A12EAA"/>
    <w:rsid w:val="00A12F96"/>
    <w:rsid w:val="00A1373E"/>
    <w:rsid w:val="00A13B91"/>
    <w:rsid w:val="00A13C9E"/>
    <w:rsid w:val="00A13D87"/>
    <w:rsid w:val="00A14F8F"/>
    <w:rsid w:val="00A153C7"/>
    <w:rsid w:val="00A15481"/>
    <w:rsid w:val="00A15576"/>
    <w:rsid w:val="00A15CD0"/>
    <w:rsid w:val="00A15DE5"/>
    <w:rsid w:val="00A161D4"/>
    <w:rsid w:val="00A16B53"/>
    <w:rsid w:val="00A16B67"/>
    <w:rsid w:val="00A16D01"/>
    <w:rsid w:val="00A17680"/>
    <w:rsid w:val="00A17D34"/>
    <w:rsid w:val="00A20012"/>
    <w:rsid w:val="00A20275"/>
    <w:rsid w:val="00A204D1"/>
    <w:rsid w:val="00A20533"/>
    <w:rsid w:val="00A2083A"/>
    <w:rsid w:val="00A20C9C"/>
    <w:rsid w:val="00A21529"/>
    <w:rsid w:val="00A21623"/>
    <w:rsid w:val="00A21797"/>
    <w:rsid w:val="00A2186C"/>
    <w:rsid w:val="00A218BD"/>
    <w:rsid w:val="00A21AD0"/>
    <w:rsid w:val="00A22336"/>
    <w:rsid w:val="00A22706"/>
    <w:rsid w:val="00A2290B"/>
    <w:rsid w:val="00A229C1"/>
    <w:rsid w:val="00A23238"/>
    <w:rsid w:val="00A234B3"/>
    <w:rsid w:val="00A234C2"/>
    <w:rsid w:val="00A23CED"/>
    <w:rsid w:val="00A23F00"/>
    <w:rsid w:val="00A2427D"/>
    <w:rsid w:val="00A24977"/>
    <w:rsid w:val="00A24F11"/>
    <w:rsid w:val="00A25226"/>
    <w:rsid w:val="00A255C5"/>
    <w:rsid w:val="00A25941"/>
    <w:rsid w:val="00A2603C"/>
    <w:rsid w:val="00A265DE"/>
    <w:rsid w:val="00A26AEC"/>
    <w:rsid w:val="00A26D34"/>
    <w:rsid w:val="00A276F1"/>
    <w:rsid w:val="00A27728"/>
    <w:rsid w:val="00A3003A"/>
    <w:rsid w:val="00A30D60"/>
    <w:rsid w:val="00A30DAD"/>
    <w:rsid w:val="00A30FB1"/>
    <w:rsid w:val="00A3143E"/>
    <w:rsid w:val="00A31679"/>
    <w:rsid w:val="00A316DC"/>
    <w:rsid w:val="00A31B16"/>
    <w:rsid w:val="00A31EB1"/>
    <w:rsid w:val="00A3202C"/>
    <w:rsid w:val="00A32504"/>
    <w:rsid w:val="00A335B6"/>
    <w:rsid w:val="00A33737"/>
    <w:rsid w:val="00A34388"/>
    <w:rsid w:val="00A34524"/>
    <w:rsid w:val="00A34DD0"/>
    <w:rsid w:val="00A3540C"/>
    <w:rsid w:val="00A357D6"/>
    <w:rsid w:val="00A35FF4"/>
    <w:rsid w:val="00A360E1"/>
    <w:rsid w:val="00A3626A"/>
    <w:rsid w:val="00A36642"/>
    <w:rsid w:val="00A36722"/>
    <w:rsid w:val="00A36836"/>
    <w:rsid w:val="00A36A44"/>
    <w:rsid w:val="00A37229"/>
    <w:rsid w:val="00A37449"/>
    <w:rsid w:val="00A37858"/>
    <w:rsid w:val="00A40482"/>
    <w:rsid w:val="00A40492"/>
    <w:rsid w:val="00A4051C"/>
    <w:rsid w:val="00A405B6"/>
    <w:rsid w:val="00A413A9"/>
    <w:rsid w:val="00A425C0"/>
    <w:rsid w:val="00A42638"/>
    <w:rsid w:val="00A42877"/>
    <w:rsid w:val="00A42E98"/>
    <w:rsid w:val="00A4340E"/>
    <w:rsid w:val="00A434E1"/>
    <w:rsid w:val="00A43B3E"/>
    <w:rsid w:val="00A442D0"/>
    <w:rsid w:val="00A4437F"/>
    <w:rsid w:val="00A445ED"/>
    <w:rsid w:val="00A4536E"/>
    <w:rsid w:val="00A453B9"/>
    <w:rsid w:val="00A45978"/>
    <w:rsid w:val="00A4614C"/>
    <w:rsid w:val="00A4619A"/>
    <w:rsid w:val="00A46EC8"/>
    <w:rsid w:val="00A474D3"/>
    <w:rsid w:val="00A47A4E"/>
    <w:rsid w:val="00A47B5A"/>
    <w:rsid w:val="00A47D57"/>
    <w:rsid w:val="00A50C72"/>
    <w:rsid w:val="00A50D18"/>
    <w:rsid w:val="00A50ECC"/>
    <w:rsid w:val="00A5105C"/>
    <w:rsid w:val="00A512DE"/>
    <w:rsid w:val="00A51E1C"/>
    <w:rsid w:val="00A522EF"/>
    <w:rsid w:val="00A526E1"/>
    <w:rsid w:val="00A52716"/>
    <w:rsid w:val="00A5275F"/>
    <w:rsid w:val="00A5276B"/>
    <w:rsid w:val="00A52892"/>
    <w:rsid w:val="00A52D52"/>
    <w:rsid w:val="00A53B01"/>
    <w:rsid w:val="00A53C65"/>
    <w:rsid w:val="00A53C6F"/>
    <w:rsid w:val="00A5403B"/>
    <w:rsid w:val="00A54CEB"/>
    <w:rsid w:val="00A555FB"/>
    <w:rsid w:val="00A558B6"/>
    <w:rsid w:val="00A55A71"/>
    <w:rsid w:val="00A56095"/>
    <w:rsid w:val="00A56520"/>
    <w:rsid w:val="00A56C98"/>
    <w:rsid w:val="00A57384"/>
    <w:rsid w:val="00A579A1"/>
    <w:rsid w:val="00A57A52"/>
    <w:rsid w:val="00A57B52"/>
    <w:rsid w:val="00A57C9E"/>
    <w:rsid w:val="00A57D61"/>
    <w:rsid w:val="00A60FE2"/>
    <w:rsid w:val="00A6152C"/>
    <w:rsid w:val="00A6190D"/>
    <w:rsid w:val="00A6237C"/>
    <w:rsid w:val="00A62AB2"/>
    <w:rsid w:val="00A62D9F"/>
    <w:rsid w:val="00A63914"/>
    <w:rsid w:val="00A63E08"/>
    <w:rsid w:val="00A63E41"/>
    <w:rsid w:val="00A6426E"/>
    <w:rsid w:val="00A6439F"/>
    <w:rsid w:val="00A643C8"/>
    <w:rsid w:val="00A64DD9"/>
    <w:rsid w:val="00A64FBF"/>
    <w:rsid w:val="00A65441"/>
    <w:rsid w:val="00A6561F"/>
    <w:rsid w:val="00A658BC"/>
    <w:rsid w:val="00A6627D"/>
    <w:rsid w:val="00A66484"/>
    <w:rsid w:val="00A66EF0"/>
    <w:rsid w:val="00A6700B"/>
    <w:rsid w:val="00A674D2"/>
    <w:rsid w:val="00A67ED2"/>
    <w:rsid w:val="00A67FDB"/>
    <w:rsid w:val="00A70095"/>
    <w:rsid w:val="00A703FA"/>
    <w:rsid w:val="00A705FA"/>
    <w:rsid w:val="00A70AA5"/>
    <w:rsid w:val="00A70E42"/>
    <w:rsid w:val="00A71157"/>
    <w:rsid w:val="00A7132A"/>
    <w:rsid w:val="00A71B98"/>
    <w:rsid w:val="00A722A7"/>
    <w:rsid w:val="00A72C9E"/>
    <w:rsid w:val="00A73167"/>
    <w:rsid w:val="00A739C0"/>
    <w:rsid w:val="00A75435"/>
    <w:rsid w:val="00A75475"/>
    <w:rsid w:val="00A75835"/>
    <w:rsid w:val="00A75B54"/>
    <w:rsid w:val="00A767D4"/>
    <w:rsid w:val="00A77497"/>
    <w:rsid w:val="00A77666"/>
    <w:rsid w:val="00A776F2"/>
    <w:rsid w:val="00A77CCF"/>
    <w:rsid w:val="00A77E02"/>
    <w:rsid w:val="00A8147F"/>
    <w:rsid w:val="00A81A9A"/>
    <w:rsid w:val="00A824E6"/>
    <w:rsid w:val="00A83634"/>
    <w:rsid w:val="00A8435D"/>
    <w:rsid w:val="00A84614"/>
    <w:rsid w:val="00A854FE"/>
    <w:rsid w:val="00A8583F"/>
    <w:rsid w:val="00A86326"/>
    <w:rsid w:val="00A8670F"/>
    <w:rsid w:val="00A86911"/>
    <w:rsid w:val="00A86B78"/>
    <w:rsid w:val="00A86E79"/>
    <w:rsid w:val="00A86F75"/>
    <w:rsid w:val="00A90366"/>
    <w:rsid w:val="00A90759"/>
    <w:rsid w:val="00A90BDD"/>
    <w:rsid w:val="00A91106"/>
    <w:rsid w:val="00A91156"/>
    <w:rsid w:val="00A91243"/>
    <w:rsid w:val="00A9137E"/>
    <w:rsid w:val="00A91495"/>
    <w:rsid w:val="00A923D4"/>
    <w:rsid w:val="00A92566"/>
    <w:rsid w:val="00A92E09"/>
    <w:rsid w:val="00A93020"/>
    <w:rsid w:val="00A936C4"/>
    <w:rsid w:val="00A944F6"/>
    <w:rsid w:val="00A947C2"/>
    <w:rsid w:val="00A948ED"/>
    <w:rsid w:val="00A94973"/>
    <w:rsid w:val="00A94A8E"/>
    <w:rsid w:val="00A958EF"/>
    <w:rsid w:val="00A96032"/>
    <w:rsid w:val="00A965D3"/>
    <w:rsid w:val="00A969BD"/>
    <w:rsid w:val="00A97290"/>
    <w:rsid w:val="00A978DD"/>
    <w:rsid w:val="00AA034D"/>
    <w:rsid w:val="00AA0A89"/>
    <w:rsid w:val="00AA1DF7"/>
    <w:rsid w:val="00AA23E8"/>
    <w:rsid w:val="00AA23F3"/>
    <w:rsid w:val="00AA2653"/>
    <w:rsid w:val="00AA329E"/>
    <w:rsid w:val="00AA39D5"/>
    <w:rsid w:val="00AA3E46"/>
    <w:rsid w:val="00AA48AC"/>
    <w:rsid w:val="00AA495E"/>
    <w:rsid w:val="00AA50CB"/>
    <w:rsid w:val="00AA58F2"/>
    <w:rsid w:val="00AA5A1A"/>
    <w:rsid w:val="00AA5E1C"/>
    <w:rsid w:val="00AA5E41"/>
    <w:rsid w:val="00AA5F74"/>
    <w:rsid w:val="00AA6CBA"/>
    <w:rsid w:val="00AA7CC6"/>
    <w:rsid w:val="00AB0596"/>
    <w:rsid w:val="00AB0711"/>
    <w:rsid w:val="00AB08A3"/>
    <w:rsid w:val="00AB174E"/>
    <w:rsid w:val="00AB1C27"/>
    <w:rsid w:val="00AB22DD"/>
    <w:rsid w:val="00AB29BB"/>
    <w:rsid w:val="00AB2ABB"/>
    <w:rsid w:val="00AB2ACD"/>
    <w:rsid w:val="00AB3178"/>
    <w:rsid w:val="00AB332B"/>
    <w:rsid w:val="00AB343B"/>
    <w:rsid w:val="00AB4F47"/>
    <w:rsid w:val="00AB525B"/>
    <w:rsid w:val="00AB6084"/>
    <w:rsid w:val="00AB7978"/>
    <w:rsid w:val="00AB799B"/>
    <w:rsid w:val="00AC0261"/>
    <w:rsid w:val="00AC05B6"/>
    <w:rsid w:val="00AC07AF"/>
    <w:rsid w:val="00AC07BE"/>
    <w:rsid w:val="00AC0852"/>
    <w:rsid w:val="00AC0DB6"/>
    <w:rsid w:val="00AC130B"/>
    <w:rsid w:val="00AC137C"/>
    <w:rsid w:val="00AC13C0"/>
    <w:rsid w:val="00AC1B6B"/>
    <w:rsid w:val="00AC1DD9"/>
    <w:rsid w:val="00AC1F25"/>
    <w:rsid w:val="00AC207A"/>
    <w:rsid w:val="00AC2501"/>
    <w:rsid w:val="00AC3378"/>
    <w:rsid w:val="00AC3FF6"/>
    <w:rsid w:val="00AC4C45"/>
    <w:rsid w:val="00AC58DC"/>
    <w:rsid w:val="00AC5FA8"/>
    <w:rsid w:val="00AC6B33"/>
    <w:rsid w:val="00AC6B97"/>
    <w:rsid w:val="00AC6CC7"/>
    <w:rsid w:val="00AC70BC"/>
    <w:rsid w:val="00AC71DE"/>
    <w:rsid w:val="00AC731E"/>
    <w:rsid w:val="00AC7615"/>
    <w:rsid w:val="00AC7842"/>
    <w:rsid w:val="00AC786A"/>
    <w:rsid w:val="00AC7D39"/>
    <w:rsid w:val="00AD018A"/>
    <w:rsid w:val="00AD05CF"/>
    <w:rsid w:val="00AD08EA"/>
    <w:rsid w:val="00AD0D4B"/>
    <w:rsid w:val="00AD116C"/>
    <w:rsid w:val="00AD1705"/>
    <w:rsid w:val="00AD1D27"/>
    <w:rsid w:val="00AD2330"/>
    <w:rsid w:val="00AD27E7"/>
    <w:rsid w:val="00AD2D39"/>
    <w:rsid w:val="00AD30F2"/>
    <w:rsid w:val="00AD3E8E"/>
    <w:rsid w:val="00AD4270"/>
    <w:rsid w:val="00AD48DB"/>
    <w:rsid w:val="00AD49BE"/>
    <w:rsid w:val="00AD4A82"/>
    <w:rsid w:val="00AD4E26"/>
    <w:rsid w:val="00AD52FC"/>
    <w:rsid w:val="00AD547F"/>
    <w:rsid w:val="00AD549B"/>
    <w:rsid w:val="00AD5DD6"/>
    <w:rsid w:val="00AD6481"/>
    <w:rsid w:val="00AD66F1"/>
    <w:rsid w:val="00AD69C0"/>
    <w:rsid w:val="00AD6BBC"/>
    <w:rsid w:val="00AD736C"/>
    <w:rsid w:val="00AD73FE"/>
    <w:rsid w:val="00AD762A"/>
    <w:rsid w:val="00AD7886"/>
    <w:rsid w:val="00AD7BFF"/>
    <w:rsid w:val="00AD7CD1"/>
    <w:rsid w:val="00AD7D14"/>
    <w:rsid w:val="00AE09EB"/>
    <w:rsid w:val="00AE121C"/>
    <w:rsid w:val="00AE147F"/>
    <w:rsid w:val="00AE1B9F"/>
    <w:rsid w:val="00AE200D"/>
    <w:rsid w:val="00AE293D"/>
    <w:rsid w:val="00AE305B"/>
    <w:rsid w:val="00AE3676"/>
    <w:rsid w:val="00AE379B"/>
    <w:rsid w:val="00AE44E1"/>
    <w:rsid w:val="00AE492B"/>
    <w:rsid w:val="00AE4B5E"/>
    <w:rsid w:val="00AE4B93"/>
    <w:rsid w:val="00AE4BA5"/>
    <w:rsid w:val="00AE4DAC"/>
    <w:rsid w:val="00AE50F6"/>
    <w:rsid w:val="00AE5822"/>
    <w:rsid w:val="00AE6A9A"/>
    <w:rsid w:val="00AE7630"/>
    <w:rsid w:val="00AE7762"/>
    <w:rsid w:val="00AE7A8A"/>
    <w:rsid w:val="00AE7AD9"/>
    <w:rsid w:val="00AF00E9"/>
    <w:rsid w:val="00AF01BF"/>
    <w:rsid w:val="00AF02BA"/>
    <w:rsid w:val="00AF07CB"/>
    <w:rsid w:val="00AF0890"/>
    <w:rsid w:val="00AF0B59"/>
    <w:rsid w:val="00AF0ECA"/>
    <w:rsid w:val="00AF1655"/>
    <w:rsid w:val="00AF1EF3"/>
    <w:rsid w:val="00AF20AB"/>
    <w:rsid w:val="00AF2889"/>
    <w:rsid w:val="00AF2AF7"/>
    <w:rsid w:val="00AF2E5E"/>
    <w:rsid w:val="00AF3258"/>
    <w:rsid w:val="00AF351A"/>
    <w:rsid w:val="00AF35EB"/>
    <w:rsid w:val="00AF3B27"/>
    <w:rsid w:val="00AF3D24"/>
    <w:rsid w:val="00AF4E6E"/>
    <w:rsid w:val="00AF4EB0"/>
    <w:rsid w:val="00AF4EEB"/>
    <w:rsid w:val="00AF4F6E"/>
    <w:rsid w:val="00AF54E7"/>
    <w:rsid w:val="00AF5667"/>
    <w:rsid w:val="00AF5DCA"/>
    <w:rsid w:val="00AF5E67"/>
    <w:rsid w:val="00AF5EBE"/>
    <w:rsid w:val="00AF652A"/>
    <w:rsid w:val="00AF6725"/>
    <w:rsid w:val="00AF6EE0"/>
    <w:rsid w:val="00AF7357"/>
    <w:rsid w:val="00AF741E"/>
    <w:rsid w:val="00AF74CE"/>
    <w:rsid w:val="00AF77FB"/>
    <w:rsid w:val="00AF7939"/>
    <w:rsid w:val="00AF7A4E"/>
    <w:rsid w:val="00AF7E79"/>
    <w:rsid w:val="00B00086"/>
    <w:rsid w:val="00B00408"/>
    <w:rsid w:val="00B00CAF"/>
    <w:rsid w:val="00B00D33"/>
    <w:rsid w:val="00B013EE"/>
    <w:rsid w:val="00B0171D"/>
    <w:rsid w:val="00B01ABA"/>
    <w:rsid w:val="00B01C11"/>
    <w:rsid w:val="00B01D6A"/>
    <w:rsid w:val="00B02044"/>
    <w:rsid w:val="00B02079"/>
    <w:rsid w:val="00B02514"/>
    <w:rsid w:val="00B02E25"/>
    <w:rsid w:val="00B03193"/>
    <w:rsid w:val="00B03600"/>
    <w:rsid w:val="00B0421E"/>
    <w:rsid w:val="00B04393"/>
    <w:rsid w:val="00B046F1"/>
    <w:rsid w:val="00B04946"/>
    <w:rsid w:val="00B0523B"/>
    <w:rsid w:val="00B05330"/>
    <w:rsid w:val="00B05429"/>
    <w:rsid w:val="00B05953"/>
    <w:rsid w:val="00B05A97"/>
    <w:rsid w:val="00B05BFA"/>
    <w:rsid w:val="00B05CB5"/>
    <w:rsid w:val="00B061BC"/>
    <w:rsid w:val="00B06441"/>
    <w:rsid w:val="00B06EA6"/>
    <w:rsid w:val="00B06F35"/>
    <w:rsid w:val="00B07476"/>
    <w:rsid w:val="00B075ED"/>
    <w:rsid w:val="00B07967"/>
    <w:rsid w:val="00B07C77"/>
    <w:rsid w:val="00B107BE"/>
    <w:rsid w:val="00B10CC9"/>
    <w:rsid w:val="00B10E0E"/>
    <w:rsid w:val="00B10E1E"/>
    <w:rsid w:val="00B111E6"/>
    <w:rsid w:val="00B1121D"/>
    <w:rsid w:val="00B1133C"/>
    <w:rsid w:val="00B11872"/>
    <w:rsid w:val="00B11A75"/>
    <w:rsid w:val="00B11B04"/>
    <w:rsid w:val="00B11E10"/>
    <w:rsid w:val="00B11F9C"/>
    <w:rsid w:val="00B12449"/>
    <w:rsid w:val="00B130BE"/>
    <w:rsid w:val="00B13292"/>
    <w:rsid w:val="00B134EC"/>
    <w:rsid w:val="00B136A6"/>
    <w:rsid w:val="00B13A05"/>
    <w:rsid w:val="00B13FBF"/>
    <w:rsid w:val="00B13FD2"/>
    <w:rsid w:val="00B14290"/>
    <w:rsid w:val="00B14395"/>
    <w:rsid w:val="00B146B9"/>
    <w:rsid w:val="00B15559"/>
    <w:rsid w:val="00B15926"/>
    <w:rsid w:val="00B15942"/>
    <w:rsid w:val="00B1660D"/>
    <w:rsid w:val="00B1661B"/>
    <w:rsid w:val="00B16B22"/>
    <w:rsid w:val="00B16D14"/>
    <w:rsid w:val="00B16FCF"/>
    <w:rsid w:val="00B1749C"/>
    <w:rsid w:val="00B17A83"/>
    <w:rsid w:val="00B17BD3"/>
    <w:rsid w:val="00B205A5"/>
    <w:rsid w:val="00B2065F"/>
    <w:rsid w:val="00B20AAE"/>
    <w:rsid w:val="00B20C1C"/>
    <w:rsid w:val="00B20F4A"/>
    <w:rsid w:val="00B21728"/>
    <w:rsid w:val="00B217F0"/>
    <w:rsid w:val="00B21D5C"/>
    <w:rsid w:val="00B21E02"/>
    <w:rsid w:val="00B21E47"/>
    <w:rsid w:val="00B22113"/>
    <w:rsid w:val="00B233CD"/>
    <w:rsid w:val="00B23637"/>
    <w:rsid w:val="00B23847"/>
    <w:rsid w:val="00B23B01"/>
    <w:rsid w:val="00B23F4F"/>
    <w:rsid w:val="00B24114"/>
    <w:rsid w:val="00B24D68"/>
    <w:rsid w:val="00B25115"/>
    <w:rsid w:val="00B2524F"/>
    <w:rsid w:val="00B259D6"/>
    <w:rsid w:val="00B25A6B"/>
    <w:rsid w:val="00B26193"/>
    <w:rsid w:val="00B2633F"/>
    <w:rsid w:val="00B26719"/>
    <w:rsid w:val="00B26A37"/>
    <w:rsid w:val="00B26BED"/>
    <w:rsid w:val="00B26D7C"/>
    <w:rsid w:val="00B27510"/>
    <w:rsid w:val="00B2772A"/>
    <w:rsid w:val="00B2793E"/>
    <w:rsid w:val="00B30937"/>
    <w:rsid w:val="00B30D82"/>
    <w:rsid w:val="00B315C9"/>
    <w:rsid w:val="00B316A8"/>
    <w:rsid w:val="00B31D9C"/>
    <w:rsid w:val="00B31ECC"/>
    <w:rsid w:val="00B32387"/>
    <w:rsid w:val="00B32960"/>
    <w:rsid w:val="00B32E85"/>
    <w:rsid w:val="00B32E9E"/>
    <w:rsid w:val="00B33068"/>
    <w:rsid w:val="00B33E62"/>
    <w:rsid w:val="00B34D92"/>
    <w:rsid w:val="00B355DD"/>
    <w:rsid w:val="00B361A8"/>
    <w:rsid w:val="00B365D9"/>
    <w:rsid w:val="00B36690"/>
    <w:rsid w:val="00B3676A"/>
    <w:rsid w:val="00B36BC6"/>
    <w:rsid w:val="00B36BCD"/>
    <w:rsid w:val="00B36EE6"/>
    <w:rsid w:val="00B37101"/>
    <w:rsid w:val="00B3782C"/>
    <w:rsid w:val="00B3790A"/>
    <w:rsid w:val="00B37BB9"/>
    <w:rsid w:val="00B41158"/>
    <w:rsid w:val="00B41A34"/>
    <w:rsid w:val="00B41B41"/>
    <w:rsid w:val="00B41B83"/>
    <w:rsid w:val="00B41D87"/>
    <w:rsid w:val="00B41FD1"/>
    <w:rsid w:val="00B42145"/>
    <w:rsid w:val="00B422BF"/>
    <w:rsid w:val="00B427A1"/>
    <w:rsid w:val="00B42C0E"/>
    <w:rsid w:val="00B43F31"/>
    <w:rsid w:val="00B4449B"/>
    <w:rsid w:val="00B44500"/>
    <w:rsid w:val="00B4531C"/>
    <w:rsid w:val="00B4557A"/>
    <w:rsid w:val="00B45A76"/>
    <w:rsid w:val="00B45C06"/>
    <w:rsid w:val="00B46062"/>
    <w:rsid w:val="00B46957"/>
    <w:rsid w:val="00B46C06"/>
    <w:rsid w:val="00B47024"/>
    <w:rsid w:val="00B47228"/>
    <w:rsid w:val="00B47C29"/>
    <w:rsid w:val="00B47C73"/>
    <w:rsid w:val="00B502CD"/>
    <w:rsid w:val="00B50C62"/>
    <w:rsid w:val="00B51344"/>
    <w:rsid w:val="00B51445"/>
    <w:rsid w:val="00B517E1"/>
    <w:rsid w:val="00B519D3"/>
    <w:rsid w:val="00B51D7D"/>
    <w:rsid w:val="00B51F9F"/>
    <w:rsid w:val="00B526D0"/>
    <w:rsid w:val="00B53060"/>
    <w:rsid w:val="00B53316"/>
    <w:rsid w:val="00B53E03"/>
    <w:rsid w:val="00B53FBA"/>
    <w:rsid w:val="00B54177"/>
    <w:rsid w:val="00B54416"/>
    <w:rsid w:val="00B54440"/>
    <w:rsid w:val="00B54A27"/>
    <w:rsid w:val="00B54F0F"/>
    <w:rsid w:val="00B55456"/>
    <w:rsid w:val="00B556AB"/>
    <w:rsid w:val="00B5577E"/>
    <w:rsid w:val="00B56A02"/>
    <w:rsid w:val="00B56ACC"/>
    <w:rsid w:val="00B56C0A"/>
    <w:rsid w:val="00B56DC0"/>
    <w:rsid w:val="00B57586"/>
    <w:rsid w:val="00B5782C"/>
    <w:rsid w:val="00B57A58"/>
    <w:rsid w:val="00B57EB0"/>
    <w:rsid w:val="00B601D5"/>
    <w:rsid w:val="00B6080B"/>
    <w:rsid w:val="00B6129A"/>
    <w:rsid w:val="00B618A1"/>
    <w:rsid w:val="00B619A6"/>
    <w:rsid w:val="00B62375"/>
    <w:rsid w:val="00B623FD"/>
    <w:rsid w:val="00B6319F"/>
    <w:rsid w:val="00B63645"/>
    <w:rsid w:val="00B63647"/>
    <w:rsid w:val="00B63C61"/>
    <w:rsid w:val="00B63F25"/>
    <w:rsid w:val="00B645CC"/>
    <w:rsid w:val="00B6481B"/>
    <w:rsid w:val="00B64C18"/>
    <w:rsid w:val="00B64DEE"/>
    <w:rsid w:val="00B65435"/>
    <w:rsid w:val="00B65F3A"/>
    <w:rsid w:val="00B666D0"/>
    <w:rsid w:val="00B6680A"/>
    <w:rsid w:val="00B66DDC"/>
    <w:rsid w:val="00B66FFB"/>
    <w:rsid w:val="00B6701E"/>
    <w:rsid w:val="00B67312"/>
    <w:rsid w:val="00B67420"/>
    <w:rsid w:val="00B6777D"/>
    <w:rsid w:val="00B67863"/>
    <w:rsid w:val="00B67963"/>
    <w:rsid w:val="00B6796B"/>
    <w:rsid w:val="00B67B42"/>
    <w:rsid w:val="00B67E5B"/>
    <w:rsid w:val="00B715CD"/>
    <w:rsid w:val="00B71842"/>
    <w:rsid w:val="00B71E8B"/>
    <w:rsid w:val="00B7222C"/>
    <w:rsid w:val="00B724B0"/>
    <w:rsid w:val="00B724F3"/>
    <w:rsid w:val="00B725FE"/>
    <w:rsid w:val="00B72D40"/>
    <w:rsid w:val="00B72D77"/>
    <w:rsid w:val="00B73969"/>
    <w:rsid w:val="00B73F1C"/>
    <w:rsid w:val="00B7434B"/>
    <w:rsid w:val="00B7436E"/>
    <w:rsid w:val="00B74682"/>
    <w:rsid w:val="00B74B60"/>
    <w:rsid w:val="00B74C32"/>
    <w:rsid w:val="00B74D07"/>
    <w:rsid w:val="00B74D77"/>
    <w:rsid w:val="00B7518A"/>
    <w:rsid w:val="00B75892"/>
    <w:rsid w:val="00B75E4F"/>
    <w:rsid w:val="00B75F56"/>
    <w:rsid w:val="00B75FE5"/>
    <w:rsid w:val="00B76377"/>
    <w:rsid w:val="00B766E8"/>
    <w:rsid w:val="00B77175"/>
    <w:rsid w:val="00B77622"/>
    <w:rsid w:val="00B777B4"/>
    <w:rsid w:val="00B7791F"/>
    <w:rsid w:val="00B77A59"/>
    <w:rsid w:val="00B77ADF"/>
    <w:rsid w:val="00B77F7E"/>
    <w:rsid w:val="00B80FA6"/>
    <w:rsid w:val="00B817D2"/>
    <w:rsid w:val="00B82537"/>
    <w:rsid w:val="00B8303E"/>
    <w:rsid w:val="00B8339F"/>
    <w:rsid w:val="00B8348A"/>
    <w:rsid w:val="00B836B7"/>
    <w:rsid w:val="00B83CDA"/>
    <w:rsid w:val="00B83F0C"/>
    <w:rsid w:val="00B841AA"/>
    <w:rsid w:val="00B842DF"/>
    <w:rsid w:val="00B844DE"/>
    <w:rsid w:val="00B847EF"/>
    <w:rsid w:val="00B849FF"/>
    <w:rsid w:val="00B84A85"/>
    <w:rsid w:val="00B84B5F"/>
    <w:rsid w:val="00B8522A"/>
    <w:rsid w:val="00B85772"/>
    <w:rsid w:val="00B85905"/>
    <w:rsid w:val="00B85951"/>
    <w:rsid w:val="00B86504"/>
    <w:rsid w:val="00B8662B"/>
    <w:rsid w:val="00B8674F"/>
    <w:rsid w:val="00B86C5D"/>
    <w:rsid w:val="00B86CE5"/>
    <w:rsid w:val="00B87272"/>
    <w:rsid w:val="00B87586"/>
    <w:rsid w:val="00B87ED7"/>
    <w:rsid w:val="00B87FD7"/>
    <w:rsid w:val="00B9022B"/>
    <w:rsid w:val="00B9069B"/>
    <w:rsid w:val="00B908EC"/>
    <w:rsid w:val="00B90E81"/>
    <w:rsid w:val="00B90F19"/>
    <w:rsid w:val="00B91273"/>
    <w:rsid w:val="00B9150F"/>
    <w:rsid w:val="00B91756"/>
    <w:rsid w:val="00B92F6E"/>
    <w:rsid w:val="00B932CC"/>
    <w:rsid w:val="00B9342C"/>
    <w:rsid w:val="00B93505"/>
    <w:rsid w:val="00B935B6"/>
    <w:rsid w:val="00B945F8"/>
    <w:rsid w:val="00B946C5"/>
    <w:rsid w:val="00B94AD6"/>
    <w:rsid w:val="00B94D27"/>
    <w:rsid w:val="00B94F17"/>
    <w:rsid w:val="00B959C5"/>
    <w:rsid w:val="00B95B33"/>
    <w:rsid w:val="00B9616C"/>
    <w:rsid w:val="00B969A9"/>
    <w:rsid w:val="00B972CF"/>
    <w:rsid w:val="00B97D88"/>
    <w:rsid w:val="00B97E2F"/>
    <w:rsid w:val="00BA068D"/>
    <w:rsid w:val="00BA0AD4"/>
    <w:rsid w:val="00BA0D0B"/>
    <w:rsid w:val="00BA238B"/>
    <w:rsid w:val="00BA2C2C"/>
    <w:rsid w:val="00BA3088"/>
    <w:rsid w:val="00BA3A3A"/>
    <w:rsid w:val="00BA3D30"/>
    <w:rsid w:val="00BA3E94"/>
    <w:rsid w:val="00BA41AE"/>
    <w:rsid w:val="00BA5180"/>
    <w:rsid w:val="00BA5485"/>
    <w:rsid w:val="00BA6523"/>
    <w:rsid w:val="00BA6699"/>
    <w:rsid w:val="00BA6B93"/>
    <w:rsid w:val="00BA6CFC"/>
    <w:rsid w:val="00BA6EF9"/>
    <w:rsid w:val="00BA6F7E"/>
    <w:rsid w:val="00BA7573"/>
    <w:rsid w:val="00BA77ED"/>
    <w:rsid w:val="00BA7E74"/>
    <w:rsid w:val="00BB02C1"/>
    <w:rsid w:val="00BB0629"/>
    <w:rsid w:val="00BB0D77"/>
    <w:rsid w:val="00BB1777"/>
    <w:rsid w:val="00BB1920"/>
    <w:rsid w:val="00BB1E38"/>
    <w:rsid w:val="00BB224D"/>
    <w:rsid w:val="00BB25DC"/>
    <w:rsid w:val="00BB27AA"/>
    <w:rsid w:val="00BB2963"/>
    <w:rsid w:val="00BB2A08"/>
    <w:rsid w:val="00BB2C7A"/>
    <w:rsid w:val="00BB34FF"/>
    <w:rsid w:val="00BB3803"/>
    <w:rsid w:val="00BB3834"/>
    <w:rsid w:val="00BB3923"/>
    <w:rsid w:val="00BB3CA2"/>
    <w:rsid w:val="00BB3D27"/>
    <w:rsid w:val="00BB3DBD"/>
    <w:rsid w:val="00BB3EE7"/>
    <w:rsid w:val="00BB40EE"/>
    <w:rsid w:val="00BB47B9"/>
    <w:rsid w:val="00BB507A"/>
    <w:rsid w:val="00BB566E"/>
    <w:rsid w:val="00BB5E6E"/>
    <w:rsid w:val="00BB5F84"/>
    <w:rsid w:val="00BB6110"/>
    <w:rsid w:val="00BB6A15"/>
    <w:rsid w:val="00BB6BC4"/>
    <w:rsid w:val="00BB7674"/>
    <w:rsid w:val="00BB7734"/>
    <w:rsid w:val="00BB7958"/>
    <w:rsid w:val="00BB7967"/>
    <w:rsid w:val="00BB7D06"/>
    <w:rsid w:val="00BB7FD9"/>
    <w:rsid w:val="00BC0045"/>
    <w:rsid w:val="00BC01DF"/>
    <w:rsid w:val="00BC033F"/>
    <w:rsid w:val="00BC0460"/>
    <w:rsid w:val="00BC07CB"/>
    <w:rsid w:val="00BC0AB4"/>
    <w:rsid w:val="00BC1A7C"/>
    <w:rsid w:val="00BC1CF1"/>
    <w:rsid w:val="00BC1EA1"/>
    <w:rsid w:val="00BC22FB"/>
    <w:rsid w:val="00BC2547"/>
    <w:rsid w:val="00BC2701"/>
    <w:rsid w:val="00BC2728"/>
    <w:rsid w:val="00BC2A51"/>
    <w:rsid w:val="00BC2CFE"/>
    <w:rsid w:val="00BC2E3D"/>
    <w:rsid w:val="00BC3715"/>
    <w:rsid w:val="00BC388B"/>
    <w:rsid w:val="00BC3C6B"/>
    <w:rsid w:val="00BC3D70"/>
    <w:rsid w:val="00BC3FB5"/>
    <w:rsid w:val="00BC430A"/>
    <w:rsid w:val="00BC446A"/>
    <w:rsid w:val="00BC481B"/>
    <w:rsid w:val="00BC495D"/>
    <w:rsid w:val="00BC52A1"/>
    <w:rsid w:val="00BC5337"/>
    <w:rsid w:val="00BC588B"/>
    <w:rsid w:val="00BC5D5A"/>
    <w:rsid w:val="00BC6705"/>
    <w:rsid w:val="00BC679D"/>
    <w:rsid w:val="00BC68F0"/>
    <w:rsid w:val="00BC6998"/>
    <w:rsid w:val="00BC6AE2"/>
    <w:rsid w:val="00BC6CF5"/>
    <w:rsid w:val="00BC6D6E"/>
    <w:rsid w:val="00BC7274"/>
    <w:rsid w:val="00BC737A"/>
    <w:rsid w:val="00BC7E03"/>
    <w:rsid w:val="00BC7EF7"/>
    <w:rsid w:val="00BD0F17"/>
    <w:rsid w:val="00BD1091"/>
    <w:rsid w:val="00BD13F8"/>
    <w:rsid w:val="00BD17B3"/>
    <w:rsid w:val="00BD1966"/>
    <w:rsid w:val="00BD19F5"/>
    <w:rsid w:val="00BD1C10"/>
    <w:rsid w:val="00BD276C"/>
    <w:rsid w:val="00BD2A72"/>
    <w:rsid w:val="00BD2EF7"/>
    <w:rsid w:val="00BD31D1"/>
    <w:rsid w:val="00BD3967"/>
    <w:rsid w:val="00BD3DA5"/>
    <w:rsid w:val="00BD42E4"/>
    <w:rsid w:val="00BD4686"/>
    <w:rsid w:val="00BD4815"/>
    <w:rsid w:val="00BD549C"/>
    <w:rsid w:val="00BD57EE"/>
    <w:rsid w:val="00BD580B"/>
    <w:rsid w:val="00BD59BA"/>
    <w:rsid w:val="00BD5D23"/>
    <w:rsid w:val="00BD5DBB"/>
    <w:rsid w:val="00BD61F3"/>
    <w:rsid w:val="00BD636C"/>
    <w:rsid w:val="00BD684F"/>
    <w:rsid w:val="00BD6B6C"/>
    <w:rsid w:val="00BD6CAC"/>
    <w:rsid w:val="00BE02A5"/>
    <w:rsid w:val="00BE1265"/>
    <w:rsid w:val="00BE13A9"/>
    <w:rsid w:val="00BE1CC1"/>
    <w:rsid w:val="00BE1CC6"/>
    <w:rsid w:val="00BE1D26"/>
    <w:rsid w:val="00BE22F8"/>
    <w:rsid w:val="00BE28FA"/>
    <w:rsid w:val="00BE29CA"/>
    <w:rsid w:val="00BE2AB4"/>
    <w:rsid w:val="00BE2B6C"/>
    <w:rsid w:val="00BE414C"/>
    <w:rsid w:val="00BE457E"/>
    <w:rsid w:val="00BE505F"/>
    <w:rsid w:val="00BE5446"/>
    <w:rsid w:val="00BE57B9"/>
    <w:rsid w:val="00BE5854"/>
    <w:rsid w:val="00BE5B58"/>
    <w:rsid w:val="00BE5DA8"/>
    <w:rsid w:val="00BE6292"/>
    <w:rsid w:val="00BE66F9"/>
    <w:rsid w:val="00BE68A9"/>
    <w:rsid w:val="00BE69E5"/>
    <w:rsid w:val="00BE6BB0"/>
    <w:rsid w:val="00BE6F88"/>
    <w:rsid w:val="00BE6F9C"/>
    <w:rsid w:val="00BE71B5"/>
    <w:rsid w:val="00BE7515"/>
    <w:rsid w:val="00BE75D3"/>
    <w:rsid w:val="00BF00F3"/>
    <w:rsid w:val="00BF01CC"/>
    <w:rsid w:val="00BF031F"/>
    <w:rsid w:val="00BF056C"/>
    <w:rsid w:val="00BF0BD8"/>
    <w:rsid w:val="00BF1094"/>
    <w:rsid w:val="00BF10C0"/>
    <w:rsid w:val="00BF148A"/>
    <w:rsid w:val="00BF1748"/>
    <w:rsid w:val="00BF17BC"/>
    <w:rsid w:val="00BF198F"/>
    <w:rsid w:val="00BF1A72"/>
    <w:rsid w:val="00BF2307"/>
    <w:rsid w:val="00BF241D"/>
    <w:rsid w:val="00BF2EFC"/>
    <w:rsid w:val="00BF3428"/>
    <w:rsid w:val="00BF353F"/>
    <w:rsid w:val="00BF35FC"/>
    <w:rsid w:val="00BF4691"/>
    <w:rsid w:val="00BF4777"/>
    <w:rsid w:val="00BF4BCC"/>
    <w:rsid w:val="00BF4EC9"/>
    <w:rsid w:val="00BF52F9"/>
    <w:rsid w:val="00BF5B54"/>
    <w:rsid w:val="00BF6196"/>
    <w:rsid w:val="00BF6D74"/>
    <w:rsid w:val="00BF7230"/>
    <w:rsid w:val="00BF726C"/>
    <w:rsid w:val="00BF732E"/>
    <w:rsid w:val="00BF7B0B"/>
    <w:rsid w:val="00BF7D23"/>
    <w:rsid w:val="00BF7E14"/>
    <w:rsid w:val="00C001B3"/>
    <w:rsid w:val="00C0057F"/>
    <w:rsid w:val="00C005DA"/>
    <w:rsid w:val="00C0098F"/>
    <w:rsid w:val="00C00D51"/>
    <w:rsid w:val="00C00F5D"/>
    <w:rsid w:val="00C017DD"/>
    <w:rsid w:val="00C018A6"/>
    <w:rsid w:val="00C028C5"/>
    <w:rsid w:val="00C02B01"/>
    <w:rsid w:val="00C02CBC"/>
    <w:rsid w:val="00C0340B"/>
    <w:rsid w:val="00C0360C"/>
    <w:rsid w:val="00C03EA6"/>
    <w:rsid w:val="00C040F2"/>
    <w:rsid w:val="00C04DCC"/>
    <w:rsid w:val="00C04F1D"/>
    <w:rsid w:val="00C05AEB"/>
    <w:rsid w:val="00C05B18"/>
    <w:rsid w:val="00C05EF0"/>
    <w:rsid w:val="00C061B5"/>
    <w:rsid w:val="00C06556"/>
    <w:rsid w:val="00C068DE"/>
    <w:rsid w:val="00C06C5F"/>
    <w:rsid w:val="00C06E1E"/>
    <w:rsid w:val="00C06E83"/>
    <w:rsid w:val="00C070D3"/>
    <w:rsid w:val="00C0722F"/>
    <w:rsid w:val="00C07F6A"/>
    <w:rsid w:val="00C100C5"/>
    <w:rsid w:val="00C10508"/>
    <w:rsid w:val="00C106AF"/>
    <w:rsid w:val="00C10BBF"/>
    <w:rsid w:val="00C10EA5"/>
    <w:rsid w:val="00C1106D"/>
    <w:rsid w:val="00C1196F"/>
    <w:rsid w:val="00C11A91"/>
    <w:rsid w:val="00C120AC"/>
    <w:rsid w:val="00C1255C"/>
    <w:rsid w:val="00C12C04"/>
    <w:rsid w:val="00C1341A"/>
    <w:rsid w:val="00C13642"/>
    <w:rsid w:val="00C136F3"/>
    <w:rsid w:val="00C140C9"/>
    <w:rsid w:val="00C145AE"/>
    <w:rsid w:val="00C146A5"/>
    <w:rsid w:val="00C14D3C"/>
    <w:rsid w:val="00C14F5F"/>
    <w:rsid w:val="00C15346"/>
    <w:rsid w:val="00C15598"/>
    <w:rsid w:val="00C15920"/>
    <w:rsid w:val="00C161D4"/>
    <w:rsid w:val="00C164AC"/>
    <w:rsid w:val="00C16A88"/>
    <w:rsid w:val="00C16C53"/>
    <w:rsid w:val="00C16D79"/>
    <w:rsid w:val="00C17718"/>
    <w:rsid w:val="00C17881"/>
    <w:rsid w:val="00C17AEE"/>
    <w:rsid w:val="00C17E6D"/>
    <w:rsid w:val="00C17FDA"/>
    <w:rsid w:val="00C20715"/>
    <w:rsid w:val="00C209D0"/>
    <w:rsid w:val="00C20B3D"/>
    <w:rsid w:val="00C20DBA"/>
    <w:rsid w:val="00C20EBF"/>
    <w:rsid w:val="00C21121"/>
    <w:rsid w:val="00C214AC"/>
    <w:rsid w:val="00C21684"/>
    <w:rsid w:val="00C218ED"/>
    <w:rsid w:val="00C21B85"/>
    <w:rsid w:val="00C21C6A"/>
    <w:rsid w:val="00C21E34"/>
    <w:rsid w:val="00C22010"/>
    <w:rsid w:val="00C2209E"/>
    <w:rsid w:val="00C220E3"/>
    <w:rsid w:val="00C22850"/>
    <w:rsid w:val="00C22932"/>
    <w:rsid w:val="00C22A5C"/>
    <w:rsid w:val="00C22E97"/>
    <w:rsid w:val="00C2312C"/>
    <w:rsid w:val="00C2396E"/>
    <w:rsid w:val="00C23DF8"/>
    <w:rsid w:val="00C23F42"/>
    <w:rsid w:val="00C2429A"/>
    <w:rsid w:val="00C24363"/>
    <w:rsid w:val="00C2461A"/>
    <w:rsid w:val="00C247C3"/>
    <w:rsid w:val="00C2508B"/>
    <w:rsid w:val="00C2680E"/>
    <w:rsid w:val="00C26E3F"/>
    <w:rsid w:val="00C27128"/>
    <w:rsid w:val="00C279EB"/>
    <w:rsid w:val="00C307D0"/>
    <w:rsid w:val="00C309D3"/>
    <w:rsid w:val="00C30DD7"/>
    <w:rsid w:val="00C313C3"/>
    <w:rsid w:val="00C3180D"/>
    <w:rsid w:val="00C31830"/>
    <w:rsid w:val="00C31BE1"/>
    <w:rsid w:val="00C31EE6"/>
    <w:rsid w:val="00C3267D"/>
    <w:rsid w:val="00C32A59"/>
    <w:rsid w:val="00C32E47"/>
    <w:rsid w:val="00C32F28"/>
    <w:rsid w:val="00C3398D"/>
    <w:rsid w:val="00C33A7D"/>
    <w:rsid w:val="00C348BC"/>
    <w:rsid w:val="00C34B70"/>
    <w:rsid w:val="00C34D1D"/>
    <w:rsid w:val="00C35421"/>
    <w:rsid w:val="00C3588F"/>
    <w:rsid w:val="00C363E7"/>
    <w:rsid w:val="00C37033"/>
    <w:rsid w:val="00C37074"/>
    <w:rsid w:val="00C3733C"/>
    <w:rsid w:val="00C37450"/>
    <w:rsid w:val="00C37DFB"/>
    <w:rsid w:val="00C416BF"/>
    <w:rsid w:val="00C417C9"/>
    <w:rsid w:val="00C41A95"/>
    <w:rsid w:val="00C41C0A"/>
    <w:rsid w:val="00C41DFD"/>
    <w:rsid w:val="00C41E9E"/>
    <w:rsid w:val="00C42298"/>
    <w:rsid w:val="00C422FA"/>
    <w:rsid w:val="00C42610"/>
    <w:rsid w:val="00C42C2F"/>
    <w:rsid w:val="00C4344F"/>
    <w:rsid w:val="00C43585"/>
    <w:rsid w:val="00C440F5"/>
    <w:rsid w:val="00C447AD"/>
    <w:rsid w:val="00C447D7"/>
    <w:rsid w:val="00C447D8"/>
    <w:rsid w:val="00C44E56"/>
    <w:rsid w:val="00C4518F"/>
    <w:rsid w:val="00C4525A"/>
    <w:rsid w:val="00C45739"/>
    <w:rsid w:val="00C45CB7"/>
    <w:rsid w:val="00C46291"/>
    <w:rsid w:val="00C46395"/>
    <w:rsid w:val="00C46AD7"/>
    <w:rsid w:val="00C46D51"/>
    <w:rsid w:val="00C47DDA"/>
    <w:rsid w:val="00C505EA"/>
    <w:rsid w:val="00C50A2B"/>
    <w:rsid w:val="00C50E90"/>
    <w:rsid w:val="00C510AF"/>
    <w:rsid w:val="00C513B9"/>
    <w:rsid w:val="00C51D56"/>
    <w:rsid w:val="00C52004"/>
    <w:rsid w:val="00C52433"/>
    <w:rsid w:val="00C52D24"/>
    <w:rsid w:val="00C531DB"/>
    <w:rsid w:val="00C539BC"/>
    <w:rsid w:val="00C53ACE"/>
    <w:rsid w:val="00C53C84"/>
    <w:rsid w:val="00C549E3"/>
    <w:rsid w:val="00C54ADC"/>
    <w:rsid w:val="00C5533D"/>
    <w:rsid w:val="00C5542B"/>
    <w:rsid w:val="00C55590"/>
    <w:rsid w:val="00C55D1D"/>
    <w:rsid w:val="00C56B2E"/>
    <w:rsid w:val="00C570E5"/>
    <w:rsid w:val="00C60281"/>
    <w:rsid w:val="00C60413"/>
    <w:rsid w:val="00C60A98"/>
    <w:rsid w:val="00C6134A"/>
    <w:rsid w:val="00C61736"/>
    <w:rsid w:val="00C61B4A"/>
    <w:rsid w:val="00C61CA9"/>
    <w:rsid w:val="00C61D3D"/>
    <w:rsid w:val="00C61D77"/>
    <w:rsid w:val="00C621B1"/>
    <w:rsid w:val="00C6221C"/>
    <w:rsid w:val="00C624EE"/>
    <w:rsid w:val="00C62B3D"/>
    <w:rsid w:val="00C634C9"/>
    <w:rsid w:val="00C63618"/>
    <w:rsid w:val="00C636EE"/>
    <w:rsid w:val="00C638F3"/>
    <w:rsid w:val="00C63BEF"/>
    <w:rsid w:val="00C63E6C"/>
    <w:rsid w:val="00C64546"/>
    <w:rsid w:val="00C64954"/>
    <w:rsid w:val="00C64FC5"/>
    <w:rsid w:val="00C65636"/>
    <w:rsid w:val="00C65CAB"/>
    <w:rsid w:val="00C66615"/>
    <w:rsid w:val="00C6711F"/>
    <w:rsid w:val="00C67516"/>
    <w:rsid w:val="00C67B88"/>
    <w:rsid w:val="00C7022C"/>
    <w:rsid w:val="00C71AA5"/>
    <w:rsid w:val="00C71BC8"/>
    <w:rsid w:val="00C7327C"/>
    <w:rsid w:val="00C7389F"/>
    <w:rsid w:val="00C7409C"/>
    <w:rsid w:val="00C740BA"/>
    <w:rsid w:val="00C74715"/>
    <w:rsid w:val="00C74950"/>
    <w:rsid w:val="00C75654"/>
    <w:rsid w:val="00C75807"/>
    <w:rsid w:val="00C758FE"/>
    <w:rsid w:val="00C75AE4"/>
    <w:rsid w:val="00C75B3F"/>
    <w:rsid w:val="00C76E83"/>
    <w:rsid w:val="00C774CD"/>
    <w:rsid w:val="00C77642"/>
    <w:rsid w:val="00C77927"/>
    <w:rsid w:val="00C77943"/>
    <w:rsid w:val="00C77F5B"/>
    <w:rsid w:val="00C80462"/>
    <w:rsid w:val="00C80B1E"/>
    <w:rsid w:val="00C80B98"/>
    <w:rsid w:val="00C80D59"/>
    <w:rsid w:val="00C80F97"/>
    <w:rsid w:val="00C81A2B"/>
    <w:rsid w:val="00C82134"/>
    <w:rsid w:val="00C8234B"/>
    <w:rsid w:val="00C82AC6"/>
    <w:rsid w:val="00C82C57"/>
    <w:rsid w:val="00C83A20"/>
    <w:rsid w:val="00C84EBF"/>
    <w:rsid w:val="00C84ECE"/>
    <w:rsid w:val="00C85794"/>
    <w:rsid w:val="00C85B58"/>
    <w:rsid w:val="00C85E11"/>
    <w:rsid w:val="00C860D4"/>
    <w:rsid w:val="00C8611C"/>
    <w:rsid w:val="00C86EAB"/>
    <w:rsid w:val="00C8727B"/>
    <w:rsid w:val="00C87805"/>
    <w:rsid w:val="00C90EEB"/>
    <w:rsid w:val="00C910FE"/>
    <w:rsid w:val="00C911B8"/>
    <w:rsid w:val="00C9166D"/>
    <w:rsid w:val="00C919E1"/>
    <w:rsid w:val="00C9233B"/>
    <w:rsid w:val="00C927DF"/>
    <w:rsid w:val="00C92A2A"/>
    <w:rsid w:val="00C92A81"/>
    <w:rsid w:val="00C92B0E"/>
    <w:rsid w:val="00C92B39"/>
    <w:rsid w:val="00C93B6B"/>
    <w:rsid w:val="00C94094"/>
    <w:rsid w:val="00C944EB"/>
    <w:rsid w:val="00C947CB"/>
    <w:rsid w:val="00C94EB4"/>
    <w:rsid w:val="00C95007"/>
    <w:rsid w:val="00C954A2"/>
    <w:rsid w:val="00C95550"/>
    <w:rsid w:val="00C96644"/>
    <w:rsid w:val="00C967E6"/>
    <w:rsid w:val="00C969C1"/>
    <w:rsid w:val="00C97061"/>
    <w:rsid w:val="00C974F4"/>
    <w:rsid w:val="00C97813"/>
    <w:rsid w:val="00C9798C"/>
    <w:rsid w:val="00C97DF7"/>
    <w:rsid w:val="00CA00F8"/>
    <w:rsid w:val="00CA04FE"/>
    <w:rsid w:val="00CA0A95"/>
    <w:rsid w:val="00CA0DA2"/>
    <w:rsid w:val="00CA0EBA"/>
    <w:rsid w:val="00CA180B"/>
    <w:rsid w:val="00CA201B"/>
    <w:rsid w:val="00CA20C1"/>
    <w:rsid w:val="00CA21F5"/>
    <w:rsid w:val="00CA24FD"/>
    <w:rsid w:val="00CA28D7"/>
    <w:rsid w:val="00CA2DD7"/>
    <w:rsid w:val="00CA3109"/>
    <w:rsid w:val="00CA3814"/>
    <w:rsid w:val="00CA3824"/>
    <w:rsid w:val="00CA3D3E"/>
    <w:rsid w:val="00CA3F8C"/>
    <w:rsid w:val="00CA4F13"/>
    <w:rsid w:val="00CA5158"/>
    <w:rsid w:val="00CA5944"/>
    <w:rsid w:val="00CA5ABA"/>
    <w:rsid w:val="00CA6020"/>
    <w:rsid w:val="00CA6067"/>
    <w:rsid w:val="00CA610F"/>
    <w:rsid w:val="00CA6D17"/>
    <w:rsid w:val="00CA74D8"/>
    <w:rsid w:val="00CA7506"/>
    <w:rsid w:val="00CA7CB5"/>
    <w:rsid w:val="00CA7FE1"/>
    <w:rsid w:val="00CB0267"/>
    <w:rsid w:val="00CB028D"/>
    <w:rsid w:val="00CB0BB7"/>
    <w:rsid w:val="00CB1597"/>
    <w:rsid w:val="00CB2403"/>
    <w:rsid w:val="00CB29A8"/>
    <w:rsid w:val="00CB313B"/>
    <w:rsid w:val="00CB33D2"/>
    <w:rsid w:val="00CB34FB"/>
    <w:rsid w:val="00CB399C"/>
    <w:rsid w:val="00CB412D"/>
    <w:rsid w:val="00CB4237"/>
    <w:rsid w:val="00CB42CB"/>
    <w:rsid w:val="00CB4331"/>
    <w:rsid w:val="00CB4475"/>
    <w:rsid w:val="00CB4633"/>
    <w:rsid w:val="00CB4E03"/>
    <w:rsid w:val="00CB527D"/>
    <w:rsid w:val="00CB55EB"/>
    <w:rsid w:val="00CB5726"/>
    <w:rsid w:val="00CB5D1B"/>
    <w:rsid w:val="00CB6485"/>
    <w:rsid w:val="00CB65EF"/>
    <w:rsid w:val="00CB6CB3"/>
    <w:rsid w:val="00CB6F16"/>
    <w:rsid w:val="00CB6F98"/>
    <w:rsid w:val="00CB6FDB"/>
    <w:rsid w:val="00CB7230"/>
    <w:rsid w:val="00CB7486"/>
    <w:rsid w:val="00CB750F"/>
    <w:rsid w:val="00CB76DA"/>
    <w:rsid w:val="00CB76EA"/>
    <w:rsid w:val="00CB79EC"/>
    <w:rsid w:val="00CB7E87"/>
    <w:rsid w:val="00CC02D6"/>
    <w:rsid w:val="00CC0DF3"/>
    <w:rsid w:val="00CC1018"/>
    <w:rsid w:val="00CC11C2"/>
    <w:rsid w:val="00CC1789"/>
    <w:rsid w:val="00CC2361"/>
    <w:rsid w:val="00CC2721"/>
    <w:rsid w:val="00CC2786"/>
    <w:rsid w:val="00CC29C8"/>
    <w:rsid w:val="00CC30C5"/>
    <w:rsid w:val="00CC32D0"/>
    <w:rsid w:val="00CC3391"/>
    <w:rsid w:val="00CC371B"/>
    <w:rsid w:val="00CC37C1"/>
    <w:rsid w:val="00CC3902"/>
    <w:rsid w:val="00CC4124"/>
    <w:rsid w:val="00CC41B5"/>
    <w:rsid w:val="00CC44FD"/>
    <w:rsid w:val="00CC45DF"/>
    <w:rsid w:val="00CC52AF"/>
    <w:rsid w:val="00CC59ED"/>
    <w:rsid w:val="00CC5EEF"/>
    <w:rsid w:val="00CC66ED"/>
    <w:rsid w:val="00CC689E"/>
    <w:rsid w:val="00CC6C17"/>
    <w:rsid w:val="00CC6E98"/>
    <w:rsid w:val="00CC71DE"/>
    <w:rsid w:val="00CC739E"/>
    <w:rsid w:val="00CC73E7"/>
    <w:rsid w:val="00CC7A3D"/>
    <w:rsid w:val="00CC7A5B"/>
    <w:rsid w:val="00CC7ADD"/>
    <w:rsid w:val="00CD02ED"/>
    <w:rsid w:val="00CD08A8"/>
    <w:rsid w:val="00CD17B7"/>
    <w:rsid w:val="00CD2138"/>
    <w:rsid w:val="00CD2A37"/>
    <w:rsid w:val="00CD2E49"/>
    <w:rsid w:val="00CD317A"/>
    <w:rsid w:val="00CD3430"/>
    <w:rsid w:val="00CD378C"/>
    <w:rsid w:val="00CD4460"/>
    <w:rsid w:val="00CD45C6"/>
    <w:rsid w:val="00CD4A83"/>
    <w:rsid w:val="00CD4CC3"/>
    <w:rsid w:val="00CD4D71"/>
    <w:rsid w:val="00CD5B9A"/>
    <w:rsid w:val="00CD5F12"/>
    <w:rsid w:val="00CD6A51"/>
    <w:rsid w:val="00CD6B58"/>
    <w:rsid w:val="00CD6F49"/>
    <w:rsid w:val="00CD7056"/>
    <w:rsid w:val="00CD74C3"/>
    <w:rsid w:val="00CD74E7"/>
    <w:rsid w:val="00CD7874"/>
    <w:rsid w:val="00CE050F"/>
    <w:rsid w:val="00CE0524"/>
    <w:rsid w:val="00CE0A6D"/>
    <w:rsid w:val="00CE0D65"/>
    <w:rsid w:val="00CE0F6F"/>
    <w:rsid w:val="00CE1184"/>
    <w:rsid w:val="00CE19A0"/>
    <w:rsid w:val="00CE1A6F"/>
    <w:rsid w:val="00CE1F0F"/>
    <w:rsid w:val="00CE21F6"/>
    <w:rsid w:val="00CE251F"/>
    <w:rsid w:val="00CE2D81"/>
    <w:rsid w:val="00CE2F10"/>
    <w:rsid w:val="00CE331C"/>
    <w:rsid w:val="00CE34F0"/>
    <w:rsid w:val="00CE3C0D"/>
    <w:rsid w:val="00CE3DE6"/>
    <w:rsid w:val="00CE41A5"/>
    <w:rsid w:val="00CE430B"/>
    <w:rsid w:val="00CE4B92"/>
    <w:rsid w:val="00CE4E8B"/>
    <w:rsid w:val="00CE55D6"/>
    <w:rsid w:val="00CE5815"/>
    <w:rsid w:val="00CE5877"/>
    <w:rsid w:val="00CE5BFB"/>
    <w:rsid w:val="00CE5FE3"/>
    <w:rsid w:val="00CE621E"/>
    <w:rsid w:val="00CE6490"/>
    <w:rsid w:val="00CE6E46"/>
    <w:rsid w:val="00CE7047"/>
    <w:rsid w:val="00CE75D6"/>
    <w:rsid w:val="00CE7833"/>
    <w:rsid w:val="00CE79C3"/>
    <w:rsid w:val="00CE7D2F"/>
    <w:rsid w:val="00CF0040"/>
    <w:rsid w:val="00CF0051"/>
    <w:rsid w:val="00CF0800"/>
    <w:rsid w:val="00CF0B63"/>
    <w:rsid w:val="00CF1148"/>
    <w:rsid w:val="00CF19BC"/>
    <w:rsid w:val="00CF1B19"/>
    <w:rsid w:val="00CF20C0"/>
    <w:rsid w:val="00CF20E7"/>
    <w:rsid w:val="00CF2953"/>
    <w:rsid w:val="00CF3236"/>
    <w:rsid w:val="00CF3A42"/>
    <w:rsid w:val="00CF3A98"/>
    <w:rsid w:val="00CF4243"/>
    <w:rsid w:val="00CF4302"/>
    <w:rsid w:val="00CF4357"/>
    <w:rsid w:val="00CF501A"/>
    <w:rsid w:val="00CF5162"/>
    <w:rsid w:val="00CF5392"/>
    <w:rsid w:val="00CF5BEF"/>
    <w:rsid w:val="00CF61CD"/>
    <w:rsid w:val="00CF6A69"/>
    <w:rsid w:val="00CF6C5D"/>
    <w:rsid w:val="00CF6DE1"/>
    <w:rsid w:val="00CF6FB8"/>
    <w:rsid w:val="00CF7103"/>
    <w:rsid w:val="00CF715C"/>
    <w:rsid w:val="00CF7C4C"/>
    <w:rsid w:val="00CF7F4B"/>
    <w:rsid w:val="00D01648"/>
    <w:rsid w:val="00D01796"/>
    <w:rsid w:val="00D01EED"/>
    <w:rsid w:val="00D01F62"/>
    <w:rsid w:val="00D0259E"/>
    <w:rsid w:val="00D02996"/>
    <w:rsid w:val="00D02E81"/>
    <w:rsid w:val="00D034D1"/>
    <w:rsid w:val="00D03965"/>
    <w:rsid w:val="00D03A41"/>
    <w:rsid w:val="00D041DA"/>
    <w:rsid w:val="00D043CF"/>
    <w:rsid w:val="00D047B9"/>
    <w:rsid w:val="00D04816"/>
    <w:rsid w:val="00D049B2"/>
    <w:rsid w:val="00D04AF7"/>
    <w:rsid w:val="00D05EB6"/>
    <w:rsid w:val="00D0629D"/>
    <w:rsid w:val="00D068C0"/>
    <w:rsid w:val="00D06923"/>
    <w:rsid w:val="00D07782"/>
    <w:rsid w:val="00D07DFC"/>
    <w:rsid w:val="00D109C2"/>
    <w:rsid w:val="00D10A1C"/>
    <w:rsid w:val="00D10B01"/>
    <w:rsid w:val="00D10CE7"/>
    <w:rsid w:val="00D10E3E"/>
    <w:rsid w:val="00D110F2"/>
    <w:rsid w:val="00D111CC"/>
    <w:rsid w:val="00D118B5"/>
    <w:rsid w:val="00D11A99"/>
    <w:rsid w:val="00D13703"/>
    <w:rsid w:val="00D13C53"/>
    <w:rsid w:val="00D144DC"/>
    <w:rsid w:val="00D14FBF"/>
    <w:rsid w:val="00D14FE7"/>
    <w:rsid w:val="00D15858"/>
    <w:rsid w:val="00D15E9D"/>
    <w:rsid w:val="00D16095"/>
    <w:rsid w:val="00D161EC"/>
    <w:rsid w:val="00D1635D"/>
    <w:rsid w:val="00D167F5"/>
    <w:rsid w:val="00D16A55"/>
    <w:rsid w:val="00D1702F"/>
    <w:rsid w:val="00D171E0"/>
    <w:rsid w:val="00D1752D"/>
    <w:rsid w:val="00D1773C"/>
    <w:rsid w:val="00D1775B"/>
    <w:rsid w:val="00D17815"/>
    <w:rsid w:val="00D17940"/>
    <w:rsid w:val="00D17A20"/>
    <w:rsid w:val="00D17FA5"/>
    <w:rsid w:val="00D20C26"/>
    <w:rsid w:val="00D20F1B"/>
    <w:rsid w:val="00D21624"/>
    <w:rsid w:val="00D2176F"/>
    <w:rsid w:val="00D21A0F"/>
    <w:rsid w:val="00D21F39"/>
    <w:rsid w:val="00D21F78"/>
    <w:rsid w:val="00D2225C"/>
    <w:rsid w:val="00D22DCC"/>
    <w:rsid w:val="00D22EB7"/>
    <w:rsid w:val="00D233A7"/>
    <w:rsid w:val="00D23430"/>
    <w:rsid w:val="00D24648"/>
    <w:rsid w:val="00D24EFE"/>
    <w:rsid w:val="00D24FC5"/>
    <w:rsid w:val="00D25121"/>
    <w:rsid w:val="00D252A7"/>
    <w:rsid w:val="00D25307"/>
    <w:rsid w:val="00D2547B"/>
    <w:rsid w:val="00D254A6"/>
    <w:rsid w:val="00D255E2"/>
    <w:rsid w:val="00D25C52"/>
    <w:rsid w:val="00D260CD"/>
    <w:rsid w:val="00D261FF"/>
    <w:rsid w:val="00D26312"/>
    <w:rsid w:val="00D2643B"/>
    <w:rsid w:val="00D2648B"/>
    <w:rsid w:val="00D26B84"/>
    <w:rsid w:val="00D27176"/>
    <w:rsid w:val="00D274B2"/>
    <w:rsid w:val="00D27A78"/>
    <w:rsid w:val="00D300B6"/>
    <w:rsid w:val="00D30415"/>
    <w:rsid w:val="00D304AB"/>
    <w:rsid w:val="00D30500"/>
    <w:rsid w:val="00D3055C"/>
    <w:rsid w:val="00D3076A"/>
    <w:rsid w:val="00D3094F"/>
    <w:rsid w:val="00D30A44"/>
    <w:rsid w:val="00D30C25"/>
    <w:rsid w:val="00D30CD4"/>
    <w:rsid w:val="00D30E37"/>
    <w:rsid w:val="00D31470"/>
    <w:rsid w:val="00D31677"/>
    <w:rsid w:val="00D316EB"/>
    <w:rsid w:val="00D319C7"/>
    <w:rsid w:val="00D31EAE"/>
    <w:rsid w:val="00D31F06"/>
    <w:rsid w:val="00D324FE"/>
    <w:rsid w:val="00D3266A"/>
    <w:rsid w:val="00D32777"/>
    <w:rsid w:val="00D32F6E"/>
    <w:rsid w:val="00D33485"/>
    <w:rsid w:val="00D33D8B"/>
    <w:rsid w:val="00D33D96"/>
    <w:rsid w:val="00D340C6"/>
    <w:rsid w:val="00D34682"/>
    <w:rsid w:val="00D348A5"/>
    <w:rsid w:val="00D34ADF"/>
    <w:rsid w:val="00D34F31"/>
    <w:rsid w:val="00D34F94"/>
    <w:rsid w:val="00D351A5"/>
    <w:rsid w:val="00D35ED5"/>
    <w:rsid w:val="00D36546"/>
    <w:rsid w:val="00D36C84"/>
    <w:rsid w:val="00D371DD"/>
    <w:rsid w:val="00D37279"/>
    <w:rsid w:val="00D3747F"/>
    <w:rsid w:val="00D377D9"/>
    <w:rsid w:val="00D37BEE"/>
    <w:rsid w:val="00D408C3"/>
    <w:rsid w:val="00D41452"/>
    <w:rsid w:val="00D4172C"/>
    <w:rsid w:val="00D41935"/>
    <w:rsid w:val="00D41A2D"/>
    <w:rsid w:val="00D42F9F"/>
    <w:rsid w:val="00D43381"/>
    <w:rsid w:val="00D433A9"/>
    <w:rsid w:val="00D43A11"/>
    <w:rsid w:val="00D43E06"/>
    <w:rsid w:val="00D4468B"/>
    <w:rsid w:val="00D44AE8"/>
    <w:rsid w:val="00D454B6"/>
    <w:rsid w:val="00D45AFE"/>
    <w:rsid w:val="00D45DD1"/>
    <w:rsid w:val="00D46024"/>
    <w:rsid w:val="00D46FC7"/>
    <w:rsid w:val="00D47179"/>
    <w:rsid w:val="00D471F4"/>
    <w:rsid w:val="00D475D0"/>
    <w:rsid w:val="00D477AD"/>
    <w:rsid w:val="00D5007B"/>
    <w:rsid w:val="00D50443"/>
    <w:rsid w:val="00D509AF"/>
    <w:rsid w:val="00D50EA3"/>
    <w:rsid w:val="00D51403"/>
    <w:rsid w:val="00D51870"/>
    <w:rsid w:val="00D51DFC"/>
    <w:rsid w:val="00D52262"/>
    <w:rsid w:val="00D522EF"/>
    <w:rsid w:val="00D5250E"/>
    <w:rsid w:val="00D52839"/>
    <w:rsid w:val="00D52D23"/>
    <w:rsid w:val="00D530DF"/>
    <w:rsid w:val="00D531A4"/>
    <w:rsid w:val="00D533FA"/>
    <w:rsid w:val="00D53640"/>
    <w:rsid w:val="00D53878"/>
    <w:rsid w:val="00D5387A"/>
    <w:rsid w:val="00D539C1"/>
    <w:rsid w:val="00D53AF3"/>
    <w:rsid w:val="00D53B50"/>
    <w:rsid w:val="00D54932"/>
    <w:rsid w:val="00D54BE8"/>
    <w:rsid w:val="00D54C32"/>
    <w:rsid w:val="00D54DBF"/>
    <w:rsid w:val="00D5529C"/>
    <w:rsid w:val="00D55B4E"/>
    <w:rsid w:val="00D5625D"/>
    <w:rsid w:val="00D57099"/>
    <w:rsid w:val="00D57333"/>
    <w:rsid w:val="00D579E5"/>
    <w:rsid w:val="00D57A5F"/>
    <w:rsid w:val="00D57B70"/>
    <w:rsid w:val="00D6011F"/>
    <w:rsid w:val="00D602AD"/>
    <w:rsid w:val="00D603BE"/>
    <w:rsid w:val="00D6041E"/>
    <w:rsid w:val="00D60586"/>
    <w:rsid w:val="00D607B9"/>
    <w:rsid w:val="00D6088A"/>
    <w:rsid w:val="00D60FBA"/>
    <w:rsid w:val="00D61227"/>
    <w:rsid w:val="00D61557"/>
    <w:rsid w:val="00D6165B"/>
    <w:rsid w:val="00D61718"/>
    <w:rsid w:val="00D61DEF"/>
    <w:rsid w:val="00D62193"/>
    <w:rsid w:val="00D625CC"/>
    <w:rsid w:val="00D62970"/>
    <w:rsid w:val="00D62E4B"/>
    <w:rsid w:val="00D63261"/>
    <w:rsid w:val="00D63841"/>
    <w:rsid w:val="00D639B0"/>
    <w:rsid w:val="00D63C33"/>
    <w:rsid w:val="00D63D71"/>
    <w:rsid w:val="00D64000"/>
    <w:rsid w:val="00D64004"/>
    <w:rsid w:val="00D6412F"/>
    <w:rsid w:val="00D642C7"/>
    <w:rsid w:val="00D64CF4"/>
    <w:rsid w:val="00D64EBF"/>
    <w:rsid w:val="00D65827"/>
    <w:rsid w:val="00D65BA8"/>
    <w:rsid w:val="00D65F94"/>
    <w:rsid w:val="00D660A4"/>
    <w:rsid w:val="00D66731"/>
    <w:rsid w:val="00D67067"/>
    <w:rsid w:val="00D672D5"/>
    <w:rsid w:val="00D70849"/>
    <w:rsid w:val="00D7102F"/>
    <w:rsid w:val="00D711AC"/>
    <w:rsid w:val="00D715AE"/>
    <w:rsid w:val="00D715C4"/>
    <w:rsid w:val="00D71791"/>
    <w:rsid w:val="00D71839"/>
    <w:rsid w:val="00D71864"/>
    <w:rsid w:val="00D71B5B"/>
    <w:rsid w:val="00D71D88"/>
    <w:rsid w:val="00D71D8A"/>
    <w:rsid w:val="00D71F18"/>
    <w:rsid w:val="00D72375"/>
    <w:rsid w:val="00D72544"/>
    <w:rsid w:val="00D72ECD"/>
    <w:rsid w:val="00D73040"/>
    <w:rsid w:val="00D734F9"/>
    <w:rsid w:val="00D73B4C"/>
    <w:rsid w:val="00D73B77"/>
    <w:rsid w:val="00D73D14"/>
    <w:rsid w:val="00D73E74"/>
    <w:rsid w:val="00D7407D"/>
    <w:rsid w:val="00D74151"/>
    <w:rsid w:val="00D7444B"/>
    <w:rsid w:val="00D74D28"/>
    <w:rsid w:val="00D74FAD"/>
    <w:rsid w:val="00D75183"/>
    <w:rsid w:val="00D753C2"/>
    <w:rsid w:val="00D75606"/>
    <w:rsid w:val="00D75D04"/>
    <w:rsid w:val="00D763D0"/>
    <w:rsid w:val="00D7684E"/>
    <w:rsid w:val="00D76E83"/>
    <w:rsid w:val="00D77EF5"/>
    <w:rsid w:val="00D8061A"/>
    <w:rsid w:val="00D80AE3"/>
    <w:rsid w:val="00D81320"/>
    <w:rsid w:val="00D81370"/>
    <w:rsid w:val="00D81461"/>
    <w:rsid w:val="00D81C1D"/>
    <w:rsid w:val="00D827F3"/>
    <w:rsid w:val="00D8368A"/>
    <w:rsid w:val="00D839CC"/>
    <w:rsid w:val="00D83A8D"/>
    <w:rsid w:val="00D843D9"/>
    <w:rsid w:val="00D84869"/>
    <w:rsid w:val="00D849BE"/>
    <w:rsid w:val="00D84B8C"/>
    <w:rsid w:val="00D85175"/>
    <w:rsid w:val="00D875DC"/>
    <w:rsid w:val="00D87847"/>
    <w:rsid w:val="00D902C1"/>
    <w:rsid w:val="00D9080E"/>
    <w:rsid w:val="00D90C1E"/>
    <w:rsid w:val="00D90C85"/>
    <w:rsid w:val="00D91536"/>
    <w:rsid w:val="00D916E2"/>
    <w:rsid w:val="00D92D4E"/>
    <w:rsid w:val="00D9390D"/>
    <w:rsid w:val="00D93E98"/>
    <w:rsid w:val="00D94333"/>
    <w:rsid w:val="00D9438E"/>
    <w:rsid w:val="00D9506E"/>
    <w:rsid w:val="00D950D8"/>
    <w:rsid w:val="00D95B12"/>
    <w:rsid w:val="00D95E98"/>
    <w:rsid w:val="00D9713D"/>
    <w:rsid w:val="00D97408"/>
    <w:rsid w:val="00D97B5A"/>
    <w:rsid w:val="00DA0BB4"/>
    <w:rsid w:val="00DA0E98"/>
    <w:rsid w:val="00DA1020"/>
    <w:rsid w:val="00DA164C"/>
    <w:rsid w:val="00DA1BE8"/>
    <w:rsid w:val="00DA1C1A"/>
    <w:rsid w:val="00DA1E8D"/>
    <w:rsid w:val="00DA22C4"/>
    <w:rsid w:val="00DA2379"/>
    <w:rsid w:val="00DA2C30"/>
    <w:rsid w:val="00DA3275"/>
    <w:rsid w:val="00DA351A"/>
    <w:rsid w:val="00DA35F7"/>
    <w:rsid w:val="00DA3951"/>
    <w:rsid w:val="00DA3BA8"/>
    <w:rsid w:val="00DA4063"/>
    <w:rsid w:val="00DA410E"/>
    <w:rsid w:val="00DA4333"/>
    <w:rsid w:val="00DA4DC3"/>
    <w:rsid w:val="00DA578B"/>
    <w:rsid w:val="00DA5F15"/>
    <w:rsid w:val="00DA645A"/>
    <w:rsid w:val="00DA68D0"/>
    <w:rsid w:val="00DA7583"/>
    <w:rsid w:val="00DA7ABB"/>
    <w:rsid w:val="00DB099B"/>
    <w:rsid w:val="00DB198C"/>
    <w:rsid w:val="00DB1B91"/>
    <w:rsid w:val="00DB1EF4"/>
    <w:rsid w:val="00DB2088"/>
    <w:rsid w:val="00DB2C17"/>
    <w:rsid w:val="00DB316C"/>
    <w:rsid w:val="00DB3700"/>
    <w:rsid w:val="00DB37CB"/>
    <w:rsid w:val="00DB3B9F"/>
    <w:rsid w:val="00DB43DF"/>
    <w:rsid w:val="00DB4DA9"/>
    <w:rsid w:val="00DB4E23"/>
    <w:rsid w:val="00DB5B2B"/>
    <w:rsid w:val="00DB683C"/>
    <w:rsid w:val="00DB689E"/>
    <w:rsid w:val="00DC02DB"/>
    <w:rsid w:val="00DC0847"/>
    <w:rsid w:val="00DC0BDC"/>
    <w:rsid w:val="00DC0C4A"/>
    <w:rsid w:val="00DC1DAD"/>
    <w:rsid w:val="00DC29CA"/>
    <w:rsid w:val="00DC2A7B"/>
    <w:rsid w:val="00DC336D"/>
    <w:rsid w:val="00DC34B0"/>
    <w:rsid w:val="00DC34B1"/>
    <w:rsid w:val="00DC356F"/>
    <w:rsid w:val="00DC3A5E"/>
    <w:rsid w:val="00DC41F6"/>
    <w:rsid w:val="00DC4F12"/>
    <w:rsid w:val="00DC52AE"/>
    <w:rsid w:val="00DC56DF"/>
    <w:rsid w:val="00DC5854"/>
    <w:rsid w:val="00DC5CCD"/>
    <w:rsid w:val="00DC5F2C"/>
    <w:rsid w:val="00DC610E"/>
    <w:rsid w:val="00DC633B"/>
    <w:rsid w:val="00DC6404"/>
    <w:rsid w:val="00DC7129"/>
    <w:rsid w:val="00DC73D5"/>
    <w:rsid w:val="00DC743D"/>
    <w:rsid w:val="00DC7E73"/>
    <w:rsid w:val="00DD0270"/>
    <w:rsid w:val="00DD0D2B"/>
    <w:rsid w:val="00DD1274"/>
    <w:rsid w:val="00DD1553"/>
    <w:rsid w:val="00DD1C99"/>
    <w:rsid w:val="00DD1CC5"/>
    <w:rsid w:val="00DD2333"/>
    <w:rsid w:val="00DD2B0F"/>
    <w:rsid w:val="00DD2E15"/>
    <w:rsid w:val="00DD2EAD"/>
    <w:rsid w:val="00DD31B5"/>
    <w:rsid w:val="00DD4593"/>
    <w:rsid w:val="00DD463A"/>
    <w:rsid w:val="00DD4B4B"/>
    <w:rsid w:val="00DD54A4"/>
    <w:rsid w:val="00DD58C0"/>
    <w:rsid w:val="00DD5BAE"/>
    <w:rsid w:val="00DD6269"/>
    <w:rsid w:val="00DD6A36"/>
    <w:rsid w:val="00DD6A50"/>
    <w:rsid w:val="00DD750F"/>
    <w:rsid w:val="00DD7A04"/>
    <w:rsid w:val="00DD7BB8"/>
    <w:rsid w:val="00DD7E41"/>
    <w:rsid w:val="00DE0137"/>
    <w:rsid w:val="00DE0718"/>
    <w:rsid w:val="00DE0B47"/>
    <w:rsid w:val="00DE1041"/>
    <w:rsid w:val="00DE12DE"/>
    <w:rsid w:val="00DE1F85"/>
    <w:rsid w:val="00DE2495"/>
    <w:rsid w:val="00DE2A56"/>
    <w:rsid w:val="00DE2C62"/>
    <w:rsid w:val="00DE2EDC"/>
    <w:rsid w:val="00DE38B6"/>
    <w:rsid w:val="00DE3AE5"/>
    <w:rsid w:val="00DE3C32"/>
    <w:rsid w:val="00DE4784"/>
    <w:rsid w:val="00DE5293"/>
    <w:rsid w:val="00DE5A4C"/>
    <w:rsid w:val="00DE5C19"/>
    <w:rsid w:val="00DE5E7F"/>
    <w:rsid w:val="00DE60A9"/>
    <w:rsid w:val="00DE6788"/>
    <w:rsid w:val="00DE6B8D"/>
    <w:rsid w:val="00DE6D41"/>
    <w:rsid w:val="00DE7580"/>
    <w:rsid w:val="00DE7890"/>
    <w:rsid w:val="00DE78DC"/>
    <w:rsid w:val="00DE7A19"/>
    <w:rsid w:val="00DE7A62"/>
    <w:rsid w:val="00DE7A88"/>
    <w:rsid w:val="00DF022D"/>
    <w:rsid w:val="00DF0385"/>
    <w:rsid w:val="00DF0667"/>
    <w:rsid w:val="00DF08D1"/>
    <w:rsid w:val="00DF1941"/>
    <w:rsid w:val="00DF1BC3"/>
    <w:rsid w:val="00DF2A7C"/>
    <w:rsid w:val="00DF2ADF"/>
    <w:rsid w:val="00DF2F1D"/>
    <w:rsid w:val="00DF2F39"/>
    <w:rsid w:val="00DF3FD1"/>
    <w:rsid w:val="00DF44E3"/>
    <w:rsid w:val="00DF4524"/>
    <w:rsid w:val="00DF4569"/>
    <w:rsid w:val="00DF4ACA"/>
    <w:rsid w:val="00DF4DFB"/>
    <w:rsid w:val="00DF4E58"/>
    <w:rsid w:val="00DF5410"/>
    <w:rsid w:val="00DF5B34"/>
    <w:rsid w:val="00DF5C56"/>
    <w:rsid w:val="00DF628D"/>
    <w:rsid w:val="00DF63F3"/>
    <w:rsid w:val="00DF6D3E"/>
    <w:rsid w:val="00DF6EED"/>
    <w:rsid w:val="00DF7103"/>
    <w:rsid w:val="00DF76D5"/>
    <w:rsid w:val="00E006B0"/>
    <w:rsid w:val="00E00BB4"/>
    <w:rsid w:val="00E00DBE"/>
    <w:rsid w:val="00E01360"/>
    <w:rsid w:val="00E01400"/>
    <w:rsid w:val="00E01C3A"/>
    <w:rsid w:val="00E01D0F"/>
    <w:rsid w:val="00E0238F"/>
    <w:rsid w:val="00E02790"/>
    <w:rsid w:val="00E02F0E"/>
    <w:rsid w:val="00E03991"/>
    <w:rsid w:val="00E04A7D"/>
    <w:rsid w:val="00E04C2C"/>
    <w:rsid w:val="00E04DA6"/>
    <w:rsid w:val="00E04DC2"/>
    <w:rsid w:val="00E04F23"/>
    <w:rsid w:val="00E0515D"/>
    <w:rsid w:val="00E05361"/>
    <w:rsid w:val="00E056D5"/>
    <w:rsid w:val="00E057FD"/>
    <w:rsid w:val="00E06019"/>
    <w:rsid w:val="00E063D2"/>
    <w:rsid w:val="00E06887"/>
    <w:rsid w:val="00E06C46"/>
    <w:rsid w:val="00E07071"/>
    <w:rsid w:val="00E0742C"/>
    <w:rsid w:val="00E07C02"/>
    <w:rsid w:val="00E07E40"/>
    <w:rsid w:val="00E10639"/>
    <w:rsid w:val="00E11484"/>
    <w:rsid w:val="00E11B27"/>
    <w:rsid w:val="00E11F27"/>
    <w:rsid w:val="00E122B7"/>
    <w:rsid w:val="00E12B4D"/>
    <w:rsid w:val="00E13162"/>
    <w:rsid w:val="00E132A9"/>
    <w:rsid w:val="00E13356"/>
    <w:rsid w:val="00E1336F"/>
    <w:rsid w:val="00E13762"/>
    <w:rsid w:val="00E139FC"/>
    <w:rsid w:val="00E13D88"/>
    <w:rsid w:val="00E13DD0"/>
    <w:rsid w:val="00E16051"/>
    <w:rsid w:val="00E162E4"/>
    <w:rsid w:val="00E169CB"/>
    <w:rsid w:val="00E16F57"/>
    <w:rsid w:val="00E172DF"/>
    <w:rsid w:val="00E17783"/>
    <w:rsid w:val="00E206F9"/>
    <w:rsid w:val="00E210DE"/>
    <w:rsid w:val="00E21B8D"/>
    <w:rsid w:val="00E22235"/>
    <w:rsid w:val="00E241FB"/>
    <w:rsid w:val="00E24858"/>
    <w:rsid w:val="00E24C84"/>
    <w:rsid w:val="00E24E77"/>
    <w:rsid w:val="00E24FEF"/>
    <w:rsid w:val="00E250AE"/>
    <w:rsid w:val="00E2514A"/>
    <w:rsid w:val="00E25447"/>
    <w:rsid w:val="00E25473"/>
    <w:rsid w:val="00E256BB"/>
    <w:rsid w:val="00E2591A"/>
    <w:rsid w:val="00E25A8D"/>
    <w:rsid w:val="00E25C04"/>
    <w:rsid w:val="00E25C28"/>
    <w:rsid w:val="00E25D20"/>
    <w:rsid w:val="00E25E8D"/>
    <w:rsid w:val="00E26161"/>
    <w:rsid w:val="00E26AFD"/>
    <w:rsid w:val="00E27173"/>
    <w:rsid w:val="00E27993"/>
    <w:rsid w:val="00E27AE7"/>
    <w:rsid w:val="00E27B92"/>
    <w:rsid w:val="00E27C7D"/>
    <w:rsid w:val="00E3014D"/>
    <w:rsid w:val="00E30638"/>
    <w:rsid w:val="00E31174"/>
    <w:rsid w:val="00E3152C"/>
    <w:rsid w:val="00E31D1A"/>
    <w:rsid w:val="00E320A3"/>
    <w:rsid w:val="00E330B4"/>
    <w:rsid w:val="00E33807"/>
    <w:rsid w:val="00E347A5"/>
    <w:rsid w:val="00E34D57"/>
    <w:rsid w:val="00E3522C"/>
    <w:rsid w:val="00E36102"/>
    <w:rsid w:val="00E3675C"/>
    <w:rsid w:val="00E36875"/>
    <w:rsid w:val="00E374C3"/>
    <w:rsid w:val="00E37E6C"/>
    <w:rsid w:val="00E407C8"/>
    <w:rsid w:val="00E40A04"/>
    <w:rsid w:val="00E40A6D"/>
    <w:rsid w:val="00E40AFA"/>
    <w:rsid w:val="00E40B1E"/>
    <w:rsid w:val="00E40E23"/>
    <w:rsid w:val="00E40FAF"/>
    <w:rsid w:val="00E41896"/>
    <w:rsid w:val="00E42BCB"/>
    <w:rsid w:val="00E42F11"/>
    <w:rsid w:val="00E43221"/>
    <w:rsid w:val="00E43E1A"/>
    <w:rsid w:val="00E43FFA"/>
    <w:rsid w:val="00E4424A"/>
    <w:rsid w:val="00E44D4A"/>
    <w:rsid w:val="00E44E9F"/>
    <w:rsid w:val="00E453E2"/>
    <w:rsid w:val="00E45A32"/>
    <w:rsid w:val="00E461C9"/>
    <w:rsid w:val="00E4670D"/>
    <w:rsid w:val="00E467AB"/>
    <w:rsid w:val="00E46835"/>
    <w:rsid w:val="00E47889"/>
    <w:rsid w:val="00E47ED1"/>
    <w:rsid w:val="00E5009E"/>
    <w:rsid w:val="00E50881"/>
    <w:rsid w:val="00E51186"/>
    <w:rsid w:val="00E51629"/>
    <w:rsid w:val="00E51831"/>
    <w:rsid w:val="00E5192E"/>
    <w:rsid w:val="00E51D3E"/>
    <w:rsid w:val="00E51DB1"/>
    <w:rsid w:val="00E521EE"/>
    <w:rsid w:val="00E5307D"/>
    <w:rsid w:val="00E5323B"/>
    <w:rsid w:val="00E532D9"/>
    <w:rsid w:val="00E533F7"/>
    <w:rsid w:val="00E538B7"/>
    <w:rsid w:val="00E5451E"/>
    <w:rsid w:val="00E547CD"/>
    <w:rsid w:val="00E54BA8"/>
    <w:rsid w:val="00E54DD0"/>
    <w:rsid w:val="00E54F98"/>
    <w:rsid w:val="00E554F2"/>
    <w:rsid w:val="00E558A9"/>
    <w:rsid w:val="00E561AB"/>
    <w:rsid w:val="00E56485"/>
    <w:rsid w:val="00E56D3D"/>
    <w:rsid w:val="00E56F92"/>
    <w:rsid w:val="00E5730C"/>
    <w:rsid w:val="00E57550"/>
    <w:rsid w:val="00E577E2"/>
    <w:rsid w:val="00E57936"/>
    <w:rsid w:val="00E57A2B"/>
    <w:rsid w:val="00E57B38"/>
    <w:rsid w:val="00E61790"/>
    <w:rsid w:val="00E62252"/>
    <w:rsid w:val="00E6256C"/>
    <w:rsid w:val="00E62676"/>
    <w:rsid w:val="00E63037"/>
    <w:rsid w:val="00E6390C"/>
    <w:rsid w:val="00E63E2A"/>
    <w:rsid w:val="00E64643"/>
    <w:rsid w:val="00E649FE"/>
    <w:rsid w:val="00E64C86"/>
    <w:rsid w:val="00E65874"/>
    <w:rsid w:val="00E65B5A"/>
    <w:rsid w:val="00E65DC9"/>
    <w:rsid w:val="00E65E48"/>
    <w:rsid w:val="00E65E8C"/>
    <w:rsid w:val="00E666E2"/>
    <w:rsid w:val="00E66721"/>
    <w:rsid w:val="00E66828"/>
    <w:rsid w:val="00E668FF"/>
    <w:rsid w:val="00E66AFA"/>
    <w:rsid w:val="00E66E2E"/>
    <w:rsid w:val="00E7023C"/>
    <w:rsid w:val="00E70652"/>
    <w:rsid w:val="00E70C7C"/>
    <w:rsid w:val="00E7160D"/>
    <w:rsid w:val="00E71AA5"/>
    <w:rsid w:val="00E71F21"/>
    <w:rsid w:val="00E72546"/>
    <w:rsid w:val="00E727A7"/>
    <w:rsid w:val="00E72CC2"/>
    <w:rsid w:val="00E72F6E"/>
    <w:rsid w:val="00E7325A"/>
    <w:rsid w:val="00E73298"/>
    <w:rsid w:val="00E737EB"/>
    <w:rsid w:val="00E73CD6"/>
    <w:rsid w:val="00E73D9D"/>
    <w:rsid w:val="00E74F5A"/>
    <w:rsid w:val="00E74FE0"/>
    <w:rsid w:val="00E75214"/>
    <w:rsid w:val="00E752ED"/>
    <w:rsid w:val="00E75E1B"/>
    <w:rsid w:val="00E76385"/>
    <w:rsid w:val="00E76525"/>
    <w:rsid w:val="00E769BC"/>
    <w:rsid w:val="00E76CEB"/>
    <w:rsid w:val="00E76FFF"/>
    <w:rsid w:val="00E77096"/>
    <w:rsid w:val="00E776A7"/>
    <w:rsid w:val="00E77999"/>
    <w:rsid w:val="00E77CD1"/>
    <w:rsid w:val="00E80284"/>
    <w:rsid w:val="00E80508"/>
    <w:rsid w:val="00E80EDD"/>
    <w:rsid w:val="00E8105A"/>
    <w:rsid w:val="00E81503"/>
    <w:rsid w:val="00E8154F"/>
    <w:rsid w:val="00E815D3"/>
    <w:rsid w:val="00E81653"/>
    <w:rsid w:val="00E81FBE"/>
    <w:rsid w:val="00E82387"/>
    <w:rsid w:val="00E825E2"/>
    <w:rsid w:val="00E827AF"/>
    <w:rsid w:val="00E827BD"/>
    <w:rsid w:val="00E8290A"/>
    <w:rsid w:val="00E82B5C"/>
    <w:rsid w:val="00E84281"/>
    <w:rsid w:val="00E84557"/>
    <w:rsid w:val="00E8469B"/>
    <w:rsid w:val="00E84766"/>
    <w:rsid w:val="00E84EDF"/>
    <w:rsid w:val="00E856A7"/>
    <w:rsid w:val="00E85BFA"/>
    <w:rsid w:val="00E86984"/>
    <w:rsid w:val="00E8723B"/>
    <w:rsid w:val="00E907D7"/>
    <w:rsid w:val="00E90D70"/>
    <w:rsid w:val="00E90F32"/>
    <w:rsid w:val="00E90F44"/>
    <w:rsid w:val="00E91140"/>
    <w:rsid w:val="00E911B7"/>
    <w:rsid w:val="00E911E1"/>
    <w:rsid w:val="00E91447"/>
    <w:rsid w:val="00E919A4"/>
    <w:rsid w:val="00E9226B"/>
    <w:rsid w:val="00E9241F"/>
    <w:rsid w:val="00E9329E"/>
    <w:rsid w:val="00E9392E"/>
    <w:rsid w:val="00E9456C"/>
    <w:rsid w:val="00E94A46"/>
    <w:rsid w:val="00E94B7E"/>
    <w:rsid w:val="00E94E28"/>
    <w:rsid w:val="00E95244"/>
    <w:rsid w:val="00E9530B"/>
    <w:rsid w:val="00E95545"/>
    <w:rsid w:val="00E95857"/>
    <w:rsid w:val="00E95A92"/>
    <w:rsid w:val="00E96231"/>
    <w:rsid w:val="00E9633A"/>
    <w:rsid w:val="00E964B4"/>
    <w:rsid w:val="00E9698C"/>
    <w:rsid w:val="00E96B42"/>
    <w:rsid w:val="00E96B7F"/>
    <w:rsid w:val="00E96DBA"/>
    <w:rsid w:val="00E96E18"/>
    <w:rsid w:val="00E96F05"/>
    <w:rsid w:val="00E97495"/>
    <w:rsid w:val="00E97C55"/>
    <w:rsid w:val="00E97F65"/>
    <w:rsid w:val="00EA06DF"/>
    <w:rsid w:val="00EA088E"/>
    <w:rsid w:val="00EA0F2E"/>
    <w:rsid w:val="00EA14B5"/>
    <w:rsid w:val="00EA1EB4"/>
    <w:rsid w:val="00EA2003"/>
    <w:rsid w:val="00EA2016"/>
    <w:rsid w:val="00EA2DC7"/>
    <w:rsid w:val="00EA367D"/>
    <w:rsid w:val="00EA3B8D"/>
    <w:rsid w:val="00EA4011"/>
    <w:rsid w:val="00EA497E"/>
    <w:rsid w:val="00EA49D7"/>
    <w:rsid w:val="00EA5444"/>
    <w:rsid w:val="00EA5B62"/>
    <w:rsid w:val="00EA5C67"/>
    <w:rsid w:val="00EA5F4E"/>
    <w:rsid w:val="00EA61E4"/>
    <w:rsid w:val="00EA6714"/>
    <w:rsid w:val="00EA6E33"/>
    <w:rsid w:val="00EA7349"/>
    <w:rsid w:val="00EA74C0"/>
    <w:rsid w:val="00EA7557"/>
    <w:rsid w:val="00EA7C91"/>
    <w:rsid w:val="00EB020F"/>
    <w:rsid w:val="00EB109C"/>
    <w:rsid w:val="00EB1C06"/>
    <w:rsid w:val="00EB24C5"/>
    <w:rsid w:val="00EB274F"/>
    <w:rsid w:val="00EB2D75"/>
    <w:rsid w:val="00EB2DBD"/>
    <w:rsid w:val="00EB2FF9"/>
    <w:rsid w:val="00EB3A11"/>
    <w:rsid w:val="00EB3E48"/>
    <w:rsid w:val="00EB404E"/>
    <w:rsid w:val="00EB4459"/>
    <w:rsid w:val="00EB46E2"/>
    <w:rsid w:val="00EB4BDA"/>
    <w:rsid w:val="00EB4E5C"/>
    <w:rsid w:val="00EB511B"/>
    <w:rsid w:val="00EB545C"/>
    <w:rsid w:val="00EB55A6"/>
    <w:rsid w:val="00EB5680"/>
    <w:rsid w:val="00EB5B4D"/>
    <w:rsid w:val="00EB6940"/>
    <w:rsid w:val="00EB6AC4"/>
    <w:rsid w:val="00EB7827"/>
    <w:rsid w:val="00EB7EF8"/>
    <w:rsid w:val="00EC0462"/>
    <w:rsid w:val="00EC094F"/>
    <w:rsid w:val="00EC0B97"/>
    <w:rsid w:val="00EC0CF1"/>
    <w:rsid w:val="00EC0D59"/>
    <w:rsid w:val="00EC0DD2"/>
    <w:rsid w:val="00EC0EF3"/>
    <w:rsid w:val="00EC0FA8"/>
    <w:rsid w:val="00EC1335"/>
    <w:rsid w:val="00EC1451"/>
    <w:rsid w:val="00EC1A92"/>
    <w:rsid w:val="00EC1E27"/>
    <w:rsid w:val="00EC2883"/>
    <w:rsid w:val="00EC2C48"/>
    <w:rsid w:val="00EC2F61"/>
    <w:rsid w:val="00EC37F5"/>
    <w:rsid w:val="00EC38F8"/>
    <w:rsid w:val="00EC41D1"/>
    <w:rsid w:val="00EC4C30"/>
    <w:rsid w:val="00EC4D25"/>
    <w:rsid w:val="00EC4EB8"/>
    <w:rsid w:val="00EC593F"/>
    <w:rsid w:val="00EC5989"/>
    <w:rsid w:val="00EC5E2D"/>
    <w:rsid w:val="00EC6DDE"/>
    <w:rsid w:val="00EC78CA"/>
    <w:rsid w:val="00EC7C1A"/>
    <w:rsid w:val="00ED01D4"/>
    <w:rsid w:val="00ED045A"/>
    <w:rsid w:val="00ED0818"/>
    <w:rsid w:val="00ED1231"/>
    <w:rsid w:val="00ED2857"/>
    <w:rsid w:val="00ED29C7"/>
    <w:rsid w:val="00ED2DF7"/>
    <w:rsid w:val="00ED32C0"/>
    <w:rsid w:val="00ED341D"/>
    <w:rsid w:val="00ED3524"/>
    <w:rsid w:val="00ED35D0"/>
    <w:rsid w:val="00ED3614"/>
    <w:rsid w:val="00ED3836"/>
    <w:rsid w:val="00ED39E9"/>
    <w:rsid w:val="00ED3EDD"/>
    <w:rsid w:val="00ED47B8"/>
    <w:rsid w:val="00ED4B52"/>
    <w:rsid w:val="00ED594E"/>
    <w:rsid w:val="00ED598D"/>
    <w:rsid w:val="00ED59AE"/>
    <w:rsid w:val="00ED5D08"/>
    <w:rsid w:val="00ED6163"/>
    <w:rsid w:val="00ED638B"/>
    <w:rsid w:val="00ED67EF"/>
    <w:rsid w:val="00ED6E45"/>
    <w:rsid w:val="00ED7446"/>
    <w:rsid w:val="00ED772F"/>
    <w:rsid w:val="00ED7D87"/>
    <w:rsid w:val="00EE025D"/>
    <w:rsid w:val="00EE03F4"/>
    <w:rsid w:val="00EE0857"/>
    <w:rsid w:val="00EE0AA4"/>
    <w:rsid w:val="00EE18F1"/>
    <w:rsid w:val="00EE1D28"/>
    <w:rsid w:val="00EE1DB8"/>
    <w:rsid w:val="00EE2266"/>
    <w:rsid w:val="00EE22F0"/>
    <w:rsid w:val="00EE247B"/>
    <w:rsid w:val="00EE27DE"/>
    <w:rsid w:val="00EE2C63"/>
    <w:rsid w:val="00EE2D95"/>
    <w:rsid w:val="00EE2DB7"/>
    <w:rsid w:val="00EE2F42"/>
    <w:rsid w:val="00EE3152"/>
    <w:rsid w:val="00EE3245"/>
    <w:rsid w:val="00EE3828"/>
    <w:rsid w:val="00EE3A6E"/>
    <w:rsid w:val="00EE44F0"/>
    <w:rsid w:val="00EE49A7"/>
    <w:rsid w:val="00EE5103"/>
    <w:rsid w:val="00EE5200"/>
    <w:rsid w:val="00EE55A5"/>
    <w:rsid w:val="00EE5AB6"/>
    <w:rsid w:val="00EE5C08"/>
    <w:rsid w:val="00EE65C6"/>
    <w:rsid w:val="00EE69B4"/>
    <w:rsid w:val="00EE6E07"/>
    <w:rsid w:val="00EE7357"/>
    <w:rsid w:val="00EE78F0"/>
    <w:rsid w:val="00EE798A"/>
    <w:rsid w:val="00EF1D53"/>
    <w:rsid w:val="00EF1FBC"/>
    <w:rsid w:val="00EF27E2"/>
    <w:rsid w:val="00EF28E4"/>
    <w:rsid w:val="00EF2F06"/>
    <w:rsid w:val="00EF3ACB"/>
    <w:rsid w:val="00EF415C"/>
    <w:rsid w:val="00EF43B3"/>
    <w:rsid w:val="00EF4475"/>
    <w:rsid w:val="00EF49E1"/>
    <w:rsid w:val="00EF4E7B"/>
    <w:rsid w:val="00EF4F0F"/>
    <w:rsid w:val="00EF53E9"/>
    <w:rsid w:val="00EF588F"/>
    <w:rsid w:val="00EF5978"/>
    <w:rsid w:val="00EF5DA2"/>
    <w:rsid w:val="00EF5E95"/>
    <w:rsid w:val="00EF69EC"/>
    <w:rsid w:val="00EF6D5D"/>
    <w:rsid w:val="00EF6EC5"/>
    <w:rsid w:val="00EF6FDF"/>
    <w:rsid w:val="00EF71DC"/>
    <w:rsid w:val="00EF7791"/>
    <w:rsid w:val="00EF787C"/>
    <w:rsid w:val="00EF7C37"/>
    <w:rsid w:val="00F00BC4"/>
    <w:rsid w:val="00F015B2"/>
    <w:rsid w:val="00F01697"/>
    <w:rsid w:val="00F016D0"/>
    <w:rsid w:val="00F01DEE"/>
    <w:rsid w:val="00F01E31"/>
    <w:rsid w:val="00F01E85"/>
    <w:rsid w:val="00F0291E"/>
    <w:rsid w:val="00F02C8F"/>
    <w:rsid w:val="00F031EB"/>
    <w:rsid w:val="00F03372"/>
    <w:rsid w:val="00F033A8"/>
    <w:rsid w:val="00F036AE"/>
    <w:rsid w:val="00F03831"/>
    <w:rsid w:val="00F03868"/>
    <w:rsid w:val="00F039E3"/>
    <w:rsid w:val="00F03A50"/>
    <w:rsid w:val="00F03C2C"/>
    <w:rsid w:val="00F041DE"/>
    <w:rsid w:val="00F04309"/>
    <w:rsid w:val="00F0442A"/>
    <w:rsid w:val="00F046AE"/>
    <w:rsid w:val="00F050AC"/>
    <w:rsid w:val="00F05B11"/>
    <w:rsid w:val="00F05FCC"/>
    <w:rsid w:val="00F0652B"/>
    <w:rsid w:val="00F066E3"/>
    <w:rsid w:val="00F06F48"/>
    <w:rsid w:val="00F0752D"/>
    <w:rsid w:val="00F07703"/>
    <w:rsid w:val="00F07FC9"/>
    <w:rsid w:val="00F10E03"/>
    <w:rsid w:val="00F11309"/>
    <w:rsid w:val="00F117AF"/>
    <w:rsid w:val="00F117CF"/>
    <w:rsid w:val="00F11A11"/>
    <w:rsid w:val="00F11E74"/>
    <w:rsid w:val="00F11FB7"/>
    <w:rsid w:val="00F1219E"/>
    <w:rsid w:val="00F1271C"/>
    <w:rsid w:val="00F13265"/>
    <w:rsid w:val="00F13B27"/>
    <w:rsid w:val="00F13B49"/>
    <w:rsid w:val="00F13C7C"/>
    <w:rsid w:val="00F141FA"/>
    <w:rsid w:val="00F14490"/>
    <w:rsid w:val="00F145D9"/>
    <w:rsid w:val="00F14C35"/>
    <w:rsid w:val="00F14F96"/>
    <w:rsid w:val="00F150A0"/>
    <w:rsid w:val="00F1520A"/>
    <w:rsid w:val="00F154B1"/>
    <w:rsid w:val="00F15CBA"/>
    <w:rsid w:val="00F15EBE"/>
    <w:rsid w:val="00F16127"/>
    <w:rsid w:val="00F164E4"/>
    <w:rsid w:val="00F165DE"/>
    <w:rsid w:val="00F16930"/>
    <w:rsid w:val="00F169B3"/>
    <w:rsid w:val="00F16CE9"/>
    <w:rsid w:val="00F170E6"/>
    <w:rsid w:val="00F172D5"/>
    <w:rsid w:val="00F17FB1"/>
    <w:rsid w:val="00F20001"/>
    <w:rsid w:val="00F20279"/>
    <w:rsid w:val="00F2091C"/>
    <w:rsid w:val="00F20B7F"/>
    <w:rsid w:val="00F20D36"/>
    <w:rsid w:val="00F20F3B"/>
    <w:rsid w:val="00F21128"/>
    <w:rsid w:val="00F212BB"/>
    <w:rsid w:val="00F21730"/>
    <w:rsid w:val="00F2176B"/>
    <w:rsid w:val="00F21837"/>
    <w:rsid w:val="00F21AB2"/>
    <w:rsid w:val="00F21D94"/>
    <w:rsid w:val="00F22103"/>
    <w:rsid w:val="00F22113"/>
    <w:rsid w:val="00F223FE"/>
    <w:rsid w:val="00F2265F"/>
    <w:rsid w:val="00F226E4"/>
    <w:rsid w:val="00F22950"/>
    <w:rsid w:val="00F22BA2"/>
    <w:rsid w:val="00F22BF4"/>
    <w:rsid w:val="00F22C05"/>
    <w:rsid w:val="00F22FBE"/>
    <w:rsid w:val="00F2305F"/>
    <w:rsid w:val="00F23177"/>
    <w:rsid w:val="00F23485"/>
    <w:rsid w:val="00F23DBC"/>
    <w:rsid w:val="00F24007"/>
    <w:rsid w:val="00F24158"/>
    <w:rsid w:val="00F241D3"/>
    <w:rsid w:val="00F243F7"/>
    <w:rsid w:val="00F244F1"/>
    <w:rsid w:val="00F245A7"/>
    <w:rsid w:val="00F24F63"/>
    <w:rsid w:val="00F25893"/>
    <w:rsid w:val="00F25F6F"/>
    <w:rsid w:val="00F26254"/>
    <w:rsid w:val="00F26885"/>
    <w:rsid w:val="00F2695C"/>
    <w:rsid w:val="00F26F52"/>
    <w:rsid w:val="00F271B2"/>
    <w:rsid w:val="00F30AFC"/>
    <w:rsid w:val="00F30F0C"/>
    <w:rsid w:val="00F316A0"/>
    <w:rsid w:val="00F32949"/>
    <w:rsid w:val="00F33954"/>
    <w:rsid w:val="00F34339"/>
    <w:rsid w:val="00F3492A"/>
    <w:rsid w:val="00F34EC2"/>
    <w:rsid w:val="00F358BF"/>
    <w:rsid w:val="00F35900"/>
    <w:rsid w:val="00F35B4D"/>
    <w:rsid w:val="00F37841"/>
    <w:rsid w:val="00F378C9"/>
    <w:rsid w:val="00F37E19"/>
    <w:rsid w:val="00F4044D"/>
    <w:rsid w:val="00F404F6"/>
    <w:rsid w:val="00F41018"/>
    <w:rsid w:val="00F411EB"/>
    <w:rsid w:val="00F41310"/>
    <w:rsid w:val="00F4275F"/>
    <w:rsid w:val="00F4300C"/>
    <w:rsid w:val="00F4305D"/>
    <w:rsid w:val="00F43267"/>
    <w:rsid w:val="00F43F0B"/>
    <w:rsid w:val="00F44E50"/>
    <w:rsid w:val="00F451D9"/>
    <w:rsid w:val="00F454D4"/>
    <w:rsid w:val="00F45C61"/>
    <w:rsid w:val="00F4662C"/>
    <w:rsid w:val="00F46678"/>
    <w:rsid w:val="00F46FA6"/>
    <w:rsid w:val="00F47095"/>
    <w:rsid w:val="00F472B3"/>
    <w:rsid w:val="00F4797A"/>
    <w:rsid w:val="00F47B32"/>
    <w:rsid w:val="00F47CDB"/>
    <w:rsid w:val="00F47F17"/>
    <w:rsid w:val="00F50104"/>
    <w:rsid w:val="00F501F0"/>
    <w:rsid w:val="00F502A0"/>
    <w:rsid w:val="00F5097C"/>
    <w:rsid w:val="00F516D4"/>
    <w:rsid w:val="00F51BF3"/>
    <w:rsid w:val="00F5242F"/>
    <w:rsid w:val="00F52B19"/>
    <w:rsid w:val="00F52D43"/>
    <w:rsid w:val="00F533A2"/>
    <w:rsid w:val="00F533B6"/>
    <w:rsid w:val="00F53412"/>
    <w:rsid w:val="00F5341E"/>
    <w:rsid w:val="00F53757"/>
    <w:rsid w:val="00F53777"/>
    <w:rsid w:val="00F537E9"/>
    <w:rsid w:val="00F53AF4"/>
    <w:rsid w:val="00F543C5"/>
    <w:rsid w:val="00F547B0"/>
    <w:rsid w:val="00F54959"/>
    <w:rsid w:val="00F553CB"/>
    <w:rsid w:val="00F5588A"/>
    <w:rsid w:val="00F566B9"/>
    <w:rsid w:val="00F56A72"/>
    <w:rsid w:val="00F572AB"/>
    <w:rsid w:val="00F57624"/>
    <w:rsid w:val="00F576DE"/>
    <w:rsid w:val="00F57BE0"/>
    <w:rsid w:val="00F57D6D"/>
    <w:rsid w:val="00F60F90"/>
    <w:rsid w:val="00F61153"/>
    <w:rsid w:val="00F624AD"/>
    <w:rsid w:val="00F627A5"/>
    <w:rsid w:val="00F62D38"/>
    <w:rsid w:val="00F62F65"/>
    <w:rsid w:val="00F631CE"/>
    <w:rsid w:val="00F63240"/>
    <w:rsid w:val="00F640F0"/>
    <w:rsid w:val="00F6453F"/>
    <w:rsid w:val="00F645F1"/>
    <w:rsid w:val="00F646E4"/>
    <w:rsid w:val="00F646FA"/>
    <w:rsid w:val="00F64D55"/>
    <w:rsid w:val="00F64DF9"/>
    <w:rsid w:val="00F65F6D"/>
    <w:rsid w:val="00F671B8"/>
    <w:rsid w:val="00F6784D"/>
    <w:rsid w:val="00F679BB"/>
    <w:rsid w:val="00F67AE0"/>
    <w:rsid w:val="00F67C33"/>
    <w:rsid w:val="00F70043"/>
    <w:rsid w:val="00F70100"/>
    <w:rsid w:val="00F702CE"/>
    <w:rsid w:val="00F70477"/>
    <w:rsid w:val="00F70B22"/>
    <w:rsid w:val="00F70C36"/>
    <w:rsid w:val="00F70DDF"/>
    <w:rsid w:val="00F71587"/>
    <w:rsid w:val="00F71A02"/>
    <w:rsid w:val="00F71B03"/>
    <w:rsid w:val="00F71EDA"/>
    <w:rsid w:val="00F720B5"/>
    <w:rsid w:val="00F72421"/>
    <w:rsid w:val="00F725DE"/>
    <w:rsid w:val="00F72A50"/>
    <w:rsid w:val="00F72A6B"/>
    <w:rsid w:val="00F72DD1"/>
    <w:rsid w:val="00F72E74"/>
    <w:rsid w:val="00F73B0A"/>
    <w:rsid w:val="00F7463A"/>
    <w:rsid w:val="00F746C3"/>
    <w:rsid w:val="00F75F31"/>
    <w:rsid w:val="00F75F8C"/>
    <w:rsid w:val="00F76589"/>
    <w:rsid w:val="00F76D15"/>
    <w:rsid w:val="00F76DCB"/>
    <w:rsid w:val="00F775E3"/>
    <w:rsid w:val="00F77735"/>
    <w:rsid w:val="00F80194"/>
    <w:rsid w:val="00F801FC"/>
    <w:rsid w:val="00F80223"/>
    <w:rsid w:val="00F80B86"/>
    <w:rsid w:val="00F8166F"/>
    <w:rsid w:val="00F81A94"/>
    <w:rsid w:val="00F81C47"/>
    <w:rsid w:val="00F81EC2"/>
    <w:rsid w:val="00F81FBD"/>
    <w:rsid w:val="00F820BA"/>
    <w:rsid w:val="00F8213F"/>
    <w:rsid w:val="00F82365"/>
    <w:rsid w:val="00F8262C"/>
    <w:rsid w:val="00F82783"/>
    <w:rsid w:val="00F82887"/>
    <w:rsid w:val="00F82AF8"/>
    <w:rsid w:val="00F832A5"/>
    <w:rsid w:val="00F833DC"/>
    <w:rsid w:val="00F841D8"/>
    <w:rsid w:val="00F84241"/>
    <w:rsid w:val="00F847FA"/>
    <w:rsid w:val="00F84E3A"/>
    <w:rsid w:val="00F84FA6"/>
    <w:rsid w:val="00F851C5"/>
    <w:rsid w:val="00F8593D"/>
    <w:rsid w:val="00F8671C"/>
    <w:rsid w:val="00F86E43"/>
    <w:rsid w:val="00F86EE0"/>
    <w:rsid w:val="00F87F1C"/>
    <w:rsid w:val="00F87FEA"/>
    <w:rsid w:val="00F87FED"/>
    <w:rsid w:val="00F90DE9"/>
    <w:rsid w:val="00F9120E"/>
    <w:rsid w:val="00F917A0"/>
    <w:rsid w:val="00F91B29"/>
    <w:rsid w:val="00F91C2A"/>
    <w:rsid w:val="00F920D3"/>
    <w:rsid w:val="00F9211D"/>
    <w:rsid w:val="00F922AE"/>
    <w:rsid w:val="00F929E7"/>
    <w:rsid w:val="00F92A47"/>
    <w:rsid w:val="00F92CFA"/>
    <w:rsid w:val="00F92D0D"/>
    <w:rsid w:val="00F93489"/>
    <w:rsid w:val="00F9356C"/>
    <w:rsid w:val="00F9461B"/>
    <w:rsid w:val="00F94EB1"/>
    <w:rsid w:val="00F95190"/>
    <w:rsid w:val="00F951CE"/>
    <w:rsid w:val="00F96178"/>
    <w:rsid w:val="00F96C44"/>
    <w:rsid w:val="00F96D3A"/>
    <w:rsid w:val="00F9731C"/>
    <w:rsid w:val="00F97421"/>
    <w:rsid w:val="00F97461"/>
    <w:rsid w:val="00F976AA"/>
    <w:rsid w:val="00F97BCC"/>
    <w:rsid w:val="00F97CD7"/>
    <w:rsid w:val="00F97D23"/>
    <w:rsid w:val="00FA0025"/>
    <w:rsid w:val="00FA026A"/>
    <w:rsid w:val="00FA0533"/>
    <w:rsid w:val="00FA0941"/>
    <w:rsid w:val="00FA09A3"/>
    <w:rsid w:val="00FA0EB9"/>
    <w:rsid w:val="00FA1334"/>
    <w:rsid w:val="00FA14E5"/>
    <w:rsid w:val="00FA1E8C"/>
    <w:rsid w:val="00FA24D1"/>
    <w:rsid w:val="00FA24D5"/>
    <w:rsid w:val="00FA2FD8"/>
    <w:rsid w:val="00FA2FF5"/>
    <w:rsid w:val="00FA3CCF"/>
    <w:rsid w:val="00FA415F"/>
    <w:rsid w:val="00FA426B"/>
    <w:rsid w:val="00FA4539"/>
    <w:rsid w:val="00FA469B"/>
    <w:rsid w:val="00FA46C4"/>
    <w:rsid w:val="00FA4946"/>
    <w:rsid w:val="00FA568D"/>
    <w:rsid w:val="00FA5BA9"/>
    <w:rsid w:val="00FA5D0D"/>
    <w:rsid w:val="00FA613C"/>
    <w:rsid w:val="00FA67C0"/>
    <w:rsid w:val="00FA6E09"/>
    <w:rsid w:val="00FA6F05"/>
    <w:rsid w:val="00FA7771"/>
    <w:rsid w:val="00FB0C78"/>
    <w:rsid w:val="00FB199A"/>
    <w:rsid w:val="00FB1A74"/>
    <w:rsid w:val="00FB1AA0"/>
    <w:rsid w:val="00FB1ECD"/>
    <w:rsid w:val="00FB2782"/>
    <w:rsid w:val="00FB2873"/>
    <w:rsid w:val="00FB2D1C"/>
    <w:rsid w:val="00FB2EB9"/>
    <w:rsid w:val="00FB32CA"/>
    <w:rsid w:val="00FB3367"/>
    <w:rsid w:val="00FB34DF"/>
    <w:rsid w:val="00FB34EF"/>
    <w:rsid w:val="00FB3B00"/>
    <w:rsid w:val="00FB40A2"/>
    <w:rsid w:val="00FB4339"/>
    <w:rsid w:val="00FB4948"/>
    <w:rsid w:val="00FB4C2D"/>
    <w:rsid w:val="00FB4F51"/>
    <w:rsid w:val="00FB504F"/>
    <w:rsid w:val="00FB602F"/>
    <w:rsid w:val="00FB61F7"/>
    <w:rsid w:val="00FB6D93"/>
    <w:rsid w:val="00FB6F57"/>
    <w:rsid w:val="00FB7642"/>
    <w:rsid w:val="00FB7EB7"/>
    <w:rsid w:val="00FB7F44"/>
    <w:rsid w:val="00FC058B"/>
    <w:rsid w:val="00FC0947"/>
    <w:rsid w:val="00FC0974"/>
    <w:rsid w:val="00FC0AB4"/>
    <w:rsid w:val="00FC0ED0"/>
    <w:rsid w:val="00FC11ED"/>
    <w:rsid w:val="00FC132B"/>
    <w:rsid w:val="00FC188B"/>
    <w:rsid w:val="00FC1975"/>
    <w:rsid w:val="00FC1CC2"/>
    <w:rsid w:val="00FC1EEB"/>
    <w:rsid w:val="00FC2258"/>
    <w:rsid w:val="00FC2451"/>
    <w:rsid w:val="00FC2F29"/>
    <w:rsid w:val="00FC3A20"/>
    <w:rsid w:val="00FC3AD0"/>
    <w:rsid w:val="00FC3CE0"/>
    <w:rsid w:val="00FC54C3"/>
    <w:rsid w:val="00FC5C61"/>
    <w:rsid w:val="00FC62B7"/>
    <w:rsid w:val="00FC72CE"/>
    <w:rsid w:val="00FC7577"/>
    <w:rsid w:val="00FC7B8E"/>
    <w:rsid w:val="00FD016F"/>
    <w:rsid w:val="00FD0A5C"/>
    <w:rsid w:val="00FD0C4A"/>
    <w:rsid w:val="00FD13D3"/>
    <w:rsid w:val="00FD148F"/>
    <w:rsid w:val="00FD1EB7"/>
    <w:rsid w:val="00FD219A"/>
    <w:rsid w:val="00FD2271"/>
    <w:rsid w:val="00FD241B"/>
    <w:rsid w:val="00FD305E"/>
    <w:rsid w:val="00FD3B4C"/>
    <w:rsid w:val="00FD4762"/>
    <w:rsid w:val="00FD4E30"/>
    <w:rsid w:val="00FD5332"/>
    <w:rsid w:val="00FD57D0"/>
    <w:rsid w:val="00FD57EB"/>
    <w:rsid w:val="00FD629E"/>
    <w:rsid w:val="00FD6F63"/>
    <w:rsid w:val="00FD7107"/>
    <w:rsid w:val="00FD7535"/>
    <w:rsid w:val="00FD758C"/>
    <w:rsid w:val="00FD769C"/>
    <w:rsid w:val="00FD7B88"/>
    <w:rsid w:val="00FD7C14"/>
    <w:rsid w:val="00FD7D31"/>
    <w:rsid w:val="00FE0252"/>
    <w:rsid w:val="00FE06D7"/>
    <w:rsid w:val="00FE1001"/>
    <w:rsid w:val="00FE11D2"/>
    <w:rsid w:val="00FE15BF"/>
    <w:rsid w:val="00FE15CE"/>
    <w:rsid w:val="00FE1C04"/>
    <w:rsid w:val="00FE239C"/>
    <w:rsid w:val="00FE2650"/>
    <w:rsid w:val="00FE26DE"/>
    <w:rsid w:val="00FE2C57"/>
    <w:rsid w:val="00FE2C9B"/>
    <w:rsid w:val="00FE3BA9"/>
    <w:rsid w:val="00FE3F16"/>
    <w:rsid w:val="00FE41FB"/>
    <w:rsid w:val="00FE4953"/>
    <w:rsid w:val="00FE4B82"/>
    <w:rsid w:val="00FE4E56"/>
    <w:rsid w:val="00FE539B"/>
    <w:rsid w:val="00FE55F9"/>
    <w:rsid w:val="00FE5D84"/>
    <w:rsid w:val="00FE5D93"/>
    <w:rsid w:val="00FE5E1F"/>
    <w:rsid w:val="00FE5F02"/>
    <w:rsid w:val="00FE69F4"/>
    <w:rsid w:val="00FE6E37"/>
    <w:rsid w:val="00FE7601"/>
    <w:rsid w:val="00FE788D"/>
    <w:rsid w:val="00FE78F9"/>
    <w:rsid w:val="00FF02DC"/>
    <w:rsid w:val="00FF0343"/>
    <w:rsid w:val="00FF04D5"/>
    <w:rsid w:val="00FF0614"/>
    <w:rsid w:val="00FF0D73"/>
    <w:rsid w:val="00FF10BA"/>
    <w:rsid w:val="00FF1100"/>
    <w:rsid w:val="00FF1199"/>
    <w:rsid w:val="00FF12A8"/>
    <w:rsid w:val="00FF1B48"/>
    <w:rsid w:val="00FF2330"/>
    <w:rsid w:val="00FF266D"/>
    <w:rsid w:val="00FF2C6B"/>
    <w:rsid w:val="00FF33D0"/>
    <w:rsid w:val="00FF3416"/>
    <w:rsid w:val="00FF345A"/>
    <w:rsid w:val="00FF389F"/>
    <w:rsid w:val="00FF3C27"/>
    <w:rsid w:val="00FF3E12"/>
    <w:rsid w:val="00FF3ECD"/>
    <w:rsid w:val="00FF45EC"/>
    <w:rsid w:val="00FF47C0"/>
    <w:rsid w:val="00FF4D5D"/>
    <w:rsid w:val="00FF4E36"/>
    <w:rsid w:val="00FF4E5D"/>
    <w:rsid w:val="00FF559F"/>
    <w:rsid w:val="00FF5C3D"/>
    <w:rsid w:val="00FF5ECC"/>
    <w:rsid w:val="00FF7102"/>
    <w:rsid w:val="0788512C"/>
    <w:rsid w:val="0FA76068"/>
    <w:rsid w:val="141C2136"/>
    <w:rsid w:val="15174454"/>
    <w:rsid w:val="184D0A8C"/>
    <w:rsid w:val="19273047"/>
    <w:rsid w:val="20D147E3"/>
    <w:rsid w:val="27F21DAD"/>
    <w:rsid w:val="2CD92B1E"/>
    <w:rsid w:val="2F8363AE"/>
    <w:rsid w:val="307F5335"/>
    <w:rsid w:val="351A0C6E"/>
    <w:rsid w:val="61837D41"/>
    <w:rsid w:val="68DD2C11"/>
    <w:rsid w:val="695F2674"/>
    <w:rsid w:val="6CBC6E31"/>
    <w:rsid w:val="77466C2D"/>
    <w:rsid w:val="78D372F7"/>
    <w:rsid w:val="7C741A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直接箭头连接符 21"/>
        <o:r id="V:Rule2" type="connector" idref="#直接箭头连接符 224"/>
        <o:r id="V:Rule3" type="connector" idref="#直接箭头连接符 17"/>
        <o:r id="V:Rule4" type="connector" idref="#直接箭头连接符 275"/>
        <o:r id="V:Rule5" type="connector" idref="#直接箭头连接符 279"/>
        <o:r id="V:Rule6" type="connector" idref="#直接箭头连接符 283"/>
        <o:r id="V:Rule7" type="connector" idref="#直接箭头连接符 285"/>
        <o:r id="V:Rule8" type="connector" idref="#直接箭头连接符 287"/>
        <o:r id="V:Rule9" type="connector" idref="#直接箭头连接符 26"/>
        <o:r id="V:Rule10" type="connector" idref="#直接箭头连接符 290"/>
        <o:r id="V:Rule11" type="connector" idref="#直接箭头连接符 292"/>
        <o:r id="V:Rule12" type="connector" idref="#直接箭头连接符 299"/>
        <o:r id="V:Rule13" type="connector" idref="#直接箭头连接符 307"/>
        <o:r id="V:Rule14" type="connector" idref="#直接箭头连接符 311"/>
        <o:r id="V:Rule15" type="connector" idref="#直接箭头连接符 335"/>
        <o:r id="V:Rule16" type="connector" idref="#直接箭头连接符 337"/>
        <o:r id="V:Rule17" type="connector" idref="#直接箭头连接符 379"/>
        <o:r id="V:Rule18" type="connector" idref="#直接箭头连接符 385"/>
        <o:r id="V:Rule19" type="connector" idref="#直接箭头连接符 399"/>
        <o:r id="V:Rule20" type="connector" idref="#直接箭头连接符 410"/>
        <o:r id="V:Rule21" type="connector" idref="#直接箭头连接符 420"/>
        <o:r id="V:Rule22" type="connector" idref="#直接箭头连接符 424"/>
        <o:r id="V:Rule23" type="connector" idref="#直接箭头连接符 438"/>
        <o:r id="V:Rule24" type="connector" idref="#直接箭头连接符 442"/>
        <o:r id="V:Rule25" type="connector" idref="#直接箭头连接符 325"/>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qFormat="1" w:unhideWhenUsed="0"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99" w:semiHidden="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qFormat="1" w:unhideWhenUsed="0" w:uiPriority="0" w:semiHidden="0" w:name="endnote text"/>
    <w:lsdException w:qFormat="1" w:unhideWhenUsed="0"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name="List 4"/>
    <w:lsdException w:qFormat="1" w:unhideWhenUsed="0" w:uiPriority="0" w:name="List 5"/>
    <w:lsdException w:qFormat="1" w:unhideWhenUsed="0" w:uiPriority="0" w:semiHidden="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semiHidden="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semiHidden="0" w:name="Title"/>
    <w:lsdException w:qFormat="1" w:unhideWhenUsed="0" w:uiPriority="0" w:name="Closing"/>
    <w:lsdException w:qFormat="1" w:unhideWhenUsed="0" w:uiPriority="0" w:name="Signature"/>
    <w:lsdException w:uiPriority="1" w:name="Default Paragraph Font"/>
    <w:lsdException w:qFormat="1" w:unhideWhenUsed="0" w:uiPriority="99" w:semiHidden="0" w:name="Body Text"/>
    <w:lsdException w:qFormat="1" w:unhideWhenUsed="0" w:uiPriority="0"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semiHidden="0" w:name="Subtitle"/>
    <w:lsdException w:qFormat="1" w:unhideWhenUsed="0"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qFormat="1" w:unhideWhenUsed="0" w:uiPriority="0" w:name="E-mail Signature"/>
    <w:lsdException w:qFormat="1" w:uiPriority="0" w:semiHidden="0" w:name="Normal (Web)"/>
    <w:lsdException w:qFormat="1" w:unhideWhenUsed="0" w:uiPriority="0" w:name="HTML Acronym"/>
    <w:lsdException w:qFormat="1" w:unhideWhenUsed="0" w:uiPriority="0" w:semiHidden="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semiHidden="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uiPriority="99" w:name="Table Simple 1"/>
    <w:lsdException w:uiPriority="99" w:name="Table Simple 2"/>
    <w:lsdException w:qFormat="1" w:unhideWhenUsed="0" w:uiPriority="0" w:semiHidden="0"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sdException w:uiPriority="99"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5"/>
    <w:qFormat/>
    <w:uiPriority w:val="9"/>
    <w:pPr>
      <w:keepNext/>
      <w:keepLines/>
      <w:snapToGrid w:val="0"/>
      <w:spacing w:after="360"/>
      <w:outlineLvl w:val="0"/>
    </w:pPr>
    <w:rPr>
      <w:rFonts w:ascii="黑体" w:eastAsia="黑体"/>
      <w:kern w:val="44"/>
      <w:sz w:val="44"/>
      <w:szCs w:val="20"/>
    </w:rPr>
  </w:style>
  <w:style w:type="paragraph" w:styleId="3">
    <w:name w:val="heading 2"/>
    <w:basedOn w:val="1"/>
    <w:next w:val="1"/>
    <w:link w:val="23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39"/>
    <w:qFormat/>
    <w:uiPriority w:val="0"/>
    <w:pPr>
      <w:keepNext/>
      <w:keepLines/>
      <w:tabs>
        <w:tab w:val="left" w:pos="720"/>
      </w:tabs>
      <w:spacing w:before="260" w:after="260" w:line="416" w:lineRule="auto"/>
      <w:ind w:left="720" w:hanging="720"/>
      <w:outlineLvl w:val="2"/>
    </w:pPr>
    <w:rPr>
      <w:b/>
      <w:bCs/>
      <w:sz w:val="32"/>
      <w:szCs w:val="32"/>
    </w:rPr>
  </w:style>
  <w:style w:type="paragraph" w:styleId="5">
    <w:name w:val="heading 4"/>
    <w:basedOn w:val="1"/>
    <w:next w:val="1"/>
    <w:link w:val="148"/>
    <w:qFormat/>
    <w:uiPriority w:val="0"/>
    <w:pPr>
      <w:keepNext/>
      <w:keepLines/>
      <w:tabs>
        <w:tab w:val="left" w:pos="864"/>
      </w:tabs>
      <w:spacing w:before="280" w:after="290" w:line="376" w:lineRule="auto"/>
      <w:ind w:left="864" w:hanging="864"/>
      <w:outlineLvl w:val="3"/>
    </w:pPr>
    <w:rPr>
      <w:rFonts w:ascii="Arial" w:hAnsi="Arial" w:eastAsia="黑体"/>
      <w:b/>
      <w:bCs/>
      <w:sz w:val="28"/>
      <w:szCs w:val="28"/>
    </w:rPr>
  </w:style>
  <w:style w:type="paragraph" w:styleId="6">
    <w:name w:val="heading 5"/>
    <w:basedOn w:val="1"/>
    <w:next w:val="1"/>
    <w:link w:val="165"/>
    <w:qFormat/>
    <w:uiPriority w:val="0"/>
    <w:pPr>
      <w:keepNext/>
      <w:tabs>
        <w:tab w:val="left" w:pos="1008"/>
      </w:tabs>
      <w:ind w:left="1008" w:hanging="1008"/>
      <w:outlineLvl w:val="4"/>
    </w:pPr>
    <w:rPr>
      <w:b/>
      <w:bCs/>
      <w:sz w:val="24"/>
    </w:rPr>
  </w:style>
  <w:style w:type="paragraph" w:styleId="7">
    <w:name w:val="heading 6"/>
    <w:basedOn w:val="1"/>
    <w:next w:val="1"/>
    <w:link w:val="240"/>
    <w:qFormat/>
    <w:uiPriority w:val="0"/>
    <w:pPr>
      <w:keepNext/>
      <w:tabs>
        <w:tab w:val="left" w:pos="1152"/>
      </w:tabs>
      <w:spacing w:line="300" w:lineRule="exact"/>
      <w:ind w:left="1152" w:hanging="1152"/>
      <w:outlineLvl w:val="5"/>
    </w:pPr>
    <w:rPr>
      <w:i/>
      <w:iCs/>
      <w:color w:val="000000"/>
      <w:sz w:val="30"/>
      <w:szCs w:val="30"/>
    </w:rPr>
  </w:style>
  <w:style w:type="paragraph" w:styleId="8">
    <w:name w:val="heading 7"/>
    <w:basedOn w:val="1"/>
    <w:next w:val="1"/>
    <w:link w:val="217"/>
    <w:qFormat/>
    <w:uiPriority w:val="0"/>
    <w:pPr>
      <w:keepNext/>
      <w:tabs>
        <w:tab w:val="left" w:pos="1296"/>
      </w:tabs>
      <w:ind w:left="1296" w:hanging="1296"/>
      <w:outlineLvl w:val="6"/>
    </w:pPr>
    <w:rPr>
      <w:i/>
      <w:iCs/>
      <w:color w:val="000000"/>
      <w:sz w:val="15"/>
      <w:szCs w:val="18"/>
    </w:rPr>
  </w:style>
  <w:style w:type="paragraph" w:styleId="9">
    <w:name w:val="heading 8"/>
    <w:basedOn w:val="1"/>
    <w:next w:val="1"/>
    <w:link w:val="241"/>
    <w:qFormat/>
    <w:uiPriority w:val="0"/>
    <w:pPr>
      <w:keepNext/>
      <w:keepLines/>
      <w:tabs>
        <w:tab w:val="left" w:pos="1440"/>
      </w:tabs>
      <w:autoSpaceDE w:val="0"/>
      <w:autoSpaceDN w:val="0"/>
      <w:adjustRightInd w:val="0"/>
      <w:spacing w:before="240" w:after="64" w:line="320" w:lineRule="atLeast"/>
      <w:ind w:left="1440" w:hanging="1440"/>
      <w:outlineLvl w:val="7"/>
    </w:pPr>
    <w:rPr>
      <w:rFonts w:ascii="Arial" w:hAnsi="Arial" w:eastAsia="黑体"/>
      <w:kern w:val="0"/>
      <w:sz w:val="24"/>
      <w:szCs w:val="20"/>
    </w:rPr>
  </w:style>
  <w:style w:type="paragraph" w:styleId="10">
    <w:name w:val="heading 9"/>
    <w:basedOn w:val="1"/>
    <w:next w:val="1"/>
    <w:link w:val="242"/>
    <w:qFormat/>
    <w:uiPriority w:val="0"/>
    <w:pPr>
      <w:keepNext/>
      <w:keepLines/>
      <w:tabs>
        <w:tab w:val="left" w:pos="1584"/>
      </w:tabs>
      <w:autoSpaceDE w:val="0"/>
      <w:autoSpaceDN w:val="0"/>
      <w:adjustRightInd w:val="0"/>
      <w:spacing w:before="240" w:after="64" w:line="320" w:lineRule="atLeast"/>
      <w:ind w:left="1584" w:hanging="1584"/>
      <w:outlineLvl w:val="8"/>
    </w:pPr>
    <w:rPr>
      <w:rFonts w:ascii="Arial" w:hAnsi="Arial" w:eastAsia="黑体"/>
      <w:kern w:val="0"/>
      <w:szCs w:val="20"/>
    </w:rPr>
  </w:style>
  <w:style w:type="character" w:default="1" w:styleId="85">
    <w:name w:val="Default Paragraph Font"/>
    <w:semiHidden/>
    <w:unhideWhenUsed/>
    <w:uiPriority w:val="1"/>
  </w:style>
  <w:style w:type="table" w:default="1" w:styleId="79">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spacing w:line="360" w:lineRule="auto"/>
      <w:ind w:left="100" w:leftChars="400" w:hanging="200" w:hangingChars="200"/>
    </w:pPr>
    <w:rPr>
      <w:rFonts w:eastAsia="仿宋_GB2312"/>
      <w:sz w:val="24"/>
    </w:rPr>
  </w:style>
  <w:style w:type="paragraph" w:styleId="12">
    <w:name w:val="toc 7"/>
    <w:basedOn w:val="1"/>
    <w:next w:val="1"/>
    <w:qFormat/>
    <w:uiPriority w:val="39"/>
    <w:pPr>
      <w:ind w:left="1260"/>
      <w:jc w:val="left"/>
    </w:pPr>
    <w:rPr>
      <w:sz w:val="18"/>
      <w:szCs w:val="18"/>
    </w:rPr>
  </w:style>
  <w:style w:type="paragraph" w:styleId="13">
    <w:name w:val="List Number 2"/>
    <w:basedOn w:val="1"/>
    <w:qFormat/>
    <w:uiPriority w:val="0"/>
    <w:pPr>
      <w:tabs>
        <w:tab w:val="left" w:pos="780"/>
      </w:tabs>
      <w:ind w:left="780" w:hanging="360"/>
    </w:pPr>
    <w:rPr>
      <w:szCs w:val="20"/>
    </w:rPr>
  </w:style>
  <w:style w:type="paragraph" w:styleId="14">
    <w:name w:val="table of authorities"/>
    <w:basedOn w:val="1"/>
    <w:next w:val="1"/>
    <w:semiHidden/>
    <w:qFormat/>
    <w:uiPriority w:val="0"/>
    <w:pPr>
      <w:ind w:left="420" w:leftChars="200"/>
    </w:pPr>
  </w:style>
  <w:style w:type="paragraph" w:styleId="15">
    <w:name w:val="Note Heading"/>
    <w:basedOn w:val="1"/>
    <w:next w:val="1"/>
    <w:qFormat/>
    <w:uiPriority w:val="0"/>
    <w:pPr>
      <w:spacing w:afterLines="25" w:line="360" w:lineRule="auto"/>
      <w:jc w:val="center"/>
    </w:pPr>
    <w:rPr>
      <w:b/>
      <w:sz w:val="24"/>
      <w:szCs w:val="21"/>
    </w:rPr>
  </w:style>
  <w:style w:type="paragraph" w:styleId="16">
    <w:name w:val="List Bullet 4"/>
    <w:basedOn w:val="1"/>
    <w:semiHidden/>
    <w:qFormat/>
    <w:uiPriority w:val="0"/>
    <w:pPr>
      <w:tabs>
        <w:tab w:val="left" w:pos="735"/>
      </w:tabs>
      <w:ind w:left="735" w:hanging="735"/>
    </w:pPr>
  </w:style>
  <w:style w:type="paragraph" w:styleId="17">
    <w:name w:val="index 8"/>
    <w:basedOn w:val="1"/>
    <w:next w:val="1"/>
    <w:semiHidden/>
    <w:qFormat/>
    <w:uiPriority w:val="0"/>
    <w:pPr>
      <w:ind w:left="1400" w:leftChars="1400"/>
    </w:pPr>
    <w:rPr>
      <w:rFonts w:ascii="宋体" w:hAnsi="宋体"/>
      <w:bCs/>
      <w:kern w:val="0"/>
      <w:sz w:val="24"/>
    </w:rPr>
  </w:style>
  <w:style w:type="paragraph" w:styleId="18">
    <w:name w:val="E-mail Signature"/>
    <w:basedOn w:val="1"/>
    <w:semiHidden/>
    <w:qFormat/>
    <w:uiPriority w:val="0"/>
  </w:style>
  <w:style w:type="paragraph" w:styleId="19">
    <w:name w:val="List Number"/>
    <w:basedOn w:val="1"/>
    <w:qFormat/>
    <w:uiPriority w:val="0"/>
    <w:pPr>
      <w:tabs>
        <w:tab w:val="left" w:pos="360"/>
      </w:tabs>
      <w:spacing w:line="360" w:lineRule="auto"/>
      <w:ind w:left="360" w:hanging="360" w:hangingChars="200"/>
    </w:pPr>
    <w:rPr>
      <w:rFonts w:eastAsia="仿宋_GB2312"/>
      <w:sz w:val="24"/>
    </w:rPr>
  </w:style>
  <w:style w:type="paragraph" w:styleId="20">
    <w:name w:val="Normal Indent"/>
    <w:basedOn w:val="1"/>
    <w:link w:val="162"/>
    <w:qFormat/>
    <w:uiPriority w:val="0"/>
    <w:pPr>
      <w:adjustRightInd w:val="0"/>
      <w:snapToGrid w:val="0"/>
      <w:spacing w:line="300" w:lineRule="auto"/>
      <w:ind w:firstLine="200" w:firstLineChars="200"/>
    </w:pPr>
    <w:rPr>
      <w:rFonts w:ascii="仿宋_GB2312" w:eastAsia="仿宋_GB2312"/>
      <w:sz w:val="28"/>
    </w:rPr>
  </w:style>
  <w:style w:type="paragraph" w:styleId="21">
    <w:name w:val="caption"/>
    <w:basedOn w:val="1"/>
    <w:next w:val="1"/>
    <w:link w:val="836"/>
    <w:qFormat/>
    <w:uiPriority w:val="99"/>
    <w:rPr>
      <w:rFonts w:ascii="Arial" w:hAnsi="Arial" w:eastAsia="黑体" w:cs="Arial"/>
      <w:sz w:val="20"/>
      <w:szCs w:val="20"/>
    </w:rPr>
  </w:style>
  <w:style w:type="paragraph" w:styleId="22">
    <w:name w:val="List Bullet"/>
    <w:basedOn w:val="23"/>
    <w:qFormat/>
    <w:uiPriority w:val="0"/>
    <w:pPr>
      <w:widowControl/>
      <w:overflowPunct w:val="0"/>
      <w:autoSpaceDE w:val="0"/>
      <w:autoSpaceDN w:val="0"/>
      <w:adjustRightInd w:val="0"/>
      <w:spacing w:after="160"/>
      <w:ind w:left="720" w:hanging="360" w:firstLineChars="0"/>
      <w:jc w:val="left"/>
      <w:textAlignment w:val="baseline"/>
    </w:pPr>
    <w:rPr>
      <w:kern w:val="0"/>
      <w:sz w:val="20"/>
      <w:szCs w:val="20"/>
    </w:rPr>
  </w:style>
  <w:style w:type="paragraph" w:styleId="23">
    <w:name w:val="List"/>
    <w:basedOn w:val="1"/>
    <w:qFormat/>
    <w:uiPriority w:val="0"/>
    <w:pPr>
      <w:ind w:left="200" w:hanging="200" w:hangingChars="200"/>
    </w:pPr>
  </w:style>
  <w:style w:type="paragraph" w:styleId="24">
    <w:name w:val="envelope address"/>
    <w:basedOn w:val="1"/>
    <w:semiHidden/>
    <w:qFormat/>
    <w:uiPriority w:val="0"/>
    <w:pPr>
      <w:snapToGrid w:val="0"/>
      <w:ind w:left="100" w:leftChars="1400"/>
    </w:pPr>
    <w:rPr>
      <w:rFonts w:ascii="Arial" w:hAnsi="Arial" w:cs="Arial"/>
      <w:sz w:val="24"/>
    </w:rPr>
  </w:style>
  <w:style w:type="paragraph" w:styleId="25">
    <w:name w:val="Document Map"/>
    <w:basedOn w:val="1"/>
    <w:link w:val="225"/>
    <w:semiHidden/>
    <w:qFormat/>
    <w:uiPriority w:val="0"/>
    <w:pPr>
      <w:shd w:val="clear" w:color="auto" w:fill="000080"/>
    </w:pPr>
  </w:style>
  <w:style w:type="paragraph" w:styleId="26">
    <w:name w:val="annotation text"/>
    <w:basedOn w:val="1"/>
    <w:link w:val="176"/>
    <w:qFormat/>
    <w:uiPriority w:val="0"/>
    <w:pPr>
      <w:jc w:val="left"/>
    </w:pPr>
  </w:style>
  <w:style w:type="paragraph" w:styleId="27">
    <w:name w:val="Salutation"/>
    <w:basedOn w:val="1"/>
    <w:next w:val="1"/>
    <w:semiHidden/>
    <w:qFormat/>
    <w:uiPriority w:val="0"/>
  </w:style>
  <w:style w:type="paragraph" w:styleId="28">
    <w:name w:val="Body Text 3"/>
    <w:basedOn w:val="1"/>
    <w:link w:val="193"/>
    <w:qFormat/>
    <w:uiPriority w:val="0"/>
    <w:pPr>
      <w:tabs>
        <w:tab w:val="left" w:pos="540"/>
      </w:tabs>
      <w:spacing w:line="360" w:lineRule="auto"/>
    </w:pPr>
    <w:rPr>
      <w:rFonts w:ascii="仿宋_GB2312" w:eastAsia="仿宋_GB2312"/>
      <w:color w:val="FF0000"/>
      <w:sz w:val="30"/>
      <w:szCs w:val="30"/>
    </w:rPr>
  </w:style>
  <w:style w:type="paragraph" w:styleId="29">
    <w:name w:val="Closing"/>
    <w:basedOn w:val="1"/>
    <w:semiHidden/>
    <w:qFormat/>
    <w:uiPriority w:val="0"/>
    <w:pPr>
      <w:ind w:left="100" w:leftChars="2100"/>
    </w:pPr>
  </w:style>
  <w:style w:type="paragraph" w:styleId="30">
    <w:name w:val="List Bullet 3"/>
    <w:basedOn w:val="1"/>
    <w:semiHidden/>
    <w:qFormat/>
    <w:uiPriority w:val="0"/>
    <w:pPr>
      <w:tabs>
        <w:tab w:val="left" w:pos="870"/>
      </w:tabs>
      <w:ind w:left="870" w:hanging="870"/>
    </w:pPr>
  </w:style>
  <w:style w:type="paragraph" w:styleId="31">
    <w:name w:val="Body Text"/>
    <w:basedOn w:val="1"/>
    <w:link w:val="204"/>
    <w:qFormat/>
    <w:uiPriority w:val="99"/>
    <w:pPr>
      <w:spacing w:after="120"/>
    </w:pPr>
    <w:rPr>
      <w:rFonts w:ascii="宋体" w:hAnsi="宋体"/>
      <w:sz w:val="24"/>
      <w:szCs w:val="20"/>
    </w:rPr>
  </w:style>
  <w:style w:type="paragraph" w:styleId="32">
    <w:name w:val="Body Text Indent"/>
    <w:basedOn w:val="1"/>
    <w:link w:val="127"/>
    <w:qFormat/>
    <w:uiPriority w:val="0"/>
    <w:pPr>
      <w:spacing w:line="480" w:lineRule="exact"/>
      <w:ind w:firstLine="480" w:firstLineChars="200"/>
    </w:pPr>
    <w:rPr>
      <w:rFonts w:ascii="宋体" w:hAnsi="宋体"/>
      <w:sz w:val="24"/>
    </w:rPr>
  </w:style>
  <w:style w:type="paragraph" w:styleId="33">
    <w:name w:val="List Number 3"/>
    <w:basedOn w:val="1"/>
    <w:semiHidden/>
    <w:qFormat/>
    <w:uiPriority w:val="0"/>
    <w:pPr>
      <w:tabs>
        <w:tab w:val="left" w:pos="1575"/>
      </w:tabs>
      <w:ind w:left="1575" w:hanging="1125"/>
    </w:pPr>
  </w:style>
  <w:style w:type="paragraph" w:styleId="34">
    <w:name w:val="List 2"/>
    <w:basedOn w:val="1"/>
    <w:qFormat/>
    <w:uiPriority w:val="0"/>
    <w:pPr>
      <w:ind w:left="100" w:leftChars="200" w:hanging="200" w:hangingChars="200"/>
    </w:pPr>
  </w:style>
  <w:style w:type="paragraph" w:styleId="35">
    <w:name w:val="List Continue"/>
    <w:basedOn w:val="1"/>
    <w:semiHidden/>
    <w:qFormat/>
    <w:uiPriority w:val="0"/>
    <w:pPr>
      <w:spacing w:after="120"/>
      <w:ind w:left="420" w:leftChars="200"/>
    </w:pPr>
  </w:style>
  <w:style w:type="paragraph" w:styleId="36">
    <w:name w:val="Block Text"/>
    <w:basedOn w:val="1"/>
    <w:qFormat/>
    <w:uiPriority w:val="0"/>
    <w:pPr>
      <w:adjustRightInd w:val="0"/>
      <w:snapToGrid w:val="0"/>
      <w:spacing w:line="490" w:lineRule="atLeast"/>
      <w:ind w:left="10" w:leftChars="5" w:right="-449" w:rightChars="-214" w:firstLine="560" w:firstLineChars="200"/>
    </w:pPr>
    <w:rPr>
      <w:color w:val="000000"/>
      <w:sz w:val="28"/>
    </w:rPr>
  </w:style>
  <w:style w:type="paragraph" w:styleId="37">
    <w:name w:val="List Bullet 2"/>
    <w:basedOn w:val="1"/>
    <w:qFormat/>
    <w:uiPriority w:val="0"/>
    <w:pPr>
      <w:tabs>
        <w:tab w:val="left" w:pos="432"/>
      </w:tabs>
      <w:ind w:left="432" w:hanging="432"/>
    </w:pPr>
  </w:style>
  <w:style w:type="paragraph" w:styleId="38">
    <w:name w:val="HTML Address"/>
    <w:basedOn w:val="1"/>
    <w:qFormat/>
    <w:uiPriority w:val="0"/>
    <w:pPr>
      <w:spacing w:before="60"/>
      <w:ind w:firstLine="482"/>
    </w:pPr>
    <w:rPr>
      <w:rFonts w:ascii="Arial" w:hAnsi="Arial" w:eastAsia="仿宋_GB2312"/>
      <w:i/>
      <w:iCs/>
      <w:kern w:val="0"/>
      <w:sz w:val="24"/>
      <w:szCs w:val="20"/>
    </w:rPr>
  </w:style>
  <w:style w:type="paragraph" w:styleId="39">
    <w:name w:val="toc 5"/>
    <w:basedOn w:val="1"/>
    <w:next w:val="1"/>
    <w:qFormat/>
    <w:uiPriority w:val="39"/>
    <w:pPr>
      <w:ind w:left="840"/>
      <w:jc w:val="left"/>
    </w:pPr>
    <w:rPr>
      <w:sz w:val="18"/>
      <w:szCs w:val="18"/>
    </w:rPr>
  </w:style>
  <w:style w:type="paragraph" w:styleId="40">
    <w:name w:val="toc 3"/>
    <w:basedOn w:val="1"/>
    <w:next w:val="1"/>
    <w:qFormat/>
    <w:uiPriority w:val="39"/>
    <w:pPr>
      <w:tabs>
        <w:tab w:val="right" w:leader="dot" w:pos="8296"/>
      </w:tabs>
      <w:jc w:val="left"/>
    </w:pPr>
    <w:rPr>
      <w:i/>
      <w:iCs/>
      <w:sz w:val="20"/>
      <w:szCs w:val="20"/>
    </w:rPr>
  </w:style>
  <w:style w:type="paragraph" w:styleId="41">
    <w:name w:val="Plain Text"/>
    <w:basedOn w:val="1"/>
    <w:link w:val="243"/>
    <w:qFormat/>
    <w:uiPriority w:val="0"/>
    <w:pPr>
      <w:spacing w:line="360" w:lineRule="auto"/>
    </w:pPr>
    <w:rPr>
      <w:spacing w:val="8"/>
      <w:sz w:val="24"/>
      <w:szCs w:val="20"/>
    </w:rPr>
  </w:style>
  <w:style w:type="paragraph" w:styleId="42">
    <w:name w:val="List Bullet 5"/>
    <w:basedOn w:val="1"/>
    <w:semiHidden/>
    <w:qFormat/>
    <w:uiPriority w:val="0"/>
    <w:pPr>
      <w:tabs>
        <w:tab w:val="left" w:pos="630"/>
      </w:tabs>
      <w:ind w:left="630" w:hanging="630"/>
    </w:pPr>
  </w:style>
  <w:style w:type="paragraph" w:styleId="43">
    <w:name w:val="List Number 4"/>
    <w:basedOn w:val="1"/>
    <w:semiHidden/>
    <w:qFormat/>
    <w:uiPriority w:val="0"/>
    <w:pPr>
      <w:tabs>
        <w:tab w:val="left" w:pos="615"/>
      </w:tabs>
      <w:ind w:left="615" w:hanging="615"/>
    </w:pPr>
  </w:style>
  <w:style w:type="paragraph" w:styleId="44">
    <w:name w:val="toc 8"/>
    <w:basedOn w:val="1"/>
    <w:next w:val="1"/>
    <w:qFormat/>
    <w:uiPriority w:val="39"/>
    <w:pPr>
      <w:ind w:left="1470"/>
      <w:jc w:val="left"/>
    </w:pPr>
    <w:rPr>
      <w:sz w:val="18"/>
      <w:szCs w:val="18"/>
    </w:rPr>
  </w:style>
  <w:style w:type="paragraph" w:styleId="45">
    <w:name w:val="Date"/>
    <w:basedOn w:val="1"/>
    <w:next w:val="1"/>
    <w:link w:val="131"/>
    <w:qFormat/>
    <w:uiPriority w:val="0"/>
    <w:pPr>
      <w:ind w:left="100" w:leftChars="2500"/>
    </w:pPr>
  </w:style>
  <w:style w:type="paragraph" w:styleId="46">
    <w:name w:val="Body Text Indent 2"/>
    <w:basedOn w:val="1"/>
    <w:link w:val="244"/>
    <w:qFormat/>
    <w:uiPriority w:val="0"/>
    <w:pPr>
      <w:spacing w:line="480" w:lineRule="exact"/>
      <w:ind w:firstLine="560" w:firstLineChars="200"/>
    </w:pPr>
    <w:rPr>
      <w:sz w:val="28"/>
    </w:rPr>
  </w:style>
  <w:style w:type="paragraph" w:styleId="47">
    <w:name w:val="endnote text"/>
    <w:basedOn w:val="1"/>
    <w:link w:val="267"/>
    <w:qFormat/>
    <w:uiPriority w:val="0"/>
    <w:pPr>
      <w:snapToGrid w:val="0"/>
      <w:jc w:val="left"/>
    </w:pPr>
    <w:rPr>
      <w:szCs w:val="20"/>
    </w:rPr>
  </w:style>
  <w:style w:type="paragraph" w:styleId="48">
    <w:name w:val="List Continue 5"/>
    <w:basedOn w:val="1"/>
    <w:semiHidden/>
    <w:qFormat/>
    <w:uiPriority w:val="0"/>
    <w:pPr>
      <w:spacing w:after="120"/>
      <w:ind w:left="2100" w:leftChars="1000"/>
    </w:pPr>
  </w:style>
  <w:style w:type="paragraph" w:styleId="49">
    <w:name w:val="Balloon Text"/>
    <w:basedOn w:val="1"/>
    <w:link w:val="250"/>
    <w:semiHidden/>
    <w:qFormat/>
    <w:uiPriority w:val="99"/>
    <w:rPr>
      <w:sz w:val="18"/>
      <w:szCs w:val="18"/>
    </w:rPr>
  </w:style>
  <w:style w:type="paragraph" w:styleId="50">
    <w:name w:val="footer"/>
    <w:basedOn w:val="1"/>
    <w:link w:val="252"/>
    <w:qFormat/>
    <w:uiPriority w:val="99"/>
    <w:pPr>
      <w:tabs>
        <w:tab w:val="center" w:pos="4153"/>
        <w:tab w:val="right" w:pos="8306"/>
      </w:tabs>
      <w:snapToGrid w:val="0"/>
      <w:jc w:val="left"/>
    </w:pPr>
    <w:rPr>
      <w:sz w:val="18"/>
      <w:szCs w:val="18"/>
    </w:rPr>
  </w:style>
  <w:style w:type="paragraph" w:styleId="51">
    <w:name w:val="envelope return"/>
    <w:basedOn w:val="1"/>
    <w:semiHidden/>
    <w:qFormat/>
    <w:uiPriority w:val="0"/>
    <w:pPr>
      <w:snapToGrid w:val="0"/>
    </w:pPr>
    <w:rPr>
      <w:rFonts w:ascii="Arial" w:hAnsi="Arial" w:cs="Arial"/>
    </w:rPr>
  </w:style>
  <w:style w:type="paragraph" w:styleId="52">
    <w:name w:val="header"/>
    <w:basedOn w:val="1"/>
    <w:link w:val="248"/>
    <w:qFormat/>
    <w:uiPriority w:val="99"/>
    <w:pPr>
      <w:pBdr>
        <w:bottom w:val="single" w:color="auto" w:sz="6" w:space="1"/>
      </w:pBdr>
      <w:tabs>
        <w:tab w:val="center" w:pos="4153"/>
        <w:tab w:val="right" w:pos="8306"/>
      </w:tabs>
      <w:snapToGrid w:val="0"/>
      <w:jc w:val="center"/>
    </w:pPr>
    <w:rPr>
      <w:sz w:val="18"/>
      <w:szCs w:val="18"/>
    </w:rPr>
  </w:style>
  <w:style w:type="paragraph" w:styleId="53">
    <w:name w:val="Signature"/>
    <w:basedOn w:val="1"/>
    <w:semiHidden/>
    <w:qFormat/>
    <w:uiPriority w:val="0"/>
    <w:pPr>
      <w:ind w:left="100" w:leftChars="2100"/>
    </w:pPr>
  </w:style>
  <w:style w:type="paragraph" w:styleId="54">
    <w:name w:val="toc 1"/>
    <w:basedOn w:val="1"/>
    <w:next w:val="1"/>
    <w:qFormat/>
    <w:uiPriority w:val="39"/>
    <w:pPr>
      <w:tabs>
        <w:tab w:val="right" w:leader="dot" w:pos="8296"/>
      </w:tabs>
      <w:spacing w:line="360" w:lineRule="auto"/>
      <w:jc w:val="left"/>
    </w:pPr>
    <w:rPr>
      <w:b/>
      <w:bCs/>
      <w:caps/>
      <w:sz w:val="20"/>
      <w:szCs w:val="20"/>
    </w:rPr>
  </w:style>
  <w:style w:type="paragraph" w:styleId="55">
    <w:name w:val="List Continue 4"/>
    <w:basedOn w:val="1"/>
    <w:semiHidden/>
    <w:qFormat/>
    <w:uiPriority w:val="0"/>
    <w:pPr>
      <w:spacing w:after="120"/>
      <w:ind w:left="1680" w:leftChars="800"/>
    </w:pPr>
  </w:style>
  <w:style w:type="paragraph" w:styleId="56">
    <w:name w:val="toc 4"/>
    <w:basedOn w:val="1"/>
    <w:next w:val="1"/>
    <w:qFormat/>
    <w:uiPriority w:val="39"/>
    <w:pPr>
      <w:ind w:left="630"/>
      <w:jc w:val="left"/>
    </w:pPr>
    <w:rPr>
      <w:sz w:val="18"/>
      <w:szCs w:val="18"/>
    </w:rPr>
  </w:style>
  <w:style w:type="paragraph" w:styleId="57">
    <w:name w:val="index heading"/>
    <w:basedOn w:val="1"/>
    <w:next w:val="58"/>
    <w:semiHidden/>
    <w:qFormat/>
    <w:uiPriority w:val="0"/>
    <w:rPr>
      <w:rFonts w:ascii="宋体" w:hAnsi="宋体"/>
      <w:bCs/>
      <w:kern w:val="0"/>
      <w:sz w:val="24"/>
    </w:rPr>
  </w:style>
  <w:style w:type="paragraph" w:styleId="58">
    <w:name w:val="index 1"/>
    <w:basedOn w:val="1"/>
    <w:next w:val="1"/>
    <w:qFormat/>
    <w:uiPriority w:val="0"/>
    <w:pPr>
      <w:tabs>
        <w:tab w:val="left" w:pos="-105"/>
        <w:tab w:val="left" w:pos="0"/>
      </w:tabs>
      <w:jc w:val="center"/>
    </w:pPr>
    <w:rPr>
      <w:rFonts w:eastAsia="黑体"/>
      <w:snapToGrid w:val="0"/>
      <w:kern w:val="0"/>
      <w:sz w:val="44"/>
    </w:rPr>
  </w:style>
  <w:style w:type="paragraph" w:styleId="59">
    <w:name w:val="Subtitle"/>
    <w:basedOn w:val="1"/>
    <w:qFormat/>
    <w:uiPriority w:val="0"/>
    <w:pPr>
      <w:spacing w:before="240" w:after="60" w:line="312" w:lineRule="auto"/>
      <w:jc w:val="center"/>
      <w:outlineLvl w:val="1"/>
    </w:pPr>
    <w:rPr>
      <w:rFonts w:ascii="Arial" w:hAnsi="Arial" w:cs="Arial"/>
      <w:b/>
      <w:bCs/>
      <w:kern w:val="28"/>
      <w:sz w:val="32"/>
      <w:szCs w:val="32"/>
    </w:rPr>
  </w:style>
  <w:style w:type="paragraph" w:styleId="60">
    <w:name w:val="List Number 5"/>
    <w:basedOn w:val="1"/>
    <w:semiHidden/>
    <w:qFormat/>
    <w:uiPriority w:val="0"/>
    <w:pPr>
      <w:tabs>
        <w:tab w:val="left" w:pos="615"/>
      </w:tabs>
      <w:ind w:left="615" w:hanging="615"/>
    </w:pPr>
  </w:style>
  <w:style w:type="paragraph" w:styleId="61">
    <w:name w:val="footnote text"/>
    <w:basedOn w:val="1"/>
    <w:next w:val="1"/>
    <w:semiHidden/>
    <w:qFormat/>
    <w:uiPriority w:val="0"/>
    <w:pPr>
      <w:autoSpaceDE w:val="0"/>
      <w:autoSpaceDN w:val="0"/>
      <w:adjustRightInd w:val="0"/>
      <w:jc w:val="left"/>
    </w:pPr>
    <w:rPr>
      <w:kern w:val="0"/>
      <w:sz w:val="20"/>
    </w:rPr>
  </w:style>
  <w:style w:type="paragraph" w:styleId="62">
    <w:name w:val="toc 6"/>
    <w:basedOn w:val="1"/>
    <w:next w:val="1"/>
    <w:qFormat/>
    <w:uiPriority w:val="39"/>
    <w:pPr>
      <w:ind w:left="1050"/>
      <w:jc w:val="left"/>
    </w:pPr>
    <w:rPr>
      <w:sz w:val="18"/>
      <w:szCs w:val="18"/>
    </w:rPr>
  </w:style>
  <w:style w:type="paragraph" w:styleId="63">
    <w:name w:val="List 5"/>
    <w:basedOn w:val="1"/>
    <w:semiHidden/>
    <w:qFormat/>
    <w:uiPriority w:val="0"/>
    <w:pPr>
      <w:ind w:left="100" w:leftChars="800" w:hanging="200" w:hangingChars="200"/>
    </w:pPr>
  </w:style>
  <w:style w:type="paragraph" w:styleId="64">
    <w:name w:val="Body Text Indent 3"/>
    <w:basedOn w:val="1"/>
    <w:link w:val="249"/>
    <w:qFormat/>
    <w:uiPriority w:val="0"/>
    <w:pPr>
      <w:spacing w:line="360" w:lineRule="auto"/>
      <w:ind w:firstLine="480"/>
    </w:pPr>
    <w:rPr>
      <w:rFonts w:ascii="宋体" w:hAnsi="宋体"/>
      <w:color w:val="000000"/>
      <w:sz w:val="24"/>
    </w:rPr>
  </w:style>
  <w:style w:type="paragraph" w:styleId="65">
    <w:name w:val="table of figures"/>
    <w:basedOn w:val="1"/>
    <w:next w:val="1"/>
    <w:semiHidden/>
    <w:qFormat/>
    <w:uiPriority w:val="0"/>
    <w:pPr>
      <w:spacing w:line="360" w:lineRule="auto"/>
      <w:ind w:left="200" w:leftChars="200" w:hanging="200" w:hangingChars="200"/>
    </w:pPr>
    <w:rPr>
      <w:b/>
      <w:bCs/>
      <w:kern w:val="44"/>
      <w:sz w:val="24"/>
      <w:szCs w:val="44"/>
    </w:rPr>
  </w:style>
  <w:style w:type="paragraph" w:styleId="66">
    <w:name w:val="toc 2"/>
    <w:basedOn w:val="1"/>
    <w:next w:val="1"/>
    <w:qFormat/>
    <w:uiPriority w:val="39"/>
    <w:pPr>
      <w:tabs>
        <w:tab w:val="right" w:leader="dot" w:pos="8296"/>
      </w:tabs>
      <w:jc w:val="left"/>
    </w:pPr>
    <w:rPr>
      <w:smallCaps/>
      <w:sz w:val="20"/>
      <w:szCs w:val="20"/>
    </w:rPr>
  </w:style>
  <w:style w:type="paragraph" w:styleId="67">
    <w:name w:val="toc 9"/>
    <w:basedOn w:val="1"/>
    <w:next w:val="1"/>
    <w:qFormat/>
    <w:uiPriority w:val="39"/>
    <w:pPr>
      <w:ind w:left="1680"/>
      <w:jc w:val="left"/>
    </w:pPr>
    <w:rPr>
      <w:sz w:val="18"/>
      <w:szCs w:val="18"/>
    </w:rPr>
  </w:style>
  <w:style w:type="paragraph" w:styleId="68">
    <w:name w:val="Body Text 2"/>
    <w:basedOn w:val="1"/>
    <w:link w:val="216"/>
    <w:qFormat/>
    <w:uiPriority w:val="0"/>
    <w:pPr>
      <w:spacing w:after="120" w:line="480" w:lineRule="auto"/>
    </w:pPr>
  </w:style>
  <w:style w:type="paragraph" w:styleId="69">
    <w:name w:val="List 4"/>
    <w:basedOn w:val="1"/>
    <w:semiHidden/>
    <w:qFormat/>
    <w:uiPriority w:val="0"/>
    <w:pPr>
      <w:ind w:left="100" w:leftChars="600" w:hanging="200" w:hangingChars="200"/>
    </w:pPr>
  </w:style>
  <w:style w:type="paragraph" w:styleId="70">
    <w:name w:val="List Continue 2"/>
    <w:basedOn w:val="1"/>
    <w:semiHidden/>
    <w:qFormat/>
    <w:uiPriority w:val="0"/>
    <w:pPr>
      <w:spacing w:after="120"/>
      <w:ind w:left="840" w:leftChars="400"/>
    </w:pPr>
  </w:style>
  <w:style w:type="paragraph" w:styleId="71">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72">
    <w:name w:val="HTML Preformatted"/>
    <w:basedOn w:val="1"/>
    <w:link w:val="27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3">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74">
    <w:name w:val="List Continue 3"/>
    <w:basedOn w:val="1"/>
    <w:semiHidden/>
    <w:qFormat/>
    <w:uiPriority w:val="0"/>
    <w:pPr>
      <w:spacing w:after="120"/>
      <w:ind w:left="1260" w:leftChars="600"/>
    </w:pPr>
  </w:style>
  <w:style w:type="paragraph" w:styleId="75">
    <w:name w:val="Title"/>
    <w:basedOn w:val="1"/>
    <w:next w:val="1"/>
    <w:link w:val="266"/>
    <w:qFormat/>
    <w:uiPriority w:val="0"/>
    <w:pPr>
      <w:spacing w:before="240" w:after="60"/>
      <w:jc w:val="center"/>
      <w:outlineLvl w:val="0"/>
    </w:pPr>
    <w:rPr>
      <w:rFonts w:ascii="Cambria" w:hAnsi="Cambria"/>
      <w:b/>
      <w:bCs/>
      <w:sz w:val="32"/>
      <w:szCs w:val="32"/>
    </w:rPr>
  </w:style>
  <w:style w:type="paragraph" w:styleId="76">
    <w:name w:val="annotation subject"/>
    <w:basedOn w:val="26"/>
    <w:next w:val="26"/>
    <w:semiHidden/>
    <w:qFormat/>
    <w:uiPriority w:val="0"/>
    <w:rPr>
      <w:b/>
      <w:bCs/>
    </w:rPr>
  </w:style>
  <w:style w:type="paragraph" w:styleId="77">
    <w:name w:val="Body Text First Indent"/>
    <w:basedOn w:val="31"/>
    <w:qFormat/>
    <w:uiPriority w:val="0"/>
    <w:pPr>
      <w:ind w:firstLine="420" w:firstLineChars="100"/>
    </w:pPr>
    <w:rPr>
      <w:rFonts w:ascii="Times New Roman" w:hAnsi="Times New Roman"/>
      <w:sz w:val="21"/>
    </w:rPr>
  </w:style>
  <w:style w:type="paragraph" w:styleId="78">
    <w:name w:val="Body Text First Indent 2"/>
    <w:basedOn w:val="32"/>
    <w:qFormat/>
    <w:uiPriority w:val="0"/>
    <w:pPr>
      <w:spacing w:after="120" w:line="240" w:lineRule="auto"/>
      <w:ind w:left="420" w:leftChars="200" w:firstLine="420"/>
    </w:pPr>
    <w:rPr>
      <w:rFonts w:ascii="Times New Roman" w:hAnsi="Times New Roman"/>
      <w:sz w:val="21"/>
    </w:rPr>
  </w:style>
  <w:style w:type="table" w:styleId="80">
    <w:name w:val="Table Grid"/>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1">
    <w:name w:val="Table Elegant"/>
    <w:basedOn w:val="79"/>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82">
    <w:name w:val="Table Simple 3"/>
    <w:basedOn w:val="79"/>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3">
    <w:name w:val="Table Grid 1"/>
    <w:basedOn w:val="7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4">
    <w:name w:val="Table Professional"/>
    <w:basedOn w:val="79"/>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86">
    <w:name w:val="Strong"/>
    <w:qFormat/>
    <w:uiPriority w:val="22"/>
    <w:rPr>
      <w:b/>
      <w:bCs/>
    </w:rPr>
  </w:style>
  <w:style w:type="character" w:styleId="87">
    <w:name w:val="page number"/>
    <w:basedOn w:val="85"/>
    <w:qFormat/>
    <w:uiPriority w:val="0"/>
  </w:style>
  <w:style w:type="character" w:styleId="88">
    <w:name w:val="FollowedHyperlink"/>
    <w:qFormat/>
    <w:uiPriority w:val="0"/>
    <w:rPr>
      <w:color w:val="800080"/>
      <w:u w:val="single"/>
    </w:rPr>
  </w:style>
  <w:style w:type="character" w:styleId="89">
    <w:name w:val="Emphasis"/>
    <w:qFormat/>
    <w:uiPriority w:val="0"/>
    <w:rPr>
      <w:color w:val="CC0000"/>
    </w:rPr>
  </w:style>
  <w:style w:type="character" w:styleId="90">
    <w:name w:val="line number"/>
    <w:basedOn w:val="85"/>
    <w:qFormat/>
    <w:uiPriority w:val="0"/>
  </w:style>
  <w:style w:type="character" w:styleId="91">
    <w:name w:val="HTML Definition"/>
    <w:semiHidden/>
    <w:qFormat/>
    <w:uiPriority w:val="0"/>
    <w:rPr>
      <w:i/>
      <w:iCs/>
    </w:rPr>
  </w:style>
  <w:style w:type="character" w:styleId="92">
    <w:name w:val="HTML Typewriter"/>
    <w:semiHidden/>
    <w:qFormat/>
    <w:uiPriority w:val="0"/>
    <w:rPr>
      <w:rFonts w:ascii="Courier New" w:hAnsi="Courier New" w:cs="Courier New"/>
      <w:sz w:val="20"/>
      <w:szCs w:val="20"/>
    </w:rPr>
  </w:style>
  <w:style w:type="character" w:styleId="93">
    <w:name w:val="HTML Acronym"/>
    <w:basedOn w:val="85"/>
    <w:semiHidden/>
    <w:qFormat/>
    <w:uiPriority w:val="0"/>
  </w:style>
  <w:style w:type="character" w:styleId="94">
    <w:name w:val="HTML Variable"/>
    <w:semiHidden/>
    <w:qFormat/>
    <w:uiPriority w:val="0"/>
    <w:rPr>
      <w:i/>
      <w:iCs/>
    </w:rPr>
  </w:style>
  <w:style w:type="character" w:styleId="95">
    <w:name w:val="Hyperlink"/>
    <w:qFormat/>
    <w:uiPriority w:val="99"/>
    <w:rPr>
      <w:color w:val="0000FF"/>
      <w:u w:val="single"/>
    </w:rPr>
  </w:style>
  <w:style w:type="character" w:styleId="96">
    <w:name w:val="HTML Code"/>
    <w:semiHidden/>
    <w:qFormat/>
    <w:uiPriority w:val="0"/>
    <w:rPr>
      <w:rFonts w:ascii="Courier New" w:hAnsi="Courier New" w:cs="Courier New"/>
      <w:sz w:val="20"/>
      <w:szCs w:val="20"/>
    </w:rPr>
  </w:style>
  <w:style w:type="character" w:styleId="97">
    <w:name w:val="annotation reference"/>
    <w:qFormat/>
    <w:uiPriority w:val="0"/>
    <w:rPr>
      <w:sz w:val="21"/>
      <w:szCs w:val="21"/>
    </w:rPr>
  </w:style>
  <w:style w:type="character" w:styleId="98">
    <w:name w:val="HTML Cite"/>
    <w:semiHidden/>
    <w:qFormat/>
    <w:uiPriority w:val="0"/>
    <w:rPr>
      <w:i/>
      <w:iCs/>
    </w:rPr>
  </w:style>
  <w:style w:type="character" w:styleId="99">
    <w:name w:val="footnote reference"/>
    <w:semiHidden/>
    <w:qFormat/>
    <w:uiPriority w:val="0"/>
    <w:rPr>
      <w:vertAlign w:val="superscript"/>
    </w:rPr>
  </w:style>
  <w:style w:type="character" w:styleId="100">
    <w:name w:val="HTML Keyboard"/>
    <w:semiHidden/>
    <w:qFormat/>
    <w:uiPriority w:val="0"/>
    <w:rPr>
      <w:rFonts w:ascii="Courier New" w:hAnsi="Courier New" w:cs="Courier New"/>
      <w:sz w:val="20"/>
      <w:szCs w:val="20"/>
    </w:rPr>
  </w:style>
  <w:style w:type="character" w:styleId="101">
    <w:name w:val="HTML Sample"/>
    <w:semiHidden/>
    <w:qFormat/>
    <w:uiPriority w:val="0"/>
    <w:rPr>
      <w:rFonts w:ascii="Courier New" w:hAnsi="Courier New" w:cs="Courier New"/>
    </w:rPr>
  </w:style>
  <w:style w:type="character" w:customStyle="1" w:styleId="102">
    <w:name w:val="lemmatitleh1"/>
    <w:basedOn w:val="85"/>
    <w:qFormat/>
    <w:uiPriority w:val="0"/>
  </w:style>
  <w:style w:type="character" w:customStyle="1" w:styleId="103">
    <w:name w:val="正文文字缩进 Char"/>
    <w:qFormat/>
    <w:uiPriority w:val="0"/>
    <w:rPr>
      <w:rFonts w:eastAsia="宋体"/>
      <w:kern w:val="2"/>
      <w:sz w:val="28"/>
      <w:szCs w:val="24"/>
      <w:lang w:val="en-US" w:eastAsia="zh-CN" w:bidi="ar-SA"/>
    </w:rPr>
  </w:style>
  <w:style w:type="character" w:customStyle="1" w:styleId="104">
    <w:name w:val="title41"/>
    <w:qFormat/>
    <w:uiPriority w:val="0"/>
    <w:rPr>
      <w:rFonts w:hint="eastAsia" w:ascii="宋体" w:hAnsi="宋体" w:eastAsia="宋体"/>
      <w:color w:val="194F95"/>
      <w:sz w:val="25"/>
      <w:szCs w:val="25"/>
    </w:rPr>
  </w:style>
  <w:style w:type="character" w:customStyle="1" w:styleId="105">
    <w:name w:val="不明显参考1"/>
    <w:qFormat/>
    <w:uiPriority w:val="0"/>
    <w:rPr>
      <w:smallCaps/>
      <w:color w:val="C0504D"/>
      <w:u w:val="single"/>
    </w:rPr>
  </w:style>
  <w:style w:type="character" w:customStyle="1" w:styleId="106">
    <w:name w:val="style71"/>
    <w:qFormat/>
    <w:uiPriority w:val="0"/>
    <w:rPr>
      <w:sz w:val="27"/>
      <w:szCs w:val="27"/>
    </w:rPr>
  </w:style>
  <w:style w:type="character" w:customStyle="1" w:styleId="107">
    <w:name w:val="12pix1"/>
    <w:qFormat/>
    <w:uiPriority w:val="0"/>
    <w:rPr>
      <w:sz w:val="18"/>
      <w:szCs w:val="18"/>
      <w:u w:val="none"/>
    </w:rPr>
  </w:style>
  <w:style w:type="character" w:customStyle="1" w:styleId="108">
    <w:name w:val="表头1 Char"/>
    <w:link w:val="109"/>
    <w:qFormat/>
    <w:uiPriority w:val="0"/>
    <w:rPr>
      <w:rFonts w:eastAsia="宋体"/>
      <w:color w:val="0000FF"/>
      <w:kern w:val="2"/>
      <w:sz w:val="21"/>
      <w:szCs w:val="21"/>
      <w:lang w:val="en-US" w:eastAsia="zh-CN" w:bidi="ar-SA"/>
    </w:rPr>
  </w:style>
  <w:style w:type="paragraph" w:customStyle="1" w:styleId="109">
    <w:name w:val="表头1"/>
    <w:basedOn w:val="41"/>
    <w:link w:val="108"/>
    <w:qFormat/>
    <w:uiPriority w:val="0"/>
    <w:pPr>
      <w:spacing w:line="240" w:lineRule="exact"/>
      <w:jc w:val="center"/>
    </w:pPr>
    <w:rPr>
      <w:color w:val="0000FF"/>
      <w:spacing w:val="0"/>
      <w:sz w:val="21"/>
      <w:szCs w:val="21"/>
    </w:rPr>
  </w:style>
  <w:style w:type="character" w:customStyle="1" w:styleId="110">
    <w:name w:val="表格 Char"/>
    <w:link w:val="111"/>
    <w:qFormat/>
    <w:locked/>
    <w:uiPriority w:val="0"/>
    <w:rPr>
      <w:rFonts w:ascii="仿宋_GB2312" w:hAnsi="Alaska" w:eastAsia="仿宋_GB2312"/>
      <w:sz w:val="21"/>
      <w:lang w:val="en-US" w:eastAsia="zh-CN" w:bidi="ar-SA"/>
    </w:rPr>
  </w:style>
  <w:style w:type="paragraph" w:customStyle="1" w:styleId="111">
    <w:name w:val="表格"/>
    <w:basedOn w:val="2"/>
    <w:link w:val="110"/>
    <w:qFormat/>
    <w:uiPriority w:val="0"/>
    <w:pPr>
      <w:keepNext w:val="0"/>
      <w:keepLines w:val="0"/>
      <w:tabs>
        <w:tab w:val="left" w:pos="858"/>
      </w:tabs>
      <w:overflowPunct w:val="0"/>
      <w:adjustRightInd w:val="0"/>
      <w:spacing w:after="0"/>
      <w:ind w:left="858"/>
      <w:textAlignment w:val="baseline"/>
      <w:outlineLvl w:val="9"/>
    </w:pPr>
    <w:rPr>
      <w:rFonts w:ascii="仿宋_GB2312" w:hAnsi="Alaska" w:eastAsia="仿宋_GB2312"/>
      <w:kern w:val="0"/>
      <w:sz w:val="21"/>
    </w:rPr>
  </w:style>
  <w:style w:type="character" w:customStyle="1" w:styleId="112">
    <w:name w:val="报告书正文 Char Char Char Char"/>
    <w:link w:val="113"/>
    <w:qFormat/>
    <w:uiPriority w:val="0"/>
    <w:rPr>
      <w:rFonts w:ascii="宋体" w:hAnsi="宋体"/>
      <w:kern w:val="2"/>
      <w:sz w:val="24"/>
      <w:szCs w:val="24"/>
    </w:rPr>
  </w:style>
  <w:style w:type="paragraph" w:customStyle="1" w:styleId="113">
    <w:name w:val="报告书正文 Char Char Char"/>
    <w:basedOn w:val="1"/>
    <w:link w:val="112"/>
    <w:qFormat/>
    <w:uiPriority w:val="0"/>
    <w:pPr>
      <w:spacing w:line="300" w:lineRule="auto"/>
      <w:ind w:firstLine="480" w:firstLineChars="200"/>
    </w:pPr>
    <w:rPr>
      <w:rFonts w:ascii="宋体" w:hAnsi="宋体"/>
      <w:sz w:val="24"/>
    </w:rPr>
  </w:style>
  <w:style w:type="character" w:customStyle="1" w:styleId="114">
    <w:name w:val="标题 1 Char"/>
    <w:qFormat/>
    <w:uiPriority w:val="9"/>
    <w:rPr>
      <w:rFonts w:ascii="宋体" w:eastAsia="宋体"/>
      <w:b/>
      <w:bCs/>
      <w:kern w:val="44"/>
      <w:sz w:val="44"/>
      <w:szCs w:val="44"/>
      <w:lang w:val="en-US" w:eastAsia="zh-CN" w:bidi="ar-SA"/>
    </w:rPr>
  </w:style>
  <w:style w:type="character" w:customStyle="1" w:styleId="115">
    <w:name w:val="正文样式1 Char1"/>
    <w:link w:val="116"/>
    <w:qFormat/>
    <w:uiPriority w:val="0"/>
    <w:rPr>
      <w:rFonts w:eastAsia="宋体"/>
      <w:snapToGrid w:val="0"/>
      <w:kern w:val="2"/>
      <w:position w:val="-12"/>
      <w:sz w:val="24"/>
      <w:szCs w:val="24"/>
      <w:lang w:val="en-US" w:eastAsia="zh-CN" w:bidi="ar-SA"/>
    </w:rPr>
  </w:style>
  <w:style w:type="paragraph" w:customStyle="1" w:styleId="116">
    <w:name w:val="正文样式1"/>
    <w:basedOn w:val="1"/>
    <w:link w:val="115"/>
    <w:qFormat/>
    <w:uiPriority w:val="0"/>
    <w:pPr>
      <w:adjustRightInd w:val="0"/>
      <w:spacing w:beforeLines="10" w:afterLines="10" w:line="312" w:lineRule="auto"/>
      <w:ind w:firstLine="200" w:firstLineChars="200"/>
      <w:textAlignment w:val="baseline"/>
    </w:pPr>
    <w:rPr>
      <w:snapToGrid w:val="0"/>
      <w:position w:val="-12"/>
      <w:sz w:val="24"/>
    </w:rPr>
  </w:style>
  <w:style w:type="character" w:customStyle="1" w:styleId="117">
    <w:name w:val="引用 字符"/>
    <w:link w:val="118"/>
    <w:qFormat/>
    <w:uiPriority w:val="0"/>
    <w:rPr>
      <w:rFonts w:ascii="Calibri" w:hAnsi="Calibri" w:eastAsia="宋体"/>
      <w:i/>
      <w:iCs/>
      <w:color w:val="000000"/>
      <w:sz w:val="22"/>
      <w:szCs w:val="22"/>
      <w:lang w:val="en-US" w:eastAsia="en-US" w:bidi="en-US"/>
    </w:rPr>
  </w:style>
  <w:style w:type="paragraph" w:styleId="118">
    <w:name w:val="Quote"/>
    <w:basedOn w:val="1"/>
    <w:next w:val="1"/>
    <w:link w:val="117"/>
    <w:qFormat/>
    <w:uiPriority w:val="0"/>
    <w:pPr>
      <w:widowControl/>
      <w:spacing w:after="200" w:line="276" w:lineRule="auto"/>
      <w:jc w:val="left"/>
    </w:pPr>
    <w:rPr>
      <w:rFonts w:ascii="Calibri" w:hAnsi="Calibri"/>
      <w:i/>
      <w:iCs/>
      <w:color w:val="000000"/>
      <w:kern w:val="0"/>
      <w:sz w:val="22"/>
      <w:szCs w:val="22"/>
      <w:lang w:eastAsia="en-US" w:bidi="en-US"/>
    </w:rPr>
  </w:style>
  <w:style w:type="character" w:customStyle="1" w:styleId="119">
    <w:name w:val="fonts_14px1"/>
    <w:qFormat/>
    <w:uiPriority w:val="0"/>
    <w:rPr>
      <w:color w:val="000000"/>
      <w:sz w:val="21"/>
    </w:rPr>
  </w:style>
  <w:style w:type="character" w:customStyle="1" w:styleId="120">
    <w:name w:val="正文内容 Char"/>
    <w:qFormat/>
    <w:uiPriority w:val="0"/>
    <w:rPr>
      <w:rFonts w:ascii="宋体" w:hAnsi="宋体" w:eastAsia="宋体"/>
      <w:snapToGrid w:val="0"/>
      <w:spacing w:val="4"/>
      <w:sz w:val="24"/>
      <w:lang w:val="en-US" w:eastAsia="zh-CN" w:bidi="ar-SA"/>
    </w:rPr>
  </w:style>
  <w:style w:type="character" w:customStyle="1" w:styleId="121">
    <w:name w:val="ff21"/>
    <w:qFormat/>
    <w:uiPriority w:val="0"/>
    <w:rPr>
      <w:rFonts w:hint="eastAsia" w:ascii="宋体" w:hAnsi="宋体" w:eastAsia="宋体"/>
      <w:color w:val="000000"/>
      <w:sz w:val="21"/>
      <w:szCs w:val="21"/>
      <w:u w:val="none"/>
    </w:rPr>
  </w:style>
  <w:style w:type="character" w:customStyle="1" w:styleId="122">
    <w:name w:val="bh Char"/>
    <w:qFormat/>
    <w:uiPriority w:val="0"/>
    <w:rPr>
      <w:rFonts w:ascii="宋体" w:hAnsi="宋体" w:eastAsia="宋体"/>
      <w:b/>
      <w:bCs/>
      <w:kern w:val="2"/>
      <w:sz w:val="28"/>
      <w:szCs w:val="28"/>
      <w:lang w:val="en-US" w:eastAsia="zh-CN" w:bidi="ar-SA"/>
    </w:rPr>
  </w:style>
  <w:style w:type="character" w:customStyle="1" w:styleId="123">
    <w:name w:val="style111"/>
    <w:qFormat/>
    <w:uiPriority w:val="0"/>
    <w:rPr>
      <w:b/>
      <w:bCs/>
      <w:color w:val="FF0000"/>
    </w:rPr>
  </w:style>
  <w:style w:type="character" w:customStyle="1" w:styleId="124">
    <w:name w:val="重点引导"/>
    <w:qFormat/>
    <w:uiPriority w:val="0"/>
    <w:rPr>
      <w:b/>
      <w:i/>
    </w:rPr>
  </w:style>
  <w:style w:type="character" w:customStyle="1" w:styleId="125">
    <w:name w:val="b4 Char2"/>
    <w:qFormat/>
    <w:uiPriority w:val="0"/>
    <w:rPr>
      <w:rFonts w:eastAsia="宋体"/>
      <w:bCs/>
      <w:snapToGrid w:val="0"/>
      <w:sz w:val="24"/>
      <w:szCs w:val="28"/>
      <w:lang w:val="en-US" w:eastAsia="zh-CN" w:bidi="ar-SA"/>
    </w:rPr>
  </w:style>
  <w:style w:type="character" w:customStyle="1" w:styleId="126">
    <w:name w:val="Number 3 Char2"/>
    <w:qFormat/>
    <w:uiPriority w:val="0"/>
    <w:rPr>
      <w:rFonts w:eastAsia="宋体"/>
      <w:bCs/>
      <w:snapToGrid w:val="0"/>
      <w:sz w:val="24"/>
      <w:szCs w:val="32"/>
      <w:lang w:val="en-US" w:eastAsia="zh-CN" w:bidi="ar-SA"/>
    </w:rPr>
  </w:style>
  <w:style w:type="character" w:customStyle="1" w:styleId="127">
    <w:name w:val="正文文本缩进 字符"/>
    <w:link w:val="32"/>
    <w:qFormat/>
    <w:uiPriority w:val="0"/>
    <w:rPr>
      <w:rFonts w:ascii="宋体" w:hAnsi="宋体" w:eastAsia="宋体"/>
      <w:kern w:val="2"/>
      <w:sz w:val="24"/>
      <w:szCs w:val="24"/>
      <w:lang w:val="en-US" w:eastAsia="zh-CN" w:bidi="ar-SA"/>
    </w:rPr>
  </w:style>
  <w:style w:type="character" w:customStyle="1" w:styleId="128">
    <w:name w:val="content1"/>
    <w:qFormat/>
    <w:uiPriority w:val="0"/>
    <w:rPr>
      <w:rFonts w:hint="eastAsia" w:ascii="宋体" w:hAnsi="宋体" w:eastAsia="宋体"/>
      <w:color w:val="333333"/>
      <w:sz w:val="21"/>
      <w:szCs w:val="21"/>
    </w:rPr>
  </w:style>
  <w:style w:type="character" w:customStyle="1" w:styleId="129">
    <w:name w:val="纯文本 Char Char Char Char Char"/>
    <w:qFormat/>
    <w:uiPriority w:val="0"/>
    <w:rPr>
      <w:rFonts w:ascii="宋体" w:hAnsi="Courier New" w:eastAsia="宋体" w:cs="Courier New"/>
      <w:kern w:val="2"/>
      <w:sz w:val="21"/>
      <w:szCs w:val="21"/>
      <w:lang w:val="en-US" w:eastAsia="zh-CN" w:bidi="ar-SA"/>
    </w:rPr>
  </w:style>
  <w:style w:type="character" w:customStyle="1" w:styleId="130">
    <w:name w:val="正文文字缩进 2 Char Char2"/>
    <w:qFormat/>
    <w:uiPriority w:val="0"/>
    <w:rPr>
      <w:rFonts w:eastAsia="宋体"/>
      <w:b/>
      <w:bCs/>
      <w:kern w:val="44"/>
      <w:sz w:val="24"/>
      <w:szCs w:val="44"/>
      <w:lang w:val="en-US" w:eastAsia="zh-CN" w:bidi="ar-SA"/>
    </w:rPr>
  </w:style>
  <w:style w:type="character" w:customStyle="1" w:styleId="131">
    <w:name w:val="日期 字符"/>
    <w:link w:val="45"/>
    <w:qFormat/>
    <w:uiPriority w:val="0"/>
    <w:rPr>
      <w:rFonts w:eastAsia="宋体"/>
      <w:kern w:val="2"/>
      <w:sz w:val="21"/>
      <w:szCs w:val="24"/>
      <w:lang w:val="en-US" w:eastAsia="zh-CN" w:bidi="ar-SA"/>
    </w:rPr>
  </w:style>
  <w:style w:type="character" w:customStyle="1" w:styleId="132">
    <w:name w:val="正文文字缩进 3 Char Char"/>
    <w:qFormat/>
    <w:uiPriority w:val="0"/>
    <w:rPr>
      <w:rFonts w:eastAsia="宋体"/>
      <w:b/>
      <w:bCs/>
      <w:kern w:val="44"/>
      <w:sz w:val="16"/>
      <w:szCs w:val="16"/>
      <w:lang w:val="en-US" w:eastAsia="zh-CN" w:bidi="ar-SA"/>
    </w:rPr>
  </w:style>
  <w:style w:type="character" w:customStyle="1" w:styleId="133">
    <w:name w:val="Char Char14"/>
    <w:qFormat/>
    <w:uiPriority w:val="0"/>
    <w:rPr>
      <w:rFonts w:eastAsia="宋体"/>
      <w:b/>
      <w:bCs/>
      <w:kern w:val="44"/>
      <w:sz w:val="18"/>
      <w:szCs w:val="18"/>
      <w:lang w:val="en-US" w:eastAsia="zh-CN" w:bidi="ar-SA"/>
    </w:rPr>
  </w:style>
  <w:style w:type="character" w:customStyle="1" w:styleId="134">
    <w:name w:val="正文文字缩进 2 Char Char1"/>
    <w:qFormat/>
    <w:uiPriority w:val="0"/>
    <w:rPr>
      <w:rFonts w:eastAsia="宋体"/>
      <w:b/>
      <w:bCs/>
      <w:kern w:val="44"/>
      <w:sz w:val="24"/>
      <w:szCs w:val="44"/>
      <w:lang w:val="en-US" w:eastAsia="zh-CN" w:bidi="ar-SA"/>
    </w:rPr>
  </w:style>
  <w:style w:type="character" w:customStyle="1" w:styleId="135">
    <w:name w:val="报告书正文 Char"/>
    <w:link w:val="136"/>
    <w:qFormat/>
    <w:uiPriority w:val="0"/>
    <w:rPr>
      <w:rFonts w:ascii="@宋体" w:hAnsi="@宋体" w:cs="@宋体"/>
      <w:kern w:val="2"/>
      <w:sz w:val="24"/>
    </w:rPr>
  </w:style>
  <w:style w:type="paragraph" w:customStyle="1" w:styleId="136">
    <w:name w:val="报告书正文"/>
    <w:basedOn w:val="1"/>
    <w:link w:val="135"/>
    <w:qFormat/>
    <w:uiPriority w:val="0"/>
    <w:pPr>
      <w:spacing w:line="300" w:lineRule="auto"/>
      <w:ind w:firstLine="200" w:firstLineChars="200"/>
    </w:pPr>
    <w:rPr>
      <w:rFonts w:ascii="@宋体" w:hAnsi="@宋体"/>
      <w:sz w:val="24"/>
      <w:szCs w:val="20"/>
    </w:rPr>
  </w:style>
  <w:style w:type="character" w:customStyle="1" w:styleId="137">
    <w:name w:val="EmailStyle48"/>
    <w:qFormat/>
    <w:uiPriority w:val="0"/>
    <w:rPr>
      <w:rFonts w:ascii="Arial" w:hAnsi="Arial" w:eastAsia="宋体" w:cs="Arial"/>
      <w:color w:val="auto"/>
      <w:sz w:val="20"/>
    </w:rPr>
  </w:style>
  <w:style w:type="character" w:customStyle="1" w:styleId="138">
    <w:name w:val="pix92"/>
    <w:qFormat/>
    <w:uiPriority w:val="0"/>
    <w:rPr>
      <w:color w:val="000033"/>
      <w:sz w:val="18"/>
      <w:szCs w:val="18"/>
      <w:u w:val="none"/>
    </w:rPr>
  </w:style>
  <w:style w:type="character" w:customStyle="1" w:styleId="139">
    <w:name w:val="正文(首行缩进)宋旭峰 Char Char"/>
    <w:link w:val="140"/>
    <w:qFormat/>
    <w:uiPriority w:val="0"/>
    <w:rPr>
      <w:rFonts w:ascii="宋体" w:hAnsi="宋体" w:eastAsia="宋体"/>
      <w:snapToGrid w:val="0"/>
      <w:color w:val="000000"/>
      <w:sz w:val="24"/>
      <w:szCs w:val="24"/>
      <w:lang w:val="en-US" w:eastAsia="en-US" w:bidi="en-US"/>
    </w:rPr>
  </w:style>
  <w:style w:type="paragraph" w:customStyle="1" w:styleId="140">
    <w:name w:val="正文(首行缩进)宋旭峰"/>
    <w:basedOn w:val="20"/>
    <w:link w:val="139"/>
    <w:qFormat/>
    <w:uiPriority w:val="0"/>
    <w:pPr>
      <w:widowControl/>
      <w:adjustRightInd/>
      <w:snapToGrid/>
      <w:spacing w:after="200" w:line="276" w:lineRule="auto"/>
      <w:ind w:firstLine="480"/>
      <w:contextualSpacing/>
      <w:jc w:val="left"/>
    </w:pPr>
    <w:rPr>
      <w:rFonts w:ascii="宋体" w:hAnsi="宋体" w:eastAsia="宋体"/>
      <w:snapToGrid w:val="0"/>
      <w:color w:val="000000"/>
      <w:kern w:val="0"/>
      <w:sz w:val="24"/>
      <w:lang w:eastAsia="en-US" w:bidi="en-US"/>
    </w:rPr>
  </w:style>
  <w:style w:type="character" w:customStyle="1" w:styleId="141">
    <w:name w:val="表格内文字 Char Char"/>
    <w:qFormat/>
    <w:uiPriority w:val="0"/>
    <w:rPr>
      <w:rFonts w:ascii="Times New Roman" w:hAnsi="Times New Roman" w:eastAsia="仿宋_GB2312"/>
      <w:kern w:val="2"/>
      <w:sz w:val="24"/>
      <w:szCs w:val="24"/>
    </w:rPr>
  </w:style>
  <w:style w:type="character" w:customStyle="1" w:styleId="142">
    <w:name w:val="Char Char Char Char Char Char Char Char"/>
    <w:link w:val="143"/>
    <w:qFormat/>
    <w:uiPriority w:val="0"/>
    <w:rPr>
      <w:kern w:val="2"/>
      <w:sz w:val="24"/>
      <w:szCs w:val="24"/>
    </w:rPr>
  </w:style>
  <w:style w:type="paragraph" w:customStyle="1" w:styleId="143">
    <w:name w:val="Char Char Char Char"/>
    <w:basedOn w:val="1"/>
    <w:link w:val="142"/>
    <w:qFormat/>
    <w:uiPriority w:val="0"/>
    <w:rPr>
      <w:sz w:val="24"/>
    </w:rPr>
  </w:style>
  <w:style w:type="character" w:customStyle="1" w:styleId="144">
    <w:name w:val="表头 Char1"/>
    <w:qFormat/>
    <w:uiPriority w:val="0"/>
    <w:rPr>
      <w:rFonts w:ascii="Times New Roman" w:hAnsi="Times New Roman"/>
      <w:b/>
      <w:bCs/>
      <w:kern w:val="32"/>
      <w:sz w:val="24"/>
      <w:szCs w:val="28"/>
    </w:rPr>
  </w:style>
  <w:style w:type="character" w:customStyle="1" w:styleId="145">
    <w:name w:val="G（正文） Char Char"/>
    <w:qFormat/>
    <w:uiPriority w:val="0"/>
    <w:rPr>
      <w:kern w:val="2"/>
      <w:sz w:val="28"/>
      <w:szCs w:val="28"/>
    </w:rPr>
  </w:style>
  <w:style w:type="character" w:customStyle="1" w:styleId="146">
    <w:name w:val="javascript1"/>
    <w:qFormat/>
    <w:uiPriority w:val="0"/>
    <w:rPr>
      <w:rFonts w:hint="default" w:ascii="Tahoma" w:hAnsi="Tahoma" w:cs="Tahoma"/>
      <w:sz w:val="18"/>
      <w:szCs w:val="18"/>
    </w:rPr>
  </w:style>
  <w:style w:type="character" w:customStyle="1" w:styleId="147">
    <w:name w:val="font11"/>
    <w:qFormat/>
    <w:uiPriority w:val="0"/>
    <w:rPr>
      <w:rFonts w:hint="eastAsia" w:ascii="宋体" w:hAnsi="宋体" w:eastAsia="宋体"/>
      <w:b/>
      <w:bCs/>
      <w:color w:val="000000"/>
      <w:sz w:val="20"/>
      <w:szCs w:val="20"/>
      <w:u w:val="none"/>
      <w:vertAlign w:val="superscript"/>
    </w:rPr>
  </w:style>
  <w:style w:type="character" w:customStyle="1" w:styleId="148">
    <w:name w:val="标题 4 字符"/>
    <w:link w:val="5"/>
    <w:qFormat/>
    <w:uiPriority w:val="0"/>
    <w:rPr>
      <w:rFonts w:ascii="Arial" w:hAnsi="Arial" w:eastAsia="黑体"/>
      <w:b/>
      <w:bCs/>
      <w:kern w:val="2"/>
      <w:sz w:val="28"/>
      <w:szCs w:val="28"/>
      <w:lang w:val="en-US" w:eastAsia="zh-CN" w:bidi="ar-SA"/>
    </w:rPr>
  </w:style>
  <w:style w:type="character" w:customStyle="1" w:styleId="149">
    <w:name w:val="Char Char Char Char1"/>
    <w:link w:val="150"/>
    <w:qFormat/>
    <w:uiPriority w:val="0"/>
    <w:rPr>
      <w:rFonts w:eastAsia="宋体"/>
      <w:kern w:val="2"/>
      <w:sz w:val="24"/>
      <w:szCs w:val="24"/>
      <w:lang w:val="en-US" w:eastAsia="zh-CN" w:bidi="ar-SA"/>
    </w:rPr>
  </w:style>
  <w:style w:type="paragraph" w:customStyle="1" w:styleId="150">
    <w:name w:val="Char Char Char1"/>
    <w:basedOn w:val="1"/>
    <w:link w:val="149"/>
    <w:qFormat/>
    <w:uiPriority w:val="0"/>
    <w:rPr>
      <w:sz w:val="24"/>
    </w:rPr>
  </w:style>
  <w:style w:type="character" w:customStyle="1" w:styleId="151">
    <w:name w:val="A.1.1 Char"/>
    <w:link w:val="152"/>
    <w:qFormat/>
    <w:uiPriority w:val="0"/>
    <w:rPr>
      <w:rFonts w:eastAsia="宋体"/>
      <w:b/>
      <w:kern w:val="2"/>
      <w:sz w:val="24"/>
      <w:szCs w:val="24"/>
      <w:lang w:val="en-US" w:eastAsia="zh-CN" w:bidi="ar-SA"/>
    </w:rPr>
  </w:style>
  <w:style w:type="paragraph" w:customStyle="1" w:styleId="152">
    <w:name w:val="A.1.1"/>
    <w:basedOn w:val="1"/>
    <w:link w:val="151"/>
    <w:qFormat/>
    <w:uiPriority w:val="0"/>
    <w:pPr>
      <w:spacing w:line="360" w:lineRule="auto"/>
      <w:outlineLvl w:val="2"/>
    </w:pPr>
    <w:rPr>
      <w:b/>
      <w:sz w:val="24"/>
    </w:rPr>
  </w:style>
  <w:style w:type="character" w:customStyle="1" w:styleId="153">
    <w:name w:val="表文字 Char1"/>
    <w:link w:val="154"/>
    <w:qFormat/>
    <w:uiPriority w:val="0"/>
    <w:rPr>
      <w:rFonts w:eastAsia="汉鼎简书宋"/>
      <w:kern w:val="2"/>
      <w:sz w:val="21"/>
      <w:szCs w:val="21"/>
      <w:lang w:val="en-US" w:eastAsia="zh-CN" w:bidi="ar-SA"/>
    </w:rPr>
  </w:style>
  <w:style w:type="paragraph" w:customStyle="1" w:styleId="154">
    <w:name w:val="表文字"/>
    <w:basedOn w:val="1"/>
    <w:link w:val="153"/>
    <w:qFormat/>
    <w:uiPriority w:val="0"/>
    <w:pPr>
      <w:topLinePunct/>
      <w:adjustRightInd w:val="0"/>
      <w:spacing w:line="240" w:lineRule="exact"/>
      <w:textAlignment w:val="baseline"/>
    </w:pPr>
    <w:rPr>
      <w:rFonts w:eastAsia="汉鼎简书宋"/>
      <w:szCs w:val="21"/>
    </w:rPr>
  </w:style>
  <w:style w:type="character" w:customStyle="1" w:styleId="155">
    <w:name w:val="aa style3"/>
    <w:basedOn w:val="85"/>
    <w:qFormat/>
    <w:uiPriority w:val="0"/>
  </w:style>
  <w:style w:type="character" w:customStyle="1" w:styleId="156">
    <w:name w:val="Char Char34"/>
    <w:qFormat/>
    <w:uiPriority w:val="0"/>
    <w:rPr>
      <w:rFonts w:ascii="Arial" w:hAnsi="Arial" w:eastAsia="黑体"/>
      <w:b/>
      <w:bCs/>
      <w:kern w:val="2"/>
      <w:sz w:val="32"/>
      <w:szCs w:val="32"/>
      <w:lang w:val="en-US" w:eastAsia="zh-CN" w:bidi="ar-SA"/>
    </w:rPr>
  </w:style>
  <w:style w:type="character" w:customStyle="1" w:styleId="157">
    <w:name w:val="样式1 Char"/>
    <w:link w:val="158"/>
    <w:qFormat/>
    <w:uiPriority w:val="0"/>
    <w:rPr>
      <w:rFonts w:ascii="宋体" w:eastAsia="宋体"/>
      <w:kern w:val="2"/>
      <w:sz w:val="28"/>
      <w:lang w:val="en-US" w:eastAsia="zh-CN" w:bidi="ar-SA"/>
    </w:rPr>
  </w:style>
  <w:style w:type="paragraph" w:customStyle="1" w:styleId="158">
    <w:name w:val="样式1"/>
    <w:basedOn w:val="1"/>
    <w:link w:val="157"/>
    <w:qFormat/>
    <w:uiPriority w:val="0"/>
    <w:pPr>
      <w:widowControl/>
      <w:adjustRightInd w:val="0"/>
      <w:snapToGrid w:val="0"/>
      <w:spacing w:line="520" w:lineRule="exact"/>
      <w:ind w:firstLine="200" w:firstLineChars="200"/>
    </w:pPr>
    <w:rPr>
      <w:rFonts w:ascii="宋体"/>
      <w:sz w:val="28"/>
      <w:szCs w:val="20"/>
    </w:rPr>
  </w:style>
  <w:style w:type="character" w:customStyle="1" w:styleId="159">
    <w:name w:val="txt141"/>
    <w:qFormat/>
    <w:uiPriority w:val="0"/>
    <w:rPr>
      <w:sz w:val="21"/>
      <w:u w:val="none"/>
    </w:rPr>
  </w:style>
  <w:style w:type="character" w:customStyle="1" w:styleId="160">
    <w:name w:val="Char Char4"/>
    <w:qFormat/>
    <w:uiPriority w:val="0"/>
    <w:rPr>
      <w:rFonts w:eastAsia="宋体"/>
      <w:kern w:val="2"/>
      <w:sz w:val="28"/>
      <w:szCs w:val="24"/>
      <w:lang w:val="en-US" w:eastAsia="zh-CN" w:bidi="ar-SA"/>
    </w:rPr>
  </w:style>
  <w:style w:type="character" w:customStyle="1" w:styleId="161">
    <w:name w:val="页眉1 Char2"/>
    <w:semiHidden/>
    <w:qFormat/>
    <w:uiPriority w:val="0"/>
    <w:rPr>
      <w:rFonts w:eastAsia="宋体"/>
      <w:b/>
      <w:bCs/>
      <w:kern w:val="44"/>
      <w:sz w:val="18"/>
      <w:szCs w:val="18"/>
      <w:lang w:val="en-US" w:eastAsia="zh-CN" w:bidi="ar-SA"/>
    </w:rPr>
  </w:style>
  <w:style w:type="character" w:customStyle="1" w:styleId="162">
    <w:name w:val="正文缩进 字符"/>
    <w:link w:val="20"/>
    <w:qFormat/>
    <w:uiPriority w:val="0"/>
    <w:rPr>
      <w:rFonts w:ascii="仿宋_GB2312" w:eastAsia="仿宋_GB2312"/>
      <w:kern w:val="2"/>
      <w:sz w:val="28"/>
      <w:szCs w:val="24"/>
      <w:lang w:val="en-US" w:eastAsia="zh-CN" w:bidi="ar-SA"/>
    </w:rPr>
  </w:style>
  <w:style w:type="character" w:customStyle="1" w:styleId="163">
    <w:name w:val="表内格式 Char1"/>
    <w:link w:val="164"/>
    <w:qFormat/>
    <w:uiPriority w:val="0"/>
    <w:rPr>
      <w:rFonts w:eastAsia="宋体"/>
      <w:kern w:val="2"/>
      <w:sz w:val="18"/>
      <w:lang w:val="en-US" w:eastAsia="zh-CN" w:bidi="ar-SA"/>
    </w:rPr>
  </w:style>
  <w:style w:type="paragraph" w:customStyle="1" w:styleId="164">
    <w:name w:val="表内格式"/>
    <w:basedOn w:val="1"/>
    <w:link w:val="163"/>
    <w:qFormat/>
    <w:uiPriority w:val="0"/>
    <w:pPr>
      <w:jc w:val="center"/>
    </w:pPr>
    <w:rPr>
      <w:sz w:val="18"/>
      <w:szCs w:val="20"/>
    </w:rPr>
  </w:style>
  <w:style w:type="character" w:customStyle="1" w:styleId="165">
    <w:name w:val="标题 5 字符"/>
    <w:link w:val="6"/>
    <w:qFormat/>
    <w:uiPriority w:val="0"/>
    <w:rPr>
      <w:b/>
      <w:bCs/>
      <w:kern w:val="2"/>
      <w:sz w:val="24"/>
      <w:szCs w:val="24"/>
    </w:rPr>
  </w:style>
  <w:style w:type="character" w:customStyle="1" w:styleId="166">
    <w:name w:val="正文文本缩进 Char"/>
    <w:qFormat/>
    <w:uiPriority w:val="0"/>
    <w:rPr>
      <w:rFonts w:eastAsia="宋体"/>
      <w:kern w:val="2"/>
      <w:sz w:val="28"/>
      <w:szCs w:val="24"/>
      <w:lang w:val="en-US" w:eastAsia="zh-CN" w:bidi="ar-SA"/>
    </w:rPr>
  </w:style>
  <w:style w:type="character" w:customStyle="1" w:styleId="167">
    <w:name w:val="style_bt051"/>
    <w:qFormat/>
    <w:uiPriority w:val="0"/>
    <w:rPr>
      <w:b/>
      <w:bCs/>
      <w:sz w:val="24"/>
      <w:szCs w:val="24"/>
      <w:u w:val="none"/>
    </w:rPr>
  </w:style>
  <w:style w:type="character" w:customStyle="1" w:styleId="168">
    <w:name w:val="px141"/>
    <w:qFormat/>
    <w:uiPriority w:val="0"/>
    <w:rPr>
      <w:sz w:val="19"/>
      <w:szCs w:val="19"/>
    </w:rPr>
  </w:style>
  <w:style w:type="character" w:customStyle="1" w:styleId="169">
    <w:name w:val="重点"/>
    <w:qFormat/>
    <w:uiPriority w:val="0"/>
    <w:rPr>
      <w:i/>
    </w:rPr>
  </w:style>
  <w:style w:type="character" w:customStyle="1" w:styleId="170">
    <w:name w:val="main1"/>
    <w:qFormat/>
    <w:uiPriority w:val="0"/>
    <w:rPr>
      <w:rFonts w:hint="default"/>
      <w:color w:val="0033CC"/>
      <w:sz w:val="18"/>
      <w:szCs w:val="18"/>
    </w:rPr>
  </w:style>
  <w:style w:type="character" w:customStyle="1" w:styleId="171">
    <w:name w:val="Char Char19"/>
    <w:qFormat/>
    <w:uiPriority w:val="0"/>
    <w:rPr>
      <w:b/>
      <w:bCs/>
      <w:kern w:val="44"/>
      <w:sz w:val="24"/>
      <w:szCs w:val="44"/>
    </w:rPr>
  </w:style>
  <w:style w:type="character" w:customStyle="1" w:styleId="172">
    <w:name w:val="样式 题注 + 首行缩进:  2 字符 Char"/>
    <w:link w:val="173"/>
    <w:qFormat/>
    <w:uiPriority w:val="0"/>
    <w:rPr>
      <w:rFonts w:eastAsia="宋体"/>
      <w:bCs/>
      <w:spacing w:val="8"/>
      <w:kern w:val="2"/>
      <w:sz w:val="21"/>
      <w:szCs w:val="21"/>
      <w:lang w:val="en-US" w:eastAsia="zh-CN" w:bidi="ar-SA"/>
    </w:rPr>
  </w:style>
  <w:style w:type="paragraph" w:customStyle="1" w:styleId="173">
    <w:name w:val="样式 题注 + 首行缩进:  2 字符"/>
    <w:basedOn w:val="21"/>
    <w:link w:val="172"/>
    <w:qFormat/>
    <w:uiPriority w:val="0"/>
    <w:pPr>
      <w:adjustRightInd w:val="0"/>
      <w:snapToGrid w:val="0"/>
      <w:spacing w:line="400" w:lineRule="exact"/>
      <w:jc w:val="center"/>
    </w:pPr>
    <w:rPr>
      <w:rFonts w:ascii="Times New Roman" w:hAnsi="Times New Roman" w:eastAsia="宋体" w:cs="Times New Roman"/>
      <w:bCs/>
      <w:spacing w:val="8"/>
      <w:sz w:val="21"/>
      <w:szCs w:val="21"/>
    </w:rPr>
  </w:style>
  <w:style w:type="character" w:customStyle="1" w:styleId="174">
    <w:name w:val="font41"/>
    <w:qFormat/>
    <w:uiPriority w:val="0"/>
    <w:rPr>
      <w:rFonts w:hint="default" w:ascii="Times New Roman" w:hAnsi="Times New Roman" w:cs="Times New Roman"/>
      <w:color w:val="000000"/>
      <w:sz w:val="18"/>
      <w:szCs w:val="18"/>
      <w:u w:val="none"/>
      <w:vertAlign w:val="subscript"/>
    </w:rPr>
  </w:style>
  <w:style w:type="character" w:customStyle="1" w:styleId="175">
    <w:name w:val="count3"/>
    <w:basedOn w:val="85"/>
    <w:qFormat/>
    <w:uiPriority w:val="0"/>
  </w:style>
  <w:style w:type="character" w:customStyle="1" w:styleId="176">
    <w:name w:val="批注文字 字符"/>
    <w:link w:val="26"/>
    <w:qFormat/>
    <w:uiPriority w:val="0"/>
    <w:rPr>
      <w:rFonts w:eastAsia="宋体"/>
      <w:kern w:val="2"/>
      <w:sz w:val="21"/>
      <w:szCs w:val="24"/>
      <w:lang w:val="en-US" w:eastAsia="zh-CN" w:bidi="ar-SA"/>
    </w:rPr>
  </w:style>
  <w:style w:type="character" w:customStyle="1" w:styleId="177">
    <w:name w:val="标题 6 Char Char"/>
    <w:qFormat/>
    <w:uiPriority w:val="0"/>
    <w:rPr>
      <w:rFonts w:ascii="Arial" w:hAnsi="Arial" w:eastAsia="黑体"/>
      <w:b/>
      <w:lang w:val="en-US" w:eastAsia="zh-CN" w:bidi="ar-SA"/>
    </w:rPr>
  </w:style>
  <w:style w:type="character" w:customStyle="1" w:styleId="178">
    <w:name w:val="表格文字 Char"/>
    <w:link w:val="179"/>
    <w:qFormat/>
    <w:uiPriority w:val="0"/>
    <w:rPr>
      <w:rFonts w:ascii="宋体" w:hAnsi="Courier New" w:eastAsia="宋体" w:cs="Courier New"/>
      <w:kern w:val="2"/>
      <w:sz w:val="21"/>
      <w:szCs w:val="21"/>
      <w:lang w:val="en-US" w:eastAsia="zh-CN" w:bidi="ar-SA"/>
    </w:rPr>
  </w:style>
  <w:style w:type="paragraph" w:customStyle="1" w:styleId="179">
    <w:name w:val="表格文字"/>
    <w:basedOn w:val="1"/>
    <w:link w:val="178"/>
    <w:qFormat/>
    <w:uiPriority w:val="0"/>
    <w:pPr>
      <w:spacing w:line="280" w:lineRule="exact"/>
      <w:jc w:val="center"/>
    </w:pPr>
    <w:rPr>
      <w:rFonts w:ascii="宋体" w:hAnsi="Courier New" w:cs="Courier New"/>
      <w:szCs w:val="21"/>
    </w:rPr>
  </w:style>
  <w:style w:type="character" w:customStyle="1" w:styleId="180">
    <w:name w:val="表格内文字 Char"/>
    <w:link w:val="181"/>
    <w:qFormat/>
    <w:uiPriority w:val="0"/>
    <w:rPr>
      <w:rFonts w:eastAsia="仿宋_GB2312"/>
      <w:kern w:val="2"/>
      <w:sz w:val="24"/>
      <w:szCs w:val="24"/>
      <w:lang w:val="en-US" w:eastAsia="zh-CN" w:bidi="ar-SA"/>
    </w:rPr>
  </w:style>
  <w:style w:type="paragraph" w:customStyle="1" w:styleId="181">
    <w:name w:val="表格内文字"/>
    <w:basedOn w:val="1"/>
    <w:link w:val="180"/>
    <w:qFormat/>
    <w:uiPriority w:val="0"/>
    <w:pPr>
      <w:tabs>
        <w:tab w:val="left" w:pos="0"/>
      </w:tabs>
      <w:adjustRightInd w:val="0"/>
      <w:snapToGrid w:val="0"/>
      <w:jc w:val="center"/>
    </w:pPr>
    <w:rPr>
      <w:rFonts w:eastAsia="仿宋_GB2312"/>
      <w:sz w:val="24"/>
    </w:rPr>
  </w:style>
  <w:style w:type="character" w:customStyle="1" w:styleId="182">
    <w:name w:val="样式 标题 3 + (西文) Times New Roman (中文) 宋体 小四 加粗 Char"/>
    <w:link w:val="183"/>
    <w:qFormat/>
    <w:uiPriority w:val="0"/>
    <w:rPr>
      <w:rFonts w:eastAsia="宋体"/>
      <w:b/>
      <w:bCs/>
      <w:snapToGrid w:val="0"/>
      <w:kern w:val="2"/>
      <w:sz w:val="28"/>
      <w:szCs w:val="28"/>
      <w:lang w:val="en-US" w:eastAsia="zh-CN" w:bidi="ar-SA"/>
    </w:rPr>
  </w:style>
  <w:style w:type="paragraph" w:customStyle="1" w:styleId="183">
    <w:name w:val="样式 标题 3 + (西文) Times New Roman (中文) 宋体 小四 加粗"/>
    <w:basedOn w:val="4"/>
    <w:link w:val="182"/>
    <w:qFormat/>
    <w:uiPriority w:val="0"/>
    <w:pPr>
      <w:tabs>
        <w:tab w:val="left" w:pos="1021"/>
        <w:tab w:val="clear" w:pos="720"/>
      </w:tabs>
      <w:adjustRightInd w:val="0"/>
      <w:snapToGrid w:val="0"/>
      <w:spacing w:beforeLines="50" w:after="0" w:line="360" w:lineRule="auto"/>
      <w:jc w:val="left"/>
    </w:pPr>
    <w:rPr>
      <w:snapToGrid w:val="0"/>
      <w:sz w:val="28"/>
      <w:szCs w:val="28"/>
    </w:rPr>
  </w:style>
  <w:style w:type="character" w:customStyle="1" w:styleId="184">
    <w:name w:val="grame"/>
    <w:basedOn w:val="85"/>
    <w:qFormat/>
    <w:uiPriority w:val="0"/>
  </w:style>
  <w:style w:type="character" w:customStyle="1" w:styleId="185">
    <w:name w:val="段落缩进 Char"/>
    <w:link w:val="186"/>
    <w:qFormat/>
    <w:uiPriority w:val="0"/>
    <w:rPr>
      <w:rFonts w:eastAsia="宋体"/>
      <w:kern w:val="2"/>
      <w:sz w:val="24"/>
      <w:szCs w:val="24"/>
      <w:lang w:val="en-US" w:eastAsia="zh-CN" w:bidi="ar-SA"/>
    </w:rPr>
  </w:style>
  <w:style w:type="paragraph" w:customStyle="1" w:styleId="186">
    <w:name w:val="段落缩进"/>
    <w:basedOn w:val="31"/>
    <w:next w:val="31"/>
    <w:link w:val="185"/>
    <w:qFormat/>
    <w:uiPriority w:val="0"/>
    <w:pPr>
      <w:spacing w:after="0" w:line="360" w:lineRule="auto"/>
      <w:ind w:firstLine="480" w:firstLineChars="200"/>
    </w:pPr>
    <w:rPr>
      <w:rFonts w:ascii="Times New Roman" w:hAnsi="Times New Roman"/>
      <w:szCs w:val="24"/>
    </w:rPr>
  </w:style>
  <w:style w:type="character" w:customStyle="1" w:styleId="187">
    <w:name w:val="金源 Char"/>
    <w:link w:val="188"/>
    <w:qFormat/>
    <w:uiPriority w:val="0"/>
    <w:rPr>
      <w:rFonts w:eastAsia="宋体" w:cs="宋体"/>
      <w:kern w:val="2"/>
      <w:sz w:val="24"/>
      <w:lang w:val="en-US" w:eastAsia="zh-CN" w:bidi="ar-SA"/>
    </w:rPr>
  </w:style>
  <w:style w:type="paragraph" w:customStyle="1" w:styleId="188">
    <w:name w:val="金源"/>
    <w:basedOn w:val="1"/>
    <w:link w:val="187"/>
    <w:qFormat/>
    <w:uiPriority w:val="0"/>
    <w:pPr>
      <w:spacing w:line="480" w:lineRule="exact"/>
      <w:ind w:firstLine="480" w:firstLineChars="200"/>
      <w:jc w:val="left"/>
    </w:pPr>
    <w:rPr>
      <w:rFonts w:cs="宋体"/>
      <w:sz w:val="24"/>
      <w:szCs w:val="20"/>
    </w:rPr>
  </w:style>
  <w:style w:type="character" w:customStyle="1" w:styleId="189">
    <w:name w:val="h31"/>
    <w:qFormat/>
    <w:uiPriority w:val="0"/>
    <w:rPr>
      <w:sz w:val="21"/>
      <w:szCs w:val="21"/>
    </w:rPr>
  </w:style>
  <w:style w:type="character" w:customStyle="1" w:styleId="190">
    <w:name w:val="font201"/>
    <w:qFormat/>
    <w:uiPriority w:val="0"/>
  </w:style>
  <w:style w:type="character" w:customStyle="1" w:styleId="191">
    <w:name w:val="标题 2 Char Char Char"/>
    <w:qFormat/>
    <w:uiPriority w:val="0"/>
    <w:rPr>
      <w:rFonts w:ascii="宋体" w:hAnsi="宋体" w:eastAsia="宋体" w:cs="Arial"/>
      <w:b/>
      <w:bCs/>
      <w:spacing w:val="6"/>
      <w:kern w:val="2"/>
      <w:sz w:val="30"/>
      <w:szCs w:val="30"/>
      <w:lang w:val="en-US" w:eastAsia="zh-CN" w:bidi="ar-SA"/>
    </w:rPr>
  </w:style>
  <w:style w:type="character" w:customStyle="1" w:styleId="192">
    <w:name w:val="Char Char18"/>
    <w:qFormat/>
    <w:uiPriority w:val="0"/>
    <w:rPr>
      <w:b/>
      <w:bCs/>
      <w:kern w:val="2"/>
      <w:sz w:val="24"/>
      <w:szCs w:val="24"/>
    </w:rPr>
  </w:style>
  <w:style w:type="character" w:customStyle="1" w:styleId="193">
    <w:name w:val="正文文本 3 字符"/>
    <w:link w:val="28"/>
    <w:qFormat/>
    <w:uiPriority w:val="0"/>
    <w:rPr>
      <w:rFonts w:ascii="仿宋_GB2312" w:eastAsia="仿宋_GB2312"/>
      <w:color w:val="FF0000"/>
      <w:kern w:val="2"/>
      <w:sz w:val="30"/>
      <w:szCs w:val="30"/>
      <w:lang w:val="en-US" w:eastAsia="zh-CN" w:bidi="ar-SA"/>
    </w:rPr>
  </w:style>
  <w:style w:type="character" w:customStyle="1" w:styleId="194">
    <w:name w:val="样式 (符号) 宋体 加粗 红色"/>
    <w:qFormat/>
    <w:uiPriority w:val="0"/>
    <w:rPr>
      <w:b/>
      <w:bCs/>
      <w:color w:val="FF0000"/>
    </w:rPr>
  </w:style>
  <w:style w:type="character" w:customStyle="1" w:styleId="195">
    <w:name w:val="f121"/>
    <w:qFormat/>
    <w:uiPriority w:val="0"/>
    <w:rPr>
      <w:sz w:val="18"/>
      <w:szCs w:val="18"/>
      <w:u w:val="none"/>
    </w:rPr>
  </w:style>
  <w:style w:type="character" w:customStyle="1" w:styleId="196">
    <w:name w:val="普通文字 Char Char Char Char Char"/>
    <w:qFormat/>
    <w:uiPriority w:val="0"/>
    <w:rPr>
      <w:rFonts w:ascii="宋体" w:hAnsi="Courier New" w:eastAsia="宋体"/>
      <w:kern w:val="2"/>
      <w:sz w:val="21"/>
      <w:lang w:val="en-US" w:eastAsia="zh-CN" w:bidi="ar-SA"/>
    </w:rPr>
  </w:style>
  <w:style w:type="character" w:customStyle="1" w:styleId="197">
    <w:name w:val="兴武正文 Char"/>
    <w:link w:val="198"/>
    <w:qFormat/>
    <w:uiPriority w:val="0"/>
    <w:rPr>
      <w:rFonts w:eastAsia="宋体" w:cs="宋体"/>
      <w:kern w:val="2"/>
      <w:sz w:val="24"/>
      <w:lang w:val="en-US" w:eastAsia="zh-CN" w:bidi="ar-SA"/>
    </w:rPr>
  </w:style>
  <w:style w:type="paragraph" w:customStyle="1" w:styleId="198">
    <w:name w:val="兴武正文"/>
    <w:basedOn w:val="1"/>
    <w:link w:val="197"/>
    <w:qFormat/>
    <w:uiPriority w:val="0"/>
    <w:pPr>
      <w:spacing w:line="480" w:lineRule="exact"/>
      <w:ind w:firstLine="200" w:firstLineChars="200"/>
    </w:pPr>
    <w:rPr>
      <w:rFonts w:cs="宋体"/>
      <w:sz w:val="24"/>
      <w:szCs w:val="20"/>
    </w:rPr>
  </w:style>
  <w:style w:type="character" w:customStyle="1" w:styleId="199">
    <w:name w:val="表格标题博泵 Char Char"/>
    <w:link w:val="200"/>
    <w:qFormat/>
    <w:uiPriority w:val="0"/>
    <w:rPr>
      <w:b/>
      <w:color w:val="000000"/>
      <w:kern w:val="2"/>
      <w:sz w:val="21"/>
      <w:lang w:bidi="ar-SA"/>
    </w:rPr>
  </w:style>
  <w:style w:type="paragraph" w:customStyle="1" w:styleId="200">
    <w:name w:val="表格标题博泵"/>
    <w:basedOn w:val="1"/>
    <w:link w:val="199"/>
    <w:qFormat/>
    <w:uiPriority w:val="0"/>
    <w:pPr>
      <w:adjustRightInd w:val="0"/>
      <w:snapToGrid w:val="0"/>
      <w:jc w:val="center"/>
      <w:textAlignment w:val="baseline"/>
    </w:pPr>
    <w:rPr>
      <w:b/>
      <w:color w:val="000000"/>
      <w:szCs w:val="20"/>
    </w:rPr>
  </w:style>
  <w:style w:type="character" w:customStyle="1" w:styleId="201">
    <w:name w:val="纯文本 Char1"/>
    <w:qFormat/>
    <w:uiPriority w:val="0"/>
    <w:rPr>
      <w:rFonts w:ascii="宋体" w:hAnsi="Courier New" w:eastAsia="宋体"/>
      <w:kern w:val="2"/>
      <w:sz w:val="21"/>
      <w:szCs w:val="21"/>
      <w:lang w:val="en-US" w:eastAsia="zh-CN" w:bidi="ar-SA"/>
    </w:rPr>
  </w:style>
  <w:style w:type="character" w:customStyle="1" w:styleId="202">
    <w:name w:val="Normal Char"/>
    <w:link w:val="203"/>
    <w:qFormat/>
    <w:uiPriority w:val="0"/>
    <w:rPr>
      <w:rFonts w:ascii="宋体" w:eastAsia="Times New Roman"/>
      <w:sz w:val="24"/>
      <w:lang w:val="en-US" w:eastAsia="zh-CN" w:bidi="ar-SA"/>
    </w:rPr>
  </w:style>
  <w:style w:type="paragraph" w:customStyle="1" w:styleId="203">
    <w:name w:val="正文3"/>
    <w:link w:val="202"/>
    <w:qFormat/>
    <w:uiPriority w:val="0"/>
    <w:pPr>
      <w:widowControl w:val="0"/>
      <w:adjustRightInd w:val="0"/>
      <w:spacing w:line="315" w:lineRule="atLeast"/>
      <w:jc w:val="both"/>
      <w:textAlignment w:val="baseline"/>
    </w:pPr>
    <w:rPr>
      <w:rFonts w:ascii="宋体" w:hAnsi="Times New Roman" w:eastAsia="Times New Roman" w:cs="Times New Roman"/>
      <w:sz w:val="24"/>
      <w:lang w:val="en-US" w:eastAsia="zh-CN" w:bidi="ar-SA"/>
    </w:rPr>
  </w:style>
  <w:style w:type="character" w:customStyle="1" w:styleId="204">
    <w:name w:val="正文文本 字符"/>
    <w:link w:val="31"/>
    <w:qFormat/>
    <w:uiPriority w:val="0"/>
    <w:rPr>
      <w:rFonts w:ascii="宋体" w:hAnsi="宋体" w:eastAsia="宋体"/>
      <w:kern w:val="2"/>
      <w:sz w:val="24"/>
      <w:lang w:val="en-US" w:eastAsia="zh-CN" w:bidi="ar-SA"/>
    </w:rPr>
  </w:style>
  <w:style w:type="character" w:customStyle="1" w:styleId="205">
    <w:name w:val="正文文字缩进 Char Char"/>
    <w:qFormat/>
    <w:uiPriority w:val="0"/>
    <w:rPr>
      <w:rFonts w:ascii="仿宋_GB2312" w:hAnsi="Times New Roman" w:eastAsia="仿宋_GB2312" w:cs="Times New Roman"/>
      <w:sz w:val="28"/>
      <w:szCs w:val="20"/>
    </w:rPr>
  </w:style>
  <w:style w:type="character" w:customStyle="1" w:styleId="206">
    <w:name w:val="Char Char Char Char Char Char Char"/>
    <w:link w:val="207"/>
    <w:qFormat/>
    <w:uiPriority w:val="0"/>
    <w:rPr>
      <w:rFonts w:eastAsia="宋体"/>
      <w:kern w:val="2"/>
      <w:sz w:val="24"/>
      <w:szCs w:val="24"/>
      <w:lang w:val="en-US" w:eastAsia="zh-CN" w:bidi="ar-SA"/>
    </w:rPr>
  </w:style>
  <w:style w:type="paragraph" w:customStyle="1" w:styleId="207">
    <w:name w:val="Char Char Char Char Char Char"/>
    <w:basedOn w:val="1"/>
    <w:link w:val="206"/>
    <w:qFormat/>
    <w:uiPriority w:val="0"/>
    <w:rPr>
      <w:sz w:val="24"/>
    </w:rPr>
  </w:style>
  <w:style w:type="character" w:customStyle="1" w:styleId="208">
    <w:name w:val="表格标题标题 Char"/>
    <w:link w:val="209"/>
    <w:qFormat/>
    <w:uiPriority w:val="0"/>
    <w:rPr>
      <w:rFonts w:eastAsia="黑体" w:cs="宋体"/>
      <w:kern w:val="18"/>
      <w:sz w:val="24"/>
      <w:lang w:val="en-US" w:eastAsia="zh-CN" w:bidi="ar-SA"/>
    </w:rPr>
  </w:style>
  <w:style w:type="paragraph" w:customStyle="1" w:styleId="209">
    <w:name w:val="表格标题标题"/>
    <w:basedOn w:val="210"/>
    <w:link w:val="208"/>
    <w:qFormat/>
    <w:uiPriority w:val="0"/>
    <w:pPr>
      <w:spacing w:line="240" w:lineRule="auto"/>
      <w:ind w:firstLine="0" w:firstLineChars="0"/>
      <w:jc w:val="center"/>
    </w:pPr>
    <w:rPr>
      <w:rFonts w:eastAsia="黑体"/>
    </w:rPr>
  </w:style>
  <w:style w:type="paragraph" w:customStyle="1" w:styleId="210">
    <w:name w:val="正本文字"/>
    <w:basedOn w:val="1"/>
    <w:link w:val="327"/>
    <w:qFormat/>
    <w:uiPriority w:val="0"/>
    <w:pPr>
      <w:adjustRightInd w:val="0"/>
      <w:snapToGrid w:val="0"/>
      <w:spacing w:line="360" w:lineRule="auto"/>
      <w:ind w:firstLine="480" w:firstLineChars="200"/>
      <w:jc w:val="left"/>
    </w:pPr>
    <w:rPr>
      <w:rFonts w:cs="宋体"/>
      <w:kern w:val="18"/>
      <w:sz w:val="24"/>
      <w:szCs w:val="20"/>
    </w:rPr>
  </w:style>
  <w:style w:type="character" w:customStyle="1" w:styleId="211">
    <w:name w:val="正文 首行缩进:  2 字符 Char"/>
    <w:link w:val="212"/>
    <w:qFormat/>
    <w:uiPriority w:val="0"/>
    <w:rPr>
      <w:rFonts w:eastAsia="宋体" w:cs="宋体"/>
      <w:kern w:val="2"/>
      <w:sz w:val="24"/>
      <w:lang w:val="en-US" w:eastAsia="zh-CN" w:bidi="ar-SA"/>
    </w:rPr>
  </w:style>
  <w:style w:type="paragraph" w:customStyle="1" w:styleId="212">
    <w:name w:val="正文 首行缩进:  2 字符"/>
    <w:basedOn w:val="1"/>
    <w:link w:val="211"/>
    <w:qFormat/>
    <w:uiPriority w:val="0"/>
    <w:pPr>
      <w:adjustRightInd w:val="0"/>
      <w:snapToGrid w:val="0"/>
      <w:spacing w:line="500" w:lineRule="exact"/>
      <w:ind w:firstLine="200" w:firstLineChars="200"/>
      <w:jc w:val="left"/>
    </w:pPr>
    <w:rPr>
      <w:rFonts w:cs="宋体"/>
      <w:sz w:val="24"/>
      <w:szCs w:val="20"/>
    </w:rPr>
  </w:style>
  <w:style w:type="character" w:customStyle="1" w:styleId="213">
    <w:name w:val="style61"/>
    <w:qFormat/>
    <w:uiPriority w:val="0"/>
    <w:rPr>
      <w:rFonts w:hint="eastAsia" w:ascii="黑体" w:eastAsia="黑体"/>
      <w:sz w:val="24"/>
      <w:szCs w:val="24"/>
    </w:rPr>
  </w:style>
  <w:style w:type="character" w:customStyle="1" w:styleId="214">
    <w:name w:val="gb13-301"/>
    <w:qFormat/>
    <w:uiPriority w:val="0"/>
    <w:rPr>
      <w:sz w:val="20"/>
    </w:rPr>
  </w:style>
  <w:style w:type="character" w:customStyle="1" w:styleId="215">
    <w:name w:val="标题 1 字符"/>
    <w:link w:val="2"/>
    <w:qFormat/>
    <w:uiPriority w:val="0"/>
    <w:rPr>
      <w:rFonts w:ascii="黑体" w:eastAsia="黑体"/>
      <w:kern w:val="44"/>
      <w:sz w:val="44"/>
      <w:lang w:val="en-US" w:eastAsia="zh-CN" w:bidi="ar-SA"/>
    </w:rPr>
  </w:style>
  <w:style w:type="character" w:customStyle="1" w:styleId="216">
    <w:name w:val="正文文本 2 字符"/>
    <w:link w:val="68"/>
    <w:qFormat/>
    <w:uiPriority w:val="0"/>
    <w:rPr>
      <w:rFonts w:eastAsia="宋体"/>
      <w:kern w:val="2"/>
      <w:sz w:val="21"/>
      <w:szCs w:val="24"/>
      <w:lang w:val="en-US" w:eastAsia="zh-CN" w:bidi="ar-SA"/>
    </w:rPr>
  </w:style>
  <w:style w:type="character" w:customStyle="1" w:styleId="217">
    <w:name w:val="标题 7 字符"/>
    <w:link w:val="8"/>
    <w:qFormat/>
    <w:uiPriority w:val="0"/>
    <w:rPr>
      <w:i/>
      <w:iCs/>
      <w:color w:val="000000"/>
      <w:kern w:val="2"/>
      <w:sz w:val="15"/>
      <w:szCs w:val="18"/>
    </w:rPr>
  </w:style>
  <w:style w:type="character" w:customStyle="1" w:styleId="218">
    <w:name w:val="1正文段落 Char"/>
    <w:link w:val="219"/>
    <w:qFormat/>
    <w:uiPriority w:val="0"/>
    <w:rPr>
      <w:rFonts w:ascii="Calibri" w:hAnsi="Calibri" w:eastAsia="宋体"/>
      <w:snapToGrid w:val="0"/>
      <w:sz w:val="24"/>
      <w:szCs w:val="24"/>
      <w:lang w:val="en-US" w:eastAsia="en-US" w:bidi="en-US"/>
    </w:rPr>
  </w:style>
  <w:style w:type="paragraph" w:customStyle="1" w:styleId="219">
    <w:name w:val="1正文段落"/>
    <w:basedOn w:val="1"/>
    <w:link w:val="218"/>
    <w:qFormat/>
    <w:uiPriority w:val="0"/>
    <w:pPr>
      <w:widowControl/>
      <w:spacing w:after="200" w:line="276" w:lineRule="auto"/>
      <w:ind w:firstLine="480"/>
      <w:jc w:val="left"/>
    </w:pPr>
    <w:rPr>
      <w:rFonts w:ascii="Calibri" w:hAnsi="Calibri"/>
      <w:snapToGrid w:val="0"/>
      <w:kern w:val="0"/>
      <w:sz w:val="24"/>
      <w:lang w:eastAsia="en-US" w:bidi="en-US"/>
    </w:rPr>
  </w:style>
  <w:style w:type="character" w:customStyle="1" w:styleId="220">
    <w:name w:val="顾文本 Char"/>
    <w:link w:val="221"/>
    <w:qFormat/>
    <w:uiPriority w:val="0"/>
    <w:rPr>
      <w:rFonts w:eastAsia="宋体"/>
      <w:kern w:val="2"/>
      <w:sz w:val="24"/>
      <w:lang w:val="en-US" w:eastAsia="zh-CN" w:bidi="ar-SA"/>
    </w:rPr>
  </w:style>
  <w:style w:type="paragraph" w:customStyle="1" w:styleId="221">
    <w:name w:val="顾文本"/>
    <w:basedOn w:val="1"/>
    <w:link w:val="220"/>
    <w:qFormat/>
    <w:uiPriority w:val="0"/>
    <w:pPr>
      <w:spacing w:line="360" w:lineRule="auto"/>
      <w:ind w:firstLine="200" w:firstLineChars="200"/>
    </w:pPr>
    <w:rPr>
      <w:sz w:val="24"/>
      <w:szCs w:val="20"/>
    </w:rPr>
  </w:style>
  <w:style w:type="character" w:customStyle="1" w:styleId="222">
    <w:name w:val="Char Char7"/>
    <w:qFormat/>
    <w:uiPriority w:val="0"/>
    <w:rPr>
      <w:rFonts w:eastAsia="宋体"/>
      <w:kern w:val="2"/>
      <w:sz w:val="18"/>
      <w:szCs w:val="18"/>
      <w:lang w:val="en-US" w:eastAsia="zh-CN" w:bidi="ar-SA"/>
    </w:rPr>
  </w:style>
  <w:style w:type="character" w:customStyle="1" w:styleId="223">
    <w:name w:val="正文样式 Char Char Char Char Char Char"/>
    <w:link w:val="224"/>
    <w:qFormat/>
    <w:uiPriority w:val="0"/>
    <w:rPr>
      <w:rFonts w:ascii="宋体" w:hAnsi="宋体" w:eastAsia="宋体"/>
      <w:color w:val="000000"/>
      <w:kern w:val="2"/>
      <w:sz w:val="24"/>
      <w:szCs w:val="24"/>
      <w:lang w:val="en-US" w:eastAsia="zh-CN" w:bidi="ar-SA"/>
    </w:rPr>
  </w:style>
  <w:style w:type="paragraph" w:customStyle="1" w:styleId="224">
    <w:name w:val="正文样式 Char Char Char Char Char"/>
    <w:basedOn w:val="1"/>
    <w:link w:val="223"/>
    <w:qFormat/>
    <w:uiPriority w:val="0"/>
    <w:pPr>
      <w:spacing w:line="360" w:lineRule="auto"/>
      <w:ind w:firstLine="480" w:firstLineChars="200"/>
    </w:pPr>
    <w:rPr>
      <w:rFonts w:ascii="宋体" w:hAnsi="宋体"/>
      <w:color w:val="000000"/>
      <w:sz w:val="24"/>
    </w:rPr>
  </w:style>
  <w:style w:type="character" w:customStyle="1" w:styleId="225">
    <w:name w:val="文档结构图 字符"/>
    <w:link w:val="25"/>
    <w:qFormat/>
    <w:uiPriority w:val="0"/>
    <w:rPr>
      <w:rFonts w:eastAsia="宋体"/>
      <w:kern w:val="2"/>
      <w:sz w:val="21"/>
      <w:szCs w:val="24"/>
      <w:lang w:val="en-US" w:eastAsia="zh-CN" w:bidi="ar-SA"/>
    </w:rPr>
  </w:style>
  <w:style w:type="character" w:customStyle="1" w:styleId="226">
    <w:name w:val="标题1"/>
    <w:basedOn w:val="85"/>
    <w:qFormat/>
    <w:uiPriority w:val="0"/>
  </w:style>
  <w:style w:type="character" w:customStyle="1" w:styleId="227">
    <w:name w:val="style11"/>
    <w:qFormat/>
    <w:uiPriority w:val="0"/>
    <w:rPr>
      <w:b/>
      <w:bCs/>
      <w:sz w:val="27"/>
      <w:szCs w:val="27"/>
    </w:rPr>
  </w:style>
  <w:style w:type="character" w:customStyle="1" w:styleId="228">
    <w:name w:val="标题 2 Char Char Char Char"/>
    <w:qFormat/>
    <w:uiPriority w:val="0"/>
    <w:rPr>
      <w:rFonts w:ascii="宋体" w:hAnsi="宋体" w:eastAsia="宋体" w:cs="Arial"/>
      <w:b/>
      <w:bCs/>
      <w:spacing w:val="6"/>
      <w:kern w:val="2"/>
      <w:sz w:val="30"/>
      <w:szCs w:val="30"/>
      <w:lang w:val="en-US" w:eastAsia="zh-CN" w:bidi="ar-SA"/>
    </w:rPr>
  </w:style>
  <w:style w:type="character" w:customStyle="1" w:styleId="229">
    <w:name w:val="zi2"/>
    <w:basedOn w:val="85"/>
    <w:qFormat/>
    <w:uiPriority w:val="0"/>
  </w:style>
  <w:style w:type="character" w:customStyle="1" w:styleId="230">
    <w:name w:val="Char Char21"/>
    <w:semiHidden/>
    <w:qFormat/>
    <w:uiPriority w:val="0"/>
    <w:rPr>
      <w:b/>
      <w:bCs/>
      <w:kern w:val="44"/>
      <w:sz w:val="24"/>
      <w:szCs w:val="44"/>
    </w:rPr>
  </w:style>
  <w:style w:type="character" w:customStyle="1" w:styleId="231">
    <w:name w:val="表中正文 Char"/>
    <w:qFormat/>
    <w:uiPriority w:val="0"/>
    <w:rPr>
      <w:rFonts w:ascii="宋体" w:eastAsia="宋体"/>
      <w:kern w:val="2"/>
      <w:sz w:val="21"/>
      <w:lang w:val="en-US" w:eastAsia="zh-CN" w:bidi="ar-SA"/>
    </w:rPr>
  </w:style>
  <w:style w:type="character" w:customStyle="1" w:styleId="232">
    <w:name w:val="公式 Char"/>
    <w:link w:val="233"/>
    <w:qFormat/>
    <w:uiPriority w:val="0"/>
    <w:rPr>
      <w:rFonts w:eastAsia="宋体" w:cs="宋体"/>
      <w:kern w:val="2"/>
      <w:sz w:val="24"/>
      <w:lang w:val="en-US" w:eastAsia="zh-CN" w:bidi="ar-SA"/>
    </w:rPr>
  </w:style>
  <w:style w:type="paragraph" w:customStyle="1" w:styleId="233">
    <w:name w:val="公式"/>
    <w:basedOn w:val="1"/>
    <w:link w:val="232"/>
    <w:qFormat/>
    <w:uiPriority w:val="0"/>
    <w:pPr>
      <w:ind w:firstLine="800" w:firstLineChars="800"/>
      <w:jc w:val="left"/>
    </w:pPr>
    <w:rPr>
      <w:rFonts w:cs="宋体"/>
      <w:sz w:val="24"/>
      <w:szCs w:val="20"/>
    </w:rPr>
  </w:style>
  <w:style w:type="character" w:customStyle="1" w:styleId="234">
    <w:name w:val="apple-style-span"/>
    <w:basedOn w:val="85"/>
    <w:qFormat/>
    <w:uiPriority w:val="0"/>
  </w:style>
  <w:style w:type="character" w:customStyle="1" w:styleId="235">
    <w:name w:val="px14"/>
    <w:basedOn w:val="85"/>
    <w:qFormat/>
    <w:uiPriority w:val="0"/>
  </w:style>
  <w:style w:type="character" w:customStyle="1" w:styleId="236">
    <w:name w:val="f14b"/>
    <w:basedOn w:val="85"/>
    <w:qFormat/>
    <w:uiPriority w:val="0"/>
  </w:style>
  <w:style w:type="character" w:customStyle="1" w:styleId="237">
    <w:name w:val="Char Char8"/>
    <w:qFormat/>
    <w:uiPriority w:val="0"/>
    <w:rPr>
      <w:rFonts w:eastAsia="宋体"/>
      <w:kern w:val="2"/>
      <w:sz w:val="21"/>
      <w:szCs w:val="24"/>
      <w:lang w:val="en-US" w:eastAsia="zh-CN" w:bidi="ar-SA"/>
    </w:rPr>
  </w:style>
  <w:style w:type="character" w:customStyle="1" w:styleId="238">
    <w:name w:val="标题 2 字符"/>
    <w:link w:val="3"/>
    <w:qFormat/>
    <w:uiPriority w:val="0"/>
    <w:rPr>
      <w:rFonts w:ascii="Arial" w:hAnsi="Arial" w:eastAsia="黑体"/>
      <w:b/>
      <w:bCs/>
      <w:kern w:val="2"/>
      <w:sz w:val="32"/>
      <w:szCs w:val="32"/>
      <w:lang w:val="en-US" w:eastAsia="zh-CN" w:bidi="ar-SA"/>
    </w:rPr>
  </w:style>
  <w:style w:type="character" w:customStyle="1" w:styleId="239">
    <w:name w:val="标题 3 字符"/>
    <w:link w:val="4"/>
    <w:qFormat/>
    <w:uiPriority w:val="0"/>
    <w:rPr>
      <w:rFonts w:eastAsia="宋体"/>
      <w:b/>
      <w:bCs/>
      <w:kern w:val="2"/>
      <w:sz w:val="32"/>
      <w:szCs w:val="32"/>
      <w:lang w:val="en-US" w:eastAsia="zh-CN" w:bidi="ar-SA"/>
    </w:rPr>
  </w:style>
  <w:style w:type="character" w:customStyle="1" w:styleId="240">
    <w:name w:val="标题 6 字符"/>
    <w:link w:val="7"/>
    <w:qFormat/>
    <w:uiPriority w:val="0"/>
    <w:rPr>
      <w:i/>
      <w:iCs/>
      <w:color w:val="000000"/>
      <w:kern w:val="2"/>
      <w:sz w:val="30"/>
      <w:szCs w:val="30"/>
    </w:rPr>
  </w:style>
  <w:style w:type="character" w:customStyle="1" w:styleId="241">
    <w:name w:val="标题 8 字符"/>
    <w:link w:val="9"/>
    <w:qFormat/>
    <w:uiPriority w:val="0"/>
    <w:rPr>
      <w:rFonts w:ascii="Arial" w:hAnsi="Arial" w:eastAsia="黑体"/>
      <w:sz w:val="24"/>
    </w:rPr>
  </w:style>
  <w:style w:type="character" w:customStyle="1" w:styleId="242">
    <w:name w:val="标题 9 字符"/>
    <w:link w:val="10"/>
    <w:qFormat/>
    <w:uiPriority w:val="0"/>
    <w:rPr>
      <w:rFonts w:ascii="Arial" w:hAnsi="Arial" w:eastAsia="黑体"/>
      <w:sz w:val="21"/>
    </w:rPr>
  </w:style>
  <w:style w:type="character" w:customStyle="1" w:styleId="243">
    <w:name w:val="纯文本 字符"/>
    <w:link w:val="41"/>
    <w:qFormat/>
    <w:uiPriority w:val="0"/>
    <w:rPr>
      <w:rFonts w:eastAsia="宋体"/>
      <w:spacing w:val="8"/>
      <w:kern w:val="2"/>
      <w:sz w:val="24"/>
      <w:lang w:val="en-US" w:eastAsia="zh-CN" w:bidi="ar-SA"/>
    </w:rPr>
  </w:style>
  <w:style w:type="character" w:customStyle="1" w:styleId="244">
    <w:name w:val="正文文本缩进 2 字符"/>
    <w:link w:val="46"/>
    <w:qFormat/>
    <w:uiPriority w:val="0"/>
    <w:rPr>
      <w:rFonts w:eastAsia="宋体"/>
      <w:kern w:val="2"/>
      <w:sz w:val="28"/>
      <w:szCs w:val="24"/>
      <w:lang w:val="en-US" w:eastAsia="zh-CN" w:bidi="ar-SA"/>
    </w:rPr>
  </w:style>
  <w:style w:type="character" w:customStyle="1" w:styleId="245">
    <w:name w:val="表头 Char"/>
    <w:link w:val="246"/>
    <w:qFormat/>
    <w:uiPriority w:val="0"/>
    <w:rPr>
      <w:b/>
      <w:sz w:val="24"/>
      <w:lang w:val="en-US" w:eastAsia="zh-CN" w:bidi="ar-SA"/>
    </w:rPr>
  </w:style>
  <w:style w:type="paragraph" w:customStyle="1" w:styleId="246">
    <w:name w:val="表头"/>
    <w:next w:val="1"/>
    <w:link w:val="245"/>
    <w:qFormat/>
    <w:uiPriority w:val="0"/>
    <w:pPr>
      <w:spacing w:before="120" w:after="120"/>
      <w:jc w:val="center"/>
    </w:pPr>
    <w:rPr>
      <w:rFonts w:ascii="Times New Roman" w:hAnsi="Times New Roman" w:eastAsia="宋体" w:cs="Times New Roman"/>
      <w:b/>
      <w:sz w:val="24"/>
      <w:lang w:val="en-US" w:eastAsia="zh-CN" w:bidi="ar-SA"/>
    </w:rPr>
  </w:style>
  <w:style w:type="character" w:customStyle="1" w:styleId="247">
    <w:name w:val="Char Char20"/>
    <w:qFormat/>
    <w:uiPriority w:val="0"/>
    <w:rPr>
      <w:b/>
      <w:bCs/>
      <w:kern w:val="44"/>
      <w:sz w:val="18"/>
      <w:szCs w:val="18"/>
    </w:rPr>
  </w:style>
  <w:style w:type="character" w:customStyle="1" w:styleId="248">
    <w:name w:val="页眉 字符"/>
    <w:link w:val="52"/>
    <w:qFormat/>
    <w:locked/>
    <w:uiPriority w:val="99"/>
    <w:rPr>
      <w:rFonts w:eastAsia="宋体"/>
      <w:kern w:val="2"/>
      <w:sz w:val="18"/>
      <w:szCs w:val="18"/>
      <w:lang w:val="en-US" w:eastAsia="zh-CN" w:bidi="ar-SA"/>
    </w:rPr>
  </w:style>
  <w:style w:type="character" w:customStyle="1" w:styleId="249">
    <w:name w:val="正文文本缩进 3 字符"/>
    <w:link w:val="64"/>
    <w:qFormat/>
    <w:uiPriority w:val="0"/>
    <w:rPr>
      <w:rFonts w:ascii="宋体" w:hAnsi="宋体" w:eastAsia="宋体"/>
      <w:color w:val="000000"/>
      <w:kern w:val="2"/>
      <w:sz w:val="24"/>
      <w:szCs w:val="24"/>
      <w:lang w:val="en-US" w:eastAsia="zh-CN" w:bidi="ar-SA"/>
    </w:rPr>
  </w:style>
  <w:style w:type="character" w:customStyle="1" w:styleId="250">
    <w:name w:val="批注框文本 字符"/>
    <w:link w:val="49"/>
    <w:semiHidden/>
    <w:qFormat/>
    <w:uiPriority w:val="99"/>
    <w:rPr>
      <w:rFonts w:eastAsia="宋体"/>
      <w:kern w:val="2"/>
      <w:sz w:val="18"/>
      <w:szCs w:val="18"/>
      <w:lang w:val="en-US" w:eastAsia="zh-CN" w:bidi="ar-SA"/>
    </w:rPr>
  </w:style>
  <w:style w:type="character" w:customStyle="1" w:styleId="251">
    <w:name w:val="Gabriel 正文文本 Char Char"/>
    <w:qFormat/>
    <w:uiPriority w:val="0"/>
    <w:rPr>
      <w:rFonts w:eastAsia="宋体"/>
      <w:color w:val="000000"/>
      <w:kern w:val="2"/>
      <w:sz w:val="28"/>
      <w:szCs w:val="24"/>
      <w:lang w:val="en-US" w:eastAsia="zh-CN" w:bidi="ar-SA"/>
    </w:rPr>
  </w:style>
  <w:style w:type="character" w:customStyle="1" w:styleId="252">
    <w:name w:val="页脚 字符"/>
    <w:link w:val="50"/>
    <w:qFormat/>
    <w:uiPriority w:val="99"/>
    <w:rPr>
      <w:rFonts w:eastAsia="宋体"/>
      <w:kern w:val="2"/>
      <w:sz w:val="18"/>
      <w:szCs w:val="18"/>
      <w:lang w:val="en-US" w:eastAsia="zh-CN" w:bidi="ar-SA"/>
    </w:rPr>
  </w:style>
  <w:style w:type="character" w:customStyle="1" w:styleId="253">
    <w:name w:val="明显强调1"/>
    <w:qFormat/>
    <w:uiPriority w:val="0"/>
    <w:rPr>
      <w:b/>
      <w:bCs/>
      <w:i/>
      <w:iCs/>
      <w:color w:val="4F81BD"/>
    </w:rPr>
  </w:style>
  <w:style w:type="character" w:customStyle="1" w:styleId="254">
    <w:name w:val="Char1 Char"/>
    <w:link w:val="255"/>
    <w:qFormat/>
    <w:uiPriority w:val="0"/>
    <w:rPr>
      <w:rFonts w:eastAsia="宋体"/>
      <w:kern w:val="2"/>
      <w:sz w:val="24"/>
      <w:szCs w:val="24"/>
      <w:lang w:val="en-US" w:eastAsia="zh-CN" w:bidi="ar-SA"/>
    </w:rPr>
  </w:style>
  <w:style w:type="paragraph" w:customStyle="1" w:styleId="255">
    <w:name w:val="Char1"/>
    <w:basedOn w:val="1"/>
    <w:link w:val="254"/>
    <w:qFormat/>
    <w:uiPriority w:val="0"/>
    <w:rPr>
      <w:sz w:val="24"/>
    </w:rPr>
  </w:style>
  <w:style w:type="character" w:customStyle="1" w:styleId="256">
    <w:name w:val="参数解释 Char"/>
    <w:basedOn w:val="187"/>
    <w:link w:val="257"/>
    <w:qFormat/>
    <w:uiPriority w:val="0"/>
    <w:rPr>
      <w:rFonts w:eastAsia="宋体" w:cs="宋体"/>
      <w:kern w:val="2"/>
      <w:sz w:val="24"/>
      <w:lang w:val="en-US" w:eastAsia="zh-CN" w:bidi="ar-SA"/>
    </w:rPr>
  </w:style>
  <w:style w:type="paragraph" w:customStyle="1" w:styleId="257">
    <w:name w:val="参数解释"/>
    <w:basedOn w:val="188"/>
    <w:link w:val="256"/>
    <w:qFormat/>
    <w:uiPriority w:val="0"/>
    <w:pPr>
      <w:ind w:firstLine="1274" w:firstLineChars="531"/>
    </w:pPr>
  </w:style>
  <w:style w:type="character" w:customStyle="1" w:styleId="258">
    <w:name w:val="表格内容 Char"/>
    <w:link w:val="259"/>
    <w:qFormat/>
    <w:uiPriority w:val="0"/>
    <w:rPr>
      <w:rFonts w:eastAsia="宋体"/>
      <w:sz w:val="24"/>
      <w:lang w:val="en-US" w:eastAsia="zh-CN" w:bidi="ar-SA"/>
    </w:rPr>
  </w:style>
  <w:style w:type="paragraph" w:customStyle="1" w:styleId="259">
    <w:name w:val="表格内容"/>
    <w:basedOn w:val="1"/>
    <w:link w:val="258"/>
    <w:qFormat/>
    <w:uiPriority w:val="0"/>
    <w:pPr>
      <w:overflowPunct w:val="0"/>
      <w:adjustRightInd w:val="0"/>
      <w:spacing w:before="40" w:after="60" w:line="200" w:lineRule="atLeast"/>
      <w:textAlignment w:val="baseline"/>
    </w:pPr>
    <w:rPr>
      <w:kern w:val="0"/>
      <w:sz w:val="24"/>
      <w:szCs w:val="20"/>
    </w:rPr>
  </w:style>
  <w:style w:type="character" w:customStyle="1" w:styleId="260">
    <w:name w:val="ourfont11"/>
    <w:qFormat/>
    <w:uiPriority w:val="0"/>
    <w:rPr>
      <w:sz w:val="20"/>
    </w:rPr>
  </w:style>
  <w:style w:type="character" w:customStyle="1" w:styleId="261">
    <w:name w:val="t_tag"/>
    <w:basedOn w:val="85"/>
    <w:qFormat/>
    <w:uiPriority w:val="0"/>
  </w:style>
  <w:style w:type="character" w:customStyle="1" w:styleId="262">
    <w:name w:val="节标题 1.1 Char1"/>
    <w:qFormat/>
    <w:uiPriority w:val="0"/>
    <w:rPr>
      <w:rFonts w:ascii="Arial" w:hAnsi="Arial" w:eastAsia="黑体"/>
      <w:b/>
      <w:bCs/>
      <w:kern w:val="2"/>
      <w:sz w:val="32"/>
      <w:szCs w:val="32"/>
      <w:lang w:val="en-US" w:eastAsia="zh-CN" w:bidi="ar-SA"/>
    </w:rPr>
  </w:style>
  <w:style w:type="character" w:customStyle="1" w:styleId="263">
    <w:name w:val="unnamed2"/>
    <w:basedOn w:val="85"/>
    <w:qFormat/>
    <w:uiPriority w:val="0"/>
  </w:style>
  <w:style w:type="character" w:customStyle="1" w:styleId="264">
    <w:name w:val="专用字体 Char"/>
    <w:link w:val="265"/>
    <w:qFormat/>
    <w:uiPriority w:val="0"/>
    <w:rPr>
      <w:rFonts w:eastAsia="宋体"/>
      <w:bCs/>
      <w:kern w:val="2"/>
      <w:sz w:val="24"/>
      <w:szCs w:val="24"/>
      <w:lang w:bidi="ar-SA"/>
    </w:rPr>
  </w:style>
  <w:style w:type="paragraph" w:customStyle="1" w:styleId="265">
    <w:name w:val="专用字体"/>
    <w:basedOn w:val="1"/>
    <w:link w:val="264"/>
    <w:qFormat/>
    <w:uiPriority w:val="0"/>
    <w:pPr>
      <w:spacing w:line="360" w:lineRule="auto"/>
      <w:ind w:firstLine="200" w:firstLineChars="200"/>
    </w:pPr>
    <w:rPr>
      <w:bCs/>
      <w:sz w:val="24"/>
    </w:rPr>
  </w:style>
  <w:style w:type="character" w:customStyle="1" w:styleId="266">
    <w:name w:val="标题 字符"/>
    <w:link w:val="75"/>
    <w:qFormat/>
    <w:uiPriority w:val="0"/>
    <w:rPr>
      <w:rFonts w:ascii="Cambria" w:hAnsi="Cambria" w:eastAsia="宋体"/>
      <w:b/>
      <w:bCs/>
      <w:kern w:val="2"/>
      <w:sz w:val="32"/>
      <w:szCs w:val="32"/>
      <w:lang w:val="en-US" w:eastAsia="zh-CN" w:bidi="ar-SA"/>
    </w:rPr>
  </w:style>
  <w:style w:type="character" w:customStyle="1" w:styleId="267">
    <w:name w:val="尾注文本 字符"/>
    <w:link w:val="47"/>
    <w:qFormat/>
    <w:uiPriority w:val="0"/>
    <w:rPr>
      <w:rFonts w:eastAsia="宋体"/>
      <w:kern w:val="2"/>
      <w:sz w:val="21"/>
      <w:lang w:val="en-US" w:eastAsia="zh-CN" w:bidi="ar-SA"/>
    </w:rPr>
  </w:style>
  <w:style w:type="character" w:customStyle="1" w:styleId="268">
    <w:name w:val="style2"/>
    <w:basedOn w:val="85"/>
    <w:qFormat/>
    <w:uiPriority w:val="0"/>
  </w:style>
  <w:style w:type="character" w:customStyle="1" w:styleId="269">
    <w:name w:val="正文1 Char"/>
    <w:link w:val="270"/>
    <w:qFormat/>
    <w:uiPriority w:val="0"/>
    <w:rPr>
      <w:rFonts w:eastAsia="宋体"/>
      <w:kern w:val="2"/>
      <w:sz w:val="24"/>
      <w:szCs w:val="24"/>
      <w:lang w:val="en-US" w:eastAsia="zh-CN" w:bidi="ar-SA"/>
    </w:rPr>
  </w:style>
  <w:style w:type="paragraph" w:customStyle="1" w:styleId="270">
    <w:name w:val="正文12"/>
    <w:basedOn w:val="1"/>
    <w:link w:val="269"/>
    <w:qFormat/>
    <w:uiPriority w:val="0"/>
    <w:pPr>
      <w:spacing w:beforeLines="25" w:afterLines="25" w:line="360" w:lineRule="auto"/>
      <w:ind w:firstLine="480" w:firstLineChars="200"/>
    </w:pPr>
    <w:rPr>
      <w:sz w:val="24"/>
    </w:rPr>
  </w:style>
  <w:style w:type="character" w:customStyle="1" w:styleId="271">
    <w:name w:val="HTML 预设格式 字符"/>
    <w:link w:val="72"/>
    <w:qFormat/>
    <w:uiPriority w:val="0"/>
    <w:rPr>
      <w:rFonts w:ascii="宋体" w:hAnsi="宋体" w:eastAsia="宋体" w:cs="宋体"/>
      <w:sz w:val="24"/>
      <w:szCs w:val="24"/>
      <w:lang w:val="en-US" w:eastAsia="zh-CN" w:bidi="ar-SA"/>
    </w:rPr>
  </w:style>
  <w:style w:type="character" w:customStyle="1" w:styleId="272">
    <w:name w:val="样式 正文文本缩进 3 + 仿宋_GB2312 Char"/>
    <w:link w:val="273"/>
    <w:qFormat/>
    <w:uiPriority w:val="0"/>
    <w:rPr>
      <w:rFonts w:ascii="仿宋_GB2312" w:hAnsi="仿宋_GB2312" w:eastAsia="仿宋_GB2312"/>
      <w:kern w:val="2"/>
      <w:sz w:val="28"/>
      <w:szCs w:val="24"/>
      <w:lang w:val="en-US" w:eastAsia="zh-CN" w:bidi="ar-SA"/>
    </w:rPr>
  </w:style>
  <w:style w:type="paragraph" w:customStyle="1" w:styleId="273">
    <w:name w:val="样式 正文文本缩进 3 + 仿宋_GB2312"/>
    <w:basedOn w:val="64"/>
    <w:link w:val="272"/>
    <w:qFormat/>
    <w:uiPriority w:val="0"/>
    <w:pPr>
      <w:ind w:firstLine="200" w:firstLineChars="200"/>
    </w:pPr>
    <w:rPr>
      <w:rFonts w:ascii="仿宋_GB2312" w:hAnsi="仿宋_GB2312" w:eastAsia="仿宋_GB2312"/>
      <w:color w:val="auto"/>
      <w:sz w:val="28"/>
    </w:rPr>
  </w:style>
  <w:style w:type="character" w:customStyle="1" w:styleId="274">
    <w:name w:val="apple-converted-space"/>
    <w:basedOn w:val="85"/>
    <w:qFormat/>
    <w:uiPriority w:val="0"/>
  </w:style>
  <w:style w:type="character" w:customStyle="1" w:styleId="275">
    <w:name w:val="样式 标题 2二处标题 2节标题 1.11.1标题2b2ParagrafoH22nd levelh2Heade... Char"/>
    <w:link w:val="276"/>
    <w:qFormat/>
    <w:uiPriority w:val="0"/>
    <w:rPr>
      <w:rFonts w:ascii="宋体" w:hAnsi="宋体" w:eastAsia="宋体"/>
      <w:b/>
      <w:bCs/>
      <w:color w:val="000000"/>
      <w:kern w:val="2"/>
      <w:sz w:val="30"/>
      <w:szCs w:val="30"/>
      <w:lang w:val="en-US" w:eastAsia="zh-CN" w:bidi="ar-SA"/>
    </w:rPr>
  </w:style>
  <w:style w:type="paragraph" w:customStyle="1" w:styleId="276">
    <w:name w:val="样式 标题 2二处标题 2节标题 1.11.1标题2b2ParagrafoH22nd levelh2Heade..."/>
    <w:basedOn w:val="3"/>
    <w:link w:val="275"/>
    <w:qFormat/>
    <w:uiPriority w:val="0"/>
    <w:pPr>
      <w:keepNext w:val="0"/>
      <w:keepLines w:val="0"/>
      <w:adjustRightInd w:val="0"/>
      <w:snapToGrid w:val="0"/>
      <w:spacing w:before="0" w:after="0" w:line="480" w:lineRule="exact"/>
      <w:jc w:val="left"/>
    </w:pPr>
    <w:rPr>
      <w:rFonts w:ascii="宋体" w:hAnsi="宋体" w:eastAsia="宋体"/>
      <w:color w:val="000000"/>
      <w:sz w:val="30"/>
      <w:szCs w:val="30"/>
    </w:rPr>
  </w:style>
  <w:style w:type="character" w:customStyle="1" w:styleId="277">
    <w:name w:val="文本 Char"/>
    <w:link w:val="278"/>
    <w:qFormat/>
    <w:uiPriority w:val="0"/>
    <w:rPr>
      <w:rFonts w:ascii="宋体" w:hAnsi="宋体" w:eastAsia="宋体" w:cs="宋体"/>
      <w:sz w:val="24"/>
      <w:lang w:val="en-US" w:eastAsia="zh-CN" w:bidi="ar-SA"/>
    </w:rPr>
  </w:style>
  <w:style w:type="paragraph" w:customStyle="1" w:styleId="278">
    <w:name w:val="文本"/>
    <w:basedOn w:val="20"/>
    <w:link w:val="277"/>
    <w:qFormat/>
    <w:uiPriority w:val="0"/>
    <w:pPr>
      <w:widowControl/>
      <w:adjustRightInd/>
      <w:snapToGrid/>
      <w:spacing w:line="480" w:lineRule="exact"/>
      <w:ind w:firstLine="480"/>
      <w:jc w:val="left"/>
    </w:pPr>
    <w:rPr>
      <w:rFonts w:ascii="宋体" w:hAnsi="宋体" w:eastAsia="宋体" w:cs="宋体"/>
      <w:kern w:val="0"/>
      <w:sz w:val="24"/>
      <w:szCs w:val="20"/>
    </w:rPr>
  </w:style>
  <w:style w:type="character" w:customStyle="1" w:styleId="279">
    <w:name w:val="Char Char"/>
    <w:qFormat/>
    <w:uiPriority w:val="0"/>
    <w:rPr>
      <w:rFonts w:eastAsia="宋体"/>
      <w:kern w:val="2"/>
      <w:sz w:val="21"/>
      <w:szCs w:val="24"/>
      <w:lang w:val="en-US" w:eastAsia="zh-CN" w:bidi="ar-SA"/>
    </w:rPr>
  </w:style>
  <w:style w:type="character" w:customStyle="1" w:styleId="280">
    <w:name w:val="表格文本 五号 居中 单倍行距 Char Char Char"/>
    <w:link w:val="281"/>
    <w:qFormat/>
    <w:uiPriority w:val="0"/>
    <w:rPr>
      <w:rFonts w:eastAsia="宋体" w:cs="宋体"/>
      <w:kern w:val="2"/>
      <w:sz w:val="21"/>
      <w:szCs w:val="21"/>
      <w:lang w:val="en-US" w:eastAsia="zh-CN" w:bidi="ar-SA"/>
    </w:rPr>
  </w:style>
  <w:style w:type="paragraph" w:customStyle="1" w:styleId="281">
    <w:name w:val="表格文本 五号 居中 单倍行距 Char Char"/>
    <w:basedOn w:val="1"/>
    <w:link w:val="280"/>
    <w:qFormat/>
    <w:uiPriority w:val="0"/>
    <w:pPr>
      <w:keepNext/>
      <w:adjustRightInd w:val="0"/>
      <w:snapToGrid w:val="0"/>
      <w:jc w:val="center"/>
      <w:textAlignment w:val="baseline"/>
    </w:pPr>
    <w:rPr>
      <w:rFonts w:cs="宋体"/>
      <w:szCs w:val="21"/>
    </w:rPr>
  </w:style>
  <w:style w:type="character" w:customStyle="1" w:styleId="282">
    <w:name w:val="large1"/>
    <w:qFormat/>
    <w:uiPriority w:val="0"/>
    <w:rPr>
      <w:rFonts w:hint="eastAsia" w:ascii="宋体" w:hAnsi="宋体" w:eastAsia="宋体"/>
      <w:sz w:val="22"/>
      <w:szCs w:val="22"/>
    </w:rPr>
  </w:style>
  <w:style w:type="character" w:customStyle="1" w:styleId="283">
    <w:name w:val="君邦正文 Char2"/>
    <w:link w:val="284"/>
    <w:qFormat/>
    <w:uiPriority w:val="0"/>
    <w:rPr>
      <w:bCs/>
      <w:snapToGrid w:val="0"/>
      <w:sz w:val="24"/>
      <w:lang w:val="en-US" w:eastAsia="zh-CN" w:bidi="ar-SA"/>
    </w:rPr>
  </w:style>
  <w:style w:type="paragraph" w:customStyle="1" w:styleId="284">
    <w:name w:val="君邦正文"/>
    <w:link w:val="283"/>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285">
    <w:name w:val="表头样式1 Char1"/>
    <w:link w:val="286"/>
    <w:qFormat/>
    <w:uiPriority w:val="0"/>
    <w:rPr>
      <w:rFonts w:eastAsia="黑体"/>
      <w:b/>
      <w:kern w:val="2"/>
      <w:sz w:val="24"/>
      <w:lang w:val="en-US" w:eastAsia="zh-CN" w:bidi="ar-SA"/>
    </w:rPr>
  </w:style>
  <w:style w:type="paragraph" w:customStyle="1" w:styleId="286">
    <w:name w:val="表头样式1"/>
    <w:basedOn w:val="1"/>
    <w:link w:val="285"/>
    <w:qFormat/>
    <w:uiPriority w:val="0"/>
    <w:pPr>
      <w:spacing w:beforeLines="50"/>
      <w:jc w:val="center"/>
    </w:pPr>
    <w:rPr>
      <w:rFonts w:eastAsia="黑体"/>
      <w:b/>
      <w:sz w:val="24"/>
      <w:szCs w:val="20"/>
    </w:rPr>
  </w:style>
  <w:style w:type="character" w:customStyle="1" w:styleId="287">
    <w:name w:val="Gabriel（正文） Char"/>
    <w:link w:val="288"/>
    <w:qFormat/>
    <w:uiPriority w:val="0"/>
    <w:rPr>
      <w:rFonts w:eastAsia="宋体"/>
      <w:kern w:val="2"/>
      <w:sz w:val="28"/>
      <w:szCs w:val="28"/>
      <w:lang w:val="en-US" w:eastAsia="zh-CN" w:bidi="ar-SA"/>
    </w:rPr>
  </w:style>
  <w:style w:type="paragraph" w:customStyle="1" w:styleId="288">
    <w:name w:val="Gabriel（正文）"/>
    <w:basedOn w:val="1"/>
    <w:next w:val="1"/>
    <w:link w:val="287"/>
    <w:qFormat/>
    <w:uiPriority w:val="0"/>
    <w:pPr>
      <w:spacing w:line="480" w:lineRule="exact"/>
      <w:ind w:firstLine="200" w:firstLineChars="200"/>
    </w:pPr>
    <w:rPr>
      <w:sz w:val="28"/>
      <w:szCs w:val="28"/>
    </w:rPr>
  </w:style>
  <w:style w:type="character" w:customStyle="1" w:styleId="289">
    <w:name w:val="正文缩进 Char3"/>
    <w:qFormat/>
    <w:uiPriority w:val="0"/>
    <w:rPr>
      <w:rFonts w:eastAsia="宋体"/>
      <w:kern w:val="24"/>
      <w:sz w:val="24"/>
      <w:lang w:val="zh-CN" w:eastAsia="zh-CN" w:bidi="ar-SA"/>
    </w:rPr>
  </w:style>
  <w:style w:type="character" w:customStyle="1" w:styleId="290">
    <w:name w:val="样式 样式 标题 3 + (西文) Times New Roman (中文) 宋体 小四 加粗 + (符号) 宋体 Char"/>
    <w:basedOn w:val="182"/>
    <w:link w:val="291"/>
    <w:qFormat/>
    <w:uiPriority w:val="0"/>
    <w:rPr>
      <w:rFonts w:eastAsia="宋体"/>
      <w:snapToGrid w:val="0"/>
      <w:kern w:val="2"/>
      <w:sz w:val="28"/>
      <w:szCs w:val="28"/>
      <w:lang w:val="en-US" w:eastAsia="zh-CN" w:bidi="ar-SA"/>
    </w:rPr>
  </w:style>
  <w:style w:type="paragraph" w:customStyle="1" w:styleId="291">
    <w:name w:val="样式 样式 标题 3 + (西文) Times New Roman (中文) 宋体 小四 加粗 + (符号) 宋体"/>
    <w:basedOn w:val="183"/>
    <w:next w:val="292"/>
    <w:link w:val="290"/>
    <w:qFormat/>
    <w:uiPriority w:val="0"/>
    <w:pPr>
      <w:ind w:left="0" w:firstLine="0"/>
    </w:pPr>
  </w:style>
  <w:style w:type="paragraph" w:customStyle="1" w:styleId="292">
    <w:name w:val="样式 标题 1 + (中文) 宋体 小三 行距: 多倍行距 1.35 字行"/>
    <w:basedOn w:val="2"/>
    <w:qFormat/>
    <w:uiPriority w:val="0"/>
    <w:pPr>
      <w:spacing w:beforeLines="150" w:afterLines="150" w:line="300" w:lineRule="auto"/>
    </w:pPr>
    <w:rPr>
      <w:rFonts w:ascii="Times New Roman" w:eastAsia="仿宋_GB2312"/>
      <w:b/>
      <w:bCs/>
      <w:sz w:val="32"/>
      <w:szCs w:val="32"/>
    </w:rPr>
  </w:style>
  <w:style w:type="character" w:customStyle="1" w:styleId="293">
    <w:name w:val="cn41"/>
    <w:qFormat/>
    <w:uiPriority w:val="0"/>
    <w:rPr>
      <w:color w:val="000000"/>
      <w:sz w:val="18"/>
      <w:szCs w:val="18"/>
      <w:u w:val="none"/>
    </w:rPr>
  </w:style>
  <w:style w:type="character" w:customStyle="1" w:styleId="294">
    <w:name w:val="G样式1 Char"/>
    <w:link w:val="295"/>
    <w:qFormat/>
    <w:uiPriority w:val="0"/>
    <w:rPr>
      <w:rFonts w:eastAsia="宋体"/>
      <w:kern w:val="2"/>
      <w:sz w:val="28"/>
      <w:szCs w:val="28"/>
      <w:lang w:val="en-US" w:eastAsia="zh-CN" w:bidi="ar-SA"/>
    </w:rPr>
  </w:style>
  <w:style w:type="paragraph" w:customStyle="1" w:styleId="295">
    <w:name w:val="G样式1"/>
    <w:basedOn w:val="1"/>
    <w:link w:val="294"/>
    <w:qFormat/>
    <w:uiPriority w:val="0"/>
    <w:pPr>
      <w:spacing w:line="480" w:lineRule="exact"/>
      <w:ind w:firstLine="200" w:firstLineChars="200"/>
    </w:pPr>
    <w:rPr>
      <w:sz w:val="28"/>
      <w:szCs w:val="28"/>
    </w:rPr>
  </w:style>
  <w:style w:type="character" w:customStyle="1" w:styleId="296">
    <w:name w:val="G（正文） Char"/>
    <w:link w:val="297"/>
    <w:qFormat/>
    <w:uiPriority w:val="0"/>
    <w:rPr>
      <w:rFonts w:eastAsia="宋体"/>
      <w:kern w:val="2"/>
      <w:sz w:val="28"/>
      <w:szCs w:val="28"/>
      <w:lang w:val="en-US" w:eastAsia="zh-CN" w:bidi="ar-SA"/>
    </w:rPr>
  </w:style>
  <w:style w:type="paragraph" w:customStyle="1" w:styleId="297">
    <w:name w:val="G（正文）"/>
    <w:basedOn w:val="31"/>
    <w:link w:val="296"/>
    <w:qFormat/>
    <w:uiPriority w:val="0"/>
    <w:pPr>
      <w:spacing w:after="0" w:line="480" w:lineRule="exact"/>
      <w:ind w:firstLine="200" w:firstLineChars="200"/>
    </w:pPr>
    <w:rPr>
      <w:rFonts w:ascii="Times New Roman" w:hAnsi="Times New Roman"/>
      <w:sz w:val="28"/>
      <w:szCs w:val="28"/>
    </w:rPr>
  </w:style>
  <w:style w:type="character" w:customStyle="1" w:styleId="298">
    <w:name w:val="Char Char Char"/>
    <w:qFormat/>
    <w:uiPriority w:val="0"/>
    <w:rPr>
      <w:rFonts w:eastAsia="楷体_GB2312"/>
      <w:kern w:val="2"/>
      <w:sz w:val="28"/>
      <w:lang w:val="en-US" w:eastAsia="zh-CN" w:bidi="ar-SA"/>
    </w:rPr>
  </w:style>
  <w:style w:type="character" w:customStyle="1" w:styleId="299">
    <w:name w:val="articletitle1"/>
    <w:qFormat/>
    <w:uiPriority w:val="0"/>
    <w:rPr>
      <w:b/>
      <w:bCs/>
      <w:color w:val="013F88"/>
      <w:sz w:val="27"/>
      <w:szCs w:val="27"/>
    </w:rPr>
  </w:style>
  <w:style w:type="character" w:customStyle="1" w:styleId="300">
    <w:name w:val="纯文本 Char2"/>
    <w:qFormat/>
    <w:uiPriority w:val="0"/>
    <w:rPr>
      <w:rFonts w:ascii="宋体" w:hAnsi="宋体" w:eastAsia="宋体"/>
      <w:sz w:val="24"/>
      <w:lang w:val="en-US" w:eastAsia="zh-CN" w:bidi="ar-SA"/>
    </w:rPr>
  </w:style>
  <w:style w:type="character" w:customStyle="1" w:styleId="301">
    <w:name w:val="bold1"/>
    <w:qFormat/>
    <w:uiPriority w:val="0"/>
    <w:rPr>
      <w:b/>
      <w:bCs/>
    </w:rPr>
  </w:style>
  <w:style w:type="character" w:customStyle="1" w:styleId="302">
    <w:name w:val="标题 4-王鹏 Char"/>
    <w:qFormat/>
    <w:uiPriority w:val="0"/>
    <w:rPr>
      <w:rFonts w:ascii="宋体" w:hAnsi="宋体" w:eastAsia="宋体"/>
      <w:b/>
      <w:bCs/>
      <w:snapToGrid w:val="0"/>
      <w:spacing w:val="6"/>
      <w:kern w:val="44"/>
      <w:sz w:val="24"/>
      <w:szCs w:val="24"/>
      <w:lang w:val="en-US" w:eastAsia="zh-CN" w:bidi="ar-SA"/>
    </w:rPr>
  </w:style>
  <w:style w:type="character" w:customStyle="1" w:styleId="303">
    <w:name w:val="b4 Char1"/>
    <w:qFormat/>
    <w:uiPriority w:val="0"/>
    <w:rPr>
      <w:rFonts w:eastAsia="宋体"/>
      <w:bCs/>
      <w:snapToGrid w:val="0"/>
      <w:sz w:val="24"/>
      <w:szCs w:val="28"/>
      <w:lang w:val="en-US" w:eastAsia="zh-CN" w:bidi="ar-SA"/>
    </w:rPr>
  </w:style>
  <w:style w:type="character" w:customStyle="1" w:styleId="304">
    <w:name w:val="标题 1-王鹏 Char"/>
    <w:qFormat/>
    <w:uiPriority w:val="0"/>
    <w:rPr>
      <w:rFonts w:eastAsia="宋体"/>
      <w:b/>
      <w:bCs/>
      <w:spacing w:val="6"/>
      <w:kern w:val="44"/>
      <w:sz w:val="24"/>
      <w:szCs w:val="44"/>
      <w:lang w:val="en-US" w:eastAsia="zh-CN" w:bidi="ar-SA"/>
    </w:rPr>
  </w:style>
  <w:style w:type="character" w:customStyle="1" w:styleId="305">
    <w:name w:val="b1 Char"/>
    <w:qFormat/>
    <w:uiPriority w:val="0"/>
    <w:rPr>
      <w:rFonts w:eastAsia="宋体"/>
      <w:bCs/>
      <w:kern w:val="44"/>
      <w:sz w:val="32"/>
      <w:szCs w:val="44"/>
      <w:lang w:val="en-US" w:eastAsia="zh-CN" w:bidi="ar-SA"/>
    </w:rPr>
  </w:style>
  <w:style w:type="character" w:customStyle="1" w:styleId="306">
    <w:name w:val="表题 Char"/>
    <w:link w:val="307"/>
    <w:qFormat/>
    <w:uiPriority w:val="0"/>
    <w:rPr>
      <w:rFonts w:ascii="宋体" w:hAnsi="宋体" w:eastAsia="宋体"/>
      <w:b/>
      <w:snapToGrid w:val="0"/>
      <w:sz w:val="21"/>
      <w:szCs w:val="21"/>
      <w:lang w:val="en-US" w:eastAsia="zh-CN" w:bidi="ar-SA"/>
    </w:rPr>
  </w:style>
  <w:style w:type="paragraph" w:customStyle="1" w:styleId="307">
    <w:name w:val="表题"/>
    <w:basedOn w:val="1"/>
    <w:link w:val="306"/>
    <w:qFormat/>
    <w:uiPriority w:val="0"/>
    <w:pPr>
      <w:spacing w:line="360" w:lineRule="auto"/>
      <w:jc w:val="center"/>
    </w:pPr>
    <w:rPr>
      <w:rFonts w:ascii="宋体" w:hAnsi="宋体"/>
      <w:b/>
      <w:snapToGrid w:val="0"/>
      <w:kern w:val="0"/>
      <w:szCs w:val="21"/>
    </w:rPr>
  </w:style>
  <w:style w:type="character" w:customStyle="1" w:styleId="308">
    <w:name w:val="正文文本 Char"/>
    <w:qFormat/>
    <w:uiPriority w:val="99"/>
    <w:rPr>
      <w:rFonts w:eastAsia="宋体"/>
      <w:sz w:val="28"/>
      <w:szCs w:val="28"/>
      <w:lang w:val="en-US" w:eastAsia="zh-CN" w:bidi="ar-SA"/>
    </w:rPr>
  </w:style>
  <w:style w:type="character" w:customStyle="1" w:styleId="309">
    <w:name w:val="postbody1"/>
    <w:qFormat/>
    <w:uiPriority w:val="0"/>
    <w:rPr>
      <w:sz w:val="21"/>
      <w:szCs w:val="21"/>
    </w:rPr>
  </w:style>
  <w:style w:type="character" w:customStyle="1" w:styleId="310">
    <w:name w:val="样式 标题 2二处标题 2节标题 1.11.1标题2b2ParagrafoH22nd levelh2Heade...1 Char"/>
    <w:link w:val="311"/>
    <w:qFormat/>
    <w:uiPriority w:val="0"/>
    <w:rPr>
      <w:rFonts w:eastAsia="宋体"/>
      <w:b/>
      <w:bCs/>
      <w:color w:val="000000"/>
      <w:kern w:val="2"/>
      <w:sz w:val="30"/>
      <w:szCs w:val="30"/>
      <w:lang w:val="en-US" w:eastAsia="zh-CN" w:bidi="ar-SA"/>
    </w:rPr>
  </w:style>
  <w:style w:type="paragraph" w:customStyle="1" w:styleId="311">
    <w:name w:val="样式 标题 2二处标题 2节标题 1.11.1标题2b2ParagrafoH22nd levelh2Heade...1"/>
    <w:basedOn w:val="3"/>
    <w:link w:val="310"/>
    <w:qFormat/>
    <w:uiPriority w:val="0"/>
    <w:pPr>
      <w:keepNext w:val="0"/>
      <w:keepLines w:val="0"/>
      <w:adjustRightInd w:val="0"/>
      <w:snapToGrid w:val="0"/>
      <w:spacing w:before="0" w:after="0" w:line="480" w:lineRule="exact"/>
      <w:ind w:firstLine="602" w:firstLineChars="200"/>
      <w:jc w:val="left"/>
    </w:pPr>
    <w:rPr>
      <w:rFonts w:ascii="Times New Roman" w:hAnsi="Times New Roman" w:eastAsia="宋体"/>
      <w:color w:val="000000"/>
      <w:sz w:val="30"/>
      <w:szCs w:val="30"/>
    </w:rPr>
  </w:style>
  <w:style w:type="character" w:customStyle="1" w:styleId="312">
    <w:name w:val="正本文字 Char Char"/>
    <w:qFormat/>
    <w:uiPriority w:val="0"/>
    <w:rPr>
      <w:rFonts w:eastAsia="宋体" w:cs="宋体"/>
      <w:kern w:val="18"/>
      <w:sz w:val="24"/>
      <w:lang w:val="en-US" w:eastAsia="zh-CN" w:bidi="ar-SA"/>
    </w:rPr>
  </w:style>
  <w:style w:type="character" w:customStyle="1" w:styleId="313">
    <w:name w:val="content"/>
    <w:basedOn w:val="85"/>
    <w:qFormat/>
    <w:uiPriority w:val="0"/>
  </w:style>
  <w:style w:type="character" w:customStyle="1" w:styleId="314">
    <w:name w:val="Char Char13"/>
    <w:qFormat/>
    <w:uiPriority w:val="0"/>
    <w:rPr>
      <w:rFonts w:eastAsia="宋体"/>
      <w:kern w:val="2"/>
      <w:sz w:val="28"/>
      <w:szCs w:val="24"/>
      <w:lang w:val="en-US" w:eastAsia="zh-CN" w:bidi="ar-SA"/>
    </w:rPr>
  </w:style>
  <w:style w:type="character" w:customStyle="1" w:styleId="315">
    <w:name w:val="标题 6 Char Char Char"/>
    <w:qFormat/>
    <w:uiPriority w:val="0"/>
    <w:rPr>
      <w:rFonts w:ascii="Arial" w:hAnsi="Arial" w:eastAsia="黑体"/>
      <w:b/>
      <w:lang w:val="en-US" w:eastAsia="zh-CN" w:bidi="ar-SA"/>
    </w:rPr>
  </w:style>
  <w:style w:type="character" w:customStyle="1" w:styleId="316">
    <w:name w:val="style2_title1"/>
    <w:qFormat/>
    <w:uiPriority w:val="0"/>
    <w:rPr>
      <w:b/>
      <w:bCs/>
      <w:sz w:val="30"/>
      <w:szCs w:val="30"/>
    </w:rPr>
  </w:style>
  <w:style w:type="character" w:customStyle="1" w:styleId="317">
    <w:name w:val="样式 题注 + 居中 Char"/>
    <w:link w:val="318"/>
    <w:qFormat/>
    <w:uiPriority w:val="0"/>
    <w:rPr>
      <w:rFonts w:ascii="Arial" w:hAnsi="Arial" w:eastAsia="黑体" w:cs="宋体"/>
      <w:kern w:val="2"/>
      <w:sz w:val="24"/>
      <w:szCs w:val="24"/>
      <w:lang w:val="en-US" w:eastAsia="zh-CN" w:bidi="ar-SA"/>
    </w:rPr>
  </w:style>
  <w:style w:type="paragraph" w:customStyle="1" w:styleId="318">
    <w:name w:val="样式 题注 + 居中"/>
    <w:basedOn w:val="21"/>
    <w:next w:val="1"/>
    <w:link w:val="317"/>
    <w:qFormat/>
    <w:uiPriority w:val="0"/>
    <w:pPr>
      <w:spacing w:before="120" w:after="120"/>
      <w:jc w:val="center"/>
    </w:pPr>
    <w:rPr>
      <w:rFonts w:cs="宋体"/>
      <w:sz w:val="24"/>
      <w:szCs w:val="24"/>
    </w:rPr>
  </w:style>
  <w:style w:type="character" w:customStyle="1" w:styleId="319">
    <w:name w:val="报告 Char"/>
    <w:link w:val="320"/>
    <w:qFormat/>
    <w:uiPriority w:val="0"/>
    <w:rPr>
      <w:rFonts w:ascii="TimesNewRoman" w:hAnsi="TimesNewRoman" w:eastAsia="宋体"/>
      <w:sz w:val="24"/>
      <w:lang w:val="en-US" w:eastAsia="zh-CN" w:bidi="ar-SA"/>
    </w:rPr>
  </w:style>
  <w:style w:type="paragraph" w:customStyle="1" w:styleId="320">
    <w:name w:val="报告"/>
    <w:basedOn w:val="1"/>
    <w:link w:val="319"/>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321">
    <w:name w:val="正文格式 Char"/>
    <w:link w:val="322"/>
    <w:qFormat/>
    <w:uiPriority w:val="0"/>
    <w:rPr>
      <w:rFonts w:eastAsia="宋体" w:cs="宋体"/>
      <w:kern w:val="2"/>
      <w:sz w:val="24"/>
      <w:szCs w:val="24"/>
      <w:lang w:val="en-US" w:eastAsia="zh-CN" w:bidi="ar-SA"/>
    </w:rPr>
  </w:style>
  <w:style w:type="paragraph" w:customStyle="1" w:styleId="322">
    <w:name w:val="正文格式"/>
    <w:basedOn w:val="1"/>
    <w:link w:val="321"/>
    <w:qFormat/>
    <w:uiPriority w:val="0"/>
    <w:pPr>
      <w:spacing w:line="360" w:lineRule="auto"/>
      <w:ind w:firstLine="544" w:firstLineChars="200"/>
    </w:pPr>
    <w:rPr>
      <w:rFonts w:cs="宋体"/>
      <w:sz w:val="24"/>
    </w:rPr>
  </w:style>
  <w:style w:type="character" w:customStyle="1" w:styleId="323">
    <w:name w:val="标题二 Char Char"/>
    <w:link w:val="324"/>
    <w:qFormat/>
    <w:uiPriority w:val="0"/>
    <w:rPr>
      <w:rFonts w:ascii="黑体" w:hAnsi="Arial" w:eastAsia="黑体"/>
      <w:b/>
      <w:bCs/>
      <w:snapToGrid w:val="0"/>
      <w:kern w:val="2"/>
      <w:sz w:val="24"/>
      <w:szCs w:val="24"/>
      <w:lang w:val="en-US" w:eastAsia="zh-CN" w:bidi="ar-SA"/>
    </w:rPr>
  </w:style>
  <w:style w:type="paragraph" w:customStyle="1" w:styleId="324">
    <w:name w:val="标题二 Char"/>
    <w:basedOn w:val="3"/>
    <w:next w:val="4"/>
    <w:link w:val="323"/>
    <w:qFormat/>
    <w:uiPriority w:val="0"/>
    <w:pPr>
      <w:adjustRightInd w:val="0"/>
      <w:snapToGrid w:val="0"/>
      <w:spacing w:before="120" w:after="120" w:line="360" w:lineRule="auto"/>
      <w:ind w:firstLine="200" w:firstLineChars="200"/>
      <w:textAlignment w:val="baseline"/>
    </w:pPr>
    <w:rPr>
      <w:rFonts w:ascii="黑体"/>
      <w:snapToGrid w:val="0"/>
      <w:sz w:val="24"/>
      <w:szCs w:val="24"/>
    </w:rPr>
  </w:style>
  <w:style w:type="character" w:customStyle="1" w:styleId="325">
    <w:name w:val="正文对的 Char"/>
    <w:link w:val="326"/>
    <w:qFormat/>
    <w:uiPriority w:val="0"/>
    <w:rPr>
      <w:rFonts w:hAnsi="宋体" w:eastAsia="宋体"/>
      <w:kern w:val="2"/>
      <w:sz w:val="24"/>
      <w:szCs w:val="24"/>
      <w:lang w:val="en-US" w:eastAsia="zh-CN" w:bidi="ar-SA"/>
    </w:rPr>
  </w:style>
  <w:style w:type="paragraph" w:customStyle="1" w:styleId="326">
    <w:name w:val="正文对的"/>
    <w:basedOn w:val="1"/>
    <w:link w:val="325"/>
    <w:qFormat/>
    <w:uiPriority w:val="0"/>
    <w:pPr>
      <w:spacing w:line="400" w:lineRule="exact"/>
      <w:ind w:firstLine="200" w:firstLineChars="200"/>
    </w:pPr>
    <w:rPr>
      <w:rFonts w:hAnsi="宋体"/>
      <w:sz w:val="24"/>
    </w:rPr>
  </w:style>
  <w:style w:type="character" w:customStyle="1" w:styleId="327">
    <w:name w:val="正本文字 Char"/>
    <w:link w:val="210"/>
    <w:qFormat/>
    <w:uiPriority w:val="0"/>
    <w:rPr>
      <w:rFonts w:eastAsia="宋体" w:cs="宋体"/>
      <w:kern w:val="18"/>
      <w:sz w:val="24"/>
      <w:lang w:val="en-US" w:eastAsia="zh-CN" w:bidi="ar-SA"/>
    </w:rPr>
  </w:style>
  <w:style w:type="character" w:customStyle="1" w:styleId="328">
    <w:name w:val="表格中文字 Char"/>
    <w:link w:val="329"/>
    <w:qFormat/>
    <w:uiPriority w:val="0"/>
    <w:rPr>
      <w:rFonts w:eastAsia="宋体"/>
      <w:kern w:val="18"/>
      <w:sz w:val="21"/>
      <w:szCs w:val="21"/>
      <w:lang w:val="en-US" w:eastAsia="zh-CN" w:bidi="ar-SA"/>
    </w:rPr>
  </w:style>
  <w:style w:type="paragraph" w:customStyle="1" w:styleId="329">
    <w:name w:val="表格中文字"/>
    <w:basedOn w:val="1"/>
    <w:link w:val="328"/>
    <w:qFormat/>
    <w:uiPriority w:val="0"/>
    <w:pPr>
      <w:adjustRightInd w:val="0"/>
      <w:snapToGrid w:val="0"/>
      <w:jc w:val="center"/>
    </w:pPr>
    <w:rPr>
      <w:kern w:val="18"/>
      <w:szCs w:val="21"/>
    </w:rPr>
  </w:style>
  <w:style w:type="character" w:customStyle="1" w:styleId="330">
    <w:name w:val="title9"/>
    <w:basedOn w:val="85"/>
    <w:qFormat/>
    <w:uiPriority w:val="0"/>
  </w:style>
  <w:style w:type="character" w:customStyle="1" w:styleId="331">
    <w:name w:val="Body Text 2 Char"/>
    <w:qFormat/>
    <w:uiPriority w:val="0"/>
    <w:rPr>
      <w:rFonts w:eastAsia="宋体"/>
      <w:spacing w:val="4"/>
      <w:kern w:val="2"/>
      <w:sz w:val="24"/>
      <w:lang w:val="en-US"/>
    </w:rPr>
  </w:style>
  <w:style w:type="character" w:customStyle="1" w:styleId="332">
    <w:name w:val="i_1"/>
    <w:basedOn w:val="85"/>
    <w:qFormat/>
    <w:uiPriority w:val="0"/>
  </w:style>
  <w:style w:type="character" w:customStyle="1" w:styleId="333">
    <w:name w:val="indetail1"/>
    <w:qFormat/>
    <w:uiPriority w:val="0"/>
    <w:rPr>
      <w:sz w:val="18"/>
      <w:szCs w:val="18"/>
      <w:bdr w:val="single" w:color="E2E2E2" w:sz="6" w:space="0"/>
    </w:rPr>
  </w:style>
  <w:style w:type="character" w:customStyle="1" w:styleId="334">
    <w:name w:val="正文样式1 Char Char1 Char Char Char Char"/>
    <w:link w:val="335"/>
    <w:qFormat/>
    <w:uiPriority w:val="0"/>
    <w:rPr>
      <w:rFonts w:eastAsia="宋体"/>
      <w:snapToGrid w:val="0"/>
      <w:position w:val="-12"/>
      <w:sz w:val="24"/>
      <w:szCs w:val="24"/>
      <w:lang w:val="en-US" w:eastAsia="zh-CN" w:bidi="ar-SA"/>
    </w:rPr>
  </w:style>
  <w:style w:type="paragraph" w:customStyle="1" w:styleId="335">
    <w:name w:val="正文样式1 Char Char1 Char Char Char"/>
    <w:basedOn w:val="1"/>
    <w:link w:val="334"/>
    <w:qFormat/>
    <w:uiPriority w:val="0"/>
    <w:pPr>
      <w:adjustRightInd w:val="0"/>
      <w:spacing w:beforeLines="10" w:afterLines="10" w:line="312" w:lineRule="auto"/>
      <w:ind w:firstLine="200" w:firstLineChars="200"/>
      <w:textAlignment w:val="baseline"/>
    </w:pPr>
    <w:rPr>
      <w:snapToGrid w:val="0"/>
      <w:kern w:val="0"/>
      <w:position w:val="-12"/>
      <w:sz w:val="24"/>
    </w:rPr>
  </w:style>
  <w:style w:type="character" w:customStyle="1" w:styleId="336">
    <w:name w:val="标题 2 Char"/>
    <w:qFormat/>
    <w:uiPriority w:val="0"/>
    <w:rPr>
      <w:rFonts w:eastAsia="宋体"/>
      <w:b/>
      <w:kern w:val="44"/>
      <w:sz w:val="28"/>
      <w:szCs w:val="32"/>
      <w:lang w:val="en-US" w:eastAsia="zh-CN" w:bidi="ar-SA"/>
    </w:rPr>
  </w:style>
  <w:style w:type="character" w:customStyle="1" w:styleId="337">
    <w:name w:val="上标"/>
    <w:qFormat/>
    <w:uiPriority w:val="0"/>
    <w:rPr>
      <w:vertAlign w:val="superscript"/>
    </w:rPr>
  </w:style>
  <w:style w:type="character" w:customStyle="1" w:styleId="338">
    <w:name w:val="f14b1"/>
    <w:qFormat/>
    <w:uiPriority w:val="0"/>
    <w:rPr>
      <w:b/>
      <w:bCs/>
      <w:sz w:val="21"/>
      <w:szCs w:val="21"/>
    </w:rPr>
  </w:style>
  <w:style w:type="character" w:customStyle="1" w:styleId="339">
    <w:name w:val="表标题 Char"/>
    <w:link w:val="340"/>
    <w:qFormat/>
    <w:uiPriority w:val="0"/>
    <w:rPr>
      <w:rFonts w:ascii="仿宋_GB2312" w:eastAsia="仿宋_GB2312"/>
      <w:b/>
      <w:bCs/>
      <w:kern w:val="2"/>
      <w:sz w:val="24"/>
      <w:szCs w:val="24"/>
      <w:lang w:val="en-US" w:eastAsia="zh-CN" w:bidi="ar-SA"/>
    </w:rPr>
  </w:style>
  <w:style w:type="paragraph" w:customStyle="1" w:styleId="340">
    <w:name w:val="表标题"/>
    <w:basedOn w:val="1"/>
    <w:link w:val="339"/>
    <w:qFormat/>
    <w:uiPriority w:val="0"/>
    <w:pPr>
      <w:spacing w:line="500" w:lineRule="exact"/>
      <w:ind w:firstLine="482" w:firstLineChars="200"/>
      <w:jc w:val="center"/>
    </w:pPr>
    <w:rPr>
      <w:rFonts w:ascii="仿宋_GB2312" w:eastAsia="仿宋_GB2312"/>
      <w:b/>
      <w:bCs/>
      <w:sz w:val="24"/>
    </w:rPr>
  </w:style>
  <w:style w:type="character" w:customStyle="1" w:styleId="341">
    <w:name w:val="A.1.1.1 Char"/>
    <w:link w:val="342"/>
    <w:qFormat/>
    <w:uiPriority w:val="0"/>
    <w:rPr>
      <w:bCs/>
      <w:color w:val="000000"/>
      <w:spacing w:val="-4"/>
      <w:kern w:val="44"/>
      <w:sz w:val="24"/>
      <w:szCs w:val="44"/>
    </w:rPr>
  </w:style>
  <w:style w:type="paragraph" w:customStyle="1" w:styleId="342">
    <w:name w:val="A.1.1.1"/>
    <w:basedOn w:val="1"/>
    <w:link w:val="341"/>
    <w:qFormat/>
    <w:uiPriority w:val="0"/>
    <w:pPr>
      <w:adjustRightInd w:val="0"/>
      <w:snapToGrid w:val="0"/>
      <w:spacing w:line="360" w:lineRule="auto"/>
      <w:ind w:firstLine="200" w:firstLineChars="200"/>
      <w:outlineLvl w:val="3"/>
    </w:pPr>
    <w:rPr>
      <w:bCs/>
      <w:color w:val="000000"/>
      <w:spacing w:val="-4"/>
      <w:kern w:val="44"/>
      <w:sz w:val="24"/>
      <w:szCs w:val="44"/>
    </w:rPr>
  </w:style>
  <w:style w:type="character" w:customStyle="1" w:styleId="343">
    <w:name w:val="二处标题 1 Char"/>
    <w:qFormat/>
    <w:uiPriority w:val="0"/>
    <w:rPr>
      <w:rFonts w:eastAsia="宋体"/>
      <w:b/>
      <w:bCs/>
      <w:kern w:val="44"/>
      <w:sz w:val="44"/>
      <w:szCs w:val="44"/>
      <w:lang w:val="en-US" w:eastAsia="zh-CN" w:bidi="ar-SA"/>
    </w:rPr>
  </w:style>
  <w:style w:type="character" w:customStyle="1" w:styleId="344">
    <w:name w:val="报告正文(宋体) Char"/>
    <w:link w:val="345"/>
    <w:qFormat/>
    <w:uiPriority w:val="0"/>
    <w:rPr>
      <w:rFonts w:eastAsia="宋体"/>
      <w:color w:val="000000"/>
      <w:kern w:val="2"/>
      <w:sz w:val="28"/>
      <w:szCs w:val="24"/>
      <w:lang w:val="en-US" w:eastAsia="zh-CN" w:bidi="ar-SA"/>
    </w:rPr>
  </w:style>
  <w:style w:type="paragraph" w:customStyle="1" w:styleId="345">
    <w:name w:val="报告正文(宋体)"/>
    <w:basedOn w:val="1"/>
    <w:link w:val="344"/>
    <w:qFormat/>
    <w:uiPriority w:val="0"/>
    <w:pPr>
      <w:ind w:firstLine="200" w:firstLineChars="200"/>
      <w:jc w:val="left"/>
    </w:pPr>
    <w:rPr>
      <w:color w:val="000000"/>
      <w:sz w:val="28"/>
    </w:rPr>
  </w:style>
  <w:style w:type="character" w:customStyle="1" w:styleId="346">
    <w:name w:val="纯文本 Char"/>
    <w:qFormat/>
    <w:uiPriority w:val="0"/>
    <w:rPr>
      <w:rFonts w:ascii="宋体" w:hAnsi="Courier New" w:eastAsia="宋体" w:cs="宋体"/>
      <w:kern w:val="2"/>
      <w:sz w:val="21"/>
      <w:szCs w:val="21"/>
      <w:lang w:val="en-US" w:eastAsia="zh-CN" w:bidi="ar-SA"/>
    </w:rPr>
  </w:style>
  <w:style w:type="character" w:customStyle="1" w:styleId="347">
    <w:name w:val="Footer1 Char Char"/>
    <w:qFormat/>
    <w:uiPriority w:val="0"/>
    <w:rPr>
      <w:rFonts w:eastAsia="宋体"/>
      <w:b/>
      <w:bCs/>
      <w:kern w:val="44"/>
      <w:sz w:val="18"/>
      <w:szCs w:val="18"/>
      <w:lang w:val="en-US" w:eastAsia="zh-CN" w:bidi="ar-SA"/>
    </w:rPr>
  </w:style>
  <w:style w:type="character" w:customStyle="1" w:styleId="348">
    <w:name w:val="HTML 预先格式化 Char Char"/>
    <w:qFormat/>
    <w:uiPriority w:val="0"/>
    <w:rPr>
      <w:rFonts w:ascii="黑体" w:hAnsi="Courier New" w:eastAsia="黑体"/>
      <w:bCs/>
      <w:lang w:val="en-US" w:eastAsia="zh-CN" w:bidi="ar-SA"/>
    </w:rPr>
  </w:style>
  <w:style w:type="character" w:customStyle="1" w:styleId="349">
    <w:name w:val="正文文字缩进 Char1"/>
    <w:qFormat/>
    <w:uiPriority w:val="0"/>
    <w:rPr>
      <w:rFonts w:eastAsia="宋体"/>
      <w:kern w:val="2"/>
      <w:sz w:val="28"/>
      <w:szCs w:val="24"/>
      <w:lang w:val="en-US" w:eastAsia="zh-CN" w:bidi="ar-SA"/>
    </w:rPr>
  </w:style>
  <w:style w:type="character" w:customStyle="1" w:styleId="350">
    <w:name w:val="目标题 1) Char Char"/>
    <w:qFormat/>
    <w:uiPriority w:val="0"/>
    <w:rPr>
      <w:rFonts w:ascii="Cambria" w:hAnsi="Cambria" w:eastAsia="宋体" w:cs="Times New Roman"/>
      <w:color w:val="4F81BD"/>
      <w:sz w:val="20"/>
      <w:szCs w:val="20"/>
    </w:rPr>
  </w:style>
  <w:style w:type="character" w:customStyle="1" w:styleId="351">
    <w:name w:val="干标题(a) Char Char"/>
    <w:qFormat/>
    <w:uiPriority w:val="0"/>
    <w:rPr>
      <w:rFonts w:ascii="Cambria" w:hAnsi="Cambria" w:eastAsia="宋体" w:cs="Times New Roman"/>
      <w:i/>
      <w:iCs/>
      <w:color w:val="404040"/>
      <w:sz w:val="20"/>
      <w:szCs w:val="20"/>
    </w:rPr>
  </w:style>
  <w:style w:type="character" w:customStyle="1" w:styleId="352">
    <w:name w:val="书籍标题1"/>
    <w:qFormat/>
    <w:uiPriority w:val="0"/>
    <w:rPr>
      <w:b/>
      <w:bCs/>
      <w:smallCaps/>
      <w:spacing w:val="5"/>
    </w:rPr>
  </w:style>
  <w:style w:type="character" w:customStyle="1" w:styleId="353">
    <w:name w:val="正文首行缩进 Char"/>
    <w:qFormat/>
    <w:uiPriority w:val="0"/>
    <w:rPr>
      <w:rFonts w:ascii="Times New Roman" w:hAnsi="Times New Roman" w:eastAsia="楷体_GB2312" w:cs="Times New Roman"/>
      <w:sz w:val="28"/>
      <w:szCs w:val="20"/>
    </w:rPr>
  </w:style>
  <w:style w:type="character" w:customStyle="1" w:styleId="354">
    <w:name w:val="正文缩进2"/>
    <w:qFormat/>
    <w:uiPriority w:val="0"/>
    <w:rPr>
      <w:rFonts w:eastAsia="宋体"/>
      <w:kern w:val="2"/>
      <w:sz w:val="24"/>
      <w:lang w:val="en-US" w:eastAsia="zh-CN" w:bidi="ar-SA"/>
    </w:rPr>
  </w:style>
  <w:style w:type="character" w:customStyle="1" w:styleId="355">
    <w:name w:val="明显引用 字符"/>
    <w:link w:val="356"/>
    <w:qFormat/>
    <w:uiPriority w:val="0"/>
    <w:rPr>
      <w:rFonts w:ascii="Calibri" w:hAnsi="Calibri" w:eastAsia="宋体"/>
      <w:b/>
      <w:bCs/>
      <w:i/>
      <w:iCs/>
      <w:color w:val="4F81BD"/>
      <w:sz w:val="22"/>
      <w:szCs w:val="22"/>
      <w:lang w:val="en-US" w:eastAsia="en-US" w:bidi="en-US"/>
    </w:rPr>
  </w:style>
  <w:style w:type="paragraph" w:styleId="356">
    <w:name w:val="Intense Quote"/>
    <w:basedOn w:val="1"/>
    <w:next w:val="1"/>
    <w:link w:val="355"/>
    <w:qFormat/>
    <w:uiPriority w:val="0"/>
    <w:pPr>
      <w:widowControl/>
      <w:pBdr>
        <w:bottom w:val="single" w:color="4F81BD" w:sz="4" w:space="4"/>
      </w:pBdr>
      <w:spacing w:before="200" w:after="280" w:line="276" w:lineRule="auto"/>
      <w:ind w:left="936" w:right="936"/>
      <w:jc w:val="left"/>
    </w:pPr>
    <w:rPr>
      <w:rFonts w:ascii="Calibri" w:hAnsi="Calibri"/>
      <w:b/>
      <w:bCs/>
      <w:i/>
      <w:iCs/>
      <w:color w:val="4F81BD"/>
      <w:kern w:val="0"/>
      <w:sz w:val="22"/>
      <w:szCs w:val="22"/>
      <w:lang w:eastAsia="en-US" w:bidi="en-US"/>
    </w:rPr>
  </w:style>
  <w:style w:type="character" w:customStyle="1" w:styleId="357">
    <w:name w:val="不明显强调1"/>
    <w:qFormat/>
    <w:uiPriority w:val="0"/>
    <w:rPr>
      <w:i/>
      <w:iCs/>
      <w:color w:val="808080"/>
    </w:rPr>
  </w:style>
  <w:style w:type="character" w:customStyle="1" w:styleId="358">
    <w:name w:val="明显参考1"/>
    <w:qFormat/>
    <w:uiPriority w:val="0"/>
    <w:rPr>
      <w:b/>
      <w:bCs/>
      <w:smallCaps/>
      <w:color w:val="C0504D"/>
      <w:spacing w:val="5"/>
      <w:u w:val="single"/>
    </w:rPr>
  </w:style>
  <w:style w:type="character" w:customStyle="1" w:styleId="359">
    <w:name w:val="Char Char2"/>
    <w:qFormat/>
    <w:locked/>
    <w:uiPriority w:val="0"/>
    <w:rPr>
      <w:rFonts w:ascii="宋体" w:hAnsi="宋体" w:eastAsia="宋体"/>
      <w:sz w:val="21"/>
      <w:szCs w:val="22"/>
      <w:lang w:val="zh-CN" w:eastAsia="zh-CN" w:bidi="ar-SA"/>
    </w:rPr>
  </w:style>
  <w:style w:type="character" w:customStyle="1" w:styleId="360">
    <w:name w:val="font81"/>
    <w:qFormat/>
    <w:uiPriority w:val="0"/>
    <w:rPr>
      <w:rFonts w:hint="eastAsia" w:ascii="宋体" w:hAnsi="宋体" w:eastAsia="宋体" w:cs="宋体"/>
      <w:color w:val="000000"/>
      <w:sz w:val="21"/>
      <w:szCs w:val="21"/>
      <w:u w:val="none"/>
    </w:rPr>
  </w:style>
  <w:style w:type="character" w:customStyle="1" w:styleId="361">
    <w:name w:val="页眉 Char1"/>
    <w:qFormat/>
    <w:uiPriority w:val="0"/>
    <w:rPr>
      <w:rFonts w:eastAsia="宋体"/>
      <w:sz w:val="18"/>
      <w:lang w:val="en-US" w:eastAsia="zh-CN" w:bidi="ar-SA"/>
    </w:rPr>
  </w:style>
  <w:style w:type="character" w:customStyle="1" w:styleId="362">
    <w:name w:val="fontstyle11"/>
    <w:qFormat/>
    <w:uiPriority w:val="0"/>
    <w:rPr>
      <w:rFonts w:hint="default" w:ascii="TimesNewRomanPSMT" w:hAnsi="TimesNewRomanPSMT"/>
      <w:color w:val="000000"/>
      <w:sz w:val="24"/>
      <w:szCs w:val="24"/>
    </w:rPr>
  </w:style>
  <w:style w:type="character" w:customStyle="1" w:styleId="363">
    <w:name w:val="fontstyle01"/>
    <w:qFormat/>
    <w:uiPriority w:val="0"/>
    <w:rPr>
      <w:rFonts w:hint="eastAsia" w:ascii="宋体" w:hAnsi="宋体" w:eastAsia="宋体"/>
      <w:color w:val="000000"/>
      <w:sz w:val="24"/>
      <w:szCs w:val="24"/>
    </w:rPr>
  </w:style>
  <w:style w:type="paragraph" w:customStyle="1" w:styleId="364">
    <w:name w:val="样式 宋体 四号 行距: 固定值 24 磅"/>
    <w:basedOn w:val="1"/>
    <w:qFormat/>
    <w:uiPriority w:val="0"/>
    <w:pPr>
      <w:spacing w:line="480" w:lineRule="exact"/>
      <w:ind w:firstLine="200" w:firstLineChars="200"/>
    </w:pPr>
    <w:rPr>
      <w:rFonts w:cs="宋体"/>
      <w:sz w:val="28"/>
      <w:szCs w:val="20"/>
    </w:rPr>
  </w:style>
  <w:style w:type="paragraph" w:customStyle="1" w:styleId="365">
    <w:name w:val="首页篇眉"/>
    <w:basedOn w:val="52"/>
    <w:qFormat/>
    <w:uiPriority w:val="0"/>
    <w:pPr>
      <w:keepLines/>
      <w:widowControl/>
      <w:pBdr>
        <w:bottom w:val="none" w:color="auto" w:sz="0" w:space="0"/>
      </w:pBdr>
      <w:tabs>
        <w:tab w:val="center" w:pos="7200"/>
        <w:tab w:val="clear" w:pos="4153"/>
        <w:tab w:val="clear" w:pos="8306"/>
      </w:tabs>
      <w:overflowPunct w:val="0"/>
      <w:autoSpaceDE w:val="0"/>
      <w:autoSpaceDN w:val="0"/>
      <w:adjustRightInd w:val="0"/>
      <w:snapToGrid/>
      <w:textAlignment w:val="baseline"/>
    </w:pPr>
    <w:rPr>
      <w:spacing w:val="80"/>
      <w:kern w:val="0"/>
      <w:sz w:val="20"/>
      <w:szCs w:val="20"/>
    </w:rPr>
  </w:style>
  <w:style w:type="paragraph" w:customStyle="1" w:styleId="366">
    <w:name w:val="Char Char Char Char Char Char1 Char"/>
    <w:basedOn w:val="1"/>
    <w:qFormat/>
    <w:uiPriority w:val="0"/>
  </w:style>
  <w:style w:type="paragraph" w:customStyle="1" w:styleId="367">
    <w:name w:val="表格 居中 行距: 最小值 12 磅"/>
    <w:basedOn w:val="1"/>
    <w:qFormat/>
    <w:uiPriority w:val="0"/>
    <w:pPr>
      <w:spacing w:line="240" w:lineRule="atLeast"/>
      <w:jc w:val="center"/>
    </w:pPr>
    <w:rPr>
      <w:szCs w:val="21"/>
    </w:rPr>
  </w:style>
  <w:style w:type="paragraph" w:customStyle="1" w:styleId="368">
    <w:name w:val="表格 Char Char Char"/>
    <w:basedOn w:val="1"/>
    <w:qFormat/>
    <w:uiPriority w:val="0"/>
    <w:pPr>
      <w:adjustRightInd w:val="0"/>
      <w:snapToGrid w:val="0"/>
      <w:jc w:val="center"/>
    </w:pPr>
    <w:rPr>
      <w:rFonts w:ascii="宋体"/>
      <w:snapToGrid w:val="0"/>
      <w:spacing w:val="4"/>
      <w:w w:val="90"/>
      <w:kern w:val="0"/>
      <w:sz w:val="24"/>
    </w:rPr>
  </w:style>
  <w:style w:type="paragraph" w:customStyle="1" w:styleId="369">
    <w:name w:val="样式4"/>
    <w:basedOn w:val="1"/>
    <w:qFormat/>
    <w:uiPriority w:val="0"/>
    <w:pPr>
      <w:tabs>
        <w:tab w:val="left" w:pos="9128"/>
      </w:tabs>
      <w:adjustRightInd w:val="0"/>
      <w:snapToGrid w:val="0"/>
      <w:spacing w:line="500" w:lineRule="exact"/>
      <w:jc w:val="center"/>
    </w:pPr>
    <w:rPr>
      <w:szCs w:val="20"/>
    </w:rPr>
  </w:style>
  <w:style w:type="paragraph" w:customStyle="1" w:styleId="370">
    <w:name w:val="列表结尾"/>
    <w:basedOn w:val="23"/>
    <w:next w:val="31"/>
    <w:qFormat/>
    <w:uiPriority w:val="0"/>
    <w:pPr>
      <w:widowControl/>
      <w:tabs>
        <w:tab w:val="left" w:pos="720"/>
      </w:tabs>
      <w:overflowPunct w:val="0"/>
      <w:autoSpaceDE w:val="0"/>
      <w:autoSpaceDN w:val="0"/>
      <w:adjustRightInd w:val="0"/>
      <w:spacing w:after="240"/>
      <w:ind w:left="720" w:hanging="360" w:firstLineChars="0"/>
      <w:jc w:val="left"/>
      <w:textAlignment w:val="baseline"/>
    </w:pPr>
    <w:rPr>
      <w:kern w:val="0"/>
      <w:sz w:val="20"/>
      <w:szCs w:val="20"/>
    </w:rPr>
  </w:style>
  <w:style w:type="paragraph" w:customStyle="1" w:styleId="371">
    <w:name w:val="Normal1"/>
    <w:qFormat/>
    <w:uiPriority w:val="0"/>
    <w:pPr>
      <w:widowControl w:val="0"/>
      <w:adjustRightInd w:val="0"/>
      <w:spacing w:line="315" w:lineRule="atLeast"/>
    </w:pPr>
    <w:rPr>
      <w:rFonts w:ascii="宋体" w:hAnsi="Times New Roman" w:eastAsia="宋体" w:cs="Times New Roman"/>
      <w:sz w:val="24"/>
      <w:lang w:val="en-US" w:eastAsia="zh-CN" w:bidi="ar-SA"/>
    </w:rPr>
  </w:style>
  <w:style w:type="paragraph" w:customStyle="1" w:styleId="372">
    <w:name w:val="xl38"/>
    <w:basedOn w:val="1"/>
    <w:qFormat/>
    <w:uiPriority w:val="0"/>
    <w:pPr>
      <w:widowControl/>
      <w:pBdr>
        <w:left w:val="single" w:color="auto" w:sz="4" w:space="0"/>
        <w:right w:val="single" w:color="auto" w:sz="4" w:space="0"/>
      </w:pBdr>
      <w:spacing w:before="100" w:after="100"/>
      <w:jc w:val="center"/>
      <w:textAlignment w:val="center"/>
    </w:pPr>
    <w:rPr>
      <w:rFonts w:hint="eastAsia" w:ascii="楷体_GB2312" w:hAnsi="Arial Unicode MS" w:eastAsia="楷体_GB2312"/>
      <w:kern w:val="0"/>
      <w:sz w:val="24"/>
      <w:szCs w:val="20"/>
    </w:rPr>
  </w:style>
  <w:style w:type="paragraph" w:customStyle="1" w:styleId="373">
    <w:name w:val="样式 标题 4 + 段前: 0.5 行 段后: 0.5 行"/>
    <w:basedOn w:val="5"/>
    <w:qFormat/>
    <w:uiPriority w:val="0"/>
    <w:pPr>
      <w:keepLines w:val="0"/>
      <w:tabs>
        <w:tab w:val="clear" w:pos="864"/>
      </w:tabs>
      <w:spacing w:beforeLines="50" w:afterLines="50" w:line="240" w:lineRule="auto"/>
      <w:ind w:left="0" w:firstLine="0"/>
    </w:pPr>
    <w:rPr>
      <w:rFonts w:ascii="黑体" w:hAnsi="Courier New"/>
      <w:b w:val="0"/>
      <w:kern w:val="44"/>
      <w:sz w:val="24"/>
      <w:szCs w:val="20"/>
    </w:rPr>
  </w:style>
  <w:style w:type="paragraph" w:customStyle="1" w:styleId="374">
    <w:name w:val="xl56"/>
    <w:basedOn w:val="1"/>
    <w:qFormat/>
    <w:uiPriority w:val="0"/>
    <w:pPr>
      <w:widowControl/>
      <w:spacing w:before="100" w:beforeAutospacing="1" w:after="100" w:afterAutospacing="1"/>
      <w:jc w:val="center"/>
    </w:pPr>
    <w:rPr>
      <w:kern w:val="0"/>
      <w:sz w:val="18"/>
      <w:szCs w:val="18"/>
    </w:rPr>
  </w:style>
  <w:style w:type="paragraph" w:customStyle="1" w:styleId="375">
    <w:name w:val="正文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6">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7">
    <w:name w:val="样式 样式 宋体 小四 行距: 1.5 倍行距 + 首行缩进:  2 字符"/>
    <w:basedOn w:val="1"/>
    <w:qFormat/>
    <w:uiPriority w:val="0"/>
    <w:pPr>
      <w:spacing w:line="360" w:lineRule="auto"/>
      <w:ind w:firstLine="560" w:firstLineChars="200"/>
    </w:pPr>
    <w:rPr>
      <w:rFonts w:ascii="宋体" w:hAnsi="宋体"/>
      <w:kern w:val="28"/>
      <w:sz w:val="28"/>
      <w:szCs w:val="20"/>
    </w:rPr>
  </w:style>
  <w:style w:type="paragraph" w:customStyle="1" w:styleId="378">
    <w:name w:val="样式 标题 1标题 1-王鹏纪任山标题 1 + 三号 加粗 行距: 固定值 24 磅"/>
    <w:basedOn w:val="2"/>
    <w:qFormat/>
    <w:uiPriority w:val="0"/>
    <w:pPr>
      <w:keepLines w:val="0"/>
      <w:snapToGrid/>
      <w:spacing w:after="0" w:line="480" w:lineRule="exact"/>
      <w:jc w:val="center"/>
    </w:pPr>
    <w:rPr>
      <w:rFonts w:ascii="宋体" w:hAnsi="宋体" w:eastAsia="宋体" w:cs="宋体"/>
      <w:b/>
      <w:bCs/>
      <w:kern w:val="2"/>
      <w:sz w:val="32"/>
    </w:rPr>
  </w:style>
  <w:style w:type="paragraph" w:customStyle="1" w:styleId="379">
    <w:name w:val="正文段落S"/>
    <w:basedOn w:val="1"/>
    <w:qFormat/>
    <w:uiPriority w:val="0"/>
    <w:pPr>
      <w:widowControl/>
      <w:spacing w:after="200" w:line="276" w:lineRule="auto"/>
      <w:jc w:val="left"/>
    </w:pPr>
    <w:rPr>
      <w:rFonts w:ascii="宋体" w:hAnsi="宋体"/>
      <w:snapToGrid w:val="0"/>
      <w:kern w:val="0"/>
      <w:sz w:val="24"/>
      <w:lang w:eastAsia="en-US" w:bidi="en-US"/>
    </w:rPr>
  </w:style>
  <w:style w:type="paragraph" w:customStyle="1" w:styleId="380">
    <w:name w:val="Char Char5 Char Char Char Char"/>
    <w:basedOn w:val="1"/>
    <w:qFormat/>
    <w:uiPriority w:val="0"/>
  </w:style>
  <w:style w:type="paragraph" w:customStyle="1" w:styleId="381">
    <w:name w:val="Char Char Char Char Char2 Char"/>
    <w:basedOn w:val="1"/>
    <w:qFormat/>
    <w:uiPriority w:val="0"/>
    <w:pPr>
      <w:spacing w:line="360" w:lineRule="auto"/>
      <w:ind w:firstLine="200"/>
    </w:pPr>
    <w:rPr>
      <w:spacing w:val="20"/>
      <w:sz w:val="24"/>
    </w:rPr>
  </w:style>
  <w:style w:type="paragraph" w:customStyle="1" w:styleId="382">
    <w:name w:val="xl79"/>
    <w:basedOn w:val="1"/>
    <w:qFormat/>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宋体" w:hAnsi="宋体"/>
      <w:kern w:val="0"/>
      <w:sz w:val="20"/>
      <w:szCs w:val="20"/>
    </w:rPr>
  </w:style>
  <w:style w:type="paragraph" w:customStyle="1" w:styleId="383">
    <w:name w:val="样式 标题 2标题 2-王鹏标题2纪任山标题 2Char标题 2 Char1标题 2 Char Char + 左侧:..."/>
    <w:basedOn w:val="3"/>
    <w:qFormat/>
    <w:uiPriority w:val="0"/>
    <w:pPr>
      <w:spacing w:before="0" w:after="0" w:line="480" w:lineRule="exact"/>
      <w:ind w:left="-63" w:leftChars="-30" w:firstLine="602" w:firstLineChars="200"/>
    </w:pPr>
    <w:rPr>
      <w:rFonts w:ascii="Times New Roman" w:hAnsi="Times New Roman" w:eastAsia="宋体" w:cs="宋体"/>
      <w:sz w:val="30"/>
      <w:szCs w:val="20"/>
    </w:rPr>
  </w:style>
  <w:style w:type="paragraph" w:customStyle="1" w:styleId="384">
    <w:name w:val="样式 题注 + 居中 Char Char Char Char"/>
    <w:basedOn w:val="21"/>
    <w:next w:val="1"/>
    <w:qFormat/>
    <w:uiPriority w:val="0"/>
    <w:pPr>
      <w:spacing w:before="120" w:after="120"/>
      <w:jc w:val="center"/>
    </w:pPr>
    <w:rPr>
      <w:rFonts w:cs="宋体"/>
      <w:sz w:val="24"/>
      <w:szCs w:val="24"/>
    </w:rPr>
  </w:style>
  <w:style w:type="paragraph" w:customStyle="1" w:styleId="385">
    <w:name w:val="正文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86">
    <w:name w:val="正文文字 3"/>
    <w:basedOn w:val="1"/>
    <w:semiHidden/>
    <w:qFormat/>
    <w:uiPriority w:val="0"/>
    <w:pPr>
      <w:spacing w:line="280" w:lineRule="exact"/>
      <w:jc w:val="center"/>
    </w:pPr>
    <w:rPr>
      <w:rFonts w:ascii="仿宋_GB2312" w:hAnsi="Arial Black" w:eastAsia="仿宋_GB2312" w:cs="仿宋_GB2312"/>
      <w:szCs w:val="21"/>
    </w:rPr>
  </w:style>
  <w:style w:type="paragraph" w:customStyle="1" w:styleId="387">
    <w:name w:val="列表延续 4"/>
    <w:basedOn w:val="1"/>
    <w:qFormat/>
    <w:uiPriority w:val="0"/>
    <w:pPr>
      <w:adjustRightInd w:val="0"/>
      <w:spacing w:after="120" w:line="312" w:lineRule="atLeast"/>
      <w:ind w:left="840"/>
      <w:textAlignment w:val="baseline"/>
    </w:pPr>
    <w:rPr>
      <w:rFonts w:ascii="宋体"/>
      <w:kern w:val="0"/>
      <w:szCs w:val="20"/>
    </w:rPr>
  </w:style>
  <w:style w:type="paragraph" w:customStyle="1" w:styleId="388">
    <w:name w:val="标题二最终"/>
    <w:basedOn w:val="1"/>
    <w:qFormat/>
    <w:uiPriority w:val="0"/>
    <w:pPr>
      <w:keepNext/>
      <w:keepLines/>
      <w:tabs>
        <w:tab w:val="left" w:pos="567"/>
      </w:tabs>
      <w:adjustRightInd w:val="0"/>
      <w:snapToGrid w:val="0"/>
      <w:spacing w:beforeLines="50" w:line="360" w:lineRule="auto"/>
      <w:ind w:left="425" w:hanging="425"/>
      <w:outlineLvl w:val="1"/>
    </w:pPr>
    <w:rPr>
      <w:b/>
      <w:bCs/>
      <w:sz w:val="30"/>
      <w:szCs w:val="30"/>
    </w:rPr>
  </w:style>
  <w:style w:type="paragraph" w:customStyle="1" w:styleId="389">
    <w:name w:val="样式 2 +"/>
    <w:basedOn w:val="1"/>
    <w:qFormat/>
    <w:uiPriority w:val="0"/>
    <w:pPr>
      <w:tabs>
        <w:tab w:val="left" w:pos="12420"/>
      </w:tabs>
    </w:pPr>
    <w:rPr>
      <w:rFonts w:ascii="仿宋_GB2312" w:eastAsia="仿宋_GB2312"/>
      <w:sz w:val="28"/>
      <w:szCs w:val="30"/>
    </w:rPr>
  </w:style>
  <w:style w:type="paragraph" w:customStyle="1" w:styleId="390">
    <w:name w:val="WPS Plain"/>
    <w:qFormat/>
    <w:uiPriority w:val="0"/>
    <w:rPr>
      <w:rFonts w:ascii="Times New Roman" w:hAnsi="Times New Roman" w:eastAsia="宋体" w:cs="Times New Roman"/>
      <w:lang w:val="en-US" w:eastAsia="zh-CN" w:bidi="ar-SA"/>
    </w:rPr>
  </w:style>
  <w:style w:type="paragraph" w:customStyle="1" w:styleId="391">
    <w:name w:val="标准"/>
    <w:basedOn w:val="1"/>
    <w:qFormat/>
    <w:uiPriority w:val="0"/>
    <w:pPr>
      <w:adjustRightInd w:val="0"/>
      <w:spacing w:line="312" w:lineRule="atLeast"/>
      <w:jc w:val="center"/>
      <w:textAlignment w:val="baseline"/>
    </w:pPr>
    <w:rPr>
      <w:kern w:val="0"/>
      <w:szCs w:val="20"/>
    </w:rPr>
  </w:style>
  <w:style w:type="paragraph" w:customStyle="1" w:styleId="392">
    <w:name w:val="xl53"/>
    <w:basedOn w:val="1"/>
    <w:qFormat/>
    <w:uiPriority w:val="0"/>
    <w:pPr>
      <w:widowControl/>
      <w:pBdr>
        <w:top w:val="single" w:color="000000" w:sz="4" w:space="0"/>
        <w:right w:val="single" w:color="000000" w:sz="4" w:space="0"/>
      </w:pBdr>
      <w:spacing w:before="100" w:beforeAutospacing="1" w:after="100" w:afterAutospacing="1"/>
      <w:jc w:val="center"/>
    </w:pPr>
    <w:rPr>
      <w:rFonts w:ascii="宋体" w:hAnsi="宋体"/>
      <w:kern w:val="0"/>
      <w:szCs w:val="21"/>
    </w:rPr>
  </w:style>
  <w:style w:type="paragraph" w:customStyle="1" w:styleId="393">
    <w:name w:val="Char Char9 Char Char Char Char Char Char"/>
    <w:basedOn w:val="1"/>
    <w:qFormat/>
    <w:uiPriority w:val="0"/>
    <w:pPr>
      <w:spacing w:beforeLines="100" w:afterLines="50" w:line="600" w:lineRule="exact"/>
      <w:ind w:firstLine="200" w:firstLineChars="200"/>
    </w:pPr>
    <w:rPr>
      <w:rFonts w:eastAsia="黑体"/>
      <w:sz w:val="28"/>
    </w:rPr>
  </w:style>
  <w:style w:type="paragraph" w:customStyle="1" w:styleId="394">
    <w:name w:val="样1"/>
    <w:basedOn w:val="1"/>
    <w:qFormat/>
    <w:uiPriority w:val="0"/>
    <w:pPr>
      <w:autoSpaceDE w:val="0"/>
      <w:autoSpaceDN w:val="0"/>
      <w:adjustRightInd w:val="0"/>
      <w:ind w:right="232" w:firstLine="420" w:firstLineChars="199"/>
      <w:jc w:val="center"/>
      <w:textAlignment w:val="bottom"/>
    </w:pPr>
    <w:rPr>
      <w:b/>
      <w:bCs/>
      <w:kern w:val="0"/>
      <w:szCs w:val="21"/>
    </w:rPr>
  </w:style>
  <w:style w:type="paragraph" w:customStyle="1" w:styleId="395">
    <w:name w:val="Char Char Char Char Char Char1 Char Char Char Char"/>
    <w:basedOn w:val="1"/>
    <w:qFormat/>
    <w:uiPriority w:val="0"/>
  </w:style>
  <w:style w:type="paragraph" w:customStyle="1" w:styleId="396">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kern w:val="0"/>
      <w:sz w:val="24"/>
    </w:rPr>
  </w:style>
  <w:style w:type="paragraph" w:customStyle="1" w:styleId="39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398">
    <w:name w:val="三级条标题"/>
    <w:basedOn w:val="399"/>
    <w:next w:val="1"/>
    <w:qFormat/>
    <w:uiPriority w:val="0"/>
    <w:pPr>
      <w:tabs>
        <w:tab w:val="left" w:pos="360"/>
      </w:tabs>
      <w:outlineLvl w:val="4"/>
    </w:pPr>
  </w:style>
  <w:style w:type="paragraph" w:customStyle="1" w:styleId="399">
    <w:name w:val="二级条标题"/>
    <w:basedOn w:val="400"/>
    <w:next w:val="1"/>
    <w:qFormat/>
    <w:uiPriority w:val="0"/>
    <w:pPr>
      <w:tabs>
        <w:tab w:val="left" w:pos="360"/>
      </w:tabs>
      <w:outlineLvl w:val="3"/>
    </w:pPr>
    <w:rPr>
      <w:rFonts w:cs="Times New Roman"/>
      <w:szCs w:val="20"/>
    </w:rPr>
  </w:style>
  <w:style w:type="paragraph" w:customStyle="1" w:styleId="400">
    <w:name w:val="一级条标题"/>
    <w:basedOn w:val="1"/>
    <w:next w:val="1"/>
    <w:qFormat/>
    <w:uiPriority w:val="0"/>
    <w:pPr>
      <w:widowControl/>
      <w:tabs>
        <w:tab w:val="left" w:pos="360"/>
      </w:tabs>
      <w:outlineLvl w:val="2"/>
    </w:pPr>
    <w:rPr>
      <w:rFonts w:ascii="黑体" w:eastAsia="黑体" w:cs="黑体"/>
      <w:kern w:val="0"/>
      <w:szCs w:val="21"/>
    </w:rPr>
  </w:style>
  <w:style w:type="paragraph" w:customStyle="1" w:styleId="401">
    <w:name w:val="表头02"/>
    <w:basedOn w:val="1"/>
    <w:qFormat/>
    <w:uiPriority w:val="0"/>
    <w:pPr>
      <w:jc w:val="left"/>
    </w:pPr>
    <w:rPr>
      <w:b/>
    </w:rPr>
  </w:style>
  <w:style w:type="paragraph" w:customStyle="1" w:styleId="402">
    <w:name w:val="reader-word-layer reader-word-s2-12"/>
    <w:basedOn w:val="1"/>
    <w:qFormat/>
    <w:uiPriority w:val="0"/>
    <w:pPr>
      <w:widowControl/>
      <w:spacing w:before="100" w:beforeAutospacing="1" w:after="100" w:afterAutospacing="1"/>
      <w:jc w:val="left"/>
    </w:pPr>
    <w:rPr>
      <w:rFonts w:ascii="宋体" w:hAnsi="宋体" w:cs="宋体"/>
      <w:kern w:val="0"/>
      <w:sz w:val="24"/>
    </w:rPr>
  </w:style>
  <w:style w:type="paragraph" w:customStyle="1" w:styleId="403">
    <w:name w:val="Char Char Char Char Char Char Char Char Char1 Char Char Char"/>
    <w:basedOn w:val="1"/>
    <w:qFormat/>
    <w:uiPriority w:val="0"/>
    <w:rPr>
      <w:sz w:val="24"/>
    </w:rPr>
  </w:style>
  <w:style w:type="paragraph" w:customStyle="1" w:styleId="404">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kern w:val="0"/>
      <w:sz w:val="24"/>
    </w:rPr>
  </w:style>
  <w:style w:type="paragraph" w:customStyle="1" w:styleId="405">
    <w:name w:val="样式 乙炔样式2 + 加粗"/>
    <w:basedOn w:val="1"/>
    <w:qFormat/>
    <w:uiPriority w:val="0"/>
    <w:pPr>
      <w:keepNext/>
      <w:keepLines/>
      <w:spacing w:beforeLines="50" w:afterLines="50" w:line="324" w:lineRule="auto"/>
      <w:outlineLvl w:val="1"/>
    </w:pPr>
    <w:rPr>
      <w:rFonts w:ascii="Arial" w:hAnsi="Arial" w:eastAsia="黑体"/>
      <w:b/>
      <w:bCs/>
      <w:sz w:val="24"/>
      <w:szCs w:val="32"/>
    </w:rPr>
  </w:style>
  <w:style w:type="paragraph" w:customStyle="1" w:styleId="406">
    <w:name w:val="编号结尾"/>
    <w:basedOn w:val="19"/>
    <w:next w:val="31"/>
    <w:qFormat/>
    <w:uiPriority w:val="0"/>
    <w:pPr>
      <w:widowControl/>
      <w:tabs>
        <w:tab w:val="clear" w:pos="360"/>
      </w:tabs>
      <w:overflowPunct w:val="0"/>
      <w:autoSpaceDE w:val="0"/>
      <w:autoSpaceDN w:val="0"/>
      <w:adjustRightInd w:val="0"/>
      <w:spacing w:after="240" w:line="240" w:lineRule="auto"/>
      <w:ind w:left="720" w:firstLine="0" w:firstLineChars="0"/>
      <w:jc w:val="left"/>
      <w:textAlignment w:val="baseline"/>
    </w:pPr>
    <w:rPr>
      <w:rFonts w:eastAsia="宋体"/>
      <w:kern w:val="0"/>
      <w:sz w:val="20"/>
      <w:szCs w:val="20"/>
    </w:rPr>
  </w:style>
  <w:style w:type="paragraph" w:customStyle="1" w:styleId="407">
    <w:name w:val="Char13 Char Char Char Char Char Char"/>
    <w:basedOn w:val="1"/>
    <w:qFormat/>
    <w:uiPriority w:val="0"/>
    <w:pPr>
      <w:tabs>
        <w:tab w:val="left" w:pos="794"/>
        <w:tab w:val="left" w:pos="1191"/>
        <w:tab w:val="left" w:pos="1588"/>
        <w:tab w:val="left" w:pos="1985"/>
      </w:tabs>
      <w:autoSpaceDE w:val="0"/>
      <w:autoSpaceDN w:val="0"/>
      <w:adjustRightInd w:val="0"/>
      <w:spacing w:before="136"/>
    </w:pPr>
    <w:rPr>
      <w:szCs w:val="20"/>
    </w:rPr>
  </w:style>
  <w:style w:type="paragraph" w:customStyle="1" w:styleId="408">
    <w:name w:val="正文1 Char Char1 Char"/>
    <w:basedOn w:val="1"/>
    <w:qFormat/>
    <w:uiPriority w:val="0"/>
    <w:pPr>
      <w:adjustRightInd w:val="0"/>
      <w:snapToGrid w:val="0"/>
      <w:spacing w:line="516" w:lineRule="exact"/>
      <w:ind w:firstLine="200" w:firstLineChars="200"/>
    </w:pPr>
    <w:rPr>
      <w:rFonts w:eastAsia="仿宋_GB2312"/>
      <w:sz w:val="26"/>
      <w:szCs w:val="26"/>
    </w:rPr>
  </w:style>
  <w:style w:type="paragraph" w:customStyle="1" w:styleId="409">
    <w:name w:val="样式 标题 2二处标题 2节标题 1.11.1标题2b2ParagrafoH22nd levelh2Heade...2"/>
    <w:basedOn w:val="3"/>
    <w:qFormat/>
    <w:uiPriority w:val="0"/>
    <w:pPr>
      <w:keepNext w:val="0"/>
      <w:keepLines w:val="0"/>
      <w:adjustRightInd w:val="0"/>
      <w:snapToGrid w:val="0"/>
      <w:spacing w:before="0" w:after="0" w:line="480" w:lineRule="exact"/>
      <w:ind w:firstLine="600" w:firstLineChars="200"/>
      <w:jc w:val="left"/>
    </w:pPr>
    <w:rPr>
      <w:rFonts w:ascii="Times New Roman" w:hAnsi="Times New Roman" w:eastAsia="Times New Roman" w:cs="宋体"/>
      <w:bCs w:val="0"/>
      <w:color w:val="000000"/>
      <w:sz w:val="30"/>
      <w:szCs w:val="20"/>
    </w:rPr>
  </w:style>
  <w:style w:type="paragraph" w:customStyle="1" w:styleId="410">
    <w:name w:val="正文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1">
    <w:name w:val="xl66"/>
    <w:basedOn w:val="1"/>
    <w:qFormat/>
    <w:uiPriority w:val="0"/>
    <w:pPr>
      <w:widowControl/>
      <w:pBdr>
        <w:right w:val="single" w:color="auto" w:sz="4" w:space="0"/>
      </w:pBdr>
      <w:spacing w:before="100" w:beforeAutospacing="1" w:after="100" w:afterAutospacing="1"/>
    </w:pPr>
    <w:rPr>
      <w:kern w:val="0"/>
      <w:szCs w:val="21"/>
    </w:rPr>
  </w:style>
  <w:style w:type="paragraph" w:customStyle="1" w:styleId="412">
    <w:name w:val="标题四最终"/>
    <w:basedOn w:val="413"/>
    <w:qFormat/>
    <w:uiPriority w:val="0"/>
    <w:pPr>
      <w:tabs>
        <w:tab w:val="left" w:pos="864"/>
        <w:tab w:val="left" w:pos="1800"/>
      </w:tabs>
      <w:spacing w:beforeLines="0"/>
      <w:ind w:left="864" w:hanging="864"/>
      <w:outlineLvl w:val="3"/>
    </w:pPr>
    <w:rPr>
      <w:rFonts w:hAnsi="Times New Roman"/>
    </w:rPr>
  </w:style>
  <w:style w:type="paragraph" w:customStyle="1" w:styleId="413">
    <w:name w:val="标题三最终"/>
    <w:basedOn w:val="1"/>
    <w:qFormat/>
    <w:uiPriority w:val="0"/>
    <w:pPr>
      <w:keepNext/>
      <w:keepLines/>
      <w:tabs>
        <w:tab w:val="left" w:pos="1800"/>
      </w:tabs>
      <w:adjustRightInd w:val="0"/>
      <w:snapToGrid w:val="0"/>
      <w:spacing w:beforeLines="50" w:line="360" w:lineRule="auto"/>
      <w:ind w:left="1800" w:hanging="720"/>
      <w:jc w:val="left"/>
      <w:outlineLvl w:val="2"/>
    </w:pPr>
    <w:rPr>
      <w:rFonts w:hAnsi="宋体"/>
      <w:b/>
      <w:bCs/>
      <w:snapToGrid w:val="0"/>
      <w:sz w:val="28"/>
      <w:szCs w:val="28"/>
    </w:rPr>
  </w:style>
  <w:style w:type="paragraph" w:customStyle="1" w:styleId="414">
    <w:name w:val="a0"/>
    <w:basedOn w:val="1"/>
    <w:qFormat/>
    <w:uiPriority w:val="0"/>
    <w:pPr>
      <w:widowControl/>
      <w:spacing w:before="100" w:beforeAutospacing="1" w:after="100" w:afterAutospacing="1"/>
      <w:ind w:firstLine="360"/>
      <w:jc w:val="left"/>
    </w:pPr>
    <w:rPr>
      <w:rFonts w:ascii="宋体" w:hAnsi="宋体" w:cs="宋体"/>
      <w:kern w:val="0"/>
      <w:sz w:val="24"/>
    </w:rPr>
  </w:style>
  <w:style w:type="paragraph" w:customStyle="1" w:styleId="415">
    <w:name w:val="Char Char Char1 Char Char Char Char Char Char Char Char Char Char Char Char Char Char Char Char"/>
    <w:basedOn w:val="1"/>
    <w:qFormat/>
    <w:uiPriority w:val="0"/>
  </w:style>
  <w:style w:type="paragraph" w:customStyle="1" w:styleId="416">
    <w:name w:val="正文内容"/>
    <w:basedOn w:val="1"/>
    <w:qFormat/>
    <w:uiPriority w:val="0"/>
    <w:pPr>
      <w:adjustRightInd w:val="0"/>
      <w:snapToGrid w:val="0"/>
      <w:spacing w:line="360" w:lineRule="auto"/>
      <w:ind w:firstLine="496" w:firstLineChars="200"/>
    </w:pPr>
    <w:rPr>
      <w:rFonts w:ascii="宋体" w:hAnsi="宋体"/>
      <w:snapToGrid w:val="0"/>
      <w:spacing w:val="4"/>
      <w:kern w:val="0"/>
      <w:sz w:val="24"/>
      <w:szCs w:val="20"/>
    </w:rPr>
  </w:style>
  <w:style w:type="paragraph" w:customStyle="1" w:styleId="417">
    <w:name w:val="首行缩进 Char Char"/>
    <w:basedOn w:val="1"/>
    <w:qFormat/>
    <w:uiPriority w:val="0"/>
    <w:pPr>
      <w:snapToGrid w:val="0"/>
      <w:spacing w:line="360" w:lineRule="auto"/>
      <w:ind w:firstLine="499"/>
    </w:pPr>
    <w:rPr>
      <w:rFonts w:ascii="宋体"/>
      <w:sz w:val="24"/>
      <w:szCs w:val="20"/>
    </w:rPr>
  </w:style>
  <w:style w:type="paragraph" w:customStyle="1" w:styleId="418">
    <w:name w:val="样式 仿宋_GB2312 四号1"/>
    <w:basedOn w:val="1"/>
    <w:qFormat/>
    <w:uiPriority w:val="0"/>
    <w:pPr>
      <w:ind w:firstLine="560" w:firstLineChars="200"/>
    </w:pPr>
    <w:rPr>
      <w:rFonts w:ascii="仿宋_GB2312" w:hAnsi="宋体" w:eastAsia="仿宋_GB2312" w:cs="宋体"/>
      <w:sz w:val="28"/>
      <w:szCs w:val="28"/>
    </w:rPr>
  </w:style>
  <w:style w:type="paragraph" w:customStyle="1" w:styleId="419">
    <w:name w:val="liuqiao"/>
    <w:basedOn w:val="1"/>
    <w:qFormat/>
    <w:uiPriority w:val="0"/>
    <w:pPr>
      <w:widowControl/>
      <w:spacing w:before="100" w:beforeAutospacing="1" w:after="100" w:afterAutospacing="1" w:line="120" w:lineRule="auto"/>
      <w:jc w:val="left"/>
    </w:pPr>
    <w:rPr>
      <w:rFonts w:ascii="宋体" w:hAnsi="宋体" w:cs="宋体"/>
      <w:kern w:val="0"/>
      <w:sz w:val="18"/>
      <w:szCs w:val="18"/>
    </w:rPr>
  </w:style>
  <w:style w:type="paragraph" w:customStyle="1" w:styleId="420">
    <w:name w:val="表内5S"/>
    <w:basedOn w:val="1"/>
    <w:qFormat/>
    <w:uiPriority w:val="0"/>
    <w:pPr>
      <w:spacing w:line="300" w:lineRule="atLeast"/>
      <w:jc w:val="center"/>
    </w:pPr>
    <w:rPr>
      <w:rFonts w:eastAsia="方正宋三简体"/>
      <w:szCs w:val="20"/>
    </w:rPr>
  </w:style>
  <w:style w:type="paragraph" w:customStyle="1" w:styleId="421">
    <w:name w:val="3标题"/>
    <w:basedOn w:val="1"/>
    <w:next w:val="1"/>
    <w:qFormat/>
    <w:uiPriority w:val="0"/>
    <w:pPr>
      <w:spacing w:line="440" w:lineRule="exact"/>
    </w:pPr>
    <w:rPr>
      <w:sz w:val="28"/>
    </w:rPr>
  </w:style>
  <w:style w:type="paragraph" w:customStyle="1" w:styleId="422">
    <w:name w:val="20"/>
    <w:basedOn w:val="1"/>
    <w:qFormat/>
    <w:uiPriority w:val="0"/>
    <w:pPr>
      <w:widowControl/>
      <w:snapToGrid w:val="0"/>
      <w:spacing w:before="100" w:beforeAutospacing="1" w:after="100" w:afterAutospacing="1" w:line="360" w:lineRule="atLeast"/>
      <w:ind w:left="200"/>
    </w:pPr>
    <w:rPr>
      <w:kern w:val="0"/>
      <w:sz w:val="24"/>
    </w:rPr>
  </w:style>
  <w:style w:type="paragraph" w:customStyle="1" w:styleId="423">
    <w:name w:val="加粗 居中"/>
    <w:basedOn w:val="424"/>
    <w:qFormat/>
    <w:uiPriority w:val="0"/>
    <w:pPr>
      <w:spacing w:afterLines="25"/>
      <w:ind w:firstLine="0" w:firstLineChars="0"/>
      <w:jc w:val="center"/>
    </w:pPr>
    <w:rPr>
      <w:b/>
      <w:bCs/>
      <w:sz w:val="21"/>
    </w:rPr>
  </w:style>
  <w:style w:type="paragraph" w:customStyle="1" w:styleId="424">
    <w:name w:val="样式 首行缩进:  2 字符"/>
    <w:basedOn w:val="1"/>
    <w:qFormat/>
    <w:uiPriority w:val="0"/>
    <w:pPr>
      <w:spacing w:line="360" w:lineRule="auto"/>
      <w:ind w:firstLine="200" w:firstLineChars="200"/>
    </w:pPr>
    <w:rPr>
      <w:rFonts w:cs="宋体"/>
      <w:sz w:val="28"/>
      <w:szCs w:val="20"/>
    </w:rPr>
  </w:style>
  <w:style w:type="paragraph" w:customStyle="1" w:styleId="425">
    <w:name w:val="xl40"/>
    <w:basedOn w:val="1"/>
    <w:qFormat/>
    <w:uiPriority w:val="0"/>
    <w:pPr>
      <w:widowControl/>
      <w:pBdr>
        <w:right w:val="single" w:color="auto" w:sz="4" w:space="0"/>
      </w:pBdr>
      <w:spacing w:before="100" w:beforeAutospacing="1" w:after="100" w:afterAutospacing="1"/>
      <w:jc w:val="center"/>
      <w:textAlignment w:val="top"/>
    </w:pPr>
    <w:rPr>
      <w:rFonts w:ascii="宋体" w:hAnsi="宋体"/>
      <w:kern w:val="0"/>
      <w:szCs w:val="21"/>
    </w:rPr>
  </w:style>
  <w:style w:type="paragraph" w:customStyle="1" w:styleId="426">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427">
    <w:name w:val="我的样式3"/>
    <w:basedOn w:val="4"/>
    <w:qFormat/>
    <w:uiPriority w:val="0"/>
    <w:pPr>
      <w:tabs>
        <w:tab w:val="clear" w:pos="720"/>
      </w:tabs>
      <w:spacing w:beforeLines="50" w:afterLines="50" w:line="240" w:lineRule="auto"/>
      <w:ind w:left="0" w:firstLine="0"/>
    </w:pPr>
    <w:rPr>
      <w:rFonts w:hAnsi="宋体"/>
      <w:sz w:val="24"/>
    </w:rPr>
  </w:style>
  <w:style w:type="paragraph" w:customStyle="1" w:styleId="428">
    <w:name w:val="xl71"/>
    <w:basedOn w:val="1"/>
    <w:qFormat/>
    <w:uiPriority w:val="0"/>
    <w:pPr>
      <w:widowControl/>
      <w:pBdr>
        <w:right w:val="single" w:color="auto" w:sz="4" w:space="0"/>
      </w:pBdr>
      <w:shd w:val="clear" w:color="auto" w:fill="FFFF00"/>
      <w:spacing w:before="100" w:beforeAutospacing="1" w:after="100" w:afterAutospacing="1"/>
      <w:jc w:val="center"/>
    </w:pPr>
    <w:rPr>
      <w:kern w:val="0"/>
      <w:szCs w:val="21"/>
    </w:rPr>
  </w:style>
  <w:style w:type="paragraph" w:customStyle="1" w:styleId="429">
    <w:name w:val="样式 标题 2标题 2-王鹏标题2纪任山标题 2Char标题 2 Char1标题 2 Char Char二处标题 ...1"/>
    <w:basedOn w:val="3"/>
    <w:qFormat/>
    <w:uiPriority w:val="0"/>
    <w:pPr>
      <w:spacing w:before="0" w:after="0" w:line="480" w:lineRule="exact"/>
      <w:ind w:left="-30" w:leftChars="-30" w:firstLine="200" w:firstLineChars="200"/>
    </w:pPr>
    <w:rPr>
      <w:rFonts w:ascii="Times New Roman" w:hAnsi="Times New Roman" w:eastAsia="宋体" w:cs="宋体"/>
      <w:sz w:val="30"/>
      <w:szCs w:val="20"/>
    </w:rPr>
  </w:style>
  <w:style w:type="paragraph" w:customStyle="1" w:styleId="430">
    <w:name w:val="五级条标题"/>
    <w:basedOn w:val="431"/>
    <w:next w:val="1"/>
    <w:qFormat/>
    <w:uiPriority w:val="0"/>
    <w:pPr>
      <w:tabs>
        <w:tab w:val="left" w:pos="360"/>
      </w:tabs>
      <w:outlineLvl w:val="6"/>
    </w:pPr>
  </w:style>
  <w:style w:type="paragraph" w:customStyle="1" w:styleId="431">
    <w:name w:val="四级条标题"/>
    <w:basedOn w:val="398"/>
    <w:next w:val="1"/>
    <w:qFormat/>
    <w:uiPriority w:val="0"/>
    <w:pPr>
      <w:outlineLvl w:val="5"/>
    </w:pPr>
  </w:style>
  <w:style w:type="paragraph" w:customStyle="1" w:styleId="432">
    <w:name w:val="Char Char Char Char Char Char Char Char Char Char Char Char Char Char Char Char Char Char Char"/>
    <w:basedOn w:val="1"/>
    <w:qFormat/>
    <w:uiPriority w:val="0"/>
  </w:style>
  <w:style w:type="paragraph" w:customStyle="1" w:styleId="433">
    <w:name w:val="正文11 Char"/>
    <w:basedOn w:val="1"/>
    <w:qFormat/>
    <w:uiPriority w:val="0"/>
    <w:pPr>
      <w:widowControl/>
      <w:spacing w:after="200" w:line="520" w:lineRule="atLeast"/>
      <w:ind w:firstLine="480" w:firstLineChars="200"/>
      <w:jc w:val="left"/>
    </w:pPr>
    <w:rPr>
      <w:rFonts w:ascii="Calibri" w:hAnsi="Calibri"/>
      <w:color w:val="000000"/>
      <w:kern w:val="0"/>
      <w:sz w:val="24"/>
      <w:lang w:eastAsia="en-US" w:bidi="en-US"/>
    </w:rPr>
  </w:style>
  <w:style w:type="paragraph" w:customStyle="1" w:styleId="434">
    <w:name w:val="项目符号结尾"/>
    <w:basedOn w:val="22"/>
    <w:next w:val="31"/>
    <w:qFormat/>
    <w:uiPriority w:val="0"/>
    <w:pPr>
      <w:spacing w:after="240"/>
    </w:pPr>
  </w:style>
  <w:style w:type="paragraph" w:customStyle="1" w:styleId="435">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436">
    <w:name w:val="xl35"/>
    <w:basedOn w:val="1"/>
    <w:qFormat/>
    <w:uiPriority w:val="0"/>
    <w:pPr>
      <w:widowControl/>
      <w:pBdr>
        <w:left w:val="single" w:color="000000" w:sz="4" w:space="0"/>
        <w:right w:val="single" w:color="000000" w:sz="4" w:space="0"/>
      </w:pBdr>
      <w:spacing w:before="100" w:beforeAutospacing="1" w:after="100" w:afterAutospacing="1"/>
      <w:jc w:val="center"/>
      <w:textAlignment w:val="top"/>
    </w:pPr>
    <w:rPr>
      <w:kern w:val="0"/>
      <w:szCs w:val="21"/>
    </w:rPr>
  </w:style>
  <w:style w:type="paragraph" w:customStyle="1" w:styleId="437">
    <w:name w:val="title of table"/>
    <w:basedOn w:val="1"/>
    <w:next w:val="1"/>
    <w:qFormat/>
    <w:uiPriority w:val="0"/>
    <w:pPr>
      <w:spacing w:afterLines="50"/>
      <w:jc w:val="center"/>
    </w:pPr>
    <w:rPr>
      <w:b/>
      <w:color w:val="080808"/>
      <w:sz w:val="24"/>
    </w:rPr>
  </w:style>
  <w:style w:type="paragraph" w:customStyle="1" w:styleId="438">
    <w:name w:val="样式 标题 1二处标题 11标题 1 Char章标题章节H1Otsikko 1标题 1 Char Char Ch...2"/>
    <w:basedOn w:val="2"/>
    <w:qFormat/>
    <w:uiPriority w:val="0"/>
    <w:pPr>
      <w:snapToGrid/>
      <w:spacing w:after="0" w:line="480" w:lineRule="exact"/>
      <w:ind w:firstLine="200" w:firstLineChars="200"/>
      <w:jc w:val="center"/>
    </w:pPr>
    <w:rPr>
      <w:rFonts w:ascii="Times New Roman" w:eastAsia="Times New Roman" w:cs="宋体"/>
      <w:b/>
      <w:bCs/>
      <w:sz w:val="32"/>
    </w:rPr>
  </w:style>
  <w:style w:type="paragraph" w:customStyle="1" w:styleId="439">
    <w:name w:val="Char Char Char1 Char Char Char Char Char Char Char Char Char Char Char Char Char"/>
    <w:basedOn w:val="1"/>
    <w:qFormat/>
    <w:uiPriority w:val="0"/>
    <w:rPr>
      <w:szCs w:val="20"/>
    </w:rPr>
  </w:style>
  <w:style w:type="paragraph" w:customStyle="1" w:styleId="440">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kern w:val="0"/>
      <w:szCs w:val="20"/>
    </w:rPr>
  </w:style>
  <w:style w:type="paragraph" w:customStyle="1" w:styleId="441">
    <w:name w:val="样式 宋体 居中"/>
    <w:basedOn w:val="1"/>
    <w:qFormat/>
    <w:uiPriority w:val="0"/>
    <w:pPr>
      <w:adjustRightInd w:val="0"/>
      <w:spacing w:line="360" w:lineRule="auto"/>
      <w:jc w:val="center"/>
      <w:textAlignment w:val="baseline"/>
    </w:pPr>
    <w:rPr>
      <w:rFonts w:ascii="宋体" w:hAnsi="宋体"/>
      <w:kern w:val="21"/>
      <w:sz w:val="24"/>
      <w:szCs w:val="20"/>
    </w:rPr>
  </w:style>
  <w:style w:type="paragraph" w:customStyle="1" w:styleId="442">
    <w:name w:val="段落"/>
    <w:basedOn w:val="1"/>
    <w:qFormat/>
    <w:uiPriority w:val="0"/>
    <w:pPr>
      <w:tabs>
        <w:tab w:val="left" w:pos="1021"/>
      </w:tabs>
      <w:spacing w:line="360" w:lineRule="auto"/>
    </w:pPr>
    <w:rPr>
      <w:bCs/>
      <w:color w:val="000000"/>
      <w:spacing w:val="6"/>
      <w:kern w:val="24"/>
      <w:sz w:val="24"/>
    </w:rPr>
  </w:style>
  <w:style w:type="paragraph" w:customStyle="1" w:styleId="443">
    <w:name w:val="1"/>
    <w:basedOn w:val="1"/>
    <w:qFormat/>
    <w:uiPriority w:val="0"/>
    <w:rPr>
      <w:sz w:val="24"/>
      <w:szCs w:val="20"/>
    </w:rPr>
  </w:style>
  <w:style w:type="paragraph" w:customStyle="1" w:styleId="444">
    <w:name w:val="MTDisplayEquation"/>
    <w:basedOn w:val="1"/>
    <w:next w:val="1"/>
    <w:qFormat/>
    <w:uiPriority w:val="0"/>
    <w:pPr>
      <w:tabs>
        <w:tab w:val="center" w:pos="4160"/>
        <w:tab w:val="right" w:pos="8320"/>
      </w:tabs>
      <w:spacing w:line="300" w:lineRule="auto"/>
    </w:pPr>
    <w:rPr>
      <w:rFonts w:ascii="宋体" w:hAnsi="宋体"/>
      <w:sz w:val="28"/>
    </w:rPr>
  </w:style>
  <w:style w:type="paragraph" w:customStyle="1" w:styleId="445">
    <w:name w:val="Char Char Char Char Char Char Char Char Char Char Char Char Char Char Char Char Char Char Char Char Char Char Char Char1 Char Char Char Char Char Char Char Char Char1 Char Char Char2 Char"/>
    <w:basedOn w:val="1"/>
    <w:qFormat/>
    <w:uiPriority w:val="0"/>
  </w:style>
  <w:style w:type="paragraph" w:customStyle="1" w:styleId="446">
    <w:name w:val="正文文本缩进 31"/>
    <w:basedOn w:val="1"/>
    <w:qFormat/>
    <w:uiPriority w:val="0"/>
    <w:pPr>
      <w:adjustRightInd w:val="0"/>
      <w:spacing w:line="480" w:lineRule="exact"/>
      <w:ind w:firstLine="570"/>
      <w:textAlignment w:val="baseline"/>
    </w:pPr>
    <w:rPr>
      <w:rFonts w:hAnsi="宋体"/>
      <w:bCs/>
      <w:sz w:val="24"/>
    </w:rPr>
  </w:style>
  <w:style w:type="paragraph" w:customStyle="1" w:styleId="447">
    <w:name w:val="表文"/>
    <w:basedOn w:val="1"/>
    <w:qFormat/>
    <w:uiPriority w:val="0"/>
    <w:pPr>
      <w:keepNext/>
      <w:adjustRightInd w:val="0"/>
      <w:spacing w:before="40" w:line="288" w:lineRule="auto"/>
      <w:jc w:val="center"/>
      <w:textAlignment w:val="baseline"/>
    </w:pPr>
    <w:rPr>
      <w:kern w:val="0"/>
      <w:sz w:val="24"/>
      <w:szCs w:val="20"/>
    </w:rPr>
  </w:style>
  <w:style w:type="paragraph" w:customStyle="1" w:styleId="448">
    <w:name w:val="h"/>
    <w:basedOn w:val="1"/>
    <w:qFormat/>
    <w:uiPriority w:val="0"/>
    <w:pPr>
      <w:spacing w:before="60"/>
      <w:ind w:firstLine="482"/>
    </w:pPr>
    <w:rPr>
      <w:rFonts w:ascii="Arial" w:hAnsi="Arial" w:eastAsia="仿宋_GB2312"/>
      <w:kern w:val="0"/>
      <w:sz w:val="24"/>
      <w:szCs w:val="20"/>
    </w:rPr>
  </w:style>
  <w:style w:type="paragraph" w:customStyle="1" w:styleId="449">
    <w:name w:val="xl46"/>
    <w:basedOn w:val="1"/>
    <w:qFormat/>
    <w:uiPriority w:val="0"/>
    <w:pPr>
      <w:widowControl/>
      <w:pBdr>
        <w:left w:val="single" w:color="000000" w:sz="4" w:space="0"/>
      </w:pBdr>
      <w:spacing w:before="100" w:beforeAutospacing="1" w:after="100" w:afterAutospacing="1"/>
      <w:jc w:val="center"/>
    </w:pPr>
    <w:rPr>
      <w:kern w:val="0"/>
      <w:szCs w:val="21"/>
    </w:rPr>
  </w:style>
  <w:style w:type="paragraph" w:customStyle="1" w:styleId="450">
    <w:name w:val="wtext"/>
    <w:basedOn w:val="1"/>
    <w:qFormat/>
    <w:uiPriority w:val="0"/>
    <w:pPr>
      <w:widowControl/>
      <w:spacing w:before="100" w:beforeAutospacing="1" w:after="100" w:afterAutospacing="1"/>
      <w:jc w:val="left"/>
    </w:pPr>
    <w:rPr>
      <w:rFonts w:ascii="宋体" w:hAnsi="宋体"/>
      <w:color w:val="000000"/>
      <w:kern w:val="0"/>
      <w:sz w:val="20"/>
      <w:szCs w:val="20"/>
    </w:rPr>
  </w:style>
  <w:style w:type="paragraph" w:customStyle="1" w:styleId="451">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452">
    <w:name w:val="正文王"/>
    <w:basedOn w:val="1"/>
    <w:qFormat/>
    <w:uiPriority w:val="0"/>
    <w:pPr>
      <w:spacing w:line="360" w:lineRule="auto"/>
      <w:ind w:firstLine="468" w:firstLineChars="200"/>
    </w:pPr>
    <w:rPr>
      <w:bCs/>
      <w:spacing w:val="-3"/>
      <w:kern w:val="0"/>
      <w:sz w:val="24"/>
    </w:rPr>
  </w:style>
  <w:style w:type="paragraph" w:customStyle="1" w:styleId="453">
    <w:name w:val="图文框"/>
    <w:basedOn w:val="1"/>
    <w:qFormat/>
    <w:uiPriority w:val="0"/>
    <w:pPr>
      <w:widowControl/>
      <w:adjustRightInd w:val="0"/>
      <w:snapToGrid w:val="0"/>
      <w:jc w:val="center"/>
    </w:pPr>
    <w:rPr>
      <w:kern w:val="0"/>
      <w:szCs w:val="21"/>
    </w:rPr>
  </w:style>
  <w:style w:type="paragraph" w:customStyle="1" w:styleId="454">
    <w:name w:val="正文 + 小四"/>
    <w:basedOn w:val="1"/>
    <w:qFormat/>
    <w:uiPriority w:val="0"/>
    <w:pPr>
      <w:spacing w:line="396" w:lineRule="auto"/>
      <w:ind w:firstLine="480" w:firstLineChars="200"/>
    </w:pPr>
    <w:rPr>
      <w:color w:val="FF0000"/>
      <w:kern w:val="0"/>
      <w:sz w:val="24"/>
      <w:szCs w:val="20"/>
    </w:rPr>
  </w:style>
  <w:style w:type="paragraph" w:customStyle="1" w:styleId="455">
    <w:name w:val="图底"/>
    <w:basedOn w:val="456"/>
    <w:qFormat/>
    <w:uiPriority w:val="0"/>
    <w:rPr>
      <w:b/>
      <w:szCs w:val="24"/>
    </w:rPr>
  </w:style>
  <w:style w:type="paragraph" w:customStyle="1" w:styleId="456">
    <w:name w:val="表内容"/>
    <w:basedOn w:val="1"/>
    <w:qFormat/>
    <w:uiPriority w:val="0"/>
    <w:pPr>
      <w:jc w:val="center"/>
    </w:pPr>
    <w:rPr>
      <w:szCs w:val="20"/>
    </w:rPr>
  </w:style>
  <w:style w:type="paragraph" w:customStyle="1" w:styleId="457">
    <w:name w:val="小标题"/>
    <w:basedOn w:val="5"/>
    <w:next w:val="20"/>
    <w:qFormat/>
    <w:uiPriority w:val="0"/>
    <w:pPr>
      <w:tabs>
        <w:tab w:val="clear" w:pos="864"/>
      </w:tabs>
      <w:adjustRightInd w:val="0"/>
      <w:snapToGrid w:val="0"/>
      <w:spacing w:beforeLines="50" w:after="0" w:line="360" w:lineRule="auto"/>
      <w:ind w:left="0" w:firstLine="482" w:firstLineChars="200"/>
      <w:textAlignment w:val="baseline"/>
    </w:pPr>
    <w:rPr>
      <w:rFonts w:ascii="黑体"/>
      <w:snapToGrid w:val="0"/>
      <w:spacing w:val="4"/>
      <w:kern w:val="0"/>
      <w:sz w:val="24"/>
      <w:szCs w:val="24"/>
      <w:u w:val="single"/>
    </w:rPr>
  </w:style>
  <w:style w:type="paragraph" w:customStyle="1" w:styleId="458">
    <w:name w:val="xl55"/>
    <w:basedOn w:val="1"/>
    <w:qFormat/>
    <w:uiPriority w:val="0"/>
    <w:pPr>
      <w:widowControl/>
      <w:pBdr>
        <w:right w:val="single" w:color="000000" w:sz="4" w:space="0"/>
      </w:pBdr>
      <w:spacing w:before="100" w:beforeAutospacing="1" w:after="100" w:afterAutospacing="1"/>
      <w:jc w:val="center"/>
    </w:pPr>
    <w:rPr>
      <w:rFonts w:ascii="宋体" w:hAnsi="宋体"/>
      <w:kern w:val="0"/>
      <w:szCs w:val="21"/>
    </w:rPr>
  </w:style>
  <w:style w:type="paragraph" w:customStyle="1" w:styleId="459">
    <w:name w:val="数字编号"/>
    <w:basedOn w:val="1"/>
    <w:qFormat/>
    <w:uiPriority w:val="0"/>
    <w:pPr>
      <w:tabs>
        <w:tab w:val="left" w:pos="432"/>
      </w:tabs>
      <w:spacing w:before="50" w:line="300" w:lineRule="auto"/>
      <w:ind w:firstLine="200" w:firstLineChars="200"/>
    </w:pPr>
    <w:rPr>
      <w:spacing w:val="6"/>
      <w:sz w:val="24"/>
    </w:rPr>
  </w:style>
  <w:style w:type="paragraph" w:customStyle="1" w:styleId="460">
    <w:name w:val="xl50"/>
    <w:basedOn w:val="1"/>
    <w:qFormat/>
    <w:uiPriority w:val="0"/>
    <w:pPr>
      <w:widowControl/>
      <w:pBdr>
        <w:top w:val="single" w:color="000000" w:sz="4" w:space="0"/>
        <w:bottom w:val="single" w:color="000000" w:sz="4" w:space="0"/>
      </w:pBdr>
      <w:spacing w:before="100" w:beforeAutospacing="1" w:after="100" w:afterAutospacing="1"/>
      <w:jc w:val="center"/>
    </w:pPr>
    <w:rPr>
      <w:kern w:val="0"/>
      <w:szCs w:val="21"/>
    </w:rPr>
  </w:style>
  <w:style w:type="paragraph" w:customStyle="1" w:styleId="461">
    <w:name w:val="项目点符号"/>
    <w:basedOn w:val="1"/>
    <w:qFormat/>
    <w:uiPriority w:val="0"/>
    <w:pPr>
      <w:tabs>
        <w:tab w:val="left" w:pos="840"/>
      </w:tabs>
      <w:spacing w:before="163" w:line="300" w:lineRule="auto"/>
      <w:ind w:firstLine="504"/>
    </w:pPr>
    <w:rPr>
      <w:spacing w:val="6"/>
      <w:sz w:val="24"/>
    </w:rPr>
  </w:style>
  <w:style w:type="paragraph" w:customStyle="1" w:styleId="462">
    <w:name w:val="6"/>
    <w:basedOn w:val="1"/>
    <w:qFormat/>
    <w:uiPriority w:val="0"/>
    <w:pPr>
      <w:adjustRightInd w:val="0"/>
      <w:spacing w:line="240" w:lineRule="atLeast"/>
      <w:textAlignment w:val="baseline"/>
    </w:pPr>
    <w:rPr>
      <w:kern w:val="0"/>
      <w:sz w:val="24"/>
      <w:szCs w:val="20"/>
    </w:rPr>
  </w:style>
  <w:style w:type="paragraph" w:customStyle="1" w:styleId="463">
    <w:name w:val="永通二级标题"/>
    <w:basedOn w:val="3"/>
    <w:qFormat/>
    <w:uiPriority w:val="0"/>
    <w:pPr>
      <w:spacing w:beforeLines="50" w:afterLines="50" w:line="324" w:lineRule="auto"/>
      <w:jc w:val="left"/>
      <w:outlineLvl w:val="0"/>
    </w:pPr>
    <w:rPr>
      <w:rFonts w:ascii="黑体"/>
      <w:bCs w:val="0"/>
      <w:sz w:val="24"/>
      <w:szCs w:val="24"/>
    </w:rPr>
  </w:style>
  <w:style w:type="paragraph" w:customStyle="1" w:styleId="464">
    <w:name w:val="Char Char Char2 Char2"/>
    <w:basedOn w:val="1"/>
    <w:qFormat/>
    <w:uiPriority w:val="0"/>
  </w:style>
  <w:style w:type="paragraph" w:customStyle="1" w:styleId="465">
    <w:name w:val="正文1"/>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466">
    <w:name w:val="样式5"/>
    <w:basedOn w:val="1"/>
    <w:next w:val="47"/>
    <w:qFormat/>
    <w:uiPriority w:val="0"/>
    <w:pPr>
      <w:spacing w:line="400" w:lineRule="exact"/>
      <w:ind w:firstLine="200" w:firstLineChars="200"/>
    </w:pPr>
    <w:rPr>
      <w:sz w:val="24"/>
      <w:szCs w:val="20"/>
    </w:rPr>
  </w:style>
  <w:style w:type="paragraph" w:customStyle="1" w:styleId="467">
    <w:name w:val="B"/>
    <w:basedOn w:val="1"/>
    <w:qFormat/>
    <w:uiPriority w:val="0"/>
    <w:pPr>
      <w:spacing w:line="360" w:lineRule="auto"/>
      <w:outlineLvl w:val="1"/>
    </w:pPr>
    <w:rPr>
      <w:bCs/>
      <w:kern w:val="44"/>
      <w:sz w:val="28"/>
      <w:szCs w:val="28"/>
    </w:rPr>
  </w:style>
  <w:style w:type="paragraph" w:customStyle="1" w:styleId="468">
    <w:name w:val="正文11"/>
    <w:basedOn w:val="1"/>
    <w:qFormat/>
    <w:uiPriority w:val="0"/>
    <w:pPr>
      <w:adjustRightInd w:val="0"/>
      <w:snapToGrid w:val="0"/>
      <w:spacing w:line="360" w:lineRule="auto"/>
      <w:ind w:firstLine="539"/>
    </w:pPr>
    <w:rPr>
      <w:rFonts w:ascii="宋体" w:hAnsi="宋体"/>
      <w:kern w:val="0"/>
      <w:sz w:val="24"/>
    </w:rPr>
  </w:style>
  <w:style w:type="paragraph" w:customStyle="1" w:styleId="469">
    <w:name w:val="表格数据"/>
    <w:basedOn w:val="1"/>
    <w:qFormat/>
    <w:uiPriority w:val="0"/>
    <w:pPr>
      <w:spacing w:line="320" w:lineRule="exact"/>
      <w:jc w:val="center"/>
    </w:pPr>
    <w:rPr>
      <w:rFonts w:cs="宋体"/>
      <w:kern w:val="0"/>
      <w:szCs w:val="21"/>
    </w:rPr>
  </w:style>
  <w:style w:type="paragraph" w:customStyle="1" w:styleId="470">
    <w:name w:val="yz"/>
    <w:basedOn w:val="31"/>
    <w:qFormat/>
    <w:uiPriority w:val="0"/>
    <w:pPr>
      <w:tabs>
        <w:tab w:val="left" w:pos="900"/>
      </w:tabs>
      <w:adjustRightInd w:val="0"/>
      <w:spacing w:after="0"/>
      <w:ind w:firstLine="200" w:firstLineChars="200"/>
      <w:textAlignment w:val="baseline"/>
    </w:pPr>
    <w:rPr>
      <w:rFonts w:hint="eastAsia"/>
    </w:rPr>
  </w:style>
  <w:style w:type="paragraph" w:customStyle="1" w:styleId="471">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72">
    <w:name w:val="样式 仿宋_GB2312 四号 首行缩进:  1.04 厘米"/>
    <w:basedOn w:val="1"/>
    <w:qFormat/>
    <w:uiPriority w:val="0"/>
    <w:pPr>
      <w:ind w:firstLine="584" w:firstLineChars="200"/>
    </w:pPr>
    <w:rPr>
      <w:rFonts w:ascii="仿宋_GB2312" w:hAnsi="宋体" w:eastAsia="仿宋_GB2312"/>
      <w:spacing w:val="6"/>
      <w:sz w:val="28"/>
      <w:szCs w:val="20"/>
    </w:rPr>
  </w:style>
  <w:style w:type="paragraph" w:customStyle="1" w:styleId="473">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74">
    <w:name w:val="reader-word-layer reader-word-s2-0"/>
    <w:basedOn w:val="1"/>
    <w:qFormat/>
    <w:uiPriority w:val="0"/>
    <w:pPr>
      <w:widowControl/>
      <w:spacing w:before="100" w:beforeAutospacing="1" w:after="100" w:afterAutospacing="1"/>
      <w:jc w:val="left"/>
    </w:pPr>
    <w:rPr>
      <w:rFonts w:ascii="宋体" w:hAnsi="宋体" w:cs="宋体"/>
      <w:kern w:val="0"/>
      <w:sz w:val="24"/>
    </w:rPr>
  </w:style>
  <w:style w:type="paragraph" w:customStyle="1" w:styleId="475">
    <w:name w:val="鲁朗报告文字"/>
    <w:basedOn w:val="1"/>
    <w:qFormat/>
    <w:uiPriority w:val="0"/>
    <w:pPr>
      <w:autoSpaceDE w:val="0"/>
      <w:autoSpaceDN w:val="0"/>
      <w:adjustRightInd w:val="0"/>
      <w:spacing w:line="400" w:lineRule="exact"/>
      <w:ind w:firstLine="200" w:firstLineChars="200"/>
    </w:pPr>
    <w:rPr>
      <w:rFonts w:cs="Arial"/>
      <w:color w:val="000000"/>
      <w:kern w:val="0"/>
      <w:sz w:val="24"/>
      <w:szCs w:val="20"/>
    </w:rPr>
  </w:style>
  <w:style w:type="paragraph" w:customStyle="1" w:styleId="476">
    <w:name w:val="Char"/>
    <w:basedOn w:val="1"/>
    <w:qFormat/>
    <w:uiPriority w:val="0"/>
  </w:style>
  <w:style w:type="paragraph" w:customStyle="1" w:styleId="477">
    <w:name w:val="表格正文"/>
    <w:basedOn w:val="1"/>
    <w:next w:val="1"/>
    <w:link w:val="837"/>
    <w:qFormat/>
    <w:uiPriority w:val="0"/>
    <w:pPr>
      <w:jc w:val="center"/>
    </w:pPr>
    <w:rPr>
      <w:szCs w:val="28"/>
    </w:rPr>
  </w:style>
  <w:style w:type="paragraph" w:customStyle="1" w:styleId="478">
    <w:name w:val="reader-word-layer reader-word-s2-11"/>
    <w:basedOn w:val="1"/>
    <w:qFormat/>
    <w:uiPriority w:val="0"/>
    <w:pPr>
      <w:widowControl/>
      <w:spacing w:before="100" w:beforeAutospacing="1" w:after="100" w:afterAutospacing="1"/>
      <w:jc w:val="left"/>
    </w:pPr>
    <w:rPr>
      <w:rFonts w:ascii="宋体" w:hAnsi="宋体" w:cs="宋体"/>
      <w:kern w:val="0"/>
      <w:sz w:val="24"/>
    </w:rPr>
  </w:style>
  <w:style w:type="paragraph" w:customStyle="1" w:styleId="479">
    <w:name w:val="我的样式2"/>
    <w:basedOn w:val="3"/>
    <w:qFormat/>
    <w:uiPriority w:val="0"/>
    <w:pPr>
      <w:spacing w:beforeLines="50" w:afterLines="50" w:line="240" w:lineRule="auto"/>
      <w:jc w:val="left"/>
    </w:pPr>
    <w:rPr>
      <w:sz w:val="24"/>
    </w:rPr>
  </w:style>
  <w:style w:type="paragraph" w:customStyle="1" w:styleId="480">
    <w:name w:val="样式 仿宋_GB2312 四号 首行缩进:  0.98 厘米"/>
    <w:basedOn w:val="1"/>
    <w:qFormat/>
    <w:uiPriority w:val="0"/>
    <w:pPr>
      <w:ind w:firstLine="560" w:firstLineChars="200"/>
    </w:pPr>
    <w:rPr>
      <w:rFonts w:ascii="仿宋_GB2312" w:hAnsi="宋体" w:eastAsia="仿宋_GB2312"/>
      <w:sz w:val="28"/>
      <w:szCs w:val="20"/>
    </w:rPr>
  </w:style>
  <w:style w:type="paragraph" w:customStyle="1" w:styleId="481">
    <w:name w:val="Char Char Char Char Char Char Char Char Char1 Char Char Char Char Char Char Char"/>
    <w:basedOn w:val="1"/>
    <w:qFormat/>
    <w:uiPriority w:val="0"/>
  </w:style>
  <w:style w:type="paragraph" w:customStyle="1" w:styleId="482">
    <w:name w:val="表尾"/>
    <w:basedOn w:val="1"/>
    <w:qFormat/>
    <w:uiPriority w:val="0"/>
    <w:pPr>
      <w:tabs>
        <w:tab w:val="left" w:pos="1021"/>
      </w:tabs>
      <w:spacing w:line="200" w:lineRule="exact"/>
    </w:pPr>
    <w:rPr>
      <w:sz w:val="10"/>
      <w:szCs w:val="20"/>
    </w:rPr>
  </w:style>
  <w:style w:type="paragraph" w:customStyle="1" w:styleId="483">
    <w:name w:val="xl44"/>
    <w:basedOn w:val="1"/>
    <w:qFormat/>
    <w:uiPriority w:val="0"/>
    <w:pPr>
      <w:widowControl/>
      <w:pBdr>
        <w:top w:val="single" w:color="000000" w:sz="4" w:space="0"/>
        <w:left w:val="single" w:color="000000" w:sz="4" w:space="0"/>
      </w:pBdr>
      <w:spacing w:before="100" w:beforeAutospacing="1" w:after="100" w:afterAutospacing="1"/>
      <w:jc w:val="center"/>
    </w:pPr>
    <w:rPr>
      <w:kern w:val="0"/>
      <w:szCs w:val="21"/>
    </w:rPr>
  </w:style>
  <w:style w:type="paragraph" w:customStyle="1" w:styleId="484">
    <w:name w:val="正文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85">
    <w:name w:val="样式17"/>
    <w:basedOn w:val="3"/>
    <w:qFormat/>
    <w:uiPriority w:val="0"/>
    <w:pPr>
      <w:keepNext w:val="0"/>
      <w:keepLines w:val="0"/>
      <w:widowControl/>
      <w:spacing w:before="238" w:after="147" w:line="765" w:lineRule="atLeast"/>
      <w:ind w:firstLine="419"/>
      <w:textAlignment w:val="baseline"/>
      <w:outlineLvl w:val="9"/>
    </w:pPr>
    <w:rPr>
      <w:rFonts w:ascii="宋体" w:hAnsi="Times New Roman" w:eastAsia="宋体"/>
      <w:bCs w:val="0"/>
      <w:color w:val="000000"/>
      <w:spacing w:val="11"/>
      <w:kern w:val="0"/>
      <w:sz w:val="30"/>
      <w:szCs w:val="20"/>
      <w:u w:color="000000"/>
    </w:rPr>
  </w:style>
  <w:style w:type="paragraph" w:customStyle="1" w:styleId="486">
    <w:name w:val="正文首行缩进1"/>
    <w:basedOn w:val="270"/>
    <w:qFormat/>
    <w:uiPriority w:val="0"/>
    <w:pPr>
      <w:adjustRightInd w:val="0"/>
      <w:spacing w:beforeLines="0" w:afterLines="0" w:line="312" w:lineRule="atLeast"/>
      <w:ind w:firstLine="420" w:firstLineChars="0"/>
      <w:textAlignment w:val="baseline"/>
    </w:pPr>
    <w:rPr>
      <w:rFonts w:ascii="宋体"/>
      <w:kern w:val="0"/>
      <w:sz w:val="21"/>
      <w:szCs w:val="20"/>
    </w:rPr>
  </w:style>
  <w:style w:type="paragraph" w:customStyle="1" w:styleId="487">
    <w:name w:val="表格小四"/>
    <w:basedOn w:val="1"/>
    <w:qFormat/>
    <w:uiPriority w:val="0"/>
    <w:pPr>
      <w:adjustRightInd w:val="0"/>
      <w:snapToGrid w:val="0"/>
      <w:spacing w:beforeLines="30"/>
    </w:pPr>
    <w:rPr>
      <w:sz w:val="24"/>
    </w:rPr>
  </w:style>
  <w:style w:type="paragraph" w:customStyle="1" w:styleId="488">
    <w:name w:val="font6"/>
    <w:basedOn w:val="1"/>
    <w:qFormat/>
    <w:uiPriority w:val="0"/>
    <w:pPr>
      <w:widowControl/>
      <w:spacing w:before="100" w:beforeAutospacing="1" w:after="100" w:afterAutospacing="1"/>
      <w:jc w:val="left"/>
    </w:pPr>
    <w:rPr>
      <w:rFonts w:ascii="宋体" w:hAnsi="宋体"/>
      <w:kern w:val="0"/>
      <w:szCs w:val="21"/>
    </w:rPr>
  </w:style>
  <w:style w:type="paragraph" w:customStyle="1" w:styleId="489">
    <w:name w:val="正文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0">
    <w:name w:val="首页脚注"/>
    <w:basedOn w:val="50"/>
    <w:qFormat/>
    <w:uiPriority w:val="0"/>
    <w:pPr>
      <w:keepLines/>
      <w:widowControl/>
      <w:tabs>
        <w:tab w:val="center" w:pos="7200"/>
        <w:tab w:val="clear" w:pos="4153"/>
        <w:tab w:val="clear" w:pos="8306"/>
      </w:tabs>
      <w:overflowPunct w:val="0"/>
      <w:autoSpaceDE w:val="0"/>
      <w:autoSpaceDN w:val="0"/>
      <w:adjustRightInd w:val="0"/>
      <w:snapToGrid/>
      <w:jc w:val="center"/>
      <w:textAlignment w:val="baseline"/>
    </w:pPr>
    <w:rPr>
      <w:spacing w:val="80"/>
      <w:kern w:val="0"/>
      <w:sz w:val="20"/>
      <w:szCs w:val="20"/>
    </w:rPr>
  </w:style>
  <w:style w:type="paragraph" w:customStyle="1" w:styleId="491">
    <w:name w:val="样式 标题 2二处标题 2节标题 1.11.1标题2b2ParagrafoH22nd levelh2Heade...4"/>
    <w:basedOn w:val="3"/>
    <w:qFormat/>
    <w:uiPriority w:val="0"/>
    <w:pPr>
      <w:keepNext w:val="0"/>
      <w:keepLines w:val="0"/>
      <w:adjustRightInd w:val="0"/>
      <w:snapToGrid w:val="0"/>
      <w:spacing w:before="0" w:after="0" w:line="480" w:lineRule="exact"/>
      <w:ind w:firstLine="600" w:firstLineChars="200"/>
      <w:jc w:val="left"/>
    </w:pPr>
    <w:rPr>
      <w:rFonts w:ascii="Times New Roman" w:hAnsi="Times New Roman" w:eastAsia="Times New Roman" w:cs="宋体"/>
      <w:bCs w:val="0"/>
      <w:color w:val="000000"/>
      <w:sz w:val="30"/>
      <w:szCs w:val="20"/>
    </w:rPr>
  </w:style>
  <w:style w:type="paragraph" w:customStyle="1" w:styleId="492">
    <w:name w:val="中文报告书样式"/>
    <w:basedOn w:val="1"/>
    <w:link w:val="849"/>
    <w:qFormat/>
    <w:uiPriority w:val="0"/>
    <w:pPr>
      <w:adjustRightInd w:val="0"/>
      <w:spacing w:beforeLines="30" w:line="480" w:lineRule="atLeast"/>
      <w:ind w:firstLine="482"/>
    </w:pPr>
    <w:rPr>
      <w:kern w:val="24"/>
      <w:sz w:val="24"/>
      <w:szCs w:val="20"/>
    </w:rPr>
  </w:style>
  <w:style w:type="paragraph" w:customStyle="1" w:styleId="493">
    <w:name w:val="font7"/>
    <w:basedOn w:val="1"/>
    <w:qFormat/>
    <w:uiPriority w:val="0"/>
    <w:pPr>
      <w:widowControl/>
      <w:spacing w:before="100" w:beforeAutospacing="1" w:after="100" w:afterAutospacing="1"/>
      <w:jc w:val="left"/>
    </w:pPr>
    <w:rPr>
      <w:kern w:val="0"/>
      <w:sz w:val="24"/>
    </w:rPr>
  </w:style>
  <w:style w:type="paragraph" w:customStyle="1" w:styleId="494">
    <w:name w:val="样式 黑色 行距: 固定值 15 磅1"/>
    <w:basedOn w:val="1"/>
    <w:qFormat/>
    <w:uiPriority w:val="0"/>
    <w:pPr>
      <w:spacing w:line="300" w:lineRule="exact"/>
    </w:pPr>
    <w:rPr>
      <w:rFonts w:cs="宋体"/>
      <w:color w:val="000000"/>
      <w:sz w:val="28"/>
      <w:szCs w:val="20"/>
    </w:rPr>
  </w:style>
  <w:style w:type="paragraph" w:customStyle="1" w:styleId="495">
    <w:name w:val="样式 左"/>
    <w:basedOn w:val="1"/>
    <w:qFormat/>
    <w:uiPriority w:val="0"/>
    <w:pPr>
      <w:spacing w:line="360" w:lineRule="auto"/>
      <w:jc w:val="left"/>
    </w:pPr>
    <w:rPr>
      <w:rFonts w:eastAsia="新宋体" w:cs="宋体"/>
      <w:sz w:val="24"/>
      <w:szCs w:val="20"/>
    </w:rPr>
  </w:style>
  <w:style w:type="paragraph" w:customStyle="1" w:styleId="496">
    <w:name w:val="w4"/>
    <w:basedOn w:val="1"/>
    <w:qFormat/>
    <w:uiPriority w:val="0"/>
    <w:pPr>
      <w:widowControl/>
      <w:spacing w:before="100" w:beforeAutospacing="1" w:after="100" w:afterAutospacing="1" w:line="336" w:lineRule="auto"/>
      <w:ind w:firstLine="360"/>
      <w:jc w:val="left"/>
    </w:pPr>
    <w:rPr>
      <w:color w:val="8A5E00"/>
      <w:kern w:val="0"/>
      <w:sz w:val="18"/>
      <w:szCs w:val="18"/>
    </w:rPr>
  </w:style>
  <w:style w:type="paragraph" w:customStyle="1" w:styleId="497">
    <w:name w:val="LUNA标题 4"/>
    <w:basedOn w:val="5"/>
    <w:next w:val="1"/>
    <w:qFormat/>
    <w:uiPriority w:val="0"/>
    <w:pPr>
      <w:adjustRightInd w:val="0"/>
      <w:snapToGrid w:val="0"/>
      <w:spacing w:before="0" w:after="0" w:line="360" w:lineRule="auto"/>
    </w:pPr>
    <w:rPr>
      <w:rFonts w:ascii="Times New Roman" w:hAnsi="Times New Roman" w:eastAsia="宋体"/>
      <w:snapToGrid w:val="0"/>
      <w:kern w:val="0"/>
      <w:sz w:val="24"/>
      <w:szCs w:val="24"/>
    </w:rPr>
  </w:style>
  <w:style w:type="paragraph" w:customStyle="1" w:styleId="498">
    <w:name w:val="正文 Char Char Char Char"/>
    <w:basedOn w:val="1"/>
    <w:next w:val="1"/>
    <w:qFormat/>
    <w:uiPriority w:val="0"/>
    <w:pPr>
      <w:adjustRightInd w:val="0"/>
      <w:spacing w:line="360" w:lineRule="auto"/>
      <w:ind w:firstLine="482"/>
      <w:jc w:val="left"/>
      <w:textAlignment w:val="baseline"/>
    </w:pPr>
    <w:rPr>
      <w:rFonts w:ascii="宋体"/>
      <w:snapToGrid w:val="0"/>
      <w:kern w:val="21"/>
      <w:sz w:val="24"/>
    </w:rPr>
  </w:style>
  <w:style w:type="paragraph" w:customStyle="1" w:styleId="499">
    <w:name w:val="Char Char Char Char Char Char Char Char Char"/>
    <w:basedOn w:val="1"/>
    <w:qFormat/>
    <w:uiPriority w:val="0"/>
    <w:rPr>
      <w:szCs w:val="20"/>
    </w:rPr>
  </w:style>
  <w:style w:type="paragraph" w:customStyle="1" w:styleId="500">
    <w:name w:val="xl47"/>
    <w:basedOn w:val="1"/>
    <w:qFormat/>
    <w:uiPriority w:val="0"/>
    <w:pPr>
      <w:widowControl/>
      <w:pBdr>
        <w:right w:val="single" w:color="auto" w:sz="4" w:space="0"/>
      </w:pBdr>
      <w:spacing w:before="100" w:beforeAutospacing="1" w:after="100" w:afterAutospacing="1"/>
      <w:jc w:val="center"/>
    </w:pPr>
    <w:rPr>
      <w:kern w:val="0"/>
      <w:szCs w:val="21"/>
    </w:rPr>
  </w:style>
  <w:style w:type="paragraph" w:customStyle="1" w:styleId="501">
    <w:name w:val="图表文字"/>
    <w:basedOn w:val="1"/>
    <w:qFormat/>
    <w:uiPriority w:val="0"/>
    <w:pPr>
      <w:spacing w:line="300" w:lineRule="exact"/>
      <w:jc w:val="center"/>
    </w:pPr>
    <w:rPr>
      <w:bCs/>
      <w:szCs w:val="20"/>
    </w:rPr>
  </w:style>
  <w:style w:type="paragraph" w:customStyle="1" w:styleId="502">
    <w:name w:val="tt1"/>
    <w:basedOn w:val="1"/>
    <w:qFormat/>
    <w:uiPriority w:val="0"/>
    <w:pPr>
      <w:widowControl/>
      <w:spacing w:before="100" w:beforeAutospacing="1" w:after="100" w:afterAutospacing="1"/>
      <w:jc w:val="left"/>
    </w:pPr>
    <w:rPr>
      <w:rFonts w:ascii="宋体" w:hAnsi="宋体"/>
      <w:kern w:val="0"/>
      <w:sz w:val="24"/>
    </w:rPr>
  </w:style>
  <w:style w:type="paragraph" w:customStyle="1" w:styleId="503">
    <w:name w:val="xl37"/>
    <w:basedOn w:val="1"/>
    <w:qFormat/>
    <w:uiPriority w:val="0"/>
    <w:pPr>
      <w:widowControl/>
      <w:pBdr>
        <w:right w:val="single" w:color="auto" w:sz="4" w:space="0"/>
      </w:pBdr>
      <w:spacing w:before="100" w:beforeAutospacing="1" w:after="100" w:afterAutospacing="1"/>
      <w:jc w:val="center"/>
    </w:pPr>
    <w:rPr>
      <w:kern w:val="0"/>
      <w:sz w:val="20"/>
      <w:szCs w:val="20"/>
    </w:rPr>
  </w:style>
  <w:style w:type="paragraph" w:customStyle="1" w:styleId="504">
    <w:name w:val="表内字"/>
    <w:basedOn w:val="1"/>
    <w:qFormat/>
    <w:uiPriority w:val="0"/>
    <w:pPr>
      <w:spacing w:line="360" w:lineRule="exact"/>
      <w:ind w:right="-94"/>
      <w:jc w:val="center"/>
    </w:pPr>
    <w:rPr>
      <w:rFonts w:ascii="宋体" w:hAnsi="宋体"/>
      <w:color w:val="000000"/>
      <w:szCs w:val="21"/>
    </w:rPr>
  </w:style>
  <w:style w:type="paragraph" w:customStyle="1" w:styleId="505">
    <w:name w:val="副题封页"/>
    <w:basedOn w:val="506"/>
    <w:next w:val="31"/>
    <w:qFormat/>
    <w:uiPriority w:val="0"/>
    <w:pPr>
      <w:spacing w:before="240" w:after="480"/>
    </w:pPr>
    <w:rPr>
      <w:rFonts w:ascii="Times New Roman" w:hAnsi="Times New Roman"/>
      <w:b w:val="0"/>
      <w:i/>
      <w:sz w:val="32"/>
    </w:rPr>
  </w:style>
  <w:style w:type="paragraph" w:customStyle="1" w:styleId="506">
    <w:name w:val="主题封页"/>
    <w:basedOn w:val="507"/>
    <w:next w:val="505"/>
    <w:qFormat/>
    <w:uiPriority w:val="0"/>
    <w:pPr>
      <w:spacing w:before="720" w:after="160"/>
      <w:jc w:val="center"/>
    </w:pPr>
    <w:rPr>
      <w:sz w:val="40"/>
    </w:rPr>
  </w:style>
  <w:style w:type="paragraph" w:customStyle="1" w:styleId="507">
    <w:name w:val="基准篇头"/>
    <w:basedOn w:val="1"/>
    <w:next w:val="31"/>
    <w:qFormat/>
    <w:uiPriority w:val="0"/>
    <w:pPr>
      <w:keepNext/>
      <w:widowControl/>
      <w:overflowPunct w:val="0"/>
      <w:autoSpaceDE w:val="0"/>
      <w:autoSpaceDN w:val="0"/>
      <w:adjustRightInd w:val="0"/>
      <w:spacing w:before="240" w:after="120"/>
      <w:jc w:val="left"/>
      <w:textAlignment w:val="baseline"/>
    </w:pPr>
    <w:rPr>
      <w:rFonts w:ascii="Arial" w:hAnsi="Arial"/>
      <w:b/>
      <w:kern w:val="28"/>
      <w:sz w:val="36"/>
      <w:szCs w:val="20"/>
    </w:rPr>
  </w:style>
  <w:style w:type="paragraph" w:customStyle="1" w:styleId="508">
    <w:name w:val="p0"/>
    <w:basedOn w:val="1"/>
    <w:qFormat/>
    <w:uiPriority w:val="0"/>
    <w:pPr>
      <w:widowControl/>
      <w:spacing w:line="365" w:lineRule="atLeast"/>
      <w:ind w:left="1"/>
      <w:textAlignment w:val="bottom"/>
    </w:pPr>
    <w:rPr>
      <w:kern w:val="0"/>
      <w:sz w:val="20"/>
      <w:szCs w:val="20"/>
    </w:rPr>
  </w:style>
  <w:style w:type="paragraph" w:customStyle="1" w:styleId="509">
    <w:name w:val="文"/>
    <w:basedOn w:val="4"/>
    <w:qFormat/>
    <w:uiPriority w:val="0"/>
    <w:pPr>
      <w:keepNext w:val="0"/>
      <w:keepLines w:val="0"/>
      <w:tabs>
        <w:tab w:val="clear" w:pos="720"/>
      </w:tabs>
      <w:spacing w:before="0" w:after="0" w:line="360" w:lineRule="auto"/>
      <w:ind w:left="0" w:firstLine="480" w:firstLineChars="200"/>
      <w:outlineLvl w:val="9"/>
    </w:pPr>
    <w:rPr>
      <w:b w:val="0"/>
      <w:bCs w:val="0"/>
      <w:sz w:val="24"/>
      <w:szCs w:val="24"/>
    </w:rPr>
  </w:style>
  <w:style w:type="paragraph" w:customStyle="1" w:styleId="510">
    <w:name w:val="Char Char Char Char Char Char Char Char Char1 Char Char Char Char Char Char Char1 Char Char Char Char Char Char"/>
    <w:basedOn w:val="1"/>
    <w:qFormat/>
    <w:uiPriority w:val="0"/>
    <w:pPr>
      <w:spacing w:line="360" w:lineRule="auto"/>
      <w:ind w:firstLine="200" w:firstLineChars="200"/>
    </w:pPr>
    <w:rPr>
      <w:rFonts w:ascii="宋体" w:hAnsi="宋体" w:cs="宋体"/>
      <w:sz w:val="24"/>
    </w:rPr>
  </w:style>
  <w:style w:type="paragraph" w:customStyle="1" w:styleId="511">
    <w:name w:val="LUNA标题 3"/>
    <w:basedOn w:val="4"/>
    <w:next w:val="1"/>
    <w:qFormat/>
    <w:uiPriority w:val="0"/>
    <w:pPr>
      <w:adjustRightInd w:val="0"/>
      <w:snapToGrid w:val="0"/>
      <w:spacing w:before="0" w:after="0" w:line="360" w:lineRule="auto"/>
    </w:pPr>
    <w:rPr>
      <w:snapToGrid w:val="0"/>
      <w:kern w:val="0"/>
      <w:sz w:val="24"/>
    </w:rPr>
  </w:style>
  <w:style w:type="paragraph" w:customStyle="1" w:styleId="512">
    <w:name w:val="样式 黑色 行距: 固定值 15 磅"/>
    <w:basedOn w:val="1"/>
    <w:qFormat/>
    <w:uiPriority w:val="0"/>
    <w:pPr>
      <w:spacing w:line="480" w:lineRule="exact"/>
      <w:ind w:firstLine="200" w:firstLineChars="200"/>
    </w:pPr>
    <w:rPr>
      <w:rFonts w:cs="宋体"/>
      <w:color w:val="000000"/>
      <w:sz w:val="28"/>
      <w:szCs w:val="20"/>
    </w:rPr>
  </w:style>
  <w:style w:type="paragraph" w:customStyle="1" w:styleId="513">
    <w:name w:val="样式 标题 1 + (西文) Arial (中文) 黑体 三号 段后: 2 磅"/>
    <w:basedOn w:val="2"/>
    <w:qFormat/>
    <w:uiPriority w:val="0"/>
    <w:pPr>
      <w:tabs>
        <w:tab w:val="left" w:pos="1985"/>
      </w:tabs>
      <w:adjustRightInd w:val="0"/>
      <w:spacing w:beforeLines="100" w:after="40" w:line="360" w:lineRule="auto"/>
      <w:ind w:left="1985" w:hanging="1418"/>
      <w:jc w:val="center"/>
      <w:textAlignment w:val="baseline"/>
    </w:pPr>
    <w:rPr>
      <w:rFonts w:ascii="Arial" w:hAnsi="Arial"/>
      <w:b/>
      <w:bCs/>
      <w:sz w:val="32"/>
    </w:rPr>
  </w:style>
  <w:style w:type="paragraph" w:customStyle="1" w:styleId="514">
    <w:name w:val="Date1"/>
    <w:basedOn w:val="1"/>
    <w:next w:val="1"/>
    <w:qFormat/>
    <w:uiPriority w:val="0"/>
    <w:pPr>
      <w:adjustRightInd w:val="0"/>
      <w:textAlignment w:val="baseline"/>
    </w:pPr>
    <w:rPr>
      <w:szCs w:val="20"/>
    </w:rPr>
  </w:style>
  <w:style w:type="paragraph" w:customStyle="1" w:styleId="515">
    <w:name w:val="Char Char Char2 Char"/>
    <w:basedOn w:val="1"/>
    <w:qFormat/>
    <w:uiPriority w:val="0"/>
  </w:style>
  <w:style w:type="paragraph" w:customStyle="1" w:styleId="516">
    <w:name w:val="样式 样式 样式 样式 标题4- + 段前: 0.5 行 + 段前: 0.5 行 + 段前: 0.5 行 + 段前: 0.5 行"/>
    <w:basedOn w:val="1"/>
    <w:qFormat/>
    <w:uiPriority w:val="0"/>
    <w:pPr>
      <w:tabs>
        <w:tab w:val="left" w:pos="1205"/>
      </w:tabs>
      <w:autoSpaceDE w:val="0"/>
      <w:autoSpaceDN w:val="0"/>
      <w:adjustRightInd w:val="0"/>
      <w:snapToGrid w:val="0"/>
      <w:spacing w:line="360" w:lineRule="auto"/>
      <w:textAlignment w:val="baseline"/>
      <w:outlineLvl w:val="3"/>
    </w:pPr>
    <w:rPr>
      <w:b/>
      <w:snapToGrid w:val="0"/>
      <w:color w:val="000000"/>
      <w:kern w:val="0"/>
      <w:sz w:val="24"/>
    </w:rPr>
  </w:style>
  <w:style w:type="paragraph" w:customStyle="1" w:styleId="517">
    <w:name w:val="_Style 1"/>
    <w:basedOn w:val="1"/>
    <w:next w:val="20"/>
    <w:qFormat/>
    <w:uiPriority w:val="0"/>
    <w:pPr>
      <w:adjustRightInd w:val="0"/>
      <w:spacing w:line="288" w:lineRule="auto"/>
      <w:ind w:firstLine="480"/>
      <w:textAlignment w:val="baseline"/>
    </w:pPr>
    <w:rPr>
      <w:rFonts w:ascii="宋体" w:hAnsi="宋体" w:cs="宋体"/>
      <w:sz w:val="24"/>
    </w:rPr>
  </w:style>
  <w:style w:type="paragraph" w:customStyle="1" w:styleId="518">
    <w:name w:val="前言、引言标题"/>
    <w:next w:val="1"/>
    <w:qFormat/>
    <w:uiPriority w:val="0"/>
    <w:pPr>
      <w:shd w:val="clear" w:color="FFFFFF" w:fill="FFFFFF"/>
      <w:tabs>
        <w:tab w:val="left" w:pos="833"/>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519">
    <w:name w:val="报告书表格标题"/>
    <w:basedOn w:val="1"/>
    <w:qFormat/>
    <w:uiPriority w:val="0"/>
    <w:pPr>
      <w:spacing w:line="360" w:lineRule="auto"/>
      <w:ind w:firstLine="480" w:firstLineChars="200"/>
      <w:textAlignment w:val="center"/>
    </w:pPr>
    <w:rPr>
      <w:color w:val="000000"/>
      <w:sz w:val="24"/>
    </w:rPr>
  </w:style>
  <w:style w:type="paragraph" w:customStyle="1" w:styleId="520">
    <w:name w:val="正文文本 31"/>
    <w:basedOn w:val="1"/>
    <w:qFormat/>
    <w:uiPriority w:val="0"/>
    <w:pPr>
      <w:adjustRightInd w:val="0"/>
      <w:jc w:val="center"/>
      <w:textAlignment w:val="baseline"/>
    </w:pPr>
    <w:rPr>
      <w:rFonts w:ascii="宋体" w:hAnsi="宋体"/>
      <w:bCs/>
      <w:kern w:val="0"/>
      <w:sz w:val="24"/>
      <w:szCs w:val="20"/>
    </w:rPr>
  </w:style>
  <w:style w:type="paragraph" w:customStyle="1" w:styleId="521">
    <w:name w:val="Char Char Char Char Char Char Char Char Char1 Char Char Char Char Char Char Char1 Char Char Char Char Char Char1"/>
    <w:basedOn w:val="1"/>
    <w:qFormat/>
    <w:uiPriority w:val="0"/>
    <w:pPr>
      <w:spacing w:line="360" w:lineRule="auto"/>
      <w:ind w:firstLine="200" w:firstLineChars="200"/>
    </w:pPr>
    <w:rPr>
      <w:rFonts w:ascii="宋体" w:hAnsi="宋体" w:cs="宋体"/>
      <w:sz w:val="24"/>
    </w:rPr>
  </w:style>
  <w:style w:type="paragraph" w:customStyle="1" w:styleId="522">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523">
    <w:name w:val="二级无标题条"/>
    <w:basedOn w:val="1"/>
    <w:qFormat/>
    <w:uiPriority w:val="0"/>
  </w:style>
  <w:style w:type="paragraph" w:customStyle="1" w:styleId="524">
    <w:name w:val="A.1"/>
    <w:basedOn w:val="1"/>
    <w:qFormat/>
    <w:uiPriority w:val="0"/>
    <w:pPr>
      <w:tabs>
        <w:tab w:val="left" w:pos="170"/>
      </w:tabs>
      <w:spacing w:line="360" w:lineRule="auto"/>
      <w:outlineLvl w:val="1"/>
    </w:pPr>
    <w:rPr>
      <w:b/>
      <w:sz w:val="28"/>
      <w:szCs w:val="28"/>
    </w:rPr>
  </w:style>
  <w:style w:type="paragraph" w:customStyle="1" w:styleId="525">
    <w:name w:val="xl25"/>
    <w:basedOn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526">
    <w:name w:val="正文首行缩进 21"/>
    <w:basedOn w:val="527"/>
    <w:qFormat/>
    <w:uiPriority w:val="0"/>
    <w:pPr>
      <w:spacing w:after="120" w:line="312" w:lineRule="atLeast"/>
      <w:ind w:left="420" w:firstLine="420"/>
    </w:pPr>
    <w:rPr>
      <w:rFonts w:ascii="宋体" w:eastAsia="宋体"/>
      <w:kern w:val="0"/>
      <w:sz w:val="21"/>
    </w:rPr>
  </w:style>
  <w:style w:type="paragraph" w:customStyle="1" w:styleId="527">
    <w:name w:val="正文文本 21"/>
    <w:basedOn w:val="1"/>
    <w:qFormat/>
    <w:uiPriority w:val="0"/>
    <w:pPr>
      <w:adjustRightInd w:val="0"/>
      <w:ind w:firstLine="560"/>
      <w:textAlignment w:val="baseline"/>
    </w:pPr>
    <w:rPr>
      <w:rFonts w:eastAsia="仿宋_GB2312"/>
      <w:sz w:val="28"/>
      <w:szCs w:val="20"/>
    </w:rPr>
  </w:style>
  <w:style w:type="paragraph" w:customStyle="1" w:styleId="528">
    <w:name w:val="xl27"/>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529">
    <w:name w:val="G标题 1"/>
    <w:basedOn w:val="2"/>
    <w:qFormat/>
    <w:uiPriority w:val="0"/>
    <w:pPr>
      <w:keepLines w:val="0"/>
      <w:snapToGrid/>
      <w:spacing w:after="0" w:line="480" w:lineRule="exact"/>
      <w:jc w:val="center"/>
    </w:pPr>
    <w:rPr>
      <w:rFonts w:ascii="Times New Roman" w:eastAsia="宋体"/>
      <w:b/>
      <w:bCs/>
      <w:kern w:val="2"/>
      <w:sz w:val="32"/>
      <w:szCs w:val="24"/>
    </w:rPr>
  </w:style>
  <w:style w:type="paragraph" w:customStyle="1" w:styleId="530">
    <w:name w:val="reader-word-layer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531">
    <w:name w:val="基准脚注"/>
    <w:basedOn w:val="1"/>
    <w:qFormat/>
    <w:uiPriority w:val="0"/>
    <w:pPr>
      <w:widowControl/>
      <w:tabs>
        <w:tab w:val="left" w:pos="187"/>
      </w:tabs>
      <w:overflowPunct w:val="0"/>
      <w:autoSpaceDE w:val="0"/>
      <w:autoSpaceDN w:val="0"/>
      <w:adjustRightInd w:val="0"/>
      <w:spacing w:line="220" w:lineRule="exact"/>
      <w:ind w:left="187" w:hanging="187"/>
      <w:jc w:val="left"/>
      <w:textAlignment w:val="baseline"/>
    </w:pPr>
    <w:rPr>
      <w:kern w:val="0"/>
      <w:sz w:val="18"/>
      <w:szCs w:val="20"/>
    </w:rPr>
  </w:style>
  <w:style w:type="paragraph" w:customStyle="1" w:styleId="532">
    <w:name w:val="G 标题 2"/>
    <w:basedOn w:val="3"/>
    <w:qFormat/>
    <w:uiPriority w:val="0"/>
    <w:pPr>
      <w:spacing w:before="0" w:after="0" w:line="480" w:lineRule="exact"/>
      <w:ind w:left="-25" w:leftChars="-25" w:firstLine="200" w:firstLineChars="200"/>
    </w:pPr>
    <w:rPr>
      <w:rFonts w:ascii="Times New Roman" w:hAnsi="Times New Roman" w:eastAsia="宋体"/>
      <w:color w:val="000000"/>
      <w:sz w:val="30"/>
    </w:rPr>
  </w:style>
  <w:style w:type="paragraph" w:customStyle="1" w:styleId="533">
    <w:name w:val="正文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4">
    <w:name w:val="样式 标题 1二处标题 11标题 1 Char章标题章节H1Otsikko 1标题 1 Char Char Ch...1"/>
    <w:basedOn w:val="2"/>
    <w:qFormat/>
    <w:uiPriority w:val="0"/>
    <w:pPr>
      <w:snapToGrid/>
      <w:spacing w:after="0" w:line="480" w:lineRule="exact"/>
      <w:ind w:firstLine="200" w:firstLineChars="200"/>
    </w:pPr>
    <w:rPr>
      <w:rFonts w:ascii="Times New Roman" w:eastAsia="Times New Roman" w:cs="宋体"/>
      <w:b/>
      <w:bCs/>
      <w:sz w:val="32"/>
    </w:rPr>
  </w:style>
  <w:style w:type="paragraph" w:customStyle="1" w:styleId="535">
    <w:name w:val="我的样式1"/>
    <w:basedOn w:val="2"/>
    <w:qFormat/>
    <w:uiPriority w:val="0"/>
    <w:pPr>
      <w:snapToGrid/>
      <w:spacing w:after="0"/>
      <w:jc w:val="center"/>
    </w:pPr>
    <w:rPr>
      <w:rFonts w:ascii="Times New Roman" w:eastAsia="宋体"/>
      <w:b/>
      <w:bCs/>
      <w:sz w:val="32"/>
      <w:szCs w:val="32"/>
    </w:rPr>
  </w:style>
  <w:style w:type="paragraph" w:customStyle="1" w:styleId="536">
    <w:name w:val="Char4"/>
    <w:basedOn w:val="1"/>
    <w:qFormat/>
    <w:uiPriority w:val="0"/>
    <w:pPr>
      <w:spacing w:line="360" w:lineRule="auto"/>
      <w:ind w:firstLine="200" w:firstLineChars="200"/>
    </w:pPr>
    <w:rPr>
      <w:rFonts w:ascii="宋体" w:hAnsi="宋体" w:cs="宋体"/>
      <w:sz w:val="24"/>
    </w:rPr>
  </w:style>
  <w:style w:type="paragraph" w:customStyle="1" w:styleId="537">
    <w:name w:val="正文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38">
    <w:name w:val="xl41"/>
    <w:basedOn w:val="1"/>
    <w:qFormat/>
    <w:uiPriority w:val="0"/>
    <w:pPr>
      <w:widowControl/>
      <w:pBdr>
        <w:bottom w:val="single" w:color="000000" w:sz="4" w:space="0"/>
        <w:right w:val="single" w:color="auto" w:sz="4" w:space="0"/>
      </w:pBdr>
      <w:spacing w:before="100" w:beforeAutospacing="1" w:after="100" w:afterAutospacing="1"/>
      <w:jc w:val="left"/>
      <w:textAlignment w:val="top"/>
    </w:pPr>
    <w:rPr>
      <w:rFonts w:ascii="宋体" w:hAnsi="宋体"/>
      <w:kern w:val="0"/>
      <w:sz w:val="24"/>
    </w:rPr>
  </w:style>
  <w:style w:type="paragraph" w:customStyle="1" w:styleId="539">
    <w:name w:val="reader-word-layer reader-word-s2-15"/>
    <w:basedOn w:val="1"/>
    <w:qFormat/>
    <w:uiPriority w:val="0"/>
    <w:pPr>
      <w:widowControl/>
      <w:spacing w:before="100" w:beforeAutospacing="1" w:after="100" w:afterAutospacing="1"/>
      <w:jc w:val="left"/>
    </w:pPr>
    <w:rPr>
      <w:rFonts w:ascii="宋体" w:hAnsi="宋体" w:cs="宋体"/>
      <w:kern w:val="0"/>
      <w:sz w:val="24"/>
    </w:rPr>
  </w:style>
  <w:style w:type="paragraph" w:customStyle="1" w:styleId="540">
    <w:name w:val="样式 标题 2标题2 + (西文) Arial (中文) 黑体 居中 段后: 2 磅"/>
    <w:basedOn w:val="3"/>
    <w:qFormat/>
    <w:uiPriority w:val="0"/>
    <w:pPr>
      <w:tabs>
        <w:tab w:val="left" w:pos="800"/>
      </w:tabs>
      <w:adjustRightInd w:val="0"/>
      <w:snapToGrid w:val="0"/>
      <w:spacing w:beforeLines="100" w:after="0" w:line="360" w:lineRule="auto"/>
      <w:ind w:left="800" w:hanging="800"/>
      <w:textAlignment w:val="baseline"/>
    </w:pPr>
    <w:rPr>
      <w:rFonts w:hAnsi="宋体" w:eastAsia="宋体"/>
      <w:sz w:val="24"/>
      <w:szCs w:val="20"/>
    </w:rPr>
  </w:style>
  <w:style w:type="paragraph" w:customStyle="1" w:styleId="541">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542">
    <w:name w:val="样式1－王鹏"/>
    <w:basedOn w:val="1"/>
    <w:qFormat/>
    <w:uiPriority w:val="0"/>
    <w:pPr>
      <w:adjustRightInd w:val="0"/>
      <w:snapToGrid w:val="0"/>
      <w:spacing w:beforeLines="50" w:afterLines="50" w:line="336" w:lineRule="auto"/>
      <w:ind w:firstLine="504" w:firstLineChars="200"/>
    </w:pPr>
    <w:rPr>
      <w:bCs/>
      <w:snapToGrid w:val="0"/>
      <w:spacing w:val="6"/>
      <w:kern w:val="0"/>
      <w:sz w:val="24"/>
    </w:rPr>
  </w:style>
  <w:style w:type="paragraph" w:customStyle="1" w:styleId="543">
    <w:name w:val="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544">
    <w:name w:val="表体"/>
    <w:basedOn w:val="1"/>
    <w:qFormat/>
    <w:uiPriority w:val="0"/>
    <w:pPr>
      <w:spacing w:before="40" w:after="40"/>
      <w:jc w:val="center"/>
    </w:pPr>
    <w:rPr>
      <w:szCs w:val="21"/>
    </w:rPr>
  </w:style>
  <w:style w:type="paragraph" w:customStyle="1" w:styleId="545">
    <w:name w:val="项目符号引导"/>
    <w:basedOn w:val="22"/>
    <w:next w:val="22"/>
    <w:qFormat/>
    <w:uiPriority w:val="0"/>
    <w:pPr>
      <w:spacing w:before="80"/>
    </w:pPr>
  </w:style>
  <w:style w:type="paragraph" w:customStyle="1" w:styleId="546">
    <w:name w:val="样式 标题 2标题 2-王鹏标题2纪任山标题 2Char标题 2 Char1标题 2 Char Char二处标题 ..."/>
    <w:basedOn w:val="3"/>
    <w:qFormat/>
    <w:uiPriority w:val="0"/>
    <w:pPr>
      <w:spacing w:before="0" w:after="0" w:line="480" w:lineRule="exact"/>
      <w:ind w:left="-30" w:leftChars="-30" w:firstLine="200" w:firstLineChars="200"/>
    </w:pPr>
    <w:rPr>
      <w:rFonts w:ascii="Times New Roman" w:hAnsi="Times New Roman" w:eastAsia="宋体" w:cs="宋体"/>
      <w:sz w:val="30"/>
      <w:szCs w:val="20"/>
    </w:rPr>
  </w:style>
  <w:style w:type="paragraph" w:customStyle="1" w:styleId="547">
    <w:name w:val="xl42"/>
    <w:basedOn w:val="1"/>
    <w:qFormat/>
    <w:uiPriority w:val="0"/>
    <w:pPr>
      <w:widowControl/>
      <w:pBdr>
        <w:right w:val="single" w:color="000000" w:sz="4" w:space="0"/>
      </w:pBdr>
      <w:spacing w:before="100" w:beforeAutospacing="1" w:after="100" w:afterAutospacing="1"/>
      <w:jc w:val="center"/>
      <w:textAlignment w:val="top"/>
    </w:pPr>
    <w:rPr>
      <w:rFonts w:ascii="宋体" w:hAnsi="宋体"/>
      <w:kern w:val="0"/>
      <w:szCs w:val="21"/>
    </w:rPr>
  </w:style>
  <w:style w:type="paragraph" w:customStyle="1" w:styleId="548">
    <w:name w:val="Char3"/>
    <w:basedOn w:val="1"/>
    <w:qFormat/>
    <w:uiPriority w:val="0"/>
  </w:style>
  <w:style w:type="paragraph" w:customStyle="1" w:styleId="549">
    <w:name w:val="样式 标题 2二处标题 2节标题 1.11.1标题2b2ParagrafoH22nd levelh2Heade...5"/>
    <w:basedOn w:val="3"/>
    <w:qFormat/>
    <w:uiPriority w:val="0"/>
    <w:pPr>
      <w:keepNext w:val="0"/>
      <w:keepLines w:val="0"/>
      <w:adjustRightInd w:val="0"/>
      <w:snapToGrid w:val="0"/>
      <w:spacing w:before="0" w:after="0" w:line="480" w:lineRule="exact"/>
      <w:ind w:firstLine="600" w:firstLineChars="200"/>
      <w:jc w:val="left"/>
    </w:pPr>
    <w:rPr>
      <w:rFonts w:ascii="Times New Roman" w:hAnsi="Times New Roman" w:eastAsia="Times New Roman" w:cs="宋体"/>
      <w:bCs w:val="0"/>
      <w:color w:val="000000"/>
      <w:sz w:val="30"/>
      <w:szCs w:val="20"/>
    </w:rPr>
  </w:style>
  <w:style w:type="paragraph" w:customStyle="1" w:styleId="550">
    <w:name w:val="样式 标题 1标题 1-王鹏纪任山标题 1 + Times New Roman 三号 加粗 黑色"/>
    <w:basedOn w:val="2"/>
    <w:qFormat/>
    <w:uiPriority w:val="0"/>
    <w:pPr>
      <w:keepLines w:val="0"/>
      <w:snapToGrid/>
      <w:spacing w:after="0"/>
      <w:jc w:val="center"/>
    </w:pPr>
    <w:rPr>
      <w:rFonts w:ascii="Times New Roman" w:eastAsia="宋体"/>
      <w:b/>
      <w:bCs/>
      <w:color w:val="000000"/>
      <w:kern w:val="2"/>
      <w:sz w:val="32"/>
      <w:szCs w:val="24"/>
    </w:rPr>
  </w:style>
  <w:style w:type="paragraph" w:customStyle="1" w:styleId="551">
    <w:name w:val="8"/>
    <w:basedOn w:val="1"/>
    <w:next w:val="68"/>
    <w:qFormat/>
    <w:uiPriority w:val="0"/>
    <w:pPr>
      <w:spacing w:line="336" w:lineRule="auto"/>
    </w:pPr>
    <w:rPr>
      <w:spacing w:val="10"/>
      <w:sz w:val="24"/>
      <w:szCs w:val="20"/>
    </w:rPr>
  </w:style>
  <w:style w:type="paragraph" w:customStyle="1" w:styleId="552">
    <w:name w:val="LUNA表头"/>
    <w:basedOn w:val="65"/>
    <w:next w:val="553"/>
    <w:qFormat/>
    <w:uiPriority w:val="0"/>
    <w:pPr>
      <w:adjustRightInd w:val="0"/>
      <w:snapToGrid w:val="0"/>
      <w:ind w:left="0" w:leftChars="0" w:firstLine="0" w:firstLineChars="0"/>
      <w:jc w:val="center"/>
    </w:pPr>
    <w:rPr>
      <w:rFonts w:cs="宋体"/>
      <w:sz w:val="21"/>
      <w:szCs w:val="21"/>
    </w:rPr>
  </w:style>
  <w:style w:type="paragraph" w:customStyle="1" w:styleId="553">
    <w:name w:val="LUNA表正文"/>
    <w:basedOn w:val="1"/>
    <w:qFormat/>
    <w:uiPriority w:val="0"/>
    <w:pPr>
      <w:adjustRightInd w:val="0"/>
      <w:snapToGrid w:val="0"/>
      <w:jc w:val="center"/>
    </w:pPr>
    <w:rPr>
      <w:rFonts w:cs="宋体"/>
      <w:kern w:val="44"/>
      <w:szCs w:val="21"/>
    </w:rPr>
  </w:style>
  <w:style w:type="paragraph" w:customStyle="1" w:styleId="554">
    <w:name w:val="样式 标题 3 + (西文) Times New Roman (中文) 宋体 小四 左 段前: 12 磅 段后: 2 ..."/>
    <w:basedOn w:val="4"/>
    <w:qFormat/>
    <w:uiPriority w:val="0"/>
    <w:pPr>
      <w:keepNext w:val="0"/>
      <w:keepLines w:val="0"/>
      <w:tabs>
        <w:tab w:val="left" w:pos="800"/>
        <w:tab w:val="clear" w:pos="720"/>
      </w:tabs>
      <w:adjustRightInd w:val="0"/>
      <w:snapToGrid w:val="0"/>
      <w:spacing w:beforeLines="50" w:after="0" w:line="360" w:lineRule="auto"/>
      <w:ind w:left="800" w:hanging="800"/>
      <w:jc w:val="left"/>
      <w:textAlignment w:val="baseline"/>
    </w:pPr>
    <w:rPr>
      <w:rFonts w:ascii="宋体" w:hAnsi="宋体"/>
      <w:b w:val="0"/>
      <w:sz w:val="24"/>
      <w:szCs w:val="24"/>
    </w:rPr>
  </w:style>
  <w:style w:type="paragraph" w:customStyle="1" w:styleId="555">
    <w:name w:val="Char1 Char Char Char"/>
    <w:basedOn w:val="1"/>
    <w:qFormat/>
    <w:uiPriority w:val="0"/>
    <w:pPr>
      <w:spacing w:line="360" w:lineRule="auto"/>
      <w:ind w:firstLine="200" w:firstLineChars="200"/>
    </w:pPr>
    <w:rPr>
      <w:rFonts w:ascii="宋体" w:hAnsi="宋体" w:cs="宋体"/>
      <w:sz w:val="24"/>
    </w:rPr>
  </w:style>
  <w:style w:type="paragraph" w:customStyle="1" w:styleId="556">
    <w:name w:val="CC Char Char Char"/>
    <w:basedOn w:val="46"/>
    <w:next w:val="46"/>
    <w:qFormat/>
    <w:uiPriority w:val="0"/>
    <w:pPr>
      <w:spacing w:after="120" w:line="480" w:lineRule="auto"/>
      <w:ind w:left="630" w:leftChars="100" w:right="100" w:rightChars="100" w:firstLine="0" w:firstLineChars="0"/>
    </w:pPr>
    <w:rPr>
      <w:szCs w:val="28"/>
    </w:rPr>
  </w:style>
  <w:style w:type="paragraph" w:customStyle="1" w:styleId="557">
    <w:name w:val="body"/>
    <w:basedOn w:val="1"/>
    <w:qFormat/>
    <w:uiPriority w:val="0"/>
    <w:pPr>
      <w:spacing w:line="360" w:lineRule="auto"/>
      <w:ind w:firstLine="480" w:firstLineChars="200"/>
    </w:pPr>
    <w:rPr>
      <w:rFonts w:ascii="宋体" w:eastAsia="仿宋_GB2312"/>
      <w:bCs/>
      <w:sz w:val="24"/>
    </w:rPr>
  </w:style>
  <w:style w:type="paragraph" w:customStyle="1" w:styleId="558">
    <w:name w:val="Char Char Char Char2"/>
    <w:basedOn w:val="1"/>
    <w:semiHidden/>
    <w:qFormat/>
    <w:uiPriority w:val="0"/>
    <w:rPr>
      <w:sz w:val="24"/>
    </w:rPr>
  </w:style>
  <w:style w:type="paragraph" w:customStyle="1" w:styleId="559">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0">
    <w:name w:val="font5"/>
    <w:basedOn w:val="1"/>
    <w:qFormat/>
    <w:uiPriority w:val="0"/>
    <w:pPr>
      <w:widowControl/>
      <w:spacing w:before="100" w:beforeAutospacing="1" w:after="100" w:afterAutospacing="1"/>
      <w:jc w:val="left"/>
    </w:pPr>
    <w:rPr>
      <w:rFonts w:ascii="宋体" w:hAnsi="宋体" w:cs="Arial Unicode MS"/>
      <w:kern w:val="0"/>
      <w:sz w:val="18"/>
      <w:szCs w:val="18"/>
    </w:rPr>
  </w:style>
  <w:style w:type="paragraph" w:customStyle="1" w:styleId="561">
    <w:name w:val="标题1 Char Char Char"/>
    <w:basedOn w:val="1"/>
    <w:next w:val="1"/>
    <w:qFormat/>
    <w:uiPriority w:val="0"/>
    <w:pPr>
      <w:spacing w:beforeLines="50" w:afterLines="50"/>
      <w:jc w:val="center"/>
    </w:pPr>
    <w:rPr>
      <w:rFonts w:eastAsia="黑体"/>
      <w:kern w:val="0"/>
      <w:sz w:val="32"/>
      <w:szCs w:val="32"/>
    </w:rPr>
  </w:style>
  <w:style w:type="paragraph" w:customStyle="1" w:styleId="562">
    <w:name w:val="样式 标题 2二处标题 2节标题 1.11.1标题2b2ParagrafoH22nd levelh2Heade...3"/>
    <w:basedOn w:val="3"/>
    <w:qFormat/>
    <w:uiPriority w:val="0"/>
    <w:pPr>
      <w:keepNext w:val="0"/>
      <w:keepLines w:val="0"/>
      <w:adjustRightInd w:val="0"/>
      <w:snapToGrid w:val="0"/>
      <w:spacing w:before="0" w:after="0" w:line="480" w:lineRule="exact"/>
      <w:ind w:firstLine="600" w:firstLineChars="200"/>
      <w:jc w:val="left"/>
    </w:pPr>
    <w:rPr>
      <w:rFonts w:ascii="Times New Roman" w:hAnsi="Times New Roman" w:eastAsia="Times New Roman" w:cs="宋体"/>
      <w:bCs w:val="0"/>
      <w:color w:val="000000"/>
      <w:sz w:val="30"/>
      <w:szCs w:val="20"/>
    </w:rPr>
  </w:style>
  <w:style w:type="paragraph" w:customStyle="1" w:styleId="563">
    <w:name w:val="LUNA标题 2"/>
    <w:basedOn w:val="3"/>
    <w:next w:val="1"/>
    <w:qFormat/>
    <w:uiPriority w:val="0"/>
    <w:pPr>
      <w:tabs>
        <w:tab w:val="left" w:pos="576"/>
      </w:tabs>
      <w:adjustRightInd w:val="0"/>
      <w:snapToGrid w:val="0"/>
      <w:spacing w:before="0" w:after="0" w:line="360" w:lineRule="auto"/>
      <w:ind w:left="576" w:hanging="576"/>
    </w:pPr>
    <w:rPr>
      <w:rFonts w:ascii="Times New Roman" w:hAnsi="Times New Roman" w:eastAsia="宋体"/>
      <w:kern w:val="44"/>
      <w:sz w:val="28"/>
    </w:rPr>
  </w:style>
  <w:style w:type="paragraph" w:customStyle="1" w:styleId="564">
    <w:name w:val="Char Char Char Char Char Char1 Char Char Char Char1"/>
    <w:basedOn w:val="1"/>
    <w:qFormat/>
    <w:uiPriority w:val="0"/>
    <w:rPr>
      <w:sz w:val="24"/>
    </w:rPr>
  </w:style>
  <w:style w:type="paragraph" w:customStyle="1" w:styleId="56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4"/>
    </w:rPr>
  </w:style>
  <w:style w:type="paragraph" w:customStyle="1" w:styleId="566">
    <w:name w:val="样式 样式 样式 标题 2节 + (西文) Times New Roman (中文) 宋体 四号 段前: 0.5 行 段后: 0..."/>
    <w:basedOn w:val="567"/>
    <w:next w:val="2"/>
    <w:qFormat/>
    <w:uiPriority w:val="0"/>
    <w:pPr>
      <w:tabs>
        <w:tab w:val="left" w:pos="720"/>
      </w:tabs>
      <w:spacing w:beforeLines="0"/>
    </w:pPr>
    <w:rPr>
      <w:rFonts w:hAnsi="宋体" w:cs="宋体"/>
      <w:szCs w:val="20"/>
    </w:rPr>
  </w:style>
  <w:style w:type="paragraph" w:customStyle="1" w:styleId="567">
    <w:name w:val="样式 样式 标题 2节 + (西文) Times New Roman (中文) 宋体 四号 段前: 0.5 行 段后: 0......"/>
    <w:basedOn w:val="1"/>
    <w:qFormat/>
    <w:uiPriority w:val="0"/>
    <w:pPr>
      <w:keepNext/>
      <w:keepLines/>
      <w:tabs>
        <w:tab w:val="left" w:pos="720"/>
      </w:tabs>
      <w:adjustRightInd w:val="0"/>
      <w:snapToGrid w:val="0"/>
      <w:spacing w:beforeLines="50" w:line="360" w:lineRule="auto"/>
      <w:ind w:left="397" w:hanging="397"/>
      <w:outlineLvl w:val="1"/>
    </w:pPr>
    <w:rPr>
      <w:b/>
      <w:bCs/>
      <w:sz w:val="30"/>
      <w:szCs w:val="30"/>
    </w:rPr>
  </w:style>
  <w:style w:type="paragraph" w:customStyle="1" w:styleId="568">
    <w:name w:val="样式 样式 样式 样式 样式 样式 样式 正文缩进 + 首行缩进:  2 字符1 + 首行缩进:  2 字符1 + 四号 + 首..."/>
    <w:basedOn w:val="1"/>
    <w:qFormat/>
    <w:uiPriority w:val="0"/>
    <w:pPr>
      <w:widowControl/>
      <w:adjustRightInd w:val="0"/>
      <w:snapToGrid w:val="0"/>
      <w:spacing w:line="360" w:lineRule="auto"/>
      <w:ind w:firstLine="480" w:firstLineChars="200"/>
    </w:pPr>
    <w:rPr>
      <w:rFonts w:hAnsi="宋体"/>
      <w:kern w:val="44"/>
      <w:sz w:val="24"/>
    </w:rPr>
  </w:style>
  <w:style w:type="paragraph" w:customStyle="1" w:styleId="569">
    <w:name w:val="Char Char Char Char Char Char Char Char Char Char Char Char Char Char Char Char Char Char Char Char Char Char Char Char1 Char Char Char Char Char Char Char Char Char1 Char Char Char2 Char1"/>
    <w:basedOn w:val="1"/>
    <w:qFormat/>
    <w:uiPriority w:val="0"/>
  </w:style>
  <w:style w:type="paragraph" w:customStyle="1" w:styleId="570">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571">
    <w:name w:val="正文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2">
    <w:name w:val="小四表文左齐"/>
    <w:basedOn w:val="1"/>
    <w:qFormat/>
    <w:uiPriority w:val="0"/>
    <w:pPr>
      <w:adjustRightInd w:val="0"/>
      <w:snapToGrid w:val="0"/>
      <w:jc w:val="center"/>
    </w:pPr>
    <w:rPr>
      <w:rFonts w:ascii="仿宋_GB2312" w:eastAsia="仿宋_GB2312"/>
      <w:szCs w:val="21"/>
    </w:rPr>
  </w:style>
  <w:style w:type="paragraph" w:customStyle="1" w:styleId="573">
    <w:name w:val="样式 样式 样式 样式 标题 2节 + (西文) Times New Roman (中文) 宋体 四号 段前: 0.5 行 段后..."/>
    <w:basedOn w:val="292"/>
    <w:qFormat/>
    <w:uiPriority w:val="0"/>
    <w:pPr>
      <w:spacing w:beforeLines="0"/>
    </w:pPr>
    <w:rPr>
      <w:rFonts w:eastAsia="宋体"/>
    </w:rPr>
  </w:style>
  <w:style w:type="paragraph" w:customStyle="1" w:styleId="574">
    <w:name w:val="样式 居中"/>
    <w:basedOn w:val="1"/>
    <w:qFormat/>
    <w:uiPriority w:val="0"/>
    <w:rPr>
      <w:rFonts w:cs="宋体"/>
      <w:szCs w:val="20"/>
    </w:rPr>
  </w:style>
  <w:style w:type="paragraph" w:customStyle="1" w:styleId="575">
    <w:name w:val="样式 标题 1二处标题 11标题 1 Char章标题章节H1Otsikko 1标题 1 Char Char Ch...3"/>
    <w:basedOn w:val="2"/>
    <w:qFormat/>
    <w:uiPriority w:val="0"/>
    <w:pPr>
      <w:snapToGrid/>
      <w:spacing w:after="0" w:line="480" w:lineRule="exact"/>
      <w:ind w:firstLine="200" w:firstLineChars="200"/>
      <w:jc w:val="center"/>
    </w:pPr>
    <w:rPr>
      <w:rFonts w:ascii="Times New Roman" w:eastAsia="宋体"/>
      <w:b/>
      <w:bCs/>
      <w:sz w:val="32"/>
      <w:szCs w:val="44"/>
    </w:rPr>
  </w:style>
  <w:style w:type="paragraph" w:customStyle="1" w:styleId="576">
    <w:name w:val="reader-word-layer reader-word-s2-5"/>
    <w:basedOn w:val="1"/>
    <w:qFormat/>
    <w:uiPriority w:val="0"/>
    <w:pPr>
      <w:widowControl/>
      <w:spacing w:before="100" w:beforeAutospacing="1" w:after="100" w:afterAutospacing="1"/>
      <w:jc w:val="left"/>
    </w:pPr>
    <w:rPr>
      <w:rFonts w:ascii="宋体" w:hAnsi="宋体" w:cs="宋体"/>
      <w:kern w:val="0"/>
      <w:sz w:val="24"/>
    </w:rPr>
  </w:style>
  <w:style w:type="paragraph" w:customStyle="1" w:styleId="577">
    <w:name w:val="Char Char Char Char Char Char Char Char Char Char Char Char Char Char Char2 Char Char Char Char"/>
    <w:basedOn w:val="1"/>
    <w:qFormat/>
    <w:uiPriority w:val="0"/>
  </w:style>
  <w:style w:type="paragraph" w:customStyle="1" w:styleId="578">
    <w:name w:val="正文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9">
    <w:name w:val="xl67"/>
    <w:basedOn w:val="1"/>
    <w:qFormat/>
    <w:uiPriority w:val="0"/>
    <w:pPr>
      <w:widowControl/>
      <w:pBdr>
        <w:left w:val="single" w:color="000000" w:sz="4" w:space="0"/>
        <w:bottom w:val="single" w:color="auto" w:sz="4" w:space="0"/>
      </w:pBdr>
      <w:spacing w:before="100" w:beforeAutospacing="1" w:after="100" w:afterAutospacing="1"/>
    </w:pPr>
    <w:rPr>
      <w:kern w:val="0"/>
      <w:szCs w:val="21"/>
    </w:rPr>
  </w:style>
  <w:style w:type="paragraph" w:customStyle="1" w:styleId="580">
    <w:name w:val="样式 样式 样式 首行缩进:  2 字符 + 首行缩进:  2 字符 + 首行缩进:  2 字符"/>
    <w:basedOn w:val="1"/>
    <w:qFormat/>
    <w:uiPriority w:val="0"/>
    <w:pPr>
      <w:spacing w:line="360" w:lineRule="auto"/>
      <w:ind w:firstLine="480" w:firstLineChars="200"/>
    </w:pPr>
    <w:rPr>
      <w:rFonts w:eastAsia="仿宋_GB2312"/>
      <w:sz w:val="24"/>
      <w:szCs w:val="20"/>
    </w:rPr>
  </w:style>
  <w:style w:type="paragraph" w:customStyle="1" w:styleId="581">
    <w:name w:val="xl6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kern w:val="0"/>
      <w:szCs w:val="21"/>
    </w:rPr>
  </w:style>
  <w:style w:type="paragraph" w:customStyle="1" w:styleId="582">
    <w:name w:val="样式 标题 1 + 段前: 0 磅 段后: 0 磅"/>
    <w:basedOn w:val="2"/>
    <w:qFormat/>
    <w:uiPriority w:val="0"/>
    <w:pPr>
      <w:adjustRightInd w:val="0"/>
      <w:spacing w:after="0" w:line="360" w:lineRule="auto"/>
      <w:ind w:firstLine="168" w:firstLineChars="168"/>
      <w:jc w:val="left"/>
      <w:textAlignment w:val="baseline"/>
    </w:pPr>
    <w:rPr>
      <w:rFonts w:ascii="Arial" w:hAnsi="Arial"/>
      <w:b/>
      <w:bCs/>
      <w:snapToGrid w:val="0"/>
      <w:spacing w:val="4"/>
      <w:kern w:val="18"/>
      <w:sz w:val="28"/>
    </w:rPr>
  </w:style>
  <w:style w:type="paragraph" w:customStyle="1" w:styleId="583">
    <w:name w:val="图"/>
    <w:basedOn w:val="31"/>
    <w:qFormat/>
    <w:uiPriority w:val="0"/>
    <w:pPr>
      <w:widowControl/>
      <w:adjustRightInd w:val="0"/>
      <w:spacing w:after="200" w:line="288" w:lineRule="auto"/>
      <w:jc w:val="center"/>
      <w:textAlignment w:val="baseline"/>
    </w:pPr>
    <w:rPr>
      <w:rFonts w:ascii="黑体" w:hAnsi="Calibri" w:eastAsia="黑体"/>
      <w:b/>
      <w:kern w:val="0"/>
      <w:sz w:val="21"/>
      <w:szCs w:val="22"/>
      <w:lang w:eastAsia="en-US" w:bidi="en-US"/>
    </w:rPr>
  </w:style>
  <w:style w:type="paragraph" w:customStyle="1" w:styleId="584">
    <w:name w:val="正文 + 8 磅"/>
    <w:basedOn w:val="1"/>
    <w:qFormat/>
    <w:uiPriority w:val="0"/>
    <w:rPr>
      <w:rFonts w:ascii="宋体" w:hAnsi="宋体"/>
      <w:bCs/>
      <w:kern w:val="0"/>
      <w:sz w:val="20"/>
    </w:rPr>
  </w:style>
  <w:style w:type="paragraph" w:customStyle="1" w:styleId="585">
    <w:name w:val="Char Char Char Char Char Char Char Char Char1 Char Char Char Char Char Char Char Char Char Char"/>
    <w:basedOn w:val="1"/>
    <w:qFormat/>
    <w:uiPriority w:val="0"/>
    <w:pPr>
      <w:spacing w:line="360" w:lineRule="auto"/>
      <w:ind w:firstLine="200" w:firstLineChars="200"/>
    </w:pPr>
    <w:rPr>
      <w:rFonts w:ascii="宋体" w:hAnsi="宋体" w:cs="宋体"/>
      <w:sz w:val="26"/>
      <w:szCs w:val="26"/>
    </w:rPr>
  </w:style>
  <w:style w:type="paragraph" w:customStyle="1" w:styleId="586">
    <w:name w:val="样式3-王鹏"/>
    <w:basedOn w:val="1"/>
    <w:qFormat/>
    <w:uiPriority w:val="0"/>
    <w:pPr>
      <w:adjustRightInd w:val="0"/>
      <w:snapToGrid w:val="0"/>
      <w:spacing w:before="100" w:afterLines="50" w:line="336" w:lineRule="auto"/>
      <w:ind w:firstLine="420" w:firstLineChars="200"/>
    </w:pPr>
    <w:rPr>
      <w:snapToGrid w:val="0"/>
      <w:kern w:val="0"/>
      <w:szCs w:val="20"/>
    </w:rPr>
  </w:style>
  <w:style w:type="paragraph" w:customStyle="1" w:styleId="587">
    <w:name w:val="表中文字"/>
    <w:basedOn w:val="1"/>
    <w:qFormat/>
    <w:uiPriority w:val="0"/>
    <w:pPr>
      <w:spacing w:before="60" w:after="60" w:line="360" w:lineRule="auto"/>
    </w:pPr>
    <w:rPr>
      <w:sz w:val="24"/>
      <w:szCs w:val="20"/>
    </w:rPr>
  </w:style>
  <w:style w:type="paragraph" w:customStyle="1" w:styleId="588">
    <w:name w:val="正文 New New New New New New New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9">
    <w:name w:val="Char Char Char2 Char3"/>
    <w:basedOn w:val="1"/>
    <w:qFormat/>
    <w:uiPriority w:val="0"/>
  </w:style>
  <w:style w:type="paragraph" w:customStyle="1" w:styleId="590">
    <w:name w:val="LUNA标题 1"/>
    <w:basedOn w:val="2"/>
    <w:next w:val="1"/>
    <w:qFormat/>
    <w:uiPriority w:val="0"/>
    <w:pPr>
      <w:tabs>
        <w:tab w:val="left" w:pos="432"/>
      </w:tabs>
      <w:adjustRightInd w:val="0"/>
      <w:spacing w:after="0" w:line="360" w:lineRule="auto"/>
      <w:ind w:left="432" w:hanging="432"/>
    </w:pPr>
    <w:rPr>
      <w:rFonts w:ascii="Times New Roman" w:eastAsia="宋体"/>
      <w:b/>
      <w:bCs/>
      <w:sz w:val="32"/>
      <w:szCs w:val="32"/>
    </w:rPr>
  </w:style>
  <w:style w:type="paragraph" w:customStyle="1" w:styleId="591">
    <w:name w:val="xl36"/>
    <w:basedOn w:val="1"/>
    <w:qFormat/>
    <w:uiPriority w:val="0"/>
    <w:pPr>
      <w:widowControl/>
      <w:spacing w:before="100" w:beforeAutospacing="1" w:after="100" w:afterAutospacing="1"/>
      <w:jc w:val="center"/>
      <w:textAlignment w:val="center"/>
    </w:pPr>
    <w:rPr>
      <w:rFonts w:ascii="仿宋_GB2312" w:hAnsi="宋体" w:eastAsia="仿宋_GB2312"/>
      <w:kern w:val="0"/>
      <w:sz w:val="24"/>
    </w:rPr>
  </w:style>
  <w:style w:type="paragraph" w:customStyle="1" w:styleId="592">
    <w:name w:val="xl51"/>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kern w:val="0"/>
      <w:szCs w:val="21"/>
    </w:rPr>
  </w:style>
  <w:style w:type="paragraph" w:customStyle="1" w:styleId="593">
    <w:name w:val="表格 Char Char Char Char"/>
    <w:basedOn w:val="1"/>
    <w:qFormat/>
    <w:uiPriority w:val="0"/>
    <w:pPr>
      <w:adjustRightInd w:val="0"/>
      <w:snapToGrid w:val="0"/>
      <w:jc w:val="center"/>
    </w:pPr>
    <w:rPr>
      <w:rFonts w:ascii="宋体"/>
      <w:snapToGrid w:val="0"/>
      <w:spacing w:val="4"/>
      <w:w w:val="90"/>
      <w:sz w:val="24"/>
    </w:rPr>
  </w:style>
  <w:style w:type="paragraph" w:customStyle="1" w:styleId="594">
    <w:name w:val="xl49"/>
    <w:basedOn w:val="1"/>
    <w:qFormat/>
    <w:uiPriority w:val="0"/>
    <w:pPr>
      <w:widowControl/>
      <w:pBdr>
        <w:top w:val="single" w:color="000000" w:sz="4" w:space="0"/>
        <w:left w:val="single" w:color="auto" w:sz="4" w:space="0"/>
        <w:bottom w:val="single" w:color="000000" w:sz="4" w:space="0"/>
      </w:pBdr>
      <w:spacing w:before="100" w:beforeAutospacing="1" w:after="100" w:afterAutospacing="1"/>
      <w:jc w:val="center"/>
    </w:pPr>
    <w:rPr>
      <w:kern w:val="0"/>
      <w:szCs w:val="21"/>
    </w:rPr>
  </w:style>
  <w:style w:type="paragraph" w:customStyle="1" w:styleId="595">
    <w:name w:val="奇数页脚注"/>
    <w:basedOn w:val="50"/>
    <w:qFormat/>
    <w:uiPriority w:val="0"/>
    <w:pPr>
      <w:keepLines/>
      <w:widowControl/>
      <w:tabs>
        <w:tab w:val="center" w:pos="7200"/>
        <w:tab w:val="right" w:pos="14400"/>
        <w:tab w:val="clear" w:pos="4153"/>
        <w:tab w:val="clear" w:pos="8306"/>
      </w:tabs>
      <w:overflowPunct w:val="0"/>
      <w:autoSpaceDE w:val="0"/>
      <w:autoSpaceDN w:val="0"/>
      <w:adjustRightInd w:val="0"/>
      <w:snapToGrid/>
      <w:jc w:val="center"/>
      <w:textAlignment w:val="baseline"/>
    </w:pPr>
    <w:rPr>
      <w:spacing w:val="80"/>
      <w:kern w:val="0"/>
      <w:sz w:val="20"/>
      <w:szCs w:val="20"/>
    </w:rPr>
  </w:style>
  <w:style w:type="paragraph" w:customStyle="1" w:styleId="596">
    <w:name w:val="样式2－王鹏"/>
    <w:basedOn w:val="1"/>
    <w:qFormat/>
    <w:uiPriority w:val="0"/>
    <w:pPr>
      <w:autoSpaceDE w:val="0"/>
      <w:autoSpaceDN w:val="0"/>
      <w:adjustRightInd w:val="0"/>
      <w:snapToGrid w:val="0"/>
      <w:spacing w:line="360" w:lineRule="auto"/>
      <w:jc w:val="center"/>
      <w:textAlignment w:val="baseline"/>
    </w:pPr>
    <w:rPr>
      <w:snapToGrid w:val="0"/>
      <w:kern w:val="0"/>
      <w:szCs w:val="21"/>
    </w:rPr>
  </w:style>
  <w:style w:type="paragraph" w:customStyle="1" w:styleId="597">
    <w:name w:val="样式 标题 1标题 1 Char Char Char标题 1 Char Char Char Char标题 11 Char...2"/>
    <w:basedOn w:val="2"/>
    <w:qFormat/>
    <w:uiPriority w:val="0"/>
    <w:pPr>
      <w:keepLines w:val="0"/>
      <w:snapToGrid/>
      <w:spacing w:after="0" w:line="480" w:lineRule="exact"/>
      <w:ind w:firstLine="200" w:firstLineChars="200"/>
      <w:jc w:val="center"/>
    </w:pPr>
    <w:rPr>
      <w:rFonts w:ascii="宋体" w:hAnsi="宋体" w:eastAsia="宋体" w:cs="宋体"/>
      <w:b/>
      <w:bCs/>
      <w:kern w:val="2"/>
      <w:sz w:val="32"/>
    </w:rPr>
  </w:style>
  <w:style w:type="paragraph" w:customStyle="1" w:styleId="598">
    <w:name w:val="样式 标题 1二处标题 11标题 1 Char章标题章节H1Otsikko 1标题 1 Char Char Ch..."/>
    <w:basedOn w:val="2"/>
    <w:qFormat/>
    <w:uiPriority w:val="0"/>
    <w:pPr>
      <w:snapToGrid/>
      <w:spacing w:after="0" w:line="480" w:lineRule="exact"/>
      <w:ind w:firstLine="200" w:firstLineChars="200"/>
      <w:jc w:val="center"/>
    </w:pPr>
    <w:rPr>
      <w:rFonts w:ascii="Times New Roman" w:eastAsia="Times New Roman" w:cs="宋体"/>
      <w:b/>
      <w:bCs/>
      <w:sz w:val="32"/>
    </w:rPr>
  </w:style>
  <w:style w:type="paragraph" w:customStyle="1" w:styleId="599">
    <w:name w:val="A"/>
    <w:basedOn w:val="1"/>
    <w:qFormat/>
    <w:uiPriority w:val="0"/>
    <w:pPr>
      <w:tabs>
        <w:tab w:val="left" w:pos="170"/>
      </w:tabs>
      <w:spacing w:line="360" w:lineRule="auto"/>
      <w:ind w:left="284" w:hanging="284"/>
      <w:outlineLvl w:val="0"/>
    </w:pPr>
    <w:rPr>
      <w:bCs/>
      <w:snapToGrid w:val="0"/>
      <w:kern w:val="44"/>
      <w:sz w:val="32"/>
      <w:szCs w:val="44"/>
    </w:rPr>
  </w:style>
  <w:style w:type="paragraph" w:customStyle="1" w:styleId="600">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paragraph" w:customStyle="1" w:styleId="601">
    <w:name w:val="xl68"/>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kern w:val="0"/>
      <w:szCs w:val="21"/>
    </w:rPr>
  </w:style>
  <w:style w:type="paragraph" w:customStyle="1" w:styleId="602">
    <w:name w:val="加粗 居中+ 段后: 0.25 行"/>
    <w:basedOn w:val="1"/>
    <w:qFormat/>
    <w:uiPriority w:val="0"/>
    <w:pPr>
      <w:spacing w:afterLines="25"/>
      <w:jc w:val="center"/>
    </w:pPr>
    <w:rPr>
      <w:rFonts w:cs="宋体"/>
      <w:b/>
      <w:bCs/>
      <w:szCs w:val="20"/>
    </w:rPr>
  </w:style>
  <w:style w:type="paragraph" w:customStyle="1" w:styleId="603">
    <w:name w:val="Char Char Char Char Char Char Char Char Char1 Char"/>
    <w:basedOn w:val="1"/>
    <w:qFormat/>
    <w:uiPriority w:val="0"/>
  </w:style>
  <w:style w:type="paragraph" w:customStyle="1" w:styleId="604">
    <w:name w:val="Char11"/>
    <w:basedOn w:val="1"/>
    <w:qFormat/>
    <w:uiPriority w:val="0"/>
    <w:pPr>
      <w:adjustRightInd w:val="0"/>
      <w:spacing w:line="360" w:lineRule="atLeast"/>
      <w:jc w:val="left"/>
    </w:pPr>
    <w:rPr>
      <w:rFonts w:ascii="Tahoma" w:hAnsi="Tahoma"/>
      <w:kern w:val="0"/>
      <w:sz w:val="24"/>
      <w:szCs w:val="20"/>
    </w:rPr>
  </w:style>
  <w:style w:type="paragraph" w:customStyle="1" w:styleId="605">
    <w:name w:val="6表(图)头(治)"/>
    <w:next w:val="1"/>
    <w:qFormat/>
    <w:uiPriority w:val="0"/>
    <w:pPr>
      <w:widowControl w:val="0"/>
      <w:spacing w:after="200" w:line="276" w:lineRule="auto"/>
      <w:jc w:val="center"/>
    </w:pPr>
    <w:rPr>
      <w:rFonts w:ascii="宋体" w:hAnsi="宋体" w:eastAsia="宋体" w:cs="Times New Roman"/>
      <w:b/>
      <w:bCs/>
      <w:sz w:val="24"/>
      <w:szCs w:val="24"/>
      <w:lang w:val="en-US" w:eastAsia="en-US" w:bidi="en-US"/>
    </w:rPr>
  </w:style>
  <w:style w:type="paragraph" w:customStyle="1" w:styleId="606">
    <w:name w:val="Char Char Char Char Char Char Char Char Char Char"/>
    <w:basedOn w:val="1"/>
    <w:qFormat/>
    <w:uiPriority w:val="0"/>
    <w:rPr>
      <w:szCs w:val="20"/>
    </w:rPr>
  </w:style>
  <w:style w:type="paragraph" w:customStyle="1" w:styleId="607">
    <w:name w:val="style6"/>
    <w:basedOn w:val="1"/>
    <w:qFormat/>
    <w:uiPriority w:val="0"/>
    <w:pPr>
      <w:widowControl/>
      <w:spacing w:before="100" w:beforeAutospacing="1" w:after="100" w:afterAutospacing="1"/>
      <w:jc w:val="left"/>
    </w:pPr>
    <w:rPr>
      <w:rFonts w:hint="eastAsia" w:ascii="宋体" w:hAnsi="宋体" w:cs="Arial Unicode MS"/>
      <w:color w:val="000000"/>
      <w:kern w:val="0"/>
      <w:szCs w:val="21"/>
    </w:rPr>
  </w:style>
  <w:style w:type="paragraph" w:customStyle="1" w:styleId="608">
    <w:name w:val="样式 标题 1标题 1 Char Char Char标题 1 Char Char Char Char标题 11 Char..."/>
    <w:basedOn w:val="2"/>
    <w:qFormat/>
    <w:uiPriority w:val="0"/>
    <w:pPr>
      <w:keepLines w:val="0"/>
      <w:snapToGrid/>
      <w:spacing w:after="0" w:line="480" w:lineRule="exact"/>
      <w:jc w:val="center"/>
    </w:pPr>
    <w:rPr>
      <w:rFonts w:ascii="Times New Roman" w:eastAsia="宋体" w:cs="宋体"/>
      <w:b/>
      <w:bCs/>
      <w:kern w:val="2"/>
      <w:sz w:val="32"/>
    </w:rPr>
  </w:style>
  <w:style w:type="paragraph" w:customStyle="1" w:styleId="609">
    <w:name w:val="章标题"/>
    <w:next w:val="1"/>
    <w:qFormat/>
    <w:uiPriority w:val="0"/>
    <w:pPr>
      <w:tabs>
        <w:tab w:val="left" w:pos="903"/>
        <w:tab w:val="left" w:pos="131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610">
    <w:name w:val="杜4"/>
    <w:basedOn w:val="31"/>
    <w:next w:val="31"/>
    <w:qFormat/>
    <w:uiPriority w:val="0"/>
    <w:pPr>
      <w:spacing w:line="440" w:lineRule="exact"/>
      <w:ind w:firstLine="556"/>
      <w:jc w:val="left"/>
    </w:pPr>
    <w:rPr>
      <w:rFonts w:ascii="Times New Roman" w:hAnsi="Times New Roman" w:eastAsia="仿宋_GB2312"/>
      <w:sz w:val="28"/>
      <w:szCs w:val="24"/>
    </w:rPr>
  </w:style>
  <w:style w:type="paragraph" w:customStyle="1" w:styleId="611">
    <w:name w:val="表格1"/>
    <w:qFormat/>
    <w:uiPriority w:val="0"/>
    <w:pPr>
      <w:jc w:val="center"/>
    </w:pPr>
    <w:rPr>
      <w:rFonts w:ascii="Times New Roman" w:hAnsi="Times New Roman" w:eastAsia="宋体" w:cs="Times New Roman"/>
      <w:kern w:val="2"/>
      <w:sz w:val="21"/>
      <w:szCs w:val="21"/>
      <w:lang w:val="en-US" w:eastAsia="zh-CN" w:bidi="ar-SA"/>
    </w:rPr>
  </w:style>
  <w:style w:type="paragraph" w:customStyle="1" w:styleId="612">
    <w:name w:val="样式 标题 1 Char标题 1-王鹏 Char + 宋体 四号 非加粗"/>
    <w:basedOn w:val="2"/>
    <w:qFormat/>
    <w:uiPriority w:val="0"/>
    <w:pPr>
      <w:keepLines w:val="0"/>
      <w:snapToGrid/>
      <w:spacing w:beforeLines="50" w:afterLines="50"/>
      <w:jc w:val="center"/>
    </w:pPr>
    <w:rPr>
      <w:rFonts w:ascii="Times New Roman" w:eastAsia="宋体"/>
      <w:kern w:val="2"/>
      <w:sz w:val="32"/>
      <w:szCs w:val="32"/>
    </w:rPr>
  </w:style>
  <w:style w:type="paragraph" w:customStyle="1" w:styleId="613">
    <w:name w:val="样式 标题 1-*+章标题 11.标题 1h11st levelSection Headl1b1H1Head..."/>
    <w:basedOn w:val="2"/>
    <w:qFormat/>
    <w:uiPriority w:val="0"/>
    <w:pPr>
      <w:snapToGrid/>
      <w:spacing w:after="0" w:line="360" w:lineRule="auto"/>
      <w:jc w:val="left"/>
    </w:pPr>
    <w:rPr>
      <w:rFonts w:ascii="宋体" w:hAnsi="宋体" w:eastAsia="宋体" w:cs="宋体"/>
      <w:b/>
      <w:bCs/>
      <w:color w:val="000000"/>
      <w:kern w:val="2"/>
      <w:sz w:val="32"/>
    </w:rPr>
  </w:style>
  <w:style w:type="paragraph" w:customStyle="1" w:styleId="614">
    <w:name w:val="地质报告正文"/>
    <w:basedOn w:val="1"/>
    <w:qFormat/>
    <w:uiPriority w:val="0"/>
    <w:pPr>
      <w:ind w:firstLine="200" w:firstLineChars="200"/>
    </w:pPr>
    <w:rPr>
      <w:sz w:val="28"/>
    </w:rPr>
  </w:style>
  <w:style w:type="paragraph" w:customStyle="1" w:styleId="615">
    <w:name w:val="奇数页篇眉"/>
    <w:basedOn w:val="52"/>
    <w:qFormat/>
    <w:uiPriority w:val="0"/>
    <w:pPr>
      <w:keepLines/>
      <w:widowControl/>
      <w:pBdr>
        <w:bottom w:val="none" w:color="auto" w:sz="0" w:space="0"/>
      </w:pBdr>
      <w:tabs>
        <w:tab w:val="center" w:pos="7200"/>
        <w:tab w:val="right" w:pos="14400"/>
        <w:tab w:val="clear" w:pos="4153"/>
        <w:tab w:val="clear" w:pos="8306"/>
      </w:tabs>
      <w:overflowPunct w:val="0"/>
      <w:autoSpaceDE w:val="0"/>
      <w:autoSpaceDN w:val="0"/>
      <w:adjustRightInd w:val="0"/>
      <w:snapToGrid/>
      <w:textAlignment w:val="baseline"/>
    </w:pPr>
    <w:rPr>
      <w:spacing w:val="80"/>
      <w:kern w:val="0"/>
      <w:sz w:val="20"/>
      <w:szCs w:val="20"/>
    </w:rPr>
  </w:style>
  <w:style w:type="paragraph" w:customStyle="1" w:styleId="616">
    <w:name w:val="Char Char Char Char Char Char Char1"/>
    <w:basedOn w:val="1"/>
    <w:qFormat/>
    <w:uiPriority w:val="0"/>
  </w:style>
  <w:style w:type="paragraph" w:customStyle="1" w:styleId="617">
    <w:name w:val="样式1－表头"/>
    <w:basedOn w:val="1"/>
    <w:qFormat/>
    <w:uiPriority w:val="0"/>
    <w:pPr>
      <w:adjustRightInd w:val="0"/>
      <w:snapToGrid w:val="0"/>
      <w:jc w:val="center"/>
    </w:pPr>
    <w:rPr>
      <w:b/>
      <w:bCs/>
      <w:color w:val="000000"/>
      <w:spacing w:val="6"/>
      <w:kern w:val="0"/>
      <w:sz w:val="24"/>
      <w:szCs w:val="20"/>
    </w:rPr>
  </w:style>
  <w:style w:type="paragraph" w:customStyle="1" w:styleId="618">
    <w:name w:val="样式 标题 1二处标题 11标题 1 Char章标题章节H1Otsikko 1标题 1 Char Char Ch...4"/>
    <w:basedOn w:val="2"/>
    <w:qFormat/>
    <w:uiPriority w:val="0"/>
    <w:pPr>
      <w:snapToGrid/>
      <w:spacing w:after="0" w:line="480" w:lineRule="exact"/>
      <w:ind w:firstLine="643" w:firstLineChars="200"/>
      <w:jc w:val="center"/>
    </w:pPr>
    <w:rPr>
      <w:rFonts w:ascii="Times New Roman" w:hAnsi="宋体" w:eastAsia="宋体"/>
      <w:b/>
      <w:bCs/>
      <w:color w:val="000000"/>
      <w:sz w:val="32"/>
    </w:rPr>
  </w:style>
  <w:style w:type="paragraph" w:customStyle="1" w:styleId="619">
    <w:name w:val="样式 我的样式2 + 加粗"/>
    <w:basedOn w:val="479"/>
    <w:qFormat/>
    <w:uiPriority w:val="0"/>
    <w:rPr>
      <w:b w:val="0"/>
    </w:rPr>
  </w:style>
  <w:style w:type="paragraph" w:customStyle="1" w:styleId="620">
    <w:name w:val="列表引导"/>
    <w:basedOn w:val="23"/>
    <w:next w:val="23"/>
    <w:qFormat/>
    <w:uiPriority w:val="0"/>
    <w:pPr>
      <w:widowControl/>
      <w:tabs>
        <w:tab w:val="left" w:pos="720"/>
      </w:tabs>
      <w:overflowPunct w:val="0"/>
      <w:autoSpaceDE w:val="0"/>
      <w:autoSpaceDN w:val="0"/>
      <w:adjustRightInd w:val="0"/>
      <w:spacing w:before="80" w:after="80"/>
      <w:ind w:left="720" w:hanging="360" w:firstLineChars="0"/>
      <w:jc w:val="left"/>
      <w:textAlignment w:val="baseline"/>
    </w:pPr>
    <w:rPr>
      <w:kern w:val="0"/>
      <w:sz w:val="20"/>
      <w:szCs w:val="20"/>
    </w:rPr>
  </w:style>
  <w:style w:type="paragraph" w:customStyle="1" w:styleId="621">
    <w:name w:val="样式6"/>
    <w:basedOn w:val="1"/>
    <w:qFormat/>
    <w:uiPriority w:val="0"/>
    <w:pPr>
      <w:adjustRightInd w:val="0"/>
      <w:snapToGrid w:val="0"/>
      <w:jc w:val="center"/>
    </w:pPr>
    <w:rPr>
      <w:szCs w:val="21"/>
    </w:rPr>
  </w:style>
  <w:style w:type="paragraph" w:customStyle="1" w:styleId="622">
    <w:name w:val="样式 标题 2标题 2-王鹏标题2纪任山标题 2 + 段前: 0 磅 段后: 0 磅 行距: 固定值 24 磅"/>
    <w:basedOn w:val="3"/>
    <w:qFormat/>
    <w:uiPriority w:val="0"/>
    <w:pPr>
      <w:spacing w:before="0" w:after="0" w:line="480" w:lineRule="exact"/>
      <w:ind w:left="-10" w:leftChars="-10" w:firstLine="562" w:firstLineChars="200"/>
    </w:pPr>
    <w:rPr>
      <w:rFonts w:ascii="Times New Roman" w:hAnsi="Times New Roman" w:eastAsia="宋体" w:cs="宋体"/>
      <w:sz w:val="30"/>
      <w:szCs w:val="20"/>
    </w:rPr>
  </w:style>
  <w:style w:type="paragraph" w:customStyle="1" w:styleId="623">
    <w:name w:val="xl70"/>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kern w:val="0"/>
      <w:szCs w:val="21"/>
    </w:rPr>
  </w:style>
  <w:style w:type="paragraph" w:customStyle="1" w:styleId="624">
    <w:name w:val="日期1"/>
    <w:basedOn w:val="1"/>
    <w:next w:val="1"/>
    <w:qFormat/>
    <w:uiPriority w:val="0"/>
    <w:pPr>
      <w:adjustRightInd w:val="0"/>
      <w:spacing w:line="312" w:lineRule="atLeast"/>
      <w:jc w:val="right"/>
      <w:textAlignment w:val="baseline"/>
    </w:pPr>
    <w:rPr>
      <w:rFonts w:ascii="宋体"/>
      <w:kern w:val="0"/>
      <w:sz w:val="30"/>
      <w:szCs w:val="20"/>
    </w:rPr>
  </w:style>
  <w:style w:type="paragraph" w:customStyle="1" w:styleId="625">
    <w:name w:val="样式2"/>
    <w:basedOn w:val="567"/>
    <w:qFormat/>
    <w:uiPriority w:val="0"/>
    <w:pPr>
      <w:outlineLvl w:val="0"/>
    </w:pPr>
  </w:style>
  <w:style w:type="paragraph" w:customStyle="1" w:styleId="626">
    <w:name w:val="样式 样式 首行缩进:  2 字符 + 首行缩进:  2 字符"/>
    <w:basedOn w:val="1"/>
    <w:qFormat/>
    <w:uiPriority w:val="0"/>
    <w:pPr>
      <w:snapToGrid w:val="0"/>
      <w:spacing w:line="360" w:lineRule="auto"/>
      <w:ind w:firstLine="420" w:firstLineChars="200"/>
    </w:pPr>
    <w:rPr>
      <w:rFonts w:ascii="宋体" w:hAnsi="宋体" w:cs="宋体"/>
      <w:color w:val="000000"/>
      <w:szCs w:val="21"/>
    </w:rPr>
  </w:style>
  <w:style w:type="paragraph" w:customStyle="1" w:styleId="627">
    <w:name w:val="标题5"/>
    <w:basedOn w:val="1"/>
    <w:qFormat/>
    <w:uiPriority w:val="0"/>
    <w:pPr>
      <w:adjustRightInd w:val="0"/>
      <w:snapToGrid w:val="0"/>
      <w:spacing w:afterLines="50" w:line="480" w:lineRule="exact"/>
      <w:jc w:val="center"/>
    </w:pPr>
    <w:rPr>
      <w:rFonts w:eastAsia="仿宋_GB2312"/>
      <w:b/>
      <w:bCs/>
      <w:sz w:val="24"/>
    </w:rPr>
  </w:style>
  <w:style w:type="paragraph" w:customStyle="1" w:styleId="628">
    <w:name w:val="回信地址"/>
    <w:basedOn w:val="629"/>
    <w:qFormat/>
    <w:uiPriority w:val="0"/>
  </w:style>
  <w:style w:type="paragraph" w:customStyle="1" w:styleId="629">
    <w:name w:val="地址"/>
    <w:basedOn w:val="1"/>
    <w:qFormat/>
    <w:uiPriority w:val="0"/>
    <w:pPr>
      <w:keepLines/>
      <w:widowControl/>
      <w:overflowPunct w:val="0"/>
      <w:autoSpaceDE w:val="0"/>
      <w:autoSpaceDN w:val="0"/>
      <w:adjustRightInd w:val="0"/>
      <w:jc w:val="center"/>
      <w:textAlignment w:val="baseline"/>
    </w:pPr>
    <w:rPr>
      <w:kern w:val="0"/>
      <w:sz w:val="20"/>
      <w:szCs w:val="20"/>
    </w:rPr>
  </w:style>
  <w:style w:type="paragraph" w:customStyle="1" w:styleId="630">
    <w:name w:val="基准篇眉"/>
    <w:basedOn w:val="1"/>
    <w:qFormat/>
    <w:uiPriority w:val="0"/>
    <w:pPr>
      <w:keepLines/>
      <w:widowControl/>
      <w:tabs>
        <w:tab w:val="center" w:pos="7200"/>
        <w:tab w:val="right" w:pos="14400"/>
      </w:tabs>
      <w:overflowPunct w:val="0"/>
      <w:autoSpaceDE w:val="0"/>
      <w:autoSpaceDN w:val="0"/>
      <w:adjustRightInd w:val="0"/>
      <w:jc w:val="center"/>
      <w:textAlignment w:val="baseline"/>
    </w:pPr>
    <w:rPr>
      <w:spacing w:val="80"/>
      <w:kern w:val="0"/>
      <w:sz w:val="20"/>
      <w:szCs w:val="20"/>
    </w:rPr>
  </w:style>
  <w:style w:type="paragraph" w:customStyle="1" w:styleId="63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632">
    <w:name w:val="Char Char Char Char Char2 Char1"/>
    <w:basedOn w:val="1"/>
    <w:qFormat/>
    <w:uiPriority w:val="0"/>
    <w:pPr>
      <w:spacing w:line="360" w:lineRule="auto"/>
      <w:ind w:firstLine="200"/>
    </w:pPr>
    <w:rPr>
      <w:spacing w:val="20"/>
      <w:sz w:val="24"/>
    </w:rPr>
  </w:style>
  <w:style w:type="paragraph" w:customStyle="1" w:styleId="633">
    <w:name w:val="myformat_content Char"/>
    <w:basedOn w:val="1"/>
    <w:qFormat/>
    <w:uiPriority w:val="0"/>
    <w:pPr>
      <w:spacing w:beforeLines="50" w:afterLines="50" w:line="360" w:lineRule="exact"/>
      <w:ind w:firstLine="480" w:firstLineChars="200"/>
    </w:pPr>
    <w:rPr>
      <w:sz w:val="24"/>
      <w:szCs w:val="20"/>
    </w:rPr>
  </w:style>
  <w:style w:type="paragraph" w:customStyle="1" w:styleId="634">
    <w:name w:val="font1"/>
    <w:basedOn w:val="1"/>
    <w:qFormat/>
    <w:uiPriority w:val="0"/>
    <w:pPr>
      <w:widowControl/>
      <w:spacing w:before="100" w:beforeAutospacing="1" w:after="100" w:afterAutospacing="1"/>
      <w:jc w:val="left"/>
    </w:pPr>
    <w:rPr>
      <w:rFonts w:hint="eastAsia" w:ascii="宋体" w:hAnsi="宋体" w:cs="Arial Unicode MS"/>
      <w:kern w:val="0"/>
      <w:sz w:val="24"/>
    </w:rPr>
  </w:style>
  <w:style w:type="paragraph" w:customStyle="1" w:styleId="635">
    <w:name w:val="reader-word-layer reader-word-s2-16"/>
    <w:basedOn w:val="1"/>
    <w:qFormat/>
    <w:uiPriority w:val="0"/>
    <w:pPr>
      <w:widowControl/>
      <w:spacing w:before="100" w:beforeAutospacing="1" w:after="100" w:afterAutospacing="1"/>
      <w:jc w:val="left"/>
    </w:pPr>
    <w:rPr>
      <w:rFonts w:ascii="宋体" w:hAnsi="宋体" w:cs="宋体"/>
      <w:kern w:val="0"/>
      <w:sz w:val="24"/>
    </w:rPr>
  </w:style>
  <w:style w:type="paragraph" w:customStyle="1" w:styleId="636">
    <w:name w:val="样式3wf"/>
    <w:basedOn w:val="1"/>
    <w:qFormat/>
    <w:uiPriority w:val="0"/>
    <w:pPr>
      <w:autoSpaceDE w:val="0"/>
      <w:autoSpaceDN w:val="0"/>
      <w:adjustRightInd w:val="0"/>
      <w:snapToGrid w:val="0"/>
      <w:spacing w:before="120"/>
      <w:jc w:val="center"/>
      <w:textAlignment w:val="baseline"/>
    </w:pPr>
    <w:rPr>
      <w:szCs w:val="21"/>
    </w:rPr>
  </w:style>
  <w:style w:type="paragraph" w:customStyle="1" w:styleId="637">
    <w:name w:val="纪任山图表标题5"/>
    <w:basedOn w:val="1"/>
    <w:qFormat/>
    <w:uiPriority w:val="0"/>
    <w:pPr>
      <w:adjustRightInd w:val="0"/>
      <w:snapToGrid w:val="0"/>
      <w:spacing w:beforeLines="50" w:afterLines="50" w:line="480" w:lineRule="exact"/>
      <w:jc w:val="center"/>
    </w:pPr>
    <w:rPr>
      <w:b/>
      <w:bCs/>
      <w:spacing w:val="6"/>
      <w:sz w:val="24"/>
    </w:rPr>
  </w:style>
  <w:style w:type="paragraph" w:customStyle="1" w:styleId="638">
    <w:name w:val="样式 正文文本缩进 2 + 加粗 首行缩进:  2 字符 行距: 固定值 24 磅1"/>
    <w:basedOn w:val="46"/>
    <w:qFormat/>
    <w:uiPriority w:val="0"/>
    <w:pPr>
      <w:ind w:firstLine="562"/>
    </w:pPr>
    <w:rPr>
      <w:rFonts w:cs="宋体"/>
      <w:bCs/>
      <w:szCs w:val="20"/>
    </w:rPr>
  </w:style>
  <w:style w:type="paragraph" w:customStyle="1" w:styleId="639">
    <w:name w:val="样式2－表格"/>
    <w:basedOn w:val="1"/>
    <w:qFormat/>
    <w:uiPriority w:val="0"/>
    <w:pPr>
      <w:widowControl/>
      <w:adjustRightInd w:val="0"/>
      <w:snapToGrid w:val="0"/>
      <w:spacing w:line="360" w:lineRule="auto"/>
      <w:jc w:val="center"/>
    </w:pPr>
    <w:rPr>
      <w:rFonts w:eastAsia="黑体"/>
      <w:kern w:val="0"/>
      <w:szCs w:val="20"/>
    </w:rPr>
  </w:style>
  <w:style w:type="paragraph" w:customStyle="1" w:styleId="64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641">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642">
    <w:name w:val="偶数页篇眉"/>
    <w:basedOn w:val="52"/>
    <w:qFormat/>
    <w:uiPriority w:val="0"/>
    <w:pPr>
      <w:keepLines/>
      <w:widowControl/>
      <w:pBdr>
        <w:bottom w:val="none" w:color="auto" w:sz="0" w:space="0"/>
      </w:pBdr>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kern w:val="0"/>
      <w:sz w:val="20"/>
      <w:szCs w:val="20"/>
    </w:rPr>
  </w:style>
  <w:style w:type="paragraph" w:customStyle="1" w:styleId="643">
    <w:name w:val="封面正文"/>
    <w:qFormat/>
    <w:uiPriority w:val="0"/>
    <w:pPr>
      <w:jc w:val="both"/>
    </w:pPr>
    <w:rPr>
      <w:rFonts w:ascii="Times New Roman" w:hAnsi="Times New Roman" w:eastAsia="宋体" w:cs="Times New Roman"/>
      <w:lang w:val="en-US" w:eastAsia="zh-CN" w:bidi="ar-SA"/>
    </w:rPr>
  </w:style>
  <w:style w:type="paragraph" w:customStyle="1" w:styleId="644">
    <w:name w:val="C"/>
    <w:basedOn w:val="1"/>
    <w:qFormat/>
    <w:uiPriority w:val="0"/>
    <w:pPr>
      <w:spacing w:line="360" w:lineRule="auto"/>
      <w:outlineLvl w:val="2"/>
    </w:pPr>
    <w:rPr>
      <w:bCs/>
      <w:kern w:val="44"/>
      <w:sz w:val="24"/>
      <w:szCs w:val="44"/>
    </w:rPr>
  </w:style>
  <w:style w:type="paragraph" w:customStyle="1" w:styleId="645">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646">
    <w:name w:val="dandan6-13正文 Char Char Char"/>
    <w:basedOn w:val="1"/>
    <w:next w:val="1"/>
    <w:qFormat/>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647">
    <w:name w:val="样式 小四 行距: 1.5 倍行距"/>
    <w:basedOn w:val="1"/>
    <w:qFormat/>
    <w:uiPriority w:val="0"/>
    <w:pPr>
      <w:spacing w:line="360" w:lineRule="auto"/>
      <w:ind w:firstLine="480" w:firstLineChars="200"/>
    </w:pPr>
    <w:rPr>
      <w:rFonts w:cs="宋体"/>
      <w:sz w:val="24"/>
      <w:szCs w:val="20"/>
    </w:rPr>
  </w:style>
  <w:style w:type="paragraph" w:customStyle="1" w:styleId="648">
    <w:name w:val="正文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9">
    <w:name w:val="xl43"/>
    <w:basedOn w:val="1"/>
    <w:qFormat/>
    <w:uiPriority w:val="0"/>
    <w:pPr>
      <w:widowControl/>
      <w:pBdr>
        <w:bottom w:val="single" w:color="000000" w:sz="4" w:space="0"/>
        <w:right w:val="single" w:color="000000" w:sz="4" w:space="0"/>
      </w:pBdr>
      <w:spacing w:before="100" w:beforeAutospacing="1" w:after="100" w:afterAutospacing="1"/>
      <w:jc w:val="left"/>
      <w:textAlignment w:val="top"/>
    </w:pPr>
    <w:rPr>
      <w:rFonts w:ascii="宋体" w:hAnsi="宋体"/>
      <w:kern w:val="0"/>
      <w:sz w:val="24"/>
    </w:rPr>
  </w:style>
  <w:style w:type="paragraph" w:customStyle="1" w:styleId="650">
    <w:name w:val="xl57"/>
    <w:basedOn w:val="1"/>
    <w:qFormat/>
    <w:uiPriority w:val="0"/>
    <w:pPr>
      <w:widowControl/>
      <w:pBdr>
        <w:bottom w:val="single" w:color="auto" w:sz="4" w:space="0"/>
        <w:right w:val="single" w:color="000000" w:sz="4" w:space="0"/>
      </w:pBdr>
      <w:spacing w:before="100" w:beforeAutospacing="1" w:after="100" w:afterAutospacing="1"/>
      <w:jc w:val="center"/>
    </w:pPr>
    <w:rPr>
      <w:rFonts w:ascii="宋体" w:hAnsi="宋体"/>
      <w:kern w:val="0"/>
      <w:szCs w:val="21"/>
    </w:rPr>
  </w:style>
  <w:style w:type="paragraph" w:customStyle="1" w:styleId="651">
    <w:name w:val="样式4.1.1.1"/>
    <w:basedOn w:val="1"/>
    <w:qFormat/>
    <w:uiPriority w:val="0"/>
    <w:pPr>
      <w:tabs>
        <w:tab w:val="left" w:pos="0"/>
      </w:tabs>
      <w:spacing w:beforeLines="50" w:line="360" w:lineRule="auto"/>
      <w:outlineLvl w:val="3"/>
    </w:pPr>
    <w:rPr>
      <w:b/>
      <w:bCs/>
      <w:sz w:val="24"/>
    </w:rPr>
  </w:style>
  <w:style w:type="paragraph" w:customStyle="1" w:styleId="652">
    <w:name w:val="注释"/>
    <w:basedOn w:val="188"/>
    <w:qFormat/>
    <w:uiPriority w:val="0"/>
    <w:pPr>
      <w:ind w:firstLine="420"/>
    </w:pPr>
    <w:rPr>
      <w:sz w:val="21"/>
    </w:rPr>
  </w:style>
  <w:style w:type="paragraph" w:customStyle="1" w:styleId="653">
    <w:name w:val="xl59"/>
    <w:basedOn w:val="1"/>
    <w:qFormat/>
    <w:uiPriority w:val="0"/>
    <w:pPr>
      <w:widowControl/>
      <w:pBdr>
        <w:top w:val="single" w:color="000000" w:sz="4" w:space="0"/>
        <w:left w:val="single" w:color="auto" w:sz="4" w:space="0"/>
        <w:right w:val="single" w:color="000000" w:sz="4" w:space="0"/>
      </w:pBdr>
      <w:spacing w:before="100" w:beforeAutospacing="1" w:after="100" w:afterAutospacing="1"/>
      <w:jc w:val="center"/>
    </w:pPr>
    <w:rPr>
      <w:kern w:val="0"/>
      <w:szCs w:val="21"/>
    </w:rPr>
  </w:style>
  <w:style w:type="paragraph" w:customStyle="1" w:styleId="654">
    <w:name w:val="Char Char17"/>
    <w:basedOn w:val="1"/>
    <w:qFormat/>
    <w:uiPriority w:val="0"/>
    <w:rPr>
      <w:sz w:val="24"/>
    </w:rPr>
  </w:style>
  <w:style w:type="paragraph" w:customStyle="1" w:styleId="655">
    <w:name w:val="默认段落字体 Para Char Char Char Char"/>
    <w:basedOn w:val="1"/>
    <w:qFormat/>
    <w:uiPriority w:val="0"/>
    <w:rPr>
      <w:sz w:val="24"/>
    </w:rPr>
  </w:style>
  <w:style w:type="paragraph" w:customStyle="1" w:styleId="656">
    <w:name w:val="Char13 Char Char Char Char Char Char1"/>
    <w:basedOn w:val="1"/>
    <w:qFormat/>
    <w:uiPriority w:val="0"/>
    <w:pPr>
      <w:tabs>
        <w:tab w:val="left" w:pos="794"/>
        <w:tab w:val="left" w:pos="1191"/>
        <w:tab w:val="left" w:pos="1588"/>
        <w:tab w:val="left" w:pos="1985"/>
      </w:tabs>
      <w:autoSpaceDE w:val="0"/>
      <w:autoSpaceDN w:val="0"/>
      <w:adjustRightInd w:val="0"/>
      <w:spacing w:before="136"/>
    </w:pPr>
    <w:rPr>
      <w:szCs w:val="20"/>
    </w:rPr>
  </w:style>
  <w:style w:type="paragraph" w:customStyle="1" w:styleId="657">
    <w:name w:val="reader-word-layer reader-word-s3-4"/>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2 + 首行缩进:  2 字符"/>
    <w:basedOn w:val="3"/>
    <w:qFormat/>
    <w:uiPriority w:val="0"/>
    <w:pPr>
      <w:spacing w:before="0" w:after="0" w:line="240" w:lineRule="auto"/>
      <w:jc w:val="left"/>
    </w:pPr>
    <w:rPr>
      <w:rFonts w:ascii="Times New Roman" w:hAnsi="Times New Roman" w:eastAsia="宋体" w:cs="宋体"/>
      <w:bCs w:val="0"/>
      <w:sz w:val="28"/>
      <w:szCs w:val="28"/>
    </w:rPr>
  </w:style>
  <w:style w:type="paragraph" w:customStyle="1" w:styleId="659">
    <w:name w:val="胡奔流-标题6"/>
    <w:basedOn w:val="1"/>
    <w:qFormat/>
    <w:uiPriority w:val="0"/>
    <w:pPr>
      <w:adjustRightInd w:val="0"/>
      <w:spacing w:line="360" w:lineRule="auto"/>
      <w:textAlignment w:val="baseline"/>
    </w:pPr>
    <w:rPr>
      <w:rFonts w:ascii="宋体"/>
      <w:spacing w:val="10"/>
      <w:kern w:val="21"/>
      <w:sz w:val="24"/>
      <w:szCs w:val="20"/>
    </w:rPr>
  </w:style>
  <w:style w:type="paragraph" w:customStyle="1" w:styleId="660">
    <w:name w:val="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661">
    <w:name w:val="font8"/>
    <w:basedOn w:val="1"/>
    <w:qFormat/>
    <w:uiPriority w:val="0"/>
    <w:pPr>
      <w:widowControl/>
      <w:spacing w:before="100" w:beforeAutospacing="1" w:after="100" w:afterAutospacing="1"/>
      <w:jc w:val="left"/>
    </w:pPr>
    <w:rPr>
      <w:kern w:val="0"/>
      <w:sz w:val="18"/>
      <w:szCs w:val="18"/>
    </w:rPr>
  </w:style>
  <w:style w:type="paragraph" w:customStyle="1" w:styleId="662">
    <w:name w:val="纯文本1"/>
    <w:basedOn w:val="1"/>
    <w:qFormat/>
    <w:uiPriority w:val="0"/>
    <w:pPr>
      <w:autoSpaceDE w:val="0"/>
      <w:autoSpaceDN w:val="0"/>
      <w:adjustRightInd w:val="0"/>
      <w:textAlignment w:val="baseline"/>
    </w:pPr>
    <w:rPr>
      <w:rFonts w:ascii="宋体" w:hAnsi="Tms Rmn"/>
      <w:kern w:val="0"/>
      <w:szCs w:val="20"/>
    </w:rPr>
  </w:style>
  <w:style w:type="paragraph" w:customStyle="1" w:styleId="663">
    <w:name w:val="大标题1"/>
    <w:basedOn w:val="4"/>
    <w:next w:val="78"/>
    <w:qFormat/>
    <w:uiPriority w:val="0"/>
    <w:pPr>
      <w:tabs>
        <w:tab w:val="clear" w:pos="720"/>
      </w:tabs>
      <w:spacing w:before="120" w:after="120" w:line="240" w:lineRule="auto"/>
      <w:ind w:left="0" w:firstLine="0"/>
      <w:jc w:val="center"/>
    </w:pPr>
    <w:rPr>
      <w:rFonts w:ascii="隶书" w:eastAsia="隶书"/>
      <w:bCs w:val="0"/>
      <w:sz w:val="44"/>
      <w:szCs w:val="20"/>
    </w:rPr>
  </w:style>
  <w:style w:type="paragraph" w:customStyle="1" w:styleId="664">
    <w:name w:val="表内式样"/>
    <w:qFormat/>
    <w:uiPriority w:val="0"/>
    <w:pPr>
      <w:widowControl w:val="0"/>
      <w:spacing w:line="0" w:lineRule="atLeast"/>
      <w:jc w:val="center"/>
    </w:pPr>
    <w:rPr>
      <w:rFonts w:ascii="Times New Roman" w:hAnsi="Times New Roman" w:eastAsia="宋体" w:cs="Times New Roman"/>
      <w:kern w:val="2"/>
      <w:sz w:val="21"/>
      <w:lang w:val="en-US" w:eastAsia="zh-CN" w:bidi="ar-SA"/>
    </w:rPr>
  </w:style>
  <w:style w:type="paragraph" w:customStyle="1" w:styleId="665">
    <w:name w:val="TOC 标题1"/>
    <w:basedOn w:val="2"/>
    <w:next w:val="1"/>
    <w:qFormat/>
    <w:uiPriority w:val="0"/>
    <w:pPr>
      <w:widowControl/>
      <w:snapToGrid/>
      <w:spacing w:before="480" w:after="0" w:line="276" w:lineRule="auto"/>
      <w:jc w:val="left"/>
      <w:outlineLvl w:val="9"/>
    </w:pPr>
    <w:rPr>
      <w:rFonts w:ascii="Cambria" w:hAnsi="Cambria" w:eastAsia="宋体"/>
      <w:b/>
      <w:bCs/>
      <w:color w:val="365F91"/>
      <w:kern w:val="0"/>
      <w:sz w:val="28"/>
      <w:szCs w:val="28"/>
      <w:lang w:eastAsia="en-US" w:bidi="en-US"/>
    </w:rPr>
  </w:style>
  <w:style w:type="paragraph" w:customStyle="1" w:styleId="666">
    <w:name w:val="样式 标题 2 + 四号 段前: 0 磅 段后: 0 磅 行距: 单倍行距"/>
    <w:basedOn w:val="3"/>
    <w:qFormat/>
    <w:uiPriority w:val="0"/>
    <w:pPr>
      <w:adjustRightInd w:val="0"/>
      <w:spacing w:before="0" w:after="0" w:line="240" w:lineRule="auto"/>
    </w:pPr>
    <w:rPr>
      <w:rFonts w:ascii="Times New Roman" w:hAnsi="Times New Roman" w:eastAsia="宋体" w:cs="宋体"/>
      <w:kern w:val="28"/>
      <w:sz w:val="28"/>
      <w:szCs w:val="28"/>
    </w:rPr>
  </w:style>
  <w:style w:type="paragraph" w:customStyle="1" w:styleId="667">
    <w:name w:val="LUNA正文"/>
    <w:basedOn w:val="1"/>
    <w:next w:val="1"/>
    <w:qFormat/>
    <w:uiPriority w:val="0"/>
    <w:pPr>
      <w:adjustRightInd w:val="0"/>
      <w:snapToGrid w:val="0"/>
      <w:spacing w:line="360" w:lineRule="auto"/>
      <w:ind w:firstLine="200" w:firstLineChars="200"/>
    </w:pPr>
    <w:rPr>
      <w:rFonts w:cs="宋体"/>
      <w:kern w:val="44"/>
      <w:sz w:val="24"/>
    </w:rPr>
  </w:style>
  <w:style w:type="paragraph" w:customStyle="1" w:styleId="668">
    <w:name w:val="Char Char Char1 Char Char Char Char Char Char Char Char Char Char Char Char Char1"/>
    <w:basedOn w:val="1"/>
    <w:qFormat/>
    <w:uiPriority w:val="0"/>
    <w:rPr>
      <w:szCs w:val="20"/>
    </w:rPr>
  </w:style>
  <w:style w:type="paragraph" w:customStyle="1" w:styleId="669">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670">
    <w:name w:val="五号 居中"/>
    <w:basedOn w:val="1"/>
    <w:qFormat/>
    <w:uiPriority w:val="0"/>
    <w:pPr>
      <w:spacing w:line="240" w:lineRule="exact"/>
      <w:jc w:val="center"/>
    </w:pPr>
    <w:rPr>
      <w:sz w:val="24"/>
    </w:rPr>
  </w:style>
  <w:style w:type="paragraph" w:customStyle="1" w:styleId="671">
    <w:name w:val="小四 加粗 居中"/>
    <w:basedOn w:val="1"/>
    <w:qFormat/>
    <w:uiPriority w:val="0"/>
    <w:pPr>
      <w:jc w:val="center"/>
    </w:pPr>
    <w:rPr>
      <w:rFonts w:cs="宋体"/>
      <w:b/>
      <w:bCs/>
      <w:sz w:val="24"/>
      <w:szCs w:val="20"/>
    </w:rPr>
  </w:style>
  <w:style w:type="paragraph" w:customStyle="1" w:styleId="672">
    <w:name w:val="偶数页脚注"/>
    <w:basedOn w:val="50"/>
    <w:qFormat/>
    <w:uiPriority w:val="0"/>
    <w:pPr>
      <w:keepLines/>
      <w:widowControl/>
      <w:tabs>
        <w:tab w:val="right" w:pos="0"/>
        <w:tab w:val="center" w:pos="7200"/>
        <w:tab w:val="right" w:pos="14400"/>
        <w:tab w:val="clear" w:pos="4153"/>
        <w:tab w:val="clear" w:pos="8306"/>
      </w:tabs>
      <w:overflowPunct w:val="0"/>
      <w:autoSpaceDE w:val="0"/>
      <w:autoSpaceDN w:val="0"/>
      <w:adjustRightInd w:val="0"/>
      <w:snapToGrid/>
      <w:jc w:val="right"/>
      <w:textAlignment w:val="baseline"/>
    </w:pPr>
    <w:rPr>
      <w:spacing w:val="80"/>
      <w:kern w:val="0"/>
      <w:sz w:val="20"/>
      <w:szCs w:val="20"/>
    </w:rPr>
  </w:style>
  <w:style w:type="paragraph" w:customStyle="1" w:styleId="673">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674">
    <w:name w:val="乙炔样式"/>
    <w:basedOn w:val="2"/>
    <w:next w:val="36"/>
    <w:qFormat/>
    <w:uiPriority w:val="0"/>
    <w:pPr>
      <w:snapToGrid/>
      <w:spacing w:after="0" w:line="324" w:lineRule="auto"/>
      <w:jc w:val="center"/>
    </w:pPr>
    <w:rPr>
      <w:rFonts w:ascii="Times New Roman" w:eastAsia="宋体"/>
      <w:b/>
      <w:bCs/>
      <w:sz w:val="32"/>
      <w:szCs w:val="32"/>
    </w:rPr>
  </w:style>
  <w:style w:type="paragraph" w:customStyle="1" w:styleId="675">
    <w:name w:val="标题9"/>
    <w:next w:val="1"/>
    <w:qFormat/>
    <w:uiPriority w:val="0"/>
    <w:pPr>
      <w:adjustRightInd w:val="0"/>
      <w:snapToGrid w:val="0"/>
      <w:spacing w:line="360" w:lineRule="auto"/>
      <w:jc w:val="center"/>
    </w:pPr>
    <w:rPr>
      <w:rFonts w:ascii="Times New Roman" w:hAnsi="Times New Roman" w:eastAsia="黑体" w:cs="Times New Roman"/>
      <w:sz w:val="21"/>
      <w:lang w:val="en-US" w:eastAsia="zh-CN" w:bidi="ar-SA"/>
    </w:rPr>
  </w:style>
  <w:style w:type="paragraph" w:customStyle="1" w:styleId="676">
    <w:name w:val="xl3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olor w:val="FF6600"/>
      <w:kern w:val="0"/>
      <w:sz w:val="24"/>
    </w:rPr>
  </w:style>
  <w:style w:type="paragraph" w:customStyle="1" w:styleId="677">
    <w:name w:val="表格 Char Char"/>
    <w:basedOn w:val="1"/>
    <w:qFormat/>
    <w:uiPriority w:val="0"/>
    <w:pPr>
      <w:adjustRightInd w:val="0"/>
      <w:snapToGrid w:val="0"/>
      <w:jc w:val="center"/>
    </w:pPr>
    <w:rPr>
      <w:rFonts w:ascii="宋体"/>
      <w:snapToGrid w:val="0"/>
      <w:spacing w:val="4"/>
      <w:w w:val="90"/>
      <w:kern w:val="0"/>
      <w:sz w:val="24"/>
    </w:rPr>
  </w:style>
  <w:style w:type="paragraph" w:customStyle="1" w:styleId="678">
    <w:name w:val="表格内标"/>
    <w:basedOn w:val="1"/>
    <w:next w:val="1"/>
    <w:qFormat/>
    <w:uiPriority w:val="0"/>
    <w:pPr>
      <w:keepNext/>
      <w:keepLines/>
      <w:jc w:val="center"/>
    </w:pPr>
    <w:rPr>
      <w:rFonts w:ascii="黑体" w:eastAsia="黑体"/>
      <w:sz w:val="20"/>
      <w:szCs w:val="20"/>
    </w:rPr>
  </w:style>
  <w:style w:type="paragraph" w:customStyle="1" w:styleId="679">
    <w:name w:val="Char Char Char Char Char Char Char Char Char1 Char Char Char Char Char Char Char Char Char Char Char Char Char"/>
    <w:basedOn w:val="1"/>
    <w:qFormat/>
    <w:uiPriority w:val="0"/>
    <w:pPr>
      <w:spacing w:line="360" w:lineRule="auto"/>
      <w:ind w:firstLine="200" w:firstLineChars="200"/>
    </w:pPr>
    <w:rPr>
      <w:rFonts w:ascii="宋体" w:hAnsi="宋体" w:cs="宋体"/>
      <w:sz w:val="26"/>
      <w:szCs w:val="26"/>
    </w:rPr>
  </w:style>
  <w:style w:type="paragraph" w:customStyle="1" w:styleId="680">
    <w:name w:val="样式 行距: 单倍行距"/>
    <w:basedOn w:val="23"/>
    <w:next w:val="78"/>
    <w:qFormat/>
    <w:uiPriority w:val="0"/>
    <w:pPr>
      <w:widowControl/>
      <w:ind w:left="0" w:firstLine="0" w:firstLineChars="0"/>
      <w:jc w:val="center"/>
    </w:pPr>
    <w:rPr>
      <w:szCs w:val="21"/>
    </w:rPr>
  </w:style>
  <w:style w:type="paragraph" w:customStyle="1" w:styleId="681">
    <w:name w:val="简单回函地址"/>
    <w:basedOn w:val="1"/>
    <w:qFormat/>
    <w:uiPriority w:val="0"/>
  </w:style>
  <w:style w:type="paragraph" w:customStyle="1" w:styleId="682">
    <w:name w:val="1 Char Char Char Char Char Char Char"/>
    <w:basedOn w:val="1"/>
    <w:qFormat/>
    <w:uiPriority w:val="0"/>
  </w:style>
  <w:style w:type="paragraph" w:customStyle="1" w:styleId="68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84">
    <w:name w:val="缩进"/>
    <w:basedOn w:val="1"/>
    <w:qFormat/>
    <w:uiPriority w:val="0"/>
    <w:pPr>
      <w:autoSpaceDE w:val="0"/>
      <w:autoSpaceDN w:val="0"/>
      <w:adjustRightInd w:val="0"/>
      <w:spacing w:line="400" w:lineRule="atLeast"/>
      <w:ind w:firstLine="420"/>
      <w:textAlignment w:val="baseline"/>
    </w:pPr>
    <w:rPr>
      <w:sz w:val="24"/>
      <w:szCs w:val="20"/>
    </w:rPr>
  </w:style>
  <w:style w:type="paragraph" w:customStyle="1" w:styleId="685">
    <w:name w:val="样式 样式 样式 标题 3 + 首行缩进:  1 字符 + 首行缩进:  1 字符 + 首行缩进:  0.85 厘米"/>
    <w:basedOn w:val="1"/>
    <w:qFormat/>
    <w:uiPriority w:val="0"/>
    <w:pPr>
      <w:keepNext/>
      <w:keepLines/>
      <w:spacing w:before="100" w:after="100" w:line="360" w:lineRule="auto"/>
      <w:ind w:firstLine="100" w:firstLineChars="100"/>
      <w:outlineLvl w:val="2"/>
    </w:pPr>
    <w:rPr>
      <w:rFonts w:ascii="Arial" w:hAnsi="Arial" w:eastAsia="黑体" w:cs="Arial"/>
      <w:sz w:val="24"/>
      <w:szCs w:val="20"/>
    </w:rPr>
  </w:style>
  <w:style w:type="paragraph" w:customStyle="1" w:styleId="686">
    <w:name w:val="样式 宋体 三号 自动设置 左 首行缩进:  1.2 厘米 段前: 5 磅 段后: 5 磅 行距: 固定值 24 磅"/>
    <w:basedOn w:val="1"/>
    <w:qFormat/>
    <w:uiPriority w:val="0"/>
    <w:pPr>
      <w:spacing w:before="100" w:after="100" w:line="480" w:lineRule="exact"/>
      <w:ind w:firstLine="680"/>
      <w:jc w:val="left"/>
    </w:pPr>
    <w:rPr>
      <w:rFonts w:ascii="宋体" w:hAnsi="宋体"/>
      <w:kern w:val="0"/>
      <w:sz w:val="32"/>
      <w:szCs w:val="32"/>
    </w:rPr>
  </w:style>
  <w:style w:type="paragraph" w:customStyle="1" w:styleId="687">
    <w:name w:val="xl29"/>
    <w:basedOn w:val="1"/>
    <w:qFormat/>
    <w:uiPriority w:val="0"/>
    <w:pPr>
      <w:widowControl/>
      <w:spacing w:before="100" w:after="100"/>
      <w:jc w:val="center"/>
    </w:pPr>
    <w:rPr>
      <w:kern w:val="0"/>
      <w:sz w:val="24"/>
      <w:szCs w:val="20"/>
    </w:rPr>
  </w:style>
  <w:style w:type="paragraph" w:customStyle="1" w:styleId="688">
    <w:name w:val="xl61"/>
    <w:basedOn w:val="1"/>
    <w:qFormat/>
    <w:uiPriority w:val="0"/>
    <w:pPr>
      <w:widowControl/>
      <w:pBdr>
        <w:top w:val="single" w:color="000000" w:sz="4" w:space="0"/>
        <w:left w:val="single" w:color="000000" w:sz="4" w:space="0"/>
      </w:pBdr>
      <w:spacing w:before="100" w:beforeAutospacing="1" w:after="100" w:afterAutospacing="1"/>
    </w:pPr>
    <w:rPr>
      <w:kern w:val="0"/>
      <w:szCs w:val="21"/>
    </w:rPr>
  </w:style>
  <w:style w:type="paragraph" w:customStyle="1" w:styleId="689">
    <w:name w:val="declear"/>
    <w:basedOn w:val="1"/>
    <w:qFormat/>
    <w:uiPriority w:val="0"/>
    <w:pPr>
      <w:widowControl/>
      <w:spacing w:before="100" w:beforeAutospacing="1" w:after="100" w:afterAutospacing="1"/>
      <w:jc w:val="left"/>
    </w:pPr>
    <w:rPr>
      <w:rFonts w:ascii="宋体" w:hAnsi="宋体" w:cs="宋体"/>
      <w:kern w:val="0"/>
      <w:sz w:val="24"/>
    </w:rPr>
  </w:style>
  <w:style w:type="paragraph" w:customStyle="1" w:styleId="690">
    <w:name w:val="Body Text 21"/>
    <w:basedOn w:val="1"/>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691">
    <w:name w:val="3级标题"/>
    <w:basedOn w:val="1"/>
    <w:qFormat/>
    <w:uiPriority w:val="0"/>
    <w:pPr>
      <w:spacing w:before="300" w:line="460" w:lineRule="exact"/>
      <w:outlineLvl w:val="2"/>
    </w:pPr>
    <w:rPr>
      <w:b/>
      <w:sz w:val="24"/>
      <w:szCs w:val="20"/>
    </w:rPr>
  </w:style>
  <w:style w:type="paragraph" w:customStyle="1" w:styleId="692">
    <w:name w:val="样式 标题 2标题 2-王鹏标题2纪任山标题 2Char标题 2 Char1标题 2 Char Char二处标题 ...2"/>
    <w:basedOn w:val="3"/>
    <w:qFormat/>
    <w:uiPriority w:val="0"/>
    <w:pPr>
      <w:spacing w:before="0" w:after="0" w:line="480" w:lineRule="exact"/>
      <w:ind w:left="-25" w:leftChars="-25" w:firstLine="200" w:firstLineChars="200"/>
    </w:pPr>
    <w:rPr>
      <w:rFonts w:ascii="Times New Roman" w:hAnsi="Times New Roman" w:eastAsia="宋体" w:cs="宋体"/>
      <w:sz w:val="30"/>
      <w:szCs w:val="20"/>
    </w:rPr>
  </w:style>
  <w:style w:type="paragraph" w:customStyle="1" w:styleId="693">
    <w:name w:val="图表头"/>
    <w:basedOn w:val="1"/>
    <w:qFormat/>
    <w:uiPriority w:val="0"/>
    <w:pPr>
      <w:adjustRightInd w:val="0"/>
      <w:spacing w:line="360" w:lineRule="auto"/>
      <w:jc w:val="center"/>
      <w:textAlignment w:val="baseline"/>
    </w:pPr>
    <w:rPr>
      <w:rFonts w:ascii="黑体" w:eastAsia="黑体"/>
      <w:spacing w:val="5"/>
      <w:kern w:val="0"/>
      <w:sz w:val="34"/>
      <w:szCs w:val="20"/>
    </w:rPr>
  </w:style>
  <w:style w:type="paragraph" w:customStyle="1" w:styleId="694">
    <w:name w:val="册除格式 Char"/>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695">
    <w:name w:val="表头标题"/>
    <w:basedOn w:val="1"/>
    <w:next w:val="20"/>
    <w:qFormat/>
    <w:uiPriority w:val="0"/>
    <w:pPr>
      <w:spacing w:afterLines="50" w:line="380" w:lineRule="exact"/>
      <w:jc w:val="center"/>
    </w:pPr>
    <w:rPr>
      <w:b/>
    </w:rPr>
  </w:style>
  <w:style w:type="paragraph" w:customStyle="1" w:styleId="696">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697">
    <w:name w:val="正文8"/>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698">
    <w:name w:val="样式 标题 3条标题1.1.1 + 行距: 固定值 23 磅"/>
    <w:basedOn w:val="4"/>
    <w:qFormat/>
    <w:uiPriority w:val="0"/>
    <w:pPr>
      <w:keepNext w:val="0"/>
      <w:widowControl/>
      <w:tabs>
        <w:tab w:val="clear" w:pos="720"/>
      </w:tabs>
      <w:snapToGrid w:val="0"/>
      <w:spacing w:before="120" w:after="120" w:line="460" w:lineRule="exact"/>
      <w:ind w:left="0" w:firstLine="0"/>
      <w:jc w:val="left"/>
    </w:pPr>
    <w:rPr>
      <w:rFonts w:ascii="宋体" w:hAnsi="宋体"/>
      <w:snapToGrid w:val="0"/>
      <w:spacing w:val="8"/>
      <w:kern w:val="0"/>
      <w:sz w:val="28"/>
      <w:szCs w:val="24"/>
    </w:rPr>
  </w:style>
  <w:style w:type="paragraph" w:customStyle="1" w:styleId="699">
    <w:name w:val="Char Char Char Char Char Char Char Char Char1 Char Char Char Char Char Char Char Char Char Char Char Char"/>
    <w:basedOn w:val="1"/>
    <w:qFormat/>
    <w:uiPriority w:val="0"/>
    <w:pPr>
      <w:spacing w:line="360" w:lineRule="auto"/>
      <w:ind w:firstLine="200" w:firstLineChars="200"/>
    </w:pPr>
    <w:rPr>
      <w:rFonts w:ascii="宋体" w:hAnsi="宋体" w:cs="宋体"/>
      <w:sz w:val="26"/>
      <w:szCs w:val="26"/>
    </w:rPr>
  </w:style>
  <w:style w:type="paragraph" w:customStyle="1" w:styleId="700">
    <w:name w:val="xl63"/>
    <w:basedOn w:val="1"/>
    <w:qFormat/>
    <w:uiPriority w:val="0"/>
    <w:pPr>
      <w:widowControl/>
      <w:pBdr>
        <w:top w:val="single" w:color="000000" w:sz="4" w:space="0"/>
        <w:right w:val="single" w:color="auto" w:sz="4" w:space="0"/>
      </w:pBdr>
      <w:spacing w:before="100" w:beforeAutospacing="1" w:after="100" w:afterAutospacing="1"/>
    </w:pPr>
    <w:rPr>
      <w:kern w:val="0"/>
      <w:szCs w:val="21"/>
    </w:rPr>
  </w:style>
  <w:style w:type="paragraph" w:customStyle="1" w:styleId="701">
    <w:name w:val="样式 第2级 + 段前: 1 行"/>
    <w:basedOn w:val="1"/>
    <w:qFormat/>
    <w:uiPriority w:val="0"/>
    <w:pPr>
      <w:keepNext/>
      <w:keepLines/>
      <w:tabs>
        <w:tab w:val="left" w:pos="612"/>
      </w:tabs>
      <w:spacing w:line="360" w:lineRule="auto"/>
      <w:ind w:left="180"/>
      <w:outlineLvl w:val="1"/>
    </w:pPr>
    <w:rPr>
      <w:rFonts w:ascii="宋体" w:hAnsi="宋体"/>
      <w:b/>
      <w:sz w:val="28"/>
      <w:szCs w:val="28"/>
    </w:rPr>
  </w:style>
  <w:style w:type="paragraph" w:customStyle="1" w:styleId="702">
    <w:name w:val="样式 标题 1-G"/>
    <w:basedOn w:val="2"/>
    <w:qFormat/>
    <w:uiPriority w:val="0"/>
    <w:pPr>
      <w:keepLines w:val="0"/>
      <w:snapToGrid/>
      <w:spacing w:after="0" w:line="480" w:lineRule="exact"/>
      <w:jc w:val="center"/>
    </w:pPr>
    <w:rPr>
      <w:rFonts w:ascii="Times New Roman" w:eastAsia="宋体" w:cs="宋体"/>
      <w:b/>
      <w:bCs/>
      <w:kern w:val="2"/>
      <w:sz w:val="32"/>
    </w:rPr>
  </w:style>
  <w:style w:type="paragraph" w:customStyle="1" w:styleId="703">
    <w:name w:val="正文（首行缩进2字）"/>
    <w:basedOn w:val="1"/>
    <w:qFormat/>
    <w:uiPriority w:val="0"/>
    <w:pPr>
      <w:spacing w:line="440" w:lineRule="exact"/>
      <w:ind w:firstLine="480" w:firstLineChars="200"/>
    </w:pPr>
    <w:rPr>
      <w:bCs/>
      <w:sz w:val="24"/>
    </w:rPr>
  </w:style>
  <w:style w:type="paragraph" w:customStyle="1" w:styleId="704">
    <w:name w:val="默认段落字体 Para Char Char Char Char Char Char Char Char Char3 Char Char Char Char"/>
    <w:basedOn w:val="25"/>
    <w:qFormat/>
    <w:uiPriority w:val="0"/>
    <w:pPr>
      <w:adjustRightInd w:val="0"/>
      <w:spacing w:line="240" w:lineRule="exact"/>
      <w:ind w:left="357"/>
      <w:outlineLvl w:val="3"/>
    </w:pPr>
    <w:rPr>
      <w:shd w:val="clear" w:color="auto" w:fill="000080"/>
    </w:rPr>
  </w:style>
  <w:style w:type="paragraph" w:customStyle="1" w:styleId="705">
    <w:name w:val="样式 正文文本缩进 2 + 居中 首行缩进:  2 字符 行距: 固定值 24.5 磅"/>
    <w:basedOn w:val="46"/>
    <w:qFormat/>
    <w:uiPriority w:val="0"/>
    <w:pPr>
      <w:ind w:firstLine="200"/>
    </w:pPr>
    <w:rPr>
      <w:rFonts w:cs="宋体"/>
      <w:szCs w:val="20"/>
    </w:rPr>
  </w:style>
  <w:style w:type="paragraph" w:customStyle="1" w:styleId="706">
    <w:name w:val="样式 仿宋_GB2312 四号"/>
    <w:basedOn w:val="1"/>
    <w:qFormat/>
    <w:uiPriority w:val="0"/>
    <w:pPr>
      <w:ind w:left="-2" w:leftChars="-1" w:firstLine="557" w:firstLineChars="199"/>
    </w:pPr>
    <w:rPr>
      <w:rFonts w:ascii="仿宋_GB2312" w:hAnsi="宋体" w:eastAsia="仿宋_GB2312" w:cs="宋体"/>
      <w:sz w:val="28"/>
      <w:szCs w:val="28"/>
    </w:rPr>
  </w:style>
  <w:style w:type="paragraph" w:customStyle="1" w:styleId="707">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8">
    <w:name w:val="报告 Char Char"/>
    <w:basedOn w:val="1"/>
    <w:qFormat/>
    <w:uiPriority w:val="0"/>
    <w:pPr>
      <w:widowControl/>
      <w:overflowPunct w:val="0"/>
      <w:autoSpaceDE w:val="0"/>
      <w:autoSpaceDN w:val="0"/>
      <w:adjustRightInd w:val="0"/>
      <w:spacing w:before="120" w:after="120" w:line="400" w:lineRule="atLeast"/>
      <w:ind w:firstLine="200" w:firstLineChars="200"/>
      <w:textAlignment w:val="baseline"/>
    </w:pPr>
    <w:rPr>
      <w:kern w:val="0"/>
      <w:sz w:val="24"/>
      <w:szCs w:val="20"/>
    </w:rPr>
  </w:style>
  <w:style w:type="paragraph" w:customStyle="1" w:styleId="709">
    <w:name w:val="标题 2标题 2-G"/>
    <w:basedOn w:val="3"/>
    <w:qFormat/>
    <w:uiPriority w:val="0"/>
    <w:pPr>
      <w:spacing w:before="0" w:after="0" w:line="480" w:lineRule="exact"/>
      <w:ind w:left="-20" w:leftChars="-20" w:firstLine="200" w:firstLineChars="200"/>
    </w:pPr>
    <w:rPr>
      <w:rFonts w:ascii="Times New Roman" w:hAnsi="Times New Roman" w:eastAsia="宋体" w:cs="宋体"/>
      <w:sz w:val="30"/>
      <w:szCs w:val="20"/>
    </w:rPr>
  </w:style>
  <w:style w:type="paragraph" w:customStyle="1" w:styleId="71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11">
    <w:name w:val="永通一级标题"/>
    <w:basedOn w:val="2"/>
    <w:qFormat/>
    <w:uiPriority w:val="0"/>
    <w:pPr>
      <w:snapToGrid/>
      <w:spacing w:beforeLines="50" w:afterLines="50" w:line="324" w:lineRule="auto"/>
      <w:jc w:val="center"/>
    </w:pPr>
    <w:rPr>
      <w:rFonts w:ascii="Times New Roman" w:eastAsia="宋体"/>
      <w:b/>
      <w:sz w:val="32"/>
      <w:szCs w:val="32"/>
    </w:rPr>
  </w:style>
  <w:style w:type="paragraph" w:customStyle="1" w:styleId="712">
    <w:name w:val="样式 标题 1标题 1-王鹏纪任山标题 1 + 宋体 首行缩进:  0.85 厘米 段前: 0.5 行 段后: 0.5..."/>
    <w:basedOn w:val="2"/>
    <w:qFormat/>
    <w:uiPriority w:val="0"/>
    <w:pPr>
      <w:keepLines w:val="0"/>
      <w:snapToGrid/>
      <w:spacing w:after="0" w:line="480" w:lineRule="exact"/>
      <w:jc w:val="center"/>
    </w:pPr>
    <w:rPr>
      <w:rFonts w:ascii="宋体" w:hAnsi="宋体" w:eastAsia="宋体" w:cs="宋体"/>
      <w:b/>
      <w:bCs/>
      <w:kern w:val="2"/>
      <w:sz w:val="32"/>
    </w:rPr>
  </w:style>
  <w:style w:type="paragraph" w:customStyle="1" w:styleId="713">
    <w:name w:val="xl60"/>
    <w:basedOn w:val="1"/>
    <w:qFormat/>
    <w:uiPriority w:val="0"/>
    <w:pPr>
      <w:widowControl/>
      <w:pBdr>
        <w:left w:val="single" w:color="auto" w:sz="4" w:space="0"/>
        <w:right w:val="single" w:color="000000" w:sz="4" w:space="0"/>
      </w:pBdr>
      <w:spacing w:before="100" w:beforeAutospacing="1" w:after="100" w:afterAutospacing="1"/>
      <w:jc w:val="center"/>
    </w:pPr>
    <w:rPr>
      <w:kern w:val="0"/>
      <w:szCs w:val="21"/>
    </w:rPr>
  </w:style>
  <w:style w:type="paragraph" w:customStyle="1" w:styleId="714">
    <w:name w:val="Char Char Char Char Char Char Char Char Char Char Char Char Char Char Char Char Char Char Char1"/>
    <w:basedOn w:val="1"/>
    <w:qFormat/>
    <w:uiPriority w:val="0"/>
  </w:style>
  <w:style w:type="paragraph" w:customStyle="1" w:styleId="715">
    <w:name w:val="样式王鹏"/>
    <w:basedOn w:val="1"/>
    <w:qFormat/>
    <w:uiPriority w:val="0"/>
    <w:pPr>
      <w:spacing w:line="300" w:lineRule="auto"/>
      <w:ind w:firstLine="504" w:firstLineChars="200"/>
    </w:pPr>
    <w:rPr>
      <w:color w:val="000000"/>
      <w:spacing w:val="6"/>
      <w:sz w:val="24"/>
    </w:rPr>
  </w:style>
  <w:style w:type="paragraph" w:customStyle="1" w:styleId="716">
    <w:name w:val="1 Char Char Char Char Char Char Char Char"/>
    <w:basedOn w:val="1"/>
    <w:qFormat/>
    <w:uiPriority w:val="0"/>
  </w:style>
  <w:style w:type="paragraph" w:customStyle="1" w:styleId="717">
    <w:name w:val="正文 New New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8">
    <w:name w:val="xl2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719">
    <w:name w:val="Char4 Char Char Char"/>
    <w:basedOn w:val="1"/>
    <w:qFormat/>
    <w:uiPriority w:val="0"/>
    <w:pPr>
      <w:adjustRightInd w:val="0"/>
      <w:snapToGrid w:val="0"/>
      <w:spacing w:line="360" w:lineRule="auto"/>
      <w:ind w:firstLine="200" w:firstLineChars="200"/>
    </w:pPr>
    <w:rPr>
      <w:szCs w:val="20"/>
    </w:rPr>
  </w:style>
  <w:style w:type="paragraph" w:customStyle="1" w:styleId="720">
    <w:name w:val="正文两端对齐"/>
    <w:basedOn w:val="1"/>
    <w:qFormat/>
    <w:uiPriority w:val="0"/>
    <w:pPr>
      <w:spacing w:line="400" w:lineRule="exact"/>
    </w:pPr>
    <w:rPr>
      <w:sz w:val="24"/>
      <w:szCs w:val="20"/>
    </w:rPr>
  </w:style>
  <w:style w:type="paragraph" w:customStyle="1" w:styleId="721">
    <w:name w:val="Char Char Char Char Char Char Char Char Char Char1"/>
    <w:basedOn w:val="1"/>
    <w:qFormat/>
    <w:uiPriority w:val="0"/>
    <w:rPr>
      <w:szCs w:val="20"/>
    </w:rPr>
  </w:style>
  <w:style w:type="paragraph" w:customStyle="1" w:styleId="722">
    <w:name w:val="样式 标题 4 + (西文) Times New Roman (中文) 宋体 小四"/>
    <w:basedOn w:val="5"/>
    <w:qFormat/>
    <w:uiPriority w:val="0"/>
    <w:pPr>
      <w:tabs>
        <w:tab w:val="left" w:pos="2507"/>
        <w:tab w:val="clear" w:pos="864"/>
      </w:tabs>
      <w:snapToGrid w:val="0"/>
      <w:spacing w:beforeLines="50" w:after="0" w:line="360" w:lineRule="auto"/>
    </w:pPr>
    <w:rPr>
      <w:rFonts w:ascii="Times New Roman" w:hAnsi="Times New Roman" w:eastAsia="宋体"/>
      <w:bCs w:val="0"/>
      <w:sz w:val="24"/>
    </w:rPr>
  </w:style>
  <w:style w:type="paragraph" w:customStyle="1" w:styleId="723">
    <w:name w:val="样式3"/>
    <w:basedOn w:val="3"/>
    <w:qFormat/>
    <w:uiPriority w:val="0"/>
    <w:pPr>
      <w:spacing w:beforeLines="50" w:afterLines="50" w:line="324" w:lineRule="auto"/>
      <w:jc w:val="left"/>
      <w:outlineLvl w:val="0"/>
    </w:pPr>
    <w:rPr>
      <w:rFonts w:ascii="黑体"/>
      <w:b w:val="0"/>
      <w:bCs w:val="0"/>
      <w:sz w:val="24"/>
      <w:szCs w:val="24"/>
    </w:rPr>
  </w:style>
  <w:style w:type="paragraph" w:customStyle="1" w:styleId="724">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5">
    <w:name w:val="xl65"/>
    <w:basedOn w:val="1"/>
    <w:qFormat/>
    <w:uiPriority w:val="0"/>
    <w:pPr>
      <w:widowControl/>
      <w:pBdr>
        <w:left w:val="single" w:color="auto" w:sz="4" w:space="0"/>
      </w:pBdr>
      <w:spacing w:before="100" w:beforeAutospacing="1" w:after="100" w:afterAutospacing="1"/>
    </w:pPr>
    <w:rPr>
      <w:rFonts w:ascii="Arial Unicode MS" w:hAnsi="Arial Unicode MS" w:eastAsia="Arial Unicode MS"/>
      <w:kern w:val="0"/>
      <w:szCs w:val="21"/>
    </w:rPr>
  </w:style>
  <w:style w:type="paragraph" w:customStyle="1" w:styleId="726">
    <w:name w:val="样式"/>
    <w:basedOn w:val="1"/>
    <w:next w:val="64"/>
    <w:qFormat/>
    <w:uiPriority w:val="0"/>
    <w:pPr>
      <w:tabs>
        <w:tab w:val="left" w:pos="6720"/>
      </w:tabs>
      <w:spacing w:line="360" w:lineRule="auto"/>
      <w:ind w:firstLine="480" w:firstLineChars="200"/>
    </w:pPr>
    <w:rPr>
      <w:rFonts w:ascii="楷体_GB2312" w:eastAsia="楷体_GB2312"/>
      <w:sz w:val="24"/>
    </w:rPr>
  </w:style>
  <w:style w:type="paragraph" w:customStyle="1" w:styleId="727">
    <w:name w:val="首行缩进"/>
    <w:basedOn w:val="1"/>
    <w:qFormat/>
    <w:uiPriority w:val="0"/>
    <w:pPr>
      <w:spacing w:line="360" w:lineRule="auto"/>
      <w:ind w:firstLine="480" w:firstLineChars="200"/>
    </w:pPr>
    <w:rPr>
      <w:sz w:val="24"/>
    </w:rPr>
  </w:style>
  <w:style w:type="paragraph" w:customStyle="1" w:styleId="728">
    <w:name w:val="xl74"/>
    <w:basedOn w:val="1"/>
    <w:qFormat/>
    <w:uiPriority w:val="0"/>
    <w:pPr>
      <w:widowControl/>
      <w:pBdr>
        <w:left w:val="single" w:color="000000" w:sz="4" w:space="0"/>
        <w:right w:val="single" w:color="000000" w:sz="4" w:space="0"/>
      </w:pBdr>
      <w:spacing w:before="100" w:beforeAutospacing="1" w:after="100" w:afterAutospacing="1"/>
      <w:jc w:val="center"/>
    </w:pPr>
    <w:rPr>
      <w:kern w:val="0"/>
      <w:szCs w:val="21"/>
    </w:rPr>
  </w:style>
  <w:style w:type="paragraph" w:customStyle="1" w:styleId="729">
    <w:name w:val="正文01"/>
    <w:basedOn w:val="1"/>
    <w:qFormat/>
    <w:uiPriority w:val="0"/>
    <w:pPr>
      <w:spacing w:before="60" w:line="460" w:lineRule="exact"/>
      <w:ind w:firstLine="200" w:firstLineChars="200"/>
    </w:pPr>
    <w:rPr>
      <w:rFonts w:ascii="Arial" w:hAnsi="Arial" w:cs="Arial"/>
      <w:sz w:val="24"/>
      <w:szCs w:val="20"/>
    </w:rPr>
  </w:style>
  <w:style w:type="paragraph" w:customStyle="1" w:styleId="730">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731">
    <w:name w:val="3标题(治)"/>
    <w:basedOn w:val="4"/>
    <w:qFormat/>
    <w:uiPriority w:val="0"/>
    <w:pPr>
      <w:widowControl/>
      <w:tabs>
        <w:tab w:val="clear" w:pos="720"/>
      </w:tabs>
      <w:adjustRightInd w:val="0"/>
      <w:spacing w:before="0" w:after="0" w:line="276" w:lineRule="auto"/>
      <w:ind w:left="0" w:firstLine="0"/>
      <w:jc w:val="left"/>
      <w:textAlignment w:val="baseline"/>
    </w:pPr>
    <w:rPr>
      <w:rFonts w:ascii="Cambria" w:hAnsi="Cambria"/>
      <w:bCs w:val="0"/>
      <w:color w:val="4F81BD"/>
      <w:kern w:val="0"/>
      <w:sz w:val="22"/>
      <w:szCs w:val="20"/>
      <w:lang w:eastAsia="en-US" w:bidi="en-US"/>
    </w:rPr>
  </w:style>
  <w:style w:type="paragraph" w:customStyle="1" w:styleId="732">
    <w:name w:val="Char2"/>
    <w:basedOn w:val="1"/>
    <w:qFormat/>
    <w:uiPriority w:val="0"/>
  </w:style>
  <w:style w:type="paragraph" w:customStyle="1" w:styleId="733">
    <w:name w:val="本文正文"/>
    <w:basedOn w:val="1"/>
    <w:qFormat/>
    <w:uiPriority w:val="0"/>
    <w:pPr>
      <w:autoSpaceDE w:val="0"/>
      <w:autoSpaceDN w:val="0"/>
      <w:adjustRightInd w:val="0"/>
      <w:spacing w:line="300" w:lineRule="auto"/>
      <w:ind w:firstLine="560" w:firstLineChars="200"/>
      <w:textAlignment w:val="baseline"/>
    </w:pPr>
    <w:rPr>
      <w:sz w:val="28"/>
      <w:szCs w:val="20"/>
    </w:rPr>
  </w:style>
  <w:style w:type="paragraph" w:customStyle="1" w:styleId="734">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735">
    <w:name w:val="reader-word-layer reader-word-s2-14"/>
    <w:basedOn w:val="1"/>
    <w:qFormat/>
    <w:uiPriority w:val="0"/>
    <w:pPr>
      <w:widowControl/>
      <w:spacing w:before="100" w:beforeAutospacing="1" w:after="100" w:afterAutospacing="1"/>
      <w:jc w:val="left"/>
    </w:pPr>
    <w:rPr>
      <w:rFonts w:ascii="宋体" w:hAnsi="宋体" w:cs="宋体"/>
      <w:kern w:val="0"/>
      <w:sz w:val="24"/>
    </w:rPr>
  </w:style>
  <w:style w:type="paragraph" w:customStyle="1" w:styleId="736">
    <w:name w:val="样式 宋体 首行缩进:  0.99 厘米 行距: 1.5 倍行距"/>
    <w:basedOn w:val="1"/>
    <w:qFormat/>
    <w:uiPriority w:val="0"/>
    <w:pPr>
      <w:widowControl/>
      <w:spacing w:after="200" w:line="276" w:lineRule="auto"/>
      <w:ind w:firstLine="560"/>
      <w:jc w:val="left"/>
    </w:pPr>
    <w:rPr>
      <w:rFonts w:ascii="Calibri" w:hAnsi="宋体"/>
      <w:color w:val="000000"/>
      <w:kern w:val="0"/>
      <w:sz w:val="24"/>
      <w:szCs w:val="22"/>
      <w:lang w:eastAsia="en-US" w:bidi="en-US"/>
    </w:rPr>
  </w:style>
  <w:style w:type="paragraph" w:customStyle="1" w:styleId="737">
    <w:name w:val="font9"/>
    <w:basedOn w:val="1"/>
    <w:qFormat/>
    <w:uiPriority w:val="0"/>
    <w:pPr>
      <w:widowControl/>
      <w:spacing w:before="100" w:beforeAutospacing="1" w:after="100" w:afterAutospacing="1"/>
      <w:jc w:val="left"/>
    </w:pPr>
    <w:rPr>
      <w:kern w:val="0"/>
      <w:sz w:val="18"/>
      <w:szCs w:val="18"/>
    </w:rPr>
  </w:style>
  <w:style w:type="paragraph" w:customStyle="1" w:styleId="738">
    <w:name w:val="0"/>
    <w:basedOn w:val="1"/>
    <w:qFormat/>
    <w:uiPriority w:val="0"/>
    <w:pPr>
      <w:widowControl/>
      <w:spacing w:before="100" w:beforeAutospacing="1" w:after="100" w:afterAutospacing="1"/>
      <w:jc w:val="left"/>
    </w:pPr>
    <w:rPr>
      <w:rFonts w:ascii="宋体" w:hAnsi="宋体" w:cs="宋体"/>
      <w:kern w:val="0"/>
      <w:sz w:val="24"/>
    </w:rPr>
  </w:style>
  <w:style w:type="paragraph" w:customStyle="1" w:styleId="739">
    <w:name w:val="xl54"/>
    <w:basedOn w:val="1"/>
    <w:qFormat/>
    <w:uiPriority w:val="0"/>
    <w:pPr>
      <w:widowControl/>
      <w:pBdr>
        <w:left w:val="single" w:color="auto" w:sz="4" w:space="0"/>
      </w:pBdr>
      <w:spacing w:before="100" w:beforeAutospacing="1" w:after="100" w:afterAutospacing="1"/>
      <w:jc w:val="center"/>
    </w:pPr>
    <w:rPr>
      <w:rFonts w:ascii="宋体" w:hAnsi="宋体"/>
      <w:kern w:val="0"/>
      <w:szCs w:val="21"/>
    </w:rPr>
  </w:style>
  <w:style w:type="paragraph" w:customStyle="1" w:styleId="740">
    <w:name w:val="标题一最终"/>
    <w:basedOn w:val="1"/>
    <w:qFormat/>
    <w:uiPriority w:val="0"/>
    <w:pPr>
      <w:keepNext/>
      <w:keepLines/>
      <w:snapToGrid w:val="0"/>
      <w:spacing w:line="360" w:lineRule="auto"/>
      <w:ind w:left="425" w:hanging="425"/>
      <w:outlineLvl w:val="0"/>
    </w:pPr>
    <w:rPr>
      <w:rFonts w:hAnsi="宋体"/>
      <w:b/>
      <w:bCs/>
      <w:kern w:val="44"/>
      <w:sz w:val="32"/>
      <w:szCs w:val="32"/>
    </w:rPr>
  </w:style>
  <w:style w:type="paragraph" w:customStyle="1" w:styleId="741">
    <w:name w:val="默认段落字体 Para Char"/>
    <w:basedOn w:val="1"/>
    <w:qFormat/>
    <w:uiPriority w:val="0"/>
    <w:rPr>
      <w:sz w:val="24"/>
    </w:rPr>
  </w:style>
  <w:style w:type="paragraph" w:customStyle="1" w:styleId="742">
    <w:name w:val="编号引导"/>
    <w:basedOn w:val="19"/>
    <w:next w:val="19"/>
    <w:qFormat/>
    <w:uiPriority w:val="0"/>
    <w:pPr>
      <w:widowControl/>
      <w:tabs>
        <w:tab w:val="clear" w:pos="360"/>
      </w:tabs>
      <w:overflowPunct w:val="0"/>
      <w:autoSpaceDE w:val="0"/>
      <w:autoSpaceDN w:val="0"/>
      <w:adjustRightInd w:val="0"/>
      <w:spacing w:before="80" w:after="160" w:line="240" w:lineRule="auto"/>
      <w:ind w:left="720" w:firstLine="0" w:firstLineChars="0"/>
      <w:jc w:val="left"/>
      <w:textAlignment w:val="baseline"/>
    </w:pPr>
    <w:rPr>
      <w:rFonts w:eastAsia="宋体"/>
      <w:kern w:val="0"/>
      <w:sz w:val="20"/>
      <w:szCs w:val="20"/>
    </w:rPr>
  </w:style>
  <w:style w:type="paragraph" w:customStyle="1" w:styleId="743">
    <w:name w:val="正文表标题"/>
    <w:next w:val="5"/>
    <w:qFormat/>
    <w:uiPriority w:val="0"/>
    <w:pPr>
      <w:tabs>
        <w:tab w:val="left" w:pos="432"/>
      </w:tabs>
      <w:ind w:left="432" w:hanging="432"/>
      <w:jc w:val="center"/>
    </w:pPr>
    <w:rPr>
      <w:rFonts w:ascii="黑体" w:hAnsi="Times New Roman" w:eastAsia="黑体" w:cs="Times New Roman"/>
      <w:sz w:val="21"/>
      <w:lang w:val="en-US" w:eastAsia="zh-CN" w:bidi="ar-SA"/>
    </w:rPr>
  </w:style>
  <w:style w:type="paragraph" w:customStyle="1" w:styleId="744">
    <w:name w:val="Char Char Char Char1 Char Char Char"/>
    <w:basedOn w:val="1"/>
    <w:qFormat/>
    <w:uiPriority w:val="0"/>
  </w:style>
  <w:style w:type="paragraph" w:customStyle="1" w:styleId="745">
    <w:name w:val="表格文本"/>
    <w:basedOn w:val="1"/>
    <w:next w:val="1"/>
    <w:qFormat/>
    <w:uiPriority w:val="0"/>
    <w:pPr>
      <w:widowControl/>
      <w:adjustRightInd w:val="0"/>
      <w:snapToGrid w:val="0"/>
      <w:spacing w:after="200" w:line="240" w:lineRule="exact"/>
      <w:jc w:val="left"/>
    </w:pPr>
    <w:rPr>
      <w:rFonts w:ascii="Calibri" w:hAnsi="Calibri"/>
      <w:kern w:val="0"/>
      <w:szCs w:val="22"/>
      <w:lang w:eastAsia="en-US" w:bidi="en-US"/>
    </w:rPr>
  </w:style>
  <w:style w:type="paragraph" w:customStyle="1" w:styleId="746">
    <w:name w:val="样式 题注"/>
    <w:basedOn w:val="21"/>
    <w:next w:val="1"/>
    <w:qFormat/>
    <w:uiPriority w:val="0"/>
    <w:pPr>
      <w:spacing w:before="120" w:after="120"/>
    </w:pPr>
    <w:rPr>
      <w:rFonts w:ascii="Times New Roman" w:hAnsi="Times New Roman" w:cs="宋体"/>
      <w:sz w:val="24"/>
      <w:szCs w:val="24"/>
    </w:rPr>
  </w:style>
  <w:style w:type="paragraph" w:customStyle="1" w:styleId="747">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748">
    <w:name w:val="样式 标题 1标题 1 Char Char Char标题 1 Char Char Char Char标题 11 Char...1"/>
    <w:basedOn w:val="2"/>
    <w:qFormat/>
    <w:uiPriority w:val="0"/>
    <w:pPr>
      <w:keepLines w:val="0"/>
      <w:snapToGrid/>
      <w:spacing w:after="0" w:line="480" w:lineRule="exact"/>
      <w:jc w:val="center"/>
    </w:pPr>
    <w:rPr>
      <w:rFonts w:ascii="Times New Roman" w:eastAsia="宋体" w:cs="宋体"/>
      <w:b/>
      <w:bCs/>
      <w:kern w:val="2"/>
      <w:sz w:val="32"/>
    </w:rPr>
  </w:style>
  <w:style w:type="paragraph" w:customStyle="1" w:styleId="749">
    <w:name w:val="新正文"/>
    <w:basedOn w:val="1"/>
    <w:qFormat/>
    <w:uiPriority w:val="0"/>
    <w:pPr>
      <w:spacing w:line="480" w:lineRule="exact"/>
      <w:ind w:firstLine="567"/>
    </w:pPr>
    <w:rPr>
      <w:rFonts w:ascii="仿宋_GB2312" w:eastAsia="仿宋_GB2312"/>
      <w:bCs/>
      <w:kern w:val="0"/>
      <w:sz w:val="28"/>
      <w:szCs w:val="20"/>
    </w:rPr>
  </w:style>
  <w:style w:type="paragraph" w:customStyle="1" w:styleId="750">
    <w:name w:val="论文正文"/>
    <w:basedOn w:val="20"/>
    <w:qFormat/>
    <w:uiPriority w:val="0"/>
    <w:pPr>
      <w:adjustRightInd/>
      <w:snapToGrid/>
      <w:spacing w:line="240" w:lineRule="auto"/>
      <w:ind w:firstLine="480"/>
    </w:pPr>
    <w:rPr>
      <w:rFonts w:ascii="宋体" w:hAnsi="宋体" w:eastAsia="宋体"/>
    </w:rPr>
  </w:style>
  <w:style w:type="paragraph" w:customStyle="1" w:styleId="751">
    <w:name w:val="样式8"/>
    <w:basedOn w:val="1"/>
    <w:next w:val="1"/>
    <w:qFormat/>
    <w:uiPriority w:val="0"/>
    <w:pPr>
      <w:ind w:firstLine="420"/>
    </w:pPr>
    <w:rPr>
      <w:rFonts w:ascii="宋体" w:hAnsi="Arial Black" w:cs="宋体"/>
      <w:sz w:val="24"/>
    </w:rPr>
  </w:style>
  <w:style w:type="paragraph" w:customStyle="1" w:styleId="752">
    <w:name w:val="文档卷标"/>
    <w:basedOn w:val="507"/>
    <w:qFormat/>
    <w:uiPriority w:val="0"/>
    <w:pPr>
      <w:spacing w:after="360"/>
    </w:pPr>
    <w:rPr>
      <w:rFonts w:ascii="Times New Roman" w:hAnsi="Times New Roman"/>
    </w:rPr>
  </w:style>
  <w:style w:type="paragraph" w:customStyle="1" w:styleId="753">
    <w:name w:val="单位名称"/>
    <w:basedOn w:val="1"/>
    <w:qFormat/>
    <w:uiPriority w:val="0"/>
    <w:pPr>
      <w:widowControl/>
      <w:overflowPunct w:val="0"/>
      <w:autoSpaceDE w:val="0"/>
      <w:autoSpaceDN w:val="0"/>
      <w:adjustRightInd w:val="0"/>
      <w:spacing w:before="120" w:after="80"/>
      <w:jc w:val="center"/>
      <w:textAlignment w:val="baseline"/>
    </w:pPr>
    <w:rPr>
      <w:b/>
      <w:kern w:val="0"/>
      <w:sz w:val="28"/>
      <w:szCs w:val="20"/>
    </w:rPr>
  </w:style>
  <w:style w:type="paragraph" w:customStyle="1" w:styleId="754">
    <w:name w:val="正文（首行缩进两个字） + 首行缩进:  2 字符"/>
    <w:basedOn w:val="1"/>
    <w:qFormat/>
    <w:uiPriority w:val="0"/>
    <w:pPr>
      <w:widowControl/>
      <w:spacing w:line="440" w:lineRule="exact"/>
      <w:ind w:firstLine="200" w:firstLineChars="200"/>
      <w:jc w:val="left"/>
    </w:pPr>
    <w:rPr>
      <w:rFonts w:eastAsia="仿宋_GB2312" w:cs="宋体"/>
      <w:sz w:val="24"/>
      <w:szCs w:val="20"/>
      <w:lang w:val="zh-CN"/>
    </w:rPr>
  </w:style>
  <w:style w:type="paragraph" w:customStyle="1" w:styleId="755">
    <w:name w:val="样2"/>
    <w:basedOn w:val="1"/>
    <w:next w:val="1"/>
    <w:qFormat/>
    <w:uiPriority w:val="0"/>
    <w:pPr>
      <w:adjustRightInd w:val="0"/>
      <w:snapToGrid w:val="0"/>
      <w:jc w:val="center"/>
      <w:textAlignment w:val="baseline"/>
    </w:pPr>
    <w:rPr>
      <w:kern w:val="0"/>
      <w:szCs w:val="20"/>
    </w:rPr>
  </w:style>
  <w:style w:type="paragraph" w:customStyle="1" w:styleId="756">
    <w:name w:val="表名"/>
    <w:basedOn w:val="1"/>
    <w:qFormat/>
    <w:uiPriority w:val="0"/>
    <w:pPr>
      <w:spacing w:before="120" w:after="120" w:line="440" w:lineRule="exact"/>
      <w:jc w:val="center"/>
    </w:pPr>
    <w:rPr>
      <w:rFonts w:ascii="黑体" w:hAnsi="宋体" w:eastAsia="黑体"/>
      <w:szCs w:val="20"/>
    </w:rPr>
  </w:style>
  <w:style w:type="paragraph" w:customStyle="1" w:styleId="757">
    <w:name w:val="居中正文"/>
    <w:basedOn w:val="77"/>
    <w:qFormat/>
    <w:uiPriority w:val="0"/>
    <w:pPr>
      <w:adjustRightInd w:val="0"/>
      <w:spacing w:before="240" w:after="0" w:line="240" w:lineRule="atLeast"/>
      <w:ind w:firstLine="0" w:firstLineChars="0"/>
      <w:jc w:val="center"/>
    </w:pPr>
    <w:rPr>
      <w:rFonts w:ascii="宋体"/>
      <w:spacing w:val="6"/>
      <w:kern w:val="28"/>
      <w:sz w:val="24"/>
    </w:rPr>
  </w:style>
  <w:style w:type="paragraph" w:styleId="758">
    <w:name w:val="List Paragraph"/>
    <w:basedOn w:val="1"/>
    <w:qFormat/>
    <w:uiPriority w:val="34"/>
    <w:pPr>
      <w:ind w:firstLine="420" w:firstLineChars="200"/>
    </w:pPr>
    <w:rPr>
      <w:rFonts w:ascii="Calibri" w:hAnsi="Calibri"/>
      <w:szCs w:val="22"/>
    </w:rPr>
  </w:style>
  <w:style w:type="paragraph" w:customStyle="1" w:styleId="759">
    <w:name w:val="正文表格"/>
    <w:basedOn w:val="1"/>
    <w:qFormat/>
    <w:uiPriority w:val="0"/>
    <w:pPr>
      <w:keepNext/>
      <w:keepLines/>
      <w:tabs>
        <w:tab w:val="center" w:pos="6804"/>
      </w:tabs>
      <w:overflowPunct w:val="0"/>
      <w:adjustRightInd w:val="0"/>
      <w:spacing w:before="80"/>
      <w:jc w:val="center"/>
      <w:textAlignment w:val="bottom"/>
    </w:pPr>
    <w:rPr>
      <w:rFonts w:ascii="宋体" w:hAnsi="宋体"/>
      <w:bCs/>
      <w:kern w:val="0"/>
      <w:sz w:val="28"/>
      <w:szCs w:val="20"/>
    </w:rPr>
  </w:style>
  <w:style w:type="paragraph" w:customStyle="1" w:styleId="760">
    <w:name w:val="段落1"/>
    <w:basedOn w:val="1"/>
    <w:qFormat/>
    <w:uiPriority w:val="0"/>
    <w:pPr>
      <w:adjustRightInd w:val="0"/>
      <w:spacing w:line="440" w:lineRule="exact"/>
      <w:ind w:firstLine="504" w:firstLineChars="200"/>
      <w:textAlignment w:val="baseline"/>
    </w:pPr>
    <w:rPr>
      <w:spacing w:val="6"/>
      <w:sz w:val="24"/>
      <w:szCs w:val="20"/>
    </w:rPr>
  </w:style>
  <w:style w:type="paragraph" w:customStyle="1" w:styleId="761">
    <w:name w:val="样式 四号 黑色 行距: 最小值 24 磅"/>
    <w:basedOn w:val="1"/>
    <w:qFormat/>
    <w:uiPriority w:val="0"/>
    <w:pPr>
      <w:spacing w:line="480" w:lineRule="exact"/>
      <w:ind w:firstLine="200" w:firstLineChars="200"/>
    </w:pPr>
    <w:rPr>
      <w:rFonts w:cs="宋体"/>
      <w:color w:val="000000"/>
      <w:sz w:val="28"/>
      <w:szCs w:val="20"/>
    </w:rPr>
  </w:style>
  <w:style w:type="paragraph" w:customStyle="1" w:styleId="762">
    <w:name w:val="正文楷体"/>
    <w:basedOn w:val="1"/>
    <w:qFormat/>
    <w:uiPriority w:val="0"/>
    <w:rPr>
      <w:rFonts w:eastAsia="楷体_GB2312"/>
    </w:rPr>
  </w:style>
  <w:style w:type="paragraph" w:customStyle="1" w:styleId="763">
    <w:name w:val="样式 (符号) 宋体 右 右侧:  0.19 厘米"/>
    <w:basedOn w:val="1"/>
    <w:next w:val="2"/>
    <w:qFormat/>
    <w:uiPriority w:val="0"/>
    <w:pPr>
      <w:ind w:right="105"/>
      <w:jc w:val="right"/>
    </w:pPr>
    <w:rPr>
      <w:rFonts w:hAnsi="宋体" w:cs="宋体"/>
      <w:szCs w:val="20"/>
    </w:rPr>
  </w:style>
  <w:style w:type="paragraph" w:customStyle="1" w:styleId="764">
    <w:name w:val="保留正文"/>
    <w:basedOn w:val="31"/>
    <w:qFormat/>
    <w:uiPriority w:val="0"/>
    <w:pPr>
      <w:keepNext/>
      <w:widowControl/>
      <w:overflowPunct w:val="0"/>
      <w:autoSpaceDE w:val="0"/>
      <w:autoSpaceDN w:val="0"/>
      <w:adjustRightInd w:val="0"/>
      <w:spacing w:after="160"/>
      <w:jc w:val="left"/>
      <w:textAlignment w:val="baseline"/>
    </w:pPr>
    <w:rPr>
      <w:rFonts w:ascii="Times New Roman" w:hAnsi="Times New Roman"/>
      <w:kern w:val="0"/>
      <w:sz w:val="20"/>
    </w:rPr>
  </w:style>
  <w:style w:type="paragraph" w:customStyle="1" w:styleId="765">
    <w:name w:val="正文，文本"/>
    <w:basedOn w:val="1"/>
    <w:qFormat/>
    <w:uiPriority w:val="0"/>
    <w:pPr>
      <w:spacing w:line="360" w:lineRule="auto"/>
      <w:ind w:firstLine="480" w:firstLineChars="200"/>
    </w:pPr>
    <w:rPr>
      <w:rFonts w:cs="宋体"/>
      <w:sz w:val="24"/>
      <w:szCs w:val="20"/>
    </w:rPr>
  </w:style>
  <w:style w:type="paragraph" w:customStyle="1" w:styleId="766">
    <w:name w:val="xl34"/>
    <w:basedOn w:val="1"/>
    <w:qFormat/>
    <w:uiPriority w:val="0"/>
    <w:pPr>
      <w:widowControl/>
      <w:spacing w:before="100" w:beforeAutospacing="1" w:after="100" w:afterAutospacing="1"/>
      <w:jc w:val="center"/>
    </w:pPr>
    <w:rPr>
      <w:rFonts w:ascii="Arial Unicode MS" w:hAnsi="Arial Unicode MS" w:eastAsia="Arial Unicode MS"/>
      <w:kern w:val="0"/>
      <w:sz w:val="24"/>
    </w:rPr>
  </w:style>
  <w:style w:type="paragraph" w:customStyle="1" w:styleId="767">
    <w:name w:val="Header Base"/>
    <w:basedOn w:val="31"/>
    <w:qFormat/>
    <w:uiPriority w:val="0"/>
    <w:pPr>
      <w:keepLines/>
      <w:widowControl/>
      <w:tabs>
        <w:tab w:val="center" w:pos="4320"/>
        <w:tab w:val="right" w:pos="8640"/>
      </w:tabs>
      <w:spacing w:after="0" w:line="180" w:lineRule="atLeast"/>
    </w:pPr>
    <w:rPr>
      <w:rFonts w:ascii="Arial" w:hAnsi="Arial"/>
      <w:spacing w:val="-5"/>
      <w:kern w:val="0"/>
      <w:sz w:val="28"/>
      <w:szCs w:val="24"/>
    </w:rPr>
  </w:style>
  <w:style w:type="paragraph" w:customStyle="1" w:styleId="768">
    <w:name w:val="主题线"/>
    <w:basedOn w:val="1"/>
    <w:next w:val="31"/>
    <w:qFormat/>
    <w:uiPriority w:val="0"/>
    <w:pPr>
      <w:widowControl/>
      <w:overflowPunct w:val="0"/>
      <w:autoSpaceDE w:val="0"/>
      <w:autoSpaceDN w:val="0"/>
      <w:adjustRightInd w:val="0"/>
      <w:jc w:val="left"/>
      <w:textAlignment w:val="baseline"/>
    </w:pPr>
    <w:rPr>
      <w:i/>
      <w:kern w:val="0"/>
      <w:sz w:val="20"/>
      <w:szCs w:val="20"/>
      <w:u w:val="single"/>
    </w:rPr>
  </w:style>
  <w:style w:type="paragraph" w:customStyle="1" w:styleId="769">
    <w:name w:val="样式 标题 2标题 2-王鹏标题2纪任山标题 2 + 四号 段前: 0 磅 段后: 0 磅 行距: 固定值 24 磅"/>
    <w:basedOn w:val="3"/>
    <w:qFormat/>
    <w:uiPriority w:val="0"/>
    <w:pPr>
      <w:spacing w:before="0" w:after="0" w:line="480" w:lineRule="exact"/>
      <w:ind w:left="-10" w:leftChars="-10" w:firstLine="200" w:firstLineChars="200"/>
    </w:pPr>
    <w:rPr>
      <w:rFonts w:ascii="Times New Roman" w:hAnsi="Times New Roman" w:eastAsia="宋体" w:cs="宋体"/>
      <w:sz w:val="30"/>
      <w:szCs w:val="20"/>
    </w:rPr>
  </w:style>
  <w:style w:type="paragraph" w:customStyle="1" w:styleId="770">
    <w:name w:val="reader-word-layer reader-word-s2-9"/>
    <w:basedOn w:val="1"/>
    <w:qFormat/>
    <w:uiPriority w:val="0"/>
    <w:pPr>
      <w:widowControl/>
      <w:spacing w:before="100" w:beforeAutospacing="1" w:after="100" w:afterAutospacing="1"/>
      <w:jc w:val="left"/>
    </w:pPr>
    <w:rPr>
      <w:rFonts w:ascii="宋体" w:hAnsi="宋体" w:cs="宋体"/>
      <w:kern w:val="0"/>
      <w:sz w:val="24"/>
    </w:rPr>
  </w:style>
  <w:style w:type="paragraph" w:customStyle="1" w:styleId="771">
    <w:name w:val="样式 表格 + 行距: 单倍行距"/>
    <w:basedOn w:val="1"/>
    <w:qFormat/>
    <w:uiPriority w:val="0"/>
    <w:pPr>
      <w:autoSpaceDE w:val="0"/>
      <w:autoSpaceDN w:val="0"/>
      <w:adjustRightInd w:val="0"/>
      <w:jc w:val="center"/>
    </w:pPr>
    <w:rPr>
      <w:rFonts w:ascii="仿宋_GB2312" w:hAnsi="仿宋_GB2312" w:eastAsia="仿宋_GB2312"/>
      <w:snapToGrid w:val="0"/>
      <w:color w:val="000000"/>
      <w:sz w:val="24"/>
    </w:rPr>
  </w:style>
  <w:style w:type="paragraph" w:customStyle="1" w:styleId="772">
    <w:name w:val="Char1 Char Char Char1 Char Char Char"/>
    <w:basedOn w:val="1"/>
    <w:qFormat/>
    <w:uiPriority w:val="0"/>
    <w:pPr>
      <w:spacing w:line="360" w:lineRule="auto"/>
      <w:ind w:firstLine="200" w:firstLineChars="200"/>
    </w:pPr>
    <w:rPr>
      <w:rFonts w:ascii="宋体" w:hAnsi="宋体" w:cs="Arial"/>
      <w:snapToGrid w:val="0"/>
      <w:kern w:val="0"/>
      <w:szCs w:val="21"/>
      <w:lang w:val="eu-ES"/>
    </w:rPr>
  </w:style>
  <w:style w:type="paragraph" w:customStyle="1" w:styleId="773">
    <w:name w:val="2号宋体"/>
    <w:basedOn w:val="1"/>
    <w:qFormat/>
    <w:uiPriority w:val="0"/>
    <w:pPr>
      <w:spacing w:before="120" w:after="120"/>
      <w:jc w:val="center"/>
    </w:pPr>
    <w:rPr>
      <w:sz w:val="44"/>
    </w:rPr>
  </w:style>
  <w:style w:type="paragraph" w:customStyle="1" w:styleId="774">
    <w:name w:val="样式 样式 首行缩进:  2 字符 + (符号) 宋体 五号 首行缩进:  2 字符 行距: 固定值 12 磅"/>
    <w:basedOn w:val="424"/>
    <w:qFormat/>
    <w:uiPriority w:val="0"/>
    <w:pPr>
      <w:spacing w:line="240" w:lineRule="exact"/>
      <w:ind w:firstLine="0" w:firstLineChars="0"/>
    </w:pPr>
    <w:rPr>
      <w:rFonts w:hAnsi="宋体"/>
      <w:sz w:val="21"/>
    </w:rPr>
  </w:style>
  <w:style w:type="paragraph" w:customStyle="1" w:styleId="775">
    <w:name w:val="图片"/>
    <w:basedOn w:val="1"/>
    <w:next w:val="21"/>
    <w:qFormat/>
    <w:uiPriority w:val="0"/>
    <w:pPr>
      <w:keepNext/>
      <w:widowControl/>
      <w:overflowPunct w:val="0"/>
      <w:autoSpaceDE w:val="0"/>
      <w:autoSpaceDN w:val="0"/>
      <w:adjustRightInd w:val="0"/>
      <w:spacing w:before="120" w:after="240"/>
      <w:jc w:val="center"/>
      <w:textAlignment w:val="baseline"/>
    </w:pPr>
    <w:rPr>
      <w:kern w:val="0"/>
      <w:sz w:val="20"/>
      <w:szCs w:val="20"/>
    </w:rPr>
  </w:style>
  <w:style w:type="paragraph" w:customStyle="1" w:styleId="776">
    <w:name w:val="表格2"/>
    <w:basedOn w:val="1"/>
    <w:next w:val="1"/>
    <w:qFormat/>
    <w:uiPriority w:val="0"/>
    <w:pPr>
      <w:topLinePunct/>
      <w:autoSpaceDE w:val="0"/>
      <w:autoSpaceDN w:val="0"/>
      <w:adjustRightInd w:val="0"/>
      <w:jc w:val="center"/>
      <w:textAlignment w:val="baseline"/>
    </w:pPr>
    <w:rPr>
      <w:rFonts w:eastAsia="仿宋体"/>
      <w:kern w:val="0"/>
      <w:sz w:val="24"/>
      <w:szCs w:val="20"/>
    </w:rPr>
  </w:style>
  <w:style w:type="paragraph" w:customStyle="1" w:styleId="777">
    <w:name w:val="xl52"/>
    <w:basedOn w:val="1"/>
    <w:qFormat/>
    <w:uiPriority w:val="0"/>
    <w:pPr>
      <w:widowControl/>
      <w:pBdr>
        <w:top w:val="single" w:color="000000" w:sz="4" w:space="0"/>
        <w:left w:val="single" w:color="auto" w:sz="4" w:space="0"/>
      </w:pBdr>
      <w:spacing w:before="100" w:beforeAutospacing="1" w:after="100" w:afterAutospacing="1"/>
      <w:jc w:val="center"/>
    </w:pPr>
    <w:rPr>
      <w:rFonts w:ascii="宋体" w:hAnsi="宋体"/>
      <w:kern w:val="0"/>
      <w:szCs w:val="21"/>
    </w:rPr>
  </w:style>
  <w:style w:type="paragraph" w:customStyle="1" w:styleId="778">
    <w:name w:val="样式 标题 2 + 段前: 1 行1"/>
    <w:basedOn w:val="3"/>
    <w:qFormat/>
    <w:uiPriority w:val="0"/>
    <w:pPr>
      <w:adjustRightInd w:val="0"/>
      <w:snapToGrid w:val="0"/>
      <w:spacing w:before="0" w:after="0" w:line="360" w:lineRule="auto"/>
    </w:pPr>
    <w:rPr>
      <w:rFonts w:ascii="宋体" w:hAnsi="宋体" w:eastAsia="宋体"/>
      <w:color w:val="000000"/>
      <w:spacing w:val="4"/>
      <w:kern w:val="0"/>
      <w:sz w:val="28"/>
      <w:szCs w:val="20"/>
    </w:rPr>
  </w:style>
  <w:style w:type="paragraph" w:customStyle="1" w:styleId="779">
    <w:name w:val="样式 正文文本 3 + 加粗1"/>
    <w:basedOn w:val="28"/>
    <w:qFormat/>
    <w:uiPriority w:val="0"/>
    <w:pPr>
      <w:widowControl/>
      <w:tabs>
        <w:tab w:val="clear" w:pos="540"/>
      </w:tabs>
      <w:snapToGrid w:val="0"/>
      <w:spacing w:line="320" w:lineRule="exact"/>
      <w:jc w:val="center"/>
    </w:pPr>
    <w:rPr>
      <w:rFonts w:ascii="宋体" w:hAnsi="宋体" w:eastAsia="宋体"/>
      <w:b/>
      <w:bCs/>
      <w:color w:val="auto"/>
      <w:spacing w:val="4"/>
      <w:kern w:val="0"/>
      <w:sz w:val="21"/>
      <w:szCs w:val="18"/>
    </w:rPr>
  </w:style>
  <w:style w:type="paragraph" w:customStyle="1" w:styleId="780">
    <w:name w:val="Char Char Char Char Char Char Char Char Char1 Char Char Char Char Char Char Char Char Char"/>
    <w:basedOn w:val="1"/>
    <w:qFormat/>
    <w:uiPriority w:val="0"/>
  </w:style>
  <w:style w:type="paragraph" w:customStyle="1" w:styleId="781">
    <w:name w:val="块引用"/>
    <w:basedOn w:val="1"/>
    <w:qFormat/>
    <w:uiPriority w:val="0"/>
    <w:pPr>
      <w:keepLines/>
      <w:widowControl/>
      <w:overflowPunct w:val="0"/>
      <w:autoSpaceDE w:val="0"/>
      <w:autoSpaceDN w:val="0"/>
      <w:adjustRightInd w:val="0"/>
      <w:ind w:left="360" w:right="360"/>
      <w:jc w:val="center"/>
      <w:textAlignment w:val="baseline"/>
    </w:pPr>
    <w:rPr>
      <w:i/>
      <w:kern w:val="0"/>
      <w:sz w:val="20"/>
      <w:szCs w:val="20"/>
    </w:rPr>
  </w:style>
  <w:style w:type="paragraph" w:customStyle="1" w:styleId="782">
    <w:name w:val="样式 首行缩进:  2 字符1"/>
    <w:basedOn w:val="1"/>
    <w:qFormat/>
    <w:uiPriority w:val="0"/>
    <w:pPr>
      <w:spacing w:line="360" w:lineRule="auto"/>
      <w:ind w:firstLine="200" w:firstLineChars="200"/>
    </w:pPr>
    <w:rPr>
      <w:rFonts w:cs="宋体"/>
      <w:sz w:val="24"/>
      <w:szCs w:val="20"/>
    </w:rPr>
  </w:style>
  <w:style w:type="paragraph" w:customStyle="1" w:styleId="783">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784">
    <w:name w:val="font10"/>
    <w:basedOn w:val="1"/>
    <w:qFormat/>
    <w:uiPriority w:val="0"/>
    <w:pPr>
      <w:widowControl/>
      <w:spacing w:before="100" w:beforeAutospacing="1" w:after="100" w:afterAutospacing="1"/>
      <w:jc w:val="left"/>
    </w:pPr>
    <w:rPr>
      <w:kern w:val="0"/>
      <w:sz w:val="18"/>
      <w:szCs w:val="18"/>
    </w:rPr>
  </w:style>
  <w:style w:type="paragraph" w:customStyle="1" w:styleId="785">
    <w:name w:val="xl64"/>
    <w:basedOn w:val="1"/>
    <w:qFormat/>
    <w:uiPriority w:val="0"/>
    <w:pPr>
      <w:widowControl/>
      <w:pBdr>
        <w:left w:val="single" w:color="000000" w:sz="4" w:space="0"/>
      </w:pBdr>
      <w:spacing w:before="100" w:beforeAutospacing="1" w:after="100" w:afterAutospacing="1"/>
    </w:pPr>
    <w:rPr>
      <w:kern w:val="0"/>
      <w:szCs w:val="21"/>
    </w:rPr>
  </w:style>
  <w:style w:type="paragraph" w:customStyle="1" w:styleId="786">
    <w:name w:val="4标题(治)"/>
    <w:basedOn w:val="1"/>
    <w:next w:val="1"/>
    <w:qFormat/>
    <w:uiPriority w:val="0"/>
    <w:pPr>
      <w:widowControl/>
      <w:adjustRightInd w:val="0"/>
      <w:snapToGrid w:val="0"/>
      <w:spacing w:after="200" w:line="276" w:lineRule="auto"/>
      <w:jc w:val="left"/>
      <w:textAlignment w:val="baseline"/>
      <w:outlineLvl w:val="3"/>
    </w:pPr>
    <w:rPr>
      <w:rFonts w:ascii="Calibri" w:hAnsi="Calibri" w:eastAsia="黑体"/>
      <w:kern w:val="0"/>
      <w:sz w:val="22"/>
      <w:szCs w:val="22"/>
      <w:lang w:eastAsia="en-US" w:bidi="en-US"/>
    </w:rPr>
  </w:style>
  <w:style w:type="paragraph" w:customStyle="1" w:styleId="787">
    <w:name w:val="brdrw15brsp20 tqctx4153t"/>
    <w:qFormat/>
    <w:uiPriority w:val="0"/>
    <w:pPr>
      <w:widowControl w:val="0"/>
      <w:pBdr>
        <w:bottom w:val="single" w:color="auto" w:sz="6" w:space="0"/>
      </w:pBdr>
      <w:adjustRightInd w:val="0"/>
      <w:spacing w:after="200" w:line="312" w:lineRule="atLeast"/>
      <w:jc w:val="center"/>
      <w:textAlignment w:val="baseline"/>
    </w:pPr>
    <w:rPr>
      <w:rFonts w:ascii="Times New Roman" w:hAnsi="Times New Roman" w:eastAsia="宋体" w:cs="Times New Roman"/>
      <w:sz w:val="22"/>
      <w:lang w:val="en-US" w:eastAsia="en-US" w:bidi="en-US"/>
    </w:rPr>
  </w:style>
  <w:style w:type="paragraph" w:customStyle="1" w:styleId="788">
    <w:name w:val="xl45"/>
    <w:basedOn w:val="1"/>
    <w:qFormat/>
    <w:uiPriority w:val="0"/>
    <w:pPr>
      <w:widowControl/>
      <w:pBdr>
        <w:top w:val="single" w:color="000000" w:sz="4" w:space="0"/>
        <w:right w:val="single" w:color="auto" w:sz="4" w:space="0"/>
      </w:pBdr>
      <w:spacing w:before="100" w:beforeAutospacing="1" w:after="100" w:afterAutospacing="1"/>
      <w:jc w:val="center"/>
    </w:pPr>
    <w:rPr>
      <w:kern w:val="0"/>
      <w:szCs w:val="21"/>
    </w:rPr>
  </w:style>
  <w:style w:type="paragraph" w:customStyle="1" w:styleId="789">
    <w:name w:val="标题3"/>
    <w:basedOn w:val="1"/>
    <w:qFormat/>
    <w:uiPriority w:val="0"/>
    <w:pPr>
      <w:adjustRightInd w:val="0"/>
      <w:snapToGrid w:val="0"/>
      <w:spacing w:line="360" w:lineRule="auto"/>
      <w:textAlignment w:val="baseline"/>
    </w:pPr>
    <w:rPr>
      <w:rFonts w:ascii="黑体"/>
      <w:bCs/>
      <w:snapToGrid w:val="0"/>
      <w:spacing w:val="6"/>
      <w:kern w:val="10"/>
      <w:sz w:val="24"/>
    </w:rPr>
  </w:style>
  <w:style w:type="paragraph" w:customStyle="1" w:styleId="790">
    <w:name w:val="xl48"/>
    <w:basedOn w:val="1"/>
    <w:qFormat/>
    <w:uiPriority w:val="0"/>
    <w:pPr>
      <w:widowControl/>
      <w:pBdr>
        <w:left w:val="single" w:color="000000" w:sz="4" w:space="0"/>
        <w:bottom w:val="single" w:color="000000" w:sz="4" w:space="0"/>
      </w:pBdr>
      <w:spacing w:before="100" w:beforeAutospacing="1" w:after="100" w:afterAutospacing="1"/>
      <w:jc w:val="center"/>
    </w:pPr>
    <w:rPr>
      <w:kern w:val="0"/>
      <w:szCs w:val="21"/>
    </w:rPr>
  </w:style>
  <w:style w:type="paragraph" w:customStyle="1" w:styleId="791">
    <w:name w:val="xl58"/>
    <w:basedOn w:val="1"/>
    <w:qFormat/>
    <w:uiPriority w:val="0"/>
    <w:pPr>
      <w:widowControl/>
      <w:pBdr>
        <w:top w:val="single" w:color="000000" w:sz="4" w:space="0"/>
        <w:bottom w:val="single" w:color="000000" w:sz="4" w:space="0"/>
        <w:right w:val="single" w:color="auto" w:sz="4" w:space="0"/>
      </w:pBdr>
      <w:spacing w:before="100" w:beforeAutospacing="1" w:after="100" w:afterAutospacing="1"/>
      <w:jc w:val="center"/>
    </w:pPr>
    <w:rPr>
      <w:kern w:val="0"/>
      <w:szCs w:val="21"/>
    </w:rPr>
  </w:style>
  <w:style w:type="paragraph" w:customStyle="1" w:styleId="792">
    <w:name w:val="xl62"/>
    <w:basedOn w:val="1"/>
    <w:qFormat/>
    <w:uiPriority w:val="0"/>
    <w:pPr>
      <w:widowControl/>
      <w:pBdr>
        <w:top w:val="single" w:color="000000" w:sz="4" w:space="0"/>
      </w:pBdr>
      <w:spacing w:before="100" w:beforeAutospacing="1" w:after="100" w:afterAutospacing="1"/>
    </w:pPr>
    <w:rPr>
      <w:kern w:val="0"/>
      <w:szCs w:val="21"/>
    </w:rPr>
  </w:style>
  <w:style w:type="paragraph" w:customStyle="1" w:styleId="793">
    <w:name w:val="xl72"/>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kern w:val="0"/>
      <w:szCs w:val="21"/>
    </w:rPr>
  </w:style>
  <w:style w:type="paragraph" w:customStyle="1" w:styleId="794">
    <w:name w:val="xl73"/>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kern w:val="0"/>
      <w:szCs w:val="21"/>
    </w:rPr>
  </w:style>
  <w:style w:type="paragraph" w:customStyle="1" w:styleId="795">
    <w:name w:val="xl7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kern w:val="0"/>
      <w:szCs w:val="21"/>
    </w:rPr>
  </w:style>
  <w:style w:type="paragraph" w:customStyle="1" w:styleId="796">
    <w:name w:val="图解"/>
    <w:basedOn w:val="1"/>
    <w:next w:val="20"/>
    <w:qFormat/>
    <w:uiPriority w:val="0"/>
    <w:pPr>
      <w:spacing w:line="360" w:lineRule="auto"/>
      <w:jc w:val="center"/>
    </w:pPr>
    <w:rPr>
      <w:rFonts w:ascii="宋体" w:hAnsi="宋体"/>
      <w:szCs w:val="20"/>
    </w:rPr>
  </w:style>
  <w:style w:type="paragraph" w:customStyle="1" w:styleId="797">
    <w:name w:val="table"/>
    <w:basedOn w:val="1"/>
    <w:next w:val="1"/>
    <w:qFormat/>
    <w:uiPriority w:val="0"/>
    <w:pPr>
      <w:adjustRightInd w:val="0"/>
      <w:snapToGrid w:val="0"/>
      <w:jc w:val="center"/>
    </w:pPr>
    <w:rPr>
      <w:color w:val="000000"/>
      <w:szCs w:val="28"/>
    </w:rPr>
  </w:style>
  <w:style w:type="paragraph" w:customStyle="1" w:styleId="798">
    <w:name w:val="表中正文"/>
    <w:basedOn w:val="1"/>
    <w:qFormat/>
    <w:uiPriority w:val="0"/>
    <w:pPr>
      <w:widowControl/>
      <w:autoSpaceDE w:val="0"/>
      <w:autoSpaceDN w:val="0"/>
      <w:adjustRightInd w:val="0"/>
      <w:snapToGrid w:val="0"/>
      <w:spacing w:after="200" w:line="240" w:lineRule="atLeast"/>
      <w:ind w:firstLine="200" w:firstLineChars="200"/>
      <w:jc w:val="left"/>
    </w:pPr>
    <w:rPr>
      <w:rFonts w:ascii="宋体" w:hAnsi="Calibri"/>
      <w:kern w:val="0"/>
      <w:szCs w:val="22"/>
      <w:lang w:eastAsia="en-US" w:bidi="en-US"/>
    </w:rPr>
  </w:style>
  <w:style w:type="paragraph" w:customStyle="1" w:styleId="799">
    <w:name w:val="未定"/>
    <w:basedOn w:val="1"/>
    <w:qFormat/>
    <w:uiPriority w:val="0"/>
    <w:pPr>
      <w:widowControl/>
      <w:autoSpaceDE w:val="0"/>
      <w:autoSpaceDN w:val="0"/>
      <w:adjustRightInd w:val="0"/>
      <w:snapToGrid w:val="0"/>
      <w:spacing w:after="200" w:line="380" w:lineRule="atLeast"/>
      <w:jc w:val="left"/>
    </w:pPr>
    <w:rPr>
      <w:rFonts w:ascii="宋体" w:hAnsi="Calibri"/>
      <w:color w:val="FF0000"/>
      <w:kern w:val="0"/>
      <w:sz w:val="24"/>
      <w:szCs w:val="22"/>
      <w:u w:val="double"/>
      <w:lang w:eastAsia="en-US" w:bidi="en-US"/>
    </w:rPr>
  </w:style>
  <w:style w:type="paragraph" w:customStyle="1" w:styleId="800">
    <w:name w:val="修改"/>
    <w:basedOn w:val="1"/>
    <w:qFormat/>
    <w:uiPriority w:val="0"/>
    <w:pPr>
      <w:widowControl/>
      <w:autoSpaceDE w:val="0"/>
      <w:autoSpaceDN w:val="0"/>
      <w:adjustRightInd w:val="0"/>
      <w:snapToGrid w:val="0"/>
      <w:spacing w:before="156" w:after="200" w:line="540" w:lineRule="atLeast"/>
      <w:ind w:firstLine="480" w:firstLineChars="200"/>
      <w:jc w:val="left"/>
    </w:pPr>
    <w:rPr>
      <w:rFonts w:ascii="宋体" w:hAnsi="宋体"/>
      <w:color w:val="FF00FF"/>
      <w:kern w:val="0"/>
      <w:sz w:val="24"/>
      <w:szCs w:val="22"/>
      <w:u w:val="wavyDouble"/>
      <w:lang w:eastAsia="en-US" w:bidi="en-US"/>
    </w:rPr>
  </w:style>
  <w:style w:type="paragraph" w:customStyle="1" w:styleId="801">
    <w:name w:val="封面标题"/>
    <w:qFormat/>
    <w:uiPriority w:val="0"/>
    <w:pPr>
      <w:spacing w:after="200" w:line="276" w:lineRule="auto"/>
      <w:ind w:firstLine="560" w:firstLineChars="200"/>
      <w:jc w:val="both"/>
    </w:pPr>
    <w:rPr>
      <w:rFonts w:ascii="宋体" w:hAnsi="宋体" w:eastAsia="宋体" w:cs="Times New Roman"/>
      <w:sz w:val="28"/>
      <w:szCs w:val="28"/>
      <w:lang w:val="en-US" w:eastAsia="en-US" w:bidi="en-US"/>
    </w:rPr>
  </w:style>
  <w:style w:type="paragraph" w:customStyle="1" w:styleId="802">
    <w:name w:val="表内文字数据"/>
    <w:basedOn w:val="1"/>
    <w:next w:val="1"/>
    <w:qFormat/>
    <w:uiPriority w:val="0"/>
    <w:pPr>
      <w:widowControl/>
      <w:spacing w:before="50" w:after="200" w:line="240" w:lineRule="atLeast"/>
      <w:jc w:val="left"/>
    </w:pPr>
    <w:rPr>
      <w:rFonts w:ascii="Calibri" w:hAnsi="Calibri"/>
      <w:bCs/>
      <w:kern w:val="0"/>
      <w:szCs w:val="21"/>
      <w:lang w:eastAsia="en-US" w:bidi="en-US"/>
    </w:rPr>
  </w:style>
  <w:style w:type="paragraph" w:customStyle="1" w:styleId="803">
    <w:name w:val="5文章(治)"/>
    <w:basedOn w:val="1"/>
    <w:qFormat/>
    <w:uiPriority w:val="0"/>
    <w:pPr>
      <w:widowControl/>
      <w:spacing w:after="200" w:line="276" w:lineRule="auto"/>
      <w:ind w:firstLine="560" w:firstLineChars="200"/>
      <w:jc w:val="left"/>
    </w:pPr>
    <w:rPr>
      <w:rFonts w:ascii="Calibri" w:hAnsi="Calibri"/>
      <w:kern w:val="0"/>
      <w:sz w:val="22"/>
      <w:szCs w:val="22"/>
      <w:lang w:eastAsia="en-US" w:bidi="en-US"/>
    </w:rPr>
  </w:style>
  <w:style w:type="paragraph" w:customStyle="1" w:styleId="804">
    <w:name w:val="7表格(治)"/>
    <w:qFormat/>
    <w:uiPriority w:val="0"/>
    <w:pPr>
      <w:spacing w:after="200" w:line="276" w:lineRule="auto"/>
      <w:jc w:val="center"/>
    </w:pPr>
    <w:rPr>
      <w:rFonts w:ascii="Times New Roman" w:hAnsi="Times New Roman" w:eastAsia="楷体_GB2312" w:cs="Times New Roman"/>
      <w:color w:val="FF0000"/>
      <w:sz w:val="22"/>
      <w:lang w:val="en-US" w:eastAsia="en-US" w:bidi="en-US"/>
    </w:rPr>
  </w:style>
  <w:style w:type="paragraph" w:styleId="805">
    <w:name w:val="No Spacing"/>
    <w:link w:val="852"/>
    <w:qFormat/>
    <w:uiPriority w:val="1"/>
    <w:rPr>
      <w:rFonts w:ascii="Calibri" w:hAnsi="Calibri" w:eastAsia="宋体" w:cs="Times New Roman"/>
      <w:sz w:val="22"/>
      <w:szCs w:val="22"/>
      <w:lang w:val="en-US" w:eastAsia="en-US" w:bidi="en-US"/>
    </w:rPr>
  </w:style>
  <w:style w:type="paragraph" w:customStyle="1" w:styleId="806">
    <w:name w:val="Char Char Char2 Char1"/>
    <w:basedOn w:val="1"/>
    <w:qFormat/>
    <w:uiPriority w:val="0"/>
  </w:style>
  <w:style w:type="paragraph" w:customStyle="1" w:styleId="807">
    <w:name w:val="样式 样式 表格标题 + 段前: 0.5 行 + 段前: 0.5 行1"/>
    <w:basedOn w:val="1"/>
    <w:qFormat/>
    <w:uiPriority w:val="0"/>
    <w:pPr>
      <w:autoSpaceDE w:val="0"/>
      <w:autoSpaceDN w:val="0"/>
      <w:adjustRightInd w:val="0"/>
      <w:spacing w:line="360" w:lineRule="auto"/>
      <w:jc w:val="center"/>
    </w:pPr>
    <w:rPr>
      <w:rFonts w:ascii="仿宋_GB2312" w:eastAsia="仿宋_GB2312"/>
      <w:b/>
      <w:color w:val="FF6600"/>
      <w:sz w:val="28"/>
      <w:szCs w:val="28"/>
      <w:lang w:val="zh-CN"/>
    </w:rPr>
  </w:style>
  <w:style w:type="paragraph" w:customStyle="1" w:styleId="808">
    <w:name w:val="Char1 Char Char Char1 Char Char Char1"/>
    <w:basedOn w:val="1"/>
    <w:qFormat/>
    <w:uiPriority w:val="0"/>
    <w:pPr>
      <w:snapToGrid w:val="0"/>
      <w:spacing w:line="360" w:lineRule="auto"/>
      <w:ind w:firstLine="200" w:firstLineChars="200"/>
    </w:pPr>
    <w:rPr>
      <w:rFonts w:ascii="宋体" w:hAnsi="宋体" w:cs="Arial"/>
      <w:kern w:val="0"/>
      <w:szCs w:val="21"/>
      <w:lang w:val="eu-ES"/>
    </w:rPr>
  </w:style>
  <w:style w:type="paragraph" w:customStyle="1" w:styleId="809">
    <w:name w:val="Char Char Char Char Char Char1 Char1"/>
    <w:basedOn w:val="1"/>
    <w:qFormat/>
    <w:uiPriority w:val="0"/>
  </w:style>
  <w:style w:type="paragraph" w:customStyle="1" w:styleId="810">
    <w:name w:val="新正文样式"/>
    <w:basedOn w:val="1"/>
    <w:qFormat/>
    <w:uiPriority w:val="0"/>
    <w:pPr>
      <w:tabs>
        <w:tab w:val="left" w:pos="567"/>
      </w:tabs>
      <w:spacing w:line="360" w:lineRule="auto"/>
      <w:ind w:firstLine="567"/>
    </w:pPr>
    <w:rPr>
      <w:spacing w:val="20"/>
      <w:sz w:val="24"/>
      <w:szCs w:val="20"/>
    </w:rPr>
  </w:style>
  <w:style w:type="paragraph" w:customStyle="1" w:styleId="811">
    <w:name w:val="样式 样式 样式 标题 2 + 黑体 小三 + 段后: 1 行 + 段后: 1 行"/>
    <w:basedOn w:val="1"/>
    <w:qFormat/>
    <w:uiPriority w:val="0"/>
    <w:pPr>
      <w:keepNext/>
      <w:keepLines/>
      <w:tabs>
        <w:tab w:val="left" w:pos="2240"/>
      </w:tabs>
      <w:adjustRightInd w:val="0"/>
      <w:spacing w:before="120" w:afterLines="50"/>
      <w:textAlignment w:val="baseline"/>
      <w:outlineLvl w:val="1"/>
    </w:pPr>
    <w:rPr>
      <w:rFonts w:ascii="黑体" w:hAnsi="黑体" w:eastAsia="黑体"/>
      <w:b/>
      <w:kern w:val="0"/>
      <w:sz w:val="30"/>
      <w:szCs w:val="20"/>
    </w:rPr>
  </w:style>
  <w:style w:type="paragraph" w:customStyle="1" w:styleId="812">
    <w:name w:val="Char Char4 Char"/>
    <w:basedOn w:val="1"/>
    <w:next w:val="1"/>
    <w:semiHidden/>
    <w:qFormat/>
    <w:uiPriority w:val="0"/>
    <w:pPr>
      <w:spacing w:line="360" w:lineRule="auto"/>
      <w:ind w:firstLine="200" w:firstLineChars="200"/>
    </w:pPr>
    <w:rPr>
      <w:rFonts w:ascii="宋体" w:hAnsi="宋体" w:cs="宋体"/>
      <w:sz w:val="24"/>
    </w:rPr>
  </w:style>
  <w:style w:type="paragraph" w:customStyle="1" w:styleId="813">
    <w:name w:val="Char2 Char Char Char Char Char Char Char Char Char"/>
    <w:basedOn w:val="1"/>
    <w:semiHidden/>
    <w:qFormat/>
    <w:uiPriority w:val="0"/>
    <w:rPr>
      <w:rFonts w:ascii="宋体" w:hAnsi="宋体" w:cs="宋体"/>
      <w:sz w:val="24"/>
    </w:rPr>
  </w:style>
  <w:style w:type="paragraph" w:customStyle="1" w:styleId="814">
    <w:name w:val="无间隔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15">
    <w:name w:val="默认段落字体 Para Char Char Char Char Char Char1 Char Char Char Char Char Char Char"/>
    <w:basedOn w:val="1"/>
    <w:qFormat/>
    <w:uiPriority w:val="0"/>
    <w:rPr>
      <w:sz w:val="24"/>
    </w:rPr>
  </w:style>
  <w:style w:type="table" w:customStyle="1" w:styleId="816">
    <w:name w:val="网格型1"/>
    <w:basedOn w:val="7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17">
    <w:name w:val="龚艺正文加粗 Char"/>
    <w:link w:val="818"/>
    <w:qFormat/>
    <w:uiPriority w:val="0"/>
    <w:rPr>
      <w:rFonts w:hAnsi="宋体"/>
      <w:b/>
      <w:bCs/>
      <w:color w:val="000000"/>
      <w:kern w:val="2"/>
      <w:sz w:val="24"/>
      <w:szCs w:val="24"/>
    </w:rPr>
  </w:style>
  <w:style w:type="paragraph" w:customStyle="1" w:styleId="818">
    <w:name w:val="龚艺正文加粗"/>
    <w:basedOn w:val="1"/>
    <w:link w:val="817"/>
    <w:qFormat/>
    <w:uiPriority w:val="0"/>
    <w:pPr>
      <w:tabs>
        <w:tab w:val="left" w:pos="8789"/>
      </w:tabs>
      <w:wordWrap w:val="0"/>
      <w:spacing w:line="360" w:lineRule="auto"/>
      <w:ind w:firstLine="200" w:firstLineChars="200"/>
    </w:pPr>
    <w:rPr>
      <w:rFonts w:hAnsi="宋体"/>
      <w:b/>
      <w:bCs/>
      <w:color w:val="000000"/>
      <w:sz w:val="24"/>
    </w:rPr>
  </w:style>
  <w:style w:type="character" w:customStyle="1" w:styleId="819">
    <w:name w:val="！表格 Char Char"/>
    <w:link w:val="820"/>
    <w:qFormat/>
    <w:uiPriority w:val="0"/>
    <w:rPr>
      <w:color w:val="000000"/>
      <w:sz w:val="21"/>
      <w:u w:color="000000"/>
    </w:rPr>
  </w:style>
  <w:style w:type="paragraph" w:customStyle="1" w:styleId="820">
    <w:name w:val="！表格"/>
    <w:basedOn w:val="1"/>
    <w:next w:val="1"/>
    <w:link w:val="819"/>
    <w:qFormat/>
    <w:uiPriority w:val="0"/>
    <w:pPr>
      <w:widowControl/>
      <w:jc w:val="center"/>
      <w:textAlignment w:val="baseline"/>
    </w:pPr>
    <w:rPr>
      <w:color w:val="000000"/>
      <w:kern w:val="0"/>
      <w:szCs w:val="20"/>
      <w:u w:color="000000"/>
    </w:rPr>
  </w:style>
  <w:style w:type="character" w:customStyle="1" w:styleId="821">
    <w:name w:val="hb3 Char Char"/>
    <w:link w:val="822"/>
    <w:qFormat/>
    <w:uiPriority w:val="0"/>
    <w:rPr>
      <w:rFonts w:cs="宋体"/>
      <w:b/>
      <w:bCs/>
      <w:sz w:val="24"/>
      <w:szCs w:val="32"/>
    </w:rPr>
  </w:style>
  <w:style w:type="paragraph" w:customStyle="1" w:styleId="822">
    <w:name w:val="hb3"/>
    <w:basedOn w:val="4"/>
    <w:link w:val="821"/>
    <w:qFormat/>
    <w:uiPriority w:val="0"/>
    <w:pPr>
      <w:tabs>
        <w:tab w:val="clear" w:pos="720"/>
      </w:tabs>
      <w:adjustRightInd w:val="0"/>
      <w:spacing w:before="360" w:after="360" w:line="240" w:lineRule="auto"/>
      <w:ind w:left="0" w:firstLine="0"/>
      <w:jc w:val="left"/>
      <w:textAlignment w:val="baseline"/>
    </w:pPr>
    <w:rPr>
      <w:rFonts w:cs="宋体"/>
      <w:kern w:val="0"/>
      <w:sz w:val="24"/>
    </w:rPr>
  </w:style>
  <w:style w:type="character" w:customStyle="1" w:styleId="823">
    <w:name w:val="报告书正文 Char Char"/>
    <w:qFormat/>
    <w:uiPriority w:val="0"/>
    <w:rPr>
      <w:rFonts w:ascii="宋体" w:hAnsi="宋体" w:eastAsia="宋体" w:cs="宋体"/>
      <w:kern w:val="2"/>
      <w:sz w:val="24"/>
      <w:lang w:val="en-US" w:eastAsia="zh-CN" w:bidi="ar-SA"/>
    </w:rPr>
  </w:style>
  <w:style w:type="character" w:customStyle="1" w:styleId="824">
    <w:name w:val="hb2 Char Char"/>
    <w:link w:val="825"/>
    <w:qFormat/>
    <w:uiPriority w:val="0"/>
    <w:rPr>
      <w:rFonts w:cs="Arial"/>
      <w:b/>
      <w:bCs/>
      <w:sz w:val="28"/>
      <w:szCs w:val="28"/>
      <w:lang w:val="en-GB"/>
    </w:rPr>
  </w:style>
  <w:style w:type="paragraph" w:customStyle="1" w:styleId="825">
    <w:name w:val="hb2"/>
    <w:basedOn w:val="3"/>
    <w:link w:val="824"/>
    <w:qFormat/>
    <w:uiPriority w:val="0"/>
    <w:pPr>
      <w:topLinePunct/>
      <w:spacing w:before="480" w:after="480" w:line="416" w:lineRule="atLeast"/>
      <w:jc w:val="left"/>
      <w:textAlignment w:val="baseline"/>
    </w:pPr>
    <w:rPr>
      <w:rFonts w:ascii="Times New Roman" w:hAnsi="Times New Roman" w:eastAsia="宋体" w:cs="Arial"/>
      <w:kern w:val="0"/>
      <w:sz w:val="28"/>
      <w:szCs w:val="28"/>
      <w:lang w:val="en-GB"/>
    </w:rPr>
  </w:style>
  <w:style w:type="paragraph" w:customStyle="1" w:styleId="826">
    <w:name w:val="报告表正文"/>
    <w:basedOn w:val="1"/>
    <w:link w:val="827"/>
    <w:qFormat/>
    <w:uiPriority w:val="0"/>
    <w:pPr>
      <w:adjustRightInd w:val="0"/>
      <w:spacing w:line="300" w:lineRule="auto"/>
      <w:ind w:left="113" w:right="113"/>
      <w:textAlignment w:val="baseline"/>
    </w:pPr>
    <w:rPr>
      <w:kern w:val="0"/>
      <w:sz w:val="24"/>
      <w:szCs w:val="20"/>
    </w:rPr>
  </w:style>
  <w:style w:type="character" w:customStyle="1" w:styleId="827">
    <w:name w:val="报告表正文 Char"/>
    <w:link w:val="826"/>
    <w:qFormat/>
    <w:uiPriority w:val="0"/>
    <w:rPr>
      <w:sz w:val="24"/>
    </w:rPr>
  </w:style>
  <w:style w:type="character" w:customStyle="1" w:styleId="828">
    <w:name w:val="hb1 Char Char"/>
    <w:link w:val="829"/>
    <w:qFormat/>
    <w:uiPriority w:val="0"/>
    <w:rPr>
      <w:rFonts w:ascii="Arial Narrow" w:hAnsi="Arial Narrow" w:cs="黑体"/>
      <w:b/>
      <w:bCs/>
      <w:kern w:val="44"/>
      <w:sz w:val="32"/>
      <w:szCs w:val="32"/>
    </w:rPr>
  </w:style>
  <w:style w:type="paragraph" w:customStyle="1" w:styleId="829">
    <w:name w:val="hb1"/>
    <w:basedOn w:val="2"/>
    <w:link w:val="828"/>
    <w:qFormat/>
    <w:uiPriority w:val="0"/>
    <w:pPr>
      <w:topLinePunct/>
      <w:adjustRightInd w:val="0"/>
      <w:snapToGrid/>
      <w:spacing w:before="480" w:after="600" w:line="578" w:lineRule="atLeast"/>
      <w:jc w:val="center"/>
      <w:textAlignment w:val="baseline"/>
    </w:pPr>
    <w:rPr>
      <w:rFonts w:ascii="Arial Narrow" w:hAnsi="Arial Narrow" w:eastAsia="宋体" w:cs="黑体"/>
      <w:b/>
      <w:bCs/>
      <w:sz w:val="32"/>
      <w:szCs w:val="32"/>
    </w:rPr>
  </w:style>
  <w:style w:type="character" w:customStyle="1" w:styleId="830">
    <w:name w:val="二级标题 Char Char"/>
    <w:link w:val="831"/>
    <w:qFormat/>
    <w:uiPriority w:val="0"/>
    <w:rPr>
      <w:b/>
      <w:bCs/>
      <w:sz w:val="30"/>
    </w:rPr>
  </w:style>
  <w:style w:type="paragraph" w:customStyle="1" w:styleId="831">
    <w:name w:val="二级标题"/>
    <w:basedOn w:val="1"/>
    <w:link w:val="830"/>
    <w:qFormat/>
    <w:uiPriority w:val="0"/>
    <w:pPr>
      <w:spacing w:before="120" w:line="520" w:lineRule="exact"/>
      <w:outlineLvl w:val="1"/>
    </w:pPr>
    <w:rPr>
      <w:b/>
      <w:bCs/>
      <w:kern w:val="0"/>
      <w:sz w:val="30"/>
      <w:szCs w:val="20"/>
    </w:rPr>
  </w:style>
  <w:style w:type="paragraph" w:customStyle="1" w:styleId="832">
    <w:name w:val="Char Char Char Char Char Char Char Char Char Char3"/>
    <w:basedOn w:val="1"/>
    <w:qFormat/>
    <w:uiPriority w:val="0"/>
    <w:rPr>
      <w:sz w:val="24"/>
      <w:szCs w:val="20"/>
    </w:rPr>
  </w:style>
  <w:style w:type="paragraph" w:customStyle="1" w:styleId="833">
    <w:name w:val="Char Char Char Char Char Char Char Char Char Char2"/>
    <w:basedOn w:val="1"/>
    <w:qFormat/>
    <w:uiPriority w:val="0"/>
    <w:rPr>
      <w:sz w:val="24"/>
      <w:szCs w:val="20"/>
    </w:rPr>
  </w:style>
  <w:style w:type="paragraph" w:customStyle="1" w:styleId="834">
    <w:name w:val="样式 表格"/>
    <w:basedOn w:val="1"/>
    <w:qFormat/>
    <w:uiPriority w:val="0"/>
    <w:pPr>
      <w:spacing w:line="240" w:lineRule="atLeast"/>
      <w:jc w:val="center"/>
    </w:pPr>
    <w:rPr>
      <w:rFonts w:cs="宋体"/>
      <w:szCs w:val="20"/>
    </w:rPr>
  </w:style>
  <w:style w:type="paragraph" w:customStyle="1" w:styleId="835">
    <w:name w:val="样式9"/>
    <w:basedOn w:val="73"/>
    <w:qFormat/>
    <w:uiPriority w:val="0"/>
    <w:pPr>
      <w:spacing w:before="0" w:beforeAutospacing="0" w:after="0" w:afterAutospacing="0" w:line="360" w:lineRule="auto"/>
      <w:ind w:firstLine="480" w:firstLineChars="200"/>
      <w:jc w:val="both"/>
    </w:pPr>
    <w:rPr>
      <w:rFonts w:ascii="仿宋_GB2312" w:hAnsi="Times New Roman" w:eastAsia="仿宋_GB2312" w:cs="Times New Roman"/>
      <w:kern w:val="2"/>
      <w:szCs w:val="32"/>
    </w:rPr>
  </w:style>
  <w:style w:type="character" w:customStyle="1" w:styleId="836">
    <w:name w:val="题注 字符"/>
    <w:link w:val="21"/>
    <w:qFormat/>
    <w:uiPriority w:val="99"/>
    <w:rPr>
      <w:rFonts w:ascii="Arial" w:hAnsi="Arial" w:eastAsia="黑体" w:cs="Arial"/>
      <w:kern w:val="2"/>
    </w:rPr>
  </w:style>
  <w:style w:type="character" w:customStyle="1" w:styleId="837">
    <w:name w:val="表格正文 Char"/>
    <w:link w:val="477"/>
    <w:qFormat/>
    <w:uiPriority w:val="0"/>
    <w:rPr>
      <w:kern w:val="2"/>
      <w:sz w:val="21"/>
      <w:szCs w:val="28"/>
    </w:rPr>
  </w:style>
  <w:style w:type="character" w:customStyle="1" w:styleId="838">
    <w:name w:val="正文首行缩进 Char1"/>
    <w:basedOn w:val="308"/>
    <w:semiHidden/>
    <w:qFormat/>
    <w:uiPriority w:val="99"/>
    <w:rPr>
      <w:rFonts w:eastAsia="宋体"/>
      <w:kern w:val="2"/>
      <w:sz w:val="28"/>
      <w:szCs w:val="28"/>
      <w:lang w:val="en-US" w:eastAsia="zh-CN" w:bidi="ar-SA"/>
    </w:rPr>
  </w:style>
  <w:style w:type="paragraph" w:customStyle="1" w:styleId="839">
    <w:name w:val="修订2"/>
    <w:hidden/>
    <w:unhideWhenUsed/>
    <w:qFormat/>
    <w:uiPriority w:val="99"/>
    <w:rPr>
      <w:rFonts w:ascii="Times New Roman" w:hAnsi="Times New Roman" w:eastAsia="宋体" w:cs="Times New Roman"/>
      <w:kern w:val="2"/>
      <w:sz w:val="21"/>
      <w:szCs w:val="24"/>
      <w:lang w:val="en-US" w:eastAsia="zh-CN" w:bidi="ar-SA"/>
    </w:rPr>
  </w:style>
  <w:style w:type="character" w:customStyle="1" w:styleId="840">
    <w:name w:val="段落(G) Char Char"/>
    <w:link w:val="841"/>
    <w:qFormat/>
    <w:uiPriority w:val="0"/>
    <w:rPr>
      <w:color w:val="000000"/>
      <w:kern w:val="24"/>
      <w:sz w:val="24"/>
      <w:szCs w:val="24"/>
      <w:lang w:val="zh-CN"/>
    </w:rPr>
  </w:style>
  <w:style w:type="paragraph" w:customStyle="1" w:styleId="841">
    <w:name w:val="段落(G)"/>
    <w:basedOn w:val="1"/>
    <w:link w:val="840"/>
    <w:qFormat/>
    <w:uiPriority w:val="0"/>
    <w:pPr>
      <w:tabs>
        <w:tab w:val="left" w:pos="1021"/>
        <w:tab w:val="left" w:pos="1320"/>
      </w:tabs>
      <w:spacing w:line="360" w:lineRule="auto"/>
      <w:ind w:firstLine="480" w:firstLineChars="200"/>
    </w:pPr>
    <w:rPr>
      <w:color w:val="000000"/>
      <w:kern w:val="24"/>
      <w:sz w:val="24"/>
      <w:lang w:val="zh-CN"/>
    </w:rPr>
  </w:style>
  <w:style w:type="character" w:styleId="842">
    <w:name w:val="Placeholder Text"/>
    <w:basedOn w:val="85"/>
    <w:unhideWhenUsed/>
    <w:qFormat/>
    <w:uiPriority w:val="99"/>
    <w:rPr>
      <w:color w:val="808080"/>
    </w:rPr>
  </w:style>
  <w:style w:type="paragraph" w:customStyle="1" w:styleId="843">
    <w:name w:val="Table Paragraph"/>
    <w:basedOn w:val="1"/>
    <w:qFormat/>
    <w:uiPriority w:val="1"/>
    <w:pPr>
      <w:widowControl/>
      <w:jc w:val="left"/>
    </w:pPr>
    <w:rPr>
      <w:rFonts w:ascii="Calibri" w:hAnsi="Calibri" w:cs="宋体"/>
      <w:kern w:val="0"/>
      <w:sz w:val="22"/>
      <w:szCs w:val="22"/>
    </w:rPr>
  </w:style>
  <w:style w:type="character" w:customStyle="1" w:styleId="844">
    <w:name w:val="标题 2 Char Char"/>
    <w:qFormat/>
    <w:uiPriority w:val="0"/>
    <w:rPr>
      <w:rFonts w:hint="eastAsia" w:ascii="黑体" w:hAnsi="黑体" w:eastAsia="黑体"/>
      <w:b/>
      <w:bCs/>
      <w:kern w:val="2"/>
      <w:sz w:val="32"/>
      <w:szCs w:val="32"/>
      <w:lang w:val="en-US" w:eastAsia="zh-CN"/>
    </w:rPr>
  </w:style>
  <w:style w:type="paragraph" w:customStyle="1" w:styleId="845">
    <w:name w:val="报告书内容"/>
    <w:basedOn w:val="1"/>
    <w:qFormat/>
    <w:uiPriority w:val="0"/>
    <w:pPr>
      <w:spacing w:line="360" w:lineRule="auto"/>
      <w:ind w:firstLine="200" w:firstLineChars="200"/>
    </w:pPr>
    <w:rPr>
      <w:sz w:val="24"/>
    </w:rPr>
  </w:style>
  <w:style w:type="paragraph" w:customStyle="1" w:styleId="846">
    <w:name w:val="图表标题"/>
    <w:basedOn w:val="7"/>
    <w:next w:val="1"/>
    <w:qFormat/>
    <w:uiPriority w:val="0"/>
    <w:pPr>
      <w:keepLines/>
      <w:tabs>
        <w:tab w:val="clear" w:pos="1152"/>
      </w:tabs>
      <w:overflowPunct w:val="0"/>
      <w:spacing w:beforeLines="30" w:afterLines="20" w:line="240" w:lineRule="auto"/>
      <w:ind w:left="0" w:hanging="420"/>
      <w:jc w:val="center"/>
      <w:textAlignment w:val="baseline"/>
    </w:pPr>
    <w:rPr>
      <w:rFonts w:ascii="黑体" w:hAnsi="黑体" w:eastAsia="黑体"/>
      <w:bCs/>
      <w:i w:val="0"/>
      <w:iCs w:val="0"/>
      <w:color w:val="auto"/>
      <w:kern w:val="20"/>
      <w:sz w:val="24"/>
      <w:szCs w:val="24"/>
    </w:rPr>
  </w:style>
  <w:style w:type="paragraph" w:customStyle="1" w:styleId="847">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848">
    <w:name w:val="样式 宋体 小四 行距: 1.5 倍行距"/>
    <w:basedOn w:val="1"/>
    <w:qFormat/>
    <w:uiPriority w:val="0"/>
    <w:pPr>
      <w:spacing w:line="360" w:lineRule="auto"/>
      <w:ind w:firstLine="523" w:firstLineChars="218"/>
    </w:pPr>
    <w:rPr>
      <w:sz w:val="24"/>
      <w:szCs w:val="20"/>
    </w:rPr>
  </w:style>
  <w:style w:type="character" w:customStyle="1" w:styleId="849">
    <w:name w:val="中文报告书样式 Char"/>
    <w:link w:val="492"/>
    <w:qFormat/>
    <w:uiPriority w:val="0"/>
    <w:rPr>
      <w:kern w:val="24"/>
      <w:sz w:val="24"/>
    </w:rPr>
  </w:style>
  <w:style w:type="paragraph" w:customStyle="1" w:styleId="850">
    <w:name w:val="报告书表格"/>
    <w:basedOn w:val="1"/>
    <w:link w:val="851"/>
    <w:qFormat/>
    <w:uiPriority w:val="0"/>
    <w:pPr>
      <w:adjustRightInd w:val="0"/>
      <w:spacing w:before="60" w:after="60" w:line="240" w:lineRule="atLeast"/>
      <w:jc w:val="center"/>
      <w:textAlignment w:val="baseline"/>
    </w:pPr>
    <w:rPr>
      <w:kern w:val="0"/>
    </w:rPr>
  </w:style>
  <w:style w:type="character" w:customStyle="1" w:styleId="851">
    <w:name w:val="报告书表格 Char"/>
    <w:link w:val="850"/>
    <w:qFormat/>
    <w:uiPriority w:val="0"/>
    <w:rPr>
      <w:sz w:val="21"/>
      <w:szCs w:val="24"/>
    </w:rPr>
  </w:style>
  <w:style w:type="character" w:customStyle="1" w:styleId="852">
    <w:name w:val="无间隔 字符"/>
    <w:basedOn w:val="85"/>
    <w:link w:val="805"/>
    <w:qFormat/>
    <w:uiPriority w:val="1"/>
    <w:rPr>
      <w:rFonts w:ascii="Calibri" w:hAnsi="Calibri"/>
      <w:sz w:val="22"/>
      <w:szCs w:val="22"/>
      <w:lang w:eastAsia="en-US" w:bidi="en-US"/>
    </w:rPr>
  </w:style>
  <w:style w:type="character" w:customStyle="1" w:styleId="853">
    <w:name w:val="样式 正文01 + Times New Roman Char Char"/>
    <w:link w:val="854"/>
    <w:qFormat/>
    <w:uiPriority w:val="0"/>
    <w:rPr>
      <w:kern w:val="2"/>
      <w:sz w:val="24"/>
      <w:szCs w:val="24"/>
    </w:rPr>
  </w:style>
  <w:style w:type="paragraph" w:customStyle="1" w:styleId="854">
    <w:name w:val="样式 正文01 + Times New Roman"/>
    <w:basedOn w:val="729"/>
    <w:link w:val="853"/>
    <w:qFormat/>
    <w:uiPriority w:val="0"/>
    <w:pPr>
      <w:adjustRightInd w:val="0"/>
      <w:spacing w:before="0" w:line="520" w:lineRule="exact"/>
      <w:ind w:firstLine="514" w:firstLineChars="214"/>
      <w:textAlignment w:val="baseline"/>
    </w:pPr>
    <w:rPr>
      <w:rFonts w:ascii="Times New Roman" w:hAnsi="Times New Roman" w:cs="Times New Roman"/>
      <w:szCs w:val="24"/>
    </w:rPr>
  </w:style>
  <w:style w:type="character" w:customStyle="1" w:styleId="855">
    <w:name w:val="表字体 Char"/>
    <w:link w:val="856"/>
    <w:qFormat/>
    <w:uiPriority w:val="0"/>
    <w:rPr>
      <w:sz w:val="21"/>
    </w:rPr>
  </w:style>
  <w:style w:type="paragraph" w:customStyle="1" w:styleId="856">
    <w:name w:val="表字体"/>
    <w:basedOn w:val="1"/>
    <w:next w:val="1"/>
    <w:link w:val="855"/>
    <w:qFormat/>
    <w:uiPriority w:val="0"/>
    <w:pPr>
      <w:jc w:val="center"/>
    </w:pPr>
    <w:rPr>
      <w:kern w:val="0"/>
      <w:szCs w:val="20"/>
    </w:rPr>
  </w:style>
  <w:style w:type="paragraph" w:customStyle="1" w:styleId="857">
    <w:name w:val="标准正文"/>
    <w:basedOn w:val="1"/>
    <w:qFormat/>
    <w:uiPriority w:val="0"/>
    <w:pPr>
      <w:spacing w:line="540" w:lineRule="exact"/>
      <w:ind w:firstLine="480" w:firstLineChars="200"/>
    </w:pPr>
  </w:style>
  <w:style w:type="table" w:customStyle="1" w:styleId="858">
    <w:name w:val="网格型2"/>
    <w:basedOn w:val="79"/>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9">
    <w:name w:val="网格型3"/>
    <w:basedOn w:val="79"/>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0">
    <w:name w:val="网格型4"/>
    <w:basedOn w:val="79"/>
    <w:qFormat/>
    <w:uiPriority w:val="3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2.jpe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footer" Target="foot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jpeg"/><Relationship Id="rId45" Type="http://schemas.openxmlformats.org/officeDocument/2006/relationships/image" Target="media/image22.png"/><Relationship Id="rId44" Type="http://schemas.openxmlformats.org/officeDocument/2006/relationships/image" Target="media/image21.jpeg"/><Relationship Id="rId43" Type="http://schemas.openxmlformats.org/officeDocument/2006/relationships/image" Target="media/image20.wmf"/><Relationship Id="rId42" Type="http://schemas.openxmlformats.org/officeDocument/2006/relationships/image" Target="media/image19.wmf"/><Relationship Id="rId41" Type="http://schemas.openxmlformats.org/officeDocument/2006/relationships/image" Target="media/image18.wmf"/><Relationship Id="rId40" Type="http://schemas.openxmlformats.org/officeDocument/2006/relationships/oleObject" Target="embeddings/oleObject4.bin"/><Relationship Id="rId4" Type="http://schemas.openxmlformats.org/officeDocument/2006/relationships/header" Target="header2.xml"/><Relationship Id="rId39" Type="http://schemas.openxmlformats.org/officeDocument/2006/relationships/image" Target="media/image17.wmf"/><Relationship Id="rId38" Type="http://schemas.openxmlformats.org/officeDocument/2006/relationships/oleObject" Target="embeddings/oleObject3.bin"/><Relationship Id="rId37" Type="http://schemas.openxmlformats.org/officeDocument/2006/relationships/image" Target="media/image16.wmf"/><Relationship Id="rId36" Type="http://schemas.openxmlformats.org/officeDocument/2006/relationships/image" Target="media/image15.png"/><Relationship Id="rId35" Type="http://schemas.openxmlformats.org/officeDocument/2006/relationships/image" Target="media/image14.wmf"/><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emf"/><Relationship Id="rId26" Type="http://schemas.openxmlformats.org/officeDocument/2006/relationships/oleObject" Target="embeddings/oleObject2.bin"/><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emf"/><Relationship Id="rId21" Type="http://schemas.openxmlformats.org/officeDocument/2006/relationships/oleObject" Target="embeddings/oleObject1.bin"/><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26"/>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6"/>
    <customShpInfo spid="_x0000_s1327"/>
    <customShpInfo spid="_x0000_s1328"/>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29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252534-B69D-4174-9CDB-04B55A2EE41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173</Pages>
  <Words>22208</Words>
  <Characters>126586</Characters>
  <Lines>1054</Lines>
  <Paragraphs>296</Paragraphs>
  <TotalTime>73027</TotalTime>
  <ScaleCrop>false</ScaleCrop>
  <LinksUpToDate>false</LinksUpToDate>
  <CharactersWithSpaces>148498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2018-05-18T02:07:00Z</dcterms:created>
  <dc:creator>xiao</dc:creator>
  <cp:lastModifiedBy>大万</cp:lastModifiedBy>
  <cp:lastPrinted>2019-11-25T09:26:00Z</cp:lastPrinted>
  <dcterms:modified xsi:type="dcterms:W3CDTF">2021-01-28T08:55:00Z</dcterms:modified>
  <dc:title>1</dc:title>
  <cp:revision>882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2052-11.1.0.10314</vt:lpwstr>
  </property>
</Properties>
</file>