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color w:val="000000" w:themeColor="text1"/>
          <w:highlight w:val="red"/>
        </w:rPr>
      </w:pPr>
    </w:p>
    <w:p>
      <w:pPr>
        <w:rPr>
          <w:color w:val="000000" w:themeColor="text1"/>
          <w:highlight w:val="red"/>
        </w:rPr>
      </w:pPr>
    </w:p>
    <w:p>
      <w:pPr>
        <w:rPr>
          <w:color w:val="000000" w:themeColor="text1"/>
          <w:highlight w:val="red"/>
        </w:rPr>
      </w:pPr>
    </w:p>
    <w:p>
      <w:pPr>
        <w:spacing w:beforeLines="50"/>
        <w:jc w:val="center"/>
        <w:rPr>
          <w:b/>
          <w:bCs/>
          <w:color w:val="000000" w:themeColor="text1"/>
          <w:sz w:val="70"/>
          <w:szCs w:val="70"/>
          <w:highlight w:val="none"/>
        </w:rPr>
      </w:pPr>
      <w:r>
        <w:rPr>
          <w:b/>
          <w:bCs/>
          <w:color w:val="000000" w:themeColor="text1"/>
          <w:sz w:val="70"/>
          <w:szCs w:val="70"/>
          <w:highlight w:val="none"/>
        </w:rPr>
        <w:t>建设项目环境影响报告表</w:t>
      </w:r>
    </w:p>
    <w:p>
      <w:pPr>
        <w:jc w:val="center"/>
        <w:rPr>
          <w:b/>
          <w:color w:val="000000" w:themeColor="text1"/>
          <w:sz w:val="52"/>
          <w:szCs w:val="52"/>
          <w:highlight w:val="none"/>
        </w:rPr>
      </w:pPr>
      <w:r>
        <w:rPr>
          <w:b/>
          <w:color w:val="000000" w:themeColor="text1"/>
          <w:sz w:val="52"/>
          <w:szCs w:val="52"/>
          <w:highlight w:val="none"/>
        </w:rPr>
        <w:t>（</w:t>
      </w:r>
      <w:r>
        <w:rPr>
          <w:rFonts w:hint="eastAsia"/>
          <w:b/>
          <w:color w:val="000000" w:themeColor="text1"/>
          <w:sz w:val="52"/>
          <w:szCs w:val="52"/>
          <w:highlight w:val="none"/>
          <w:lang w:val="en-US" w:eastAsia="zh-CN"/>
        </w:rPr>
        <w:t>报批</w:t>
      </w:r>
      <w:r>
        <w:rPr>
          <w:b/>
          <w:color w:val="000000" w:themeColor="text1"/>
          <w:sz w:val="52"/>
          <w:szCs w:val="52"/>
          <w:highlight w:val="none"/>
        </w:rPr>
        <w:t>稿）</w:t>
      </w:r>
    </w:p>
    <w:p>
      <w:pPr>
        <w:rPr>
          <w:color w:val="000000" w:themeColor="text1"/>
          <w:highlight w:val="none"/>
        </w:rPr>
      </w:pPr>
    </w:p>
    <w:p>
      <w:pPr>
        <w:keepNext/>
        <w:keepLines/>
        <w:tabs>
          <w:tab w:val="left" w:pos="567"/>
        </w:tabs>
        <w:ind w:left="567" w:hanging="567"/>
        <w:rPr>
          <w:color w:val="000000" w:themeColor="text1"/>
          <w:highlight w:val="none"/>
        </w:rPr>
      </w:pPr>
    </w:p>
    <w:p>
      <w:pPr>
        <w:rPr>
          <w:color w:val="000000" w:themeColor="text1"/>
          <w:highlight w:val="none"/>
        </w:rPr>
      </w:pPr>
    </w:p>
    <w:p>
      <w:pPr>
        <w:rPr>
          <w:color w:val="000000" w:themeColor="text1"/>
          <w:highlight w:val="none"/>
        </w:rPr>
      </w:pPr>
    </w:p>
    <w:p>
      <w:pPr>
        <w:rPr>
          <w:color w:val="000000" w:themeColor="text1"/>
          <w:highlight w:val="none"/>
        </w:rPr>
      </w:pPr>
    </w:p>
    <w:p>
      <w:pPr>
        <w:rPr>
          <w:color w:val="000000" w:themeColor="text1"/>
          <w:highlight w:val="none"/>
        </w:rPr>
      </w:pPr>
    </w:p>
    <w:tbl>
      <w:tblPr>
        <w:tblStyle w:val="34"/>
        <w:tblW w:w="9465" w:type="dxa"/>
        <w:tblInd w:w="31" w:type="dxa"/>
        <w:tblLayout w:type="fixed"/>
        <w:tblCellMar>
          <w:top w:w="0" w:type="dxa"/>
          <w:left w:w="108" w:type="dxa"/>
          <w:bottom w:w="0" w:type="dxa"/>
          <w:right w:w="108" w:type="dxa"/>
        </w:tblCellMar>
      </w:tblPr>
      <w:tblGrid>
        <w:gridCol w:w="9465"/>
      </w:tblGrid>
      <w:tr>
        <w:tblPrEx>
          <w:tblCellMar>
            <w:top w:w="0" w:type="dxa"/>
            <w:left w:w="108" w:type="dxa"/>
            <w:bottom w:w="0" w:type="dxa"/>
            <w:right w:w="108" w:type="dxa"/>
          </w:tblCellMar>
        </w:tblPrEx>
        <w:trPr>
          <w:trHeight w:val="847" w:hRule="atLeast"/>
        </w:trPr>
        <w:tc>
          <w:tcPr>
            <w:tcW w:w="9465" w:type="dxa"/>
            <w:vAlign w:val="center"/>
          </w:tcPr>
          <w:p>
            <w:pPr>
              <w:adjustRightInd w:val="0"/>
              <w:snapToGrid w:val="0"/>
              <w:spacing w:line="360" w:lineRule="auto"/>
              <w:rPr>
                <w:b/>
                <w:bCs/>
                <w:color w:val="000000" w:themeColor="text1"/>
                <w:szCs w:val="32"/>
                <w:highlight w:val="none"/>
                <w:u w:val="single"/>
              </w:rPr>
            </w:pPr>
            <w:r>
              <w:rPr>
                <w:b/>
                <w:bCs/>
                <w:color w:val="000000" w:themeColor="text1"/>
                <w:szCs w:val="32"/>
                <w:highlight w:val="none"/>
              </w:rPr>
              <w:t>项目名称</w:t>
            </w:r>
            <w:r>
              <w:rPr>
                <w:b/>
                <w:bCs/>
                <w:color w:val="000000" w:themeColor="text1"/>
                <w:spacing w:val="20"/>
                <w:szCs w:val="32"/>
                <w:highlight w:val="none"/>
              </w:rPr>
              <w:t>：</w:t>
            </w:r>
            <w:r>
              <w:rPr>
                <w:rFonts w:hint="eastAsia"/>
                <w:b/>
                <w:color w:val="000000" w:themeColor="text1"/>
                <w:sz w:val="30"/>
                <w:szCs w:val="28"/>
                <w:highlight w:val="none"/>
                <w:u w:val="single"/>
                <w:lang w:eastAsia="zh-CN"/>
              </w:rPr>
              <w:t>湖南乐思检测有限公司</w:t>
            </w:r>
            <w:r>
              <w:rPr>
                <w:b/>
                <w:color w:val="000000" w:themeColor="text1"/>
                <w:sz w:val="30"/>
                <w:szCs w:val="28"/>
                <w:highlight w:val="none"/>
                <w:u w:val="single"/>
              </w:rPr>
              <w:t>实验室建设项目</w:t>
            </w:r>
          </w:p>
        </w:tc>
      </w:tr>
      <w:tr>
        <w:tblPrEx>
          <w:tblCellMar>
            <w:top w:w="0" w:type="dxa"/>
            <w:left w:w="108" w:type="dxa"/>
            <w:bottom w:w="0" w:type="dxa"/>
            <w:right w:w="108" w:type="dxa"/>
          </w:tblCellMar>
        </w:tblPrEx>
        <w:tc>
          <w:tcPr>
            <w:tcW w:w="9465" w:type="dxa"/>
            <w:vAlign w:val="center"/>
          </w:tcPr>
          <w:p>
            <w:pPr>
              <w:adjustRightInd w:val="0"/>
              <w:snapToGrid w:val="0"/>
              <w:spacing w:line="360" w:lineRule="auto"/>
              <w:rPr>
                <w:rFonts w:hint="default" w:eastAsia="宋体"/>
                <w:b/>
                <w:bCs/>
                <w:color w:val="000000" w:themeColor="text1"/>
                <w:szCs w:val="32"/>
                <w:highlight w:val="none"/>
                <w:u w:val="single"/>
                <w:lang w:val="en-US" w:eastAsia="zh-CN"/>
              </w:rPr>
            </w:pPr>
            <w:r>
              <w:rPr>
                <w:b/>
                <w:bCs/>
                <w:color w:val="000000" w:themeColor="text1"/>
                <w:spacing w:val="-10"/>
                <w:szCs w:val="32"/>
                <w:highlight w:val="none"/>
              </w:rPr>
              <w:t>建设单位（盖章）</w:t>
            </w:r>
            <w:r>
              <w:rPr>
                <w:b/>
                <w:bCs/>
                <w:color w:val="000000" w:themeColor="text1"/>
                <w:spacing w:val="20"/>
                <w:szCs w:val="32"/>
                <w:highlight w:val="none"/>
              </w:rPr>
              <w:t>：</w:t>
            </w:r>
            <w:r>
              <w:rPr>
                <w:rFonts w:hint="eastAsia"/>
                <w:b/>
                <w:color w:val="000000" w:themeColor="text1"/>
                <w:sz w:val="30"/>
                <w:szCs w:val="28"/>
                <w:highlight w:val="none"/>
                <w:u w:val="single"/>
                <w:lang w:eastAsia="zh-CN"/>
              </w:rPr>
              <w:t>湖南乐思检测有限公司</w:t>
            </w:r>
            <w:r>
              <w:rPr>
                <w:rFonts w:hint="eastAsia"/>
                <w:b/>
                <w:color w:val="000000" w:themeColor="text1"/>
                <w:sz w:val="30"/>
                <w:szCs w:val="28"/>
                <w:highlight w:val="none"/>
                <w:u w:val="single"/>
                <w:lang w:val="en-US" w:eastAsia="zh-CN"/>
              </w:rPr>
              <w:t xml:space="preserve">       </w:t>
            </w:r>
          </w:p>
        </w:tc>
      </w:tr>
    </w:tbl>
    <w:p>
      <w:pPr>
        <w:spacing w:line="300" w:lineRule="auto"/>
        <w:jc w:val="center"/>
        <w:rPr>
          <w:b/>
          <w:color w:val="000000" w:themeColor="text1"/>
          <w:highlight w:val="none"/>
        </w:rPr>
      </w:pPr>
    </w:p>
    <w:p>
      <w:pPr>
        <w:rPr>
          <w:b/>
          <w:color w:val="000000" w:themeColor="text1"/>
          <w:highlight w:val="none"/>
        </w:rPr>
      </w:pPr>
    </w:p>
    <w:p>
      <w:pPr>
        <w:rPr>
          <w:b/>
          <w:color w:val="000000" w:themeColor="text1"/>
          <w:highlight w:val="none"/>
        </w:rPr>
      </w:pPr>
    </w:p>
    <w:p>
      <w:pPr>
        <w:keepNext/>
        <w:keepLines/>
        <w:tabs>
          <w:tab w:val="left" w:pos="567"/>
        </w:tabs>
        <w:ind w:left="567" w:hanging="567"/>
        <w:rPr>
          <w:color w:val="000000" w:themeColor="text1"/>
          <w:highlight w:val="none"/>
        </w:rPr>
      </w:pPr>
    </w:p>
    <w:p>
      <w:pPr>
        <w:jc w:val="center"/>
        <w:rPr>
          <w:rFonts w:hint="eastAsia" w:eastAsia="宋体"/>
          <w:b/>
          <w:color w:val="000000" w:themeColor="text1"/>
          <w:highlight w:val="none"/>
          <w:lang w:val="en-US" w:eastAsia="zh-CN"/>
        </w:rPr>
      </w:pPr>
      <w:r>
        <w:rPr>
          <w:rFonts w:hint="eastAsia"/>
          <w:b/>
          <w:color w:val="000000" w:themeColor="text1"/>
          <w:highlight w:val="none"/>
          <w:lang w:val="en-US" w:eastAsia="zh-CN"/>
        </w:rPr>
        <w:t>编制单位：江西展航环保科技有限公司</w:t>
      </w:r>
    </w:p>
    <w:p>
      <w:pPr>
        <w:spacing w:line="400" w:lineRule="exact"/>
        <w:jc w:val="center"/>
        <w:rPr>
          <w:color w:val="000000" w:themeColor="text1"/>
          <w:highlight w:val="none"/>
        </w:rPr>
        <w:sectPr>
          <w:headerReference r:id="rId5" w:type="first"/>
          <w:headerReference r:id="rId3" w:type="default"/>
          <w:footerReference r:id="rId6" w:type="default"/>
          <w:headerReference r:id="rId4" w:type="even"/>
          <w:footerReference r:id="rId7" w:type="even"/>
          <w:pgSz w:w="11906" w:h="16838"/>
          <w:pgMar w:top="1440" w:right="1800" w:bottom="1440" w:left="1800" w:header="851" w:footer="992" w:gutter="0"/>
          <w:pgNumType w:start="1"/>
          <w:cols w:space="720" w:num="1"/>
          <w:titlePg/>
          <w:docGrid w:type="lines" w:linePitch="312" w:charSpace="0"/>
        </w:sectPr>
      </w:pPr>
      <w:r>
        <w:rPr>
          <w:color w:val="000000" w:themeColor="text1"/>
          <w:sz w:val="28"/>
          <w:szCs w:val="22"/>
          <w:highlight w:val="none"/>
        </w:rPr>
        <w:t>编制日期：20</w:t>
      </w:r>
      <w:r>
        <w:rPr>
          <w:rFonts w:hint="eastAsia"/>
          <w:color w:val="000000" w:themeColor="text1"/>
          <w:sz w:val="28"/>
          <w:szCs w:val="22"/>
          <w:highlight w:val="none"/>
          <w:lang w:val="en-US" w:eastAsia="zh-CN"/>
        </w:rPr>
        <w:t>20</w:t>
      </w:r>
      <w:r>
        <w:rPr>
          <w:color w:val="000000" w:themeColor="text1"/>
          <w:sz w:val="28"/>
          <w:szCs w:val="22"/>
          <w:highlight w:val="none"/>
        </w:rPr>
        <w:t>年</w:t>
      </w:r>
      <w:r>
        <w:rPr>
          <w:rFonts w:hint="eastAsia"/>
          <w:color w:val="000000" w:themeColor="text1"/>
          <w:sz w:val="28"/>
          <w:szCs w:val="22"/>
          <w:highlight w:val="none"/>
          <w:lang w:val="en-US" w:eastAsia="zh-CN"/>
        </w:rPr>
        <w:t>9</w:t>
      </w:r>
      <w:r>
        <w:rPr>
          <w:rFonts w:hint="eastAsia"/>
          <w:color w:val="000000" w:themeColor="text1"/>
          <w:sz w:val="28"/>
          <w:szCs w:val="22"/>
          <w:highlight w:val="none"/>
        </w:rPr>
        <w:t>月</w:t>
      </w:r>
    </w:p>
    <w:p>
      <w:pPr>
        <w:spacing w:line="360" w:lineRule="auto"/>
        <w:jc w:val="center"/>
        <w:sectPr>
          <w:headerReference r:id="rId8" w:type="default"/>
          <w:footerReference r:id="rId9" w:type="default"/>
          <w:pgSz w:w="11906" w:h="16838"/>
          <w:pgMar w:top="1440" w:right="1800" w:bottom="1440" w:left="1800" w:header="851" w:footer="992" w:gutter="0"/>
          <w:pgNumType w:start="1"/>
          <w:cols w:space="720" w:num="1"/>
          <w:docGrid w:type="lines" w:linePitch="312" w:charSpace="0"/>
        </w:sectPr>
      </w:pPr>
    </w:p>
    <w:p>
      <w:pPr>
        <w:spacing w:line="360" w:lineRule="auto"/>
        <w:jc w:val="center"/>
        <w:sectPr>
          <w:pgSz w:w="11906" w:h="16838"/>
          <w:pgMar w:top="1440" w:right="1800" w:bottom="1440" w:left="1800" w:header="851" w:footer="992" w:gutter="0"/>
          <w:pgNumType w:start="1"/>
          <w:cols w:space="720" w:num="1"/>
          <w:docGrid w:type="lines" w:linePitch="312" w:charSpace="0"/>
        </w:sectPr>
      </w:pPr>
      <w:r>
        <w:drawing>
          <wp:inline distT="0" distB="0" distL="114300" distR="114300">
            <wp:extent cx="6010275" cy="8503920"/>
            <wp:effectExtent l="0" t="0" r="9525"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6010275" cy="8503920"/>
                    </a:xfrm>
                    <a:prstGeom prst="rect">
                      <a:avLst/>
                    </a:prstGeom>
                    <a:noFill/>
                    <a:ln w="9525">
                      <a:noFill/>
                    </a:ln>
                  </pic:spPr>
                </pic:pic>
              </a:graphicData>
            </a:graphic>
          </wp:inline>
        </w:drawing>
      </w:r>
    </w:p>
    <w:p>
      <w:pPr>
        <w:spacing w:line="360" w:lineRule="auto"/>
        <w:jc w:val="center"/>
        <w:sectPr>
          <w:pgSz w:w="11906" w:h="16838"/>
          <w:pgMar w:top="1440" w:right="1800" w:bottom="1440" w:left="1800" w:header="851" w:footer="992" w:gutter="0"/>
          <w:pgNumType w:start="1"/>
          <w:cols w:space="720" w:num="1"/>
          <w:docGrid w:type="lines" w:linePitch="312" w:charSpace="0"/>
        </w:sectPr>
      </w:pPr>
    </w:p>
    <w:p>
      <w:pPr>
        <w:spacing w:line="360" w:lineRule="auto"/>
        <w:jc w:val="center"/>
        <w:sectPr>
          <w:pgSz w:w="11906" w:h="16838"/>
          <w:pgMar w:top="1440" w:right="1800" w:bottom="1440" w:left="1800" w:header="851" w:footer="992" w:gutter="0"/>
          <w:pgNumType w:start="1"/>
          <w:cols w:space="720" w:num="1"/>
          <w:docGrid w:type="lines" w:linePitch="312" w:charSpace="0"/>
        </w:sectPr>
      </w:pPr>
      <w:r>
        <w:drawing>
          <wp:inline distT="0" distB="0" distL="114300" distR="114300">
            <wp:extent cx="6662420" cy="9427210"/>
            <wp:effectExtent l="0" t="0" r="508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6662420" cy="9427210"/>
                    </a:xfrm>
                    <a:prstGeom prst="rect">
                      <a:avLst/>
                    </a:prstGeom>
                    <a:noFill/>
                    <a:ln w="9525">
                      <a:noFill/>
                    </a:ln>
                  </pic:spPr>
                </pic:pic>
              </a:graphicData>
            </a:graphic>
          </wp:inline>
        </w:drawing>
      </w:r>
    </w:p>
    <w:p>
      <w:pPr>
        <w:spacing w:line="360" w:lineRule="auto"/>
        <w:jc w:val="center"/>
        <w:sectPr>
          <w:pgSz w:w="11906" w:h="16838"/>
          <w:pgMar w:top="1440" w:right="1800" w:bottom="1440" w:left="1800" w:header="851" w:footer="992" w:gutter="0"/>
          <w:pgNumType w:start="1"/>
          <w:cols w:space="720" w:num="1"/>
          <w:docGrid w:type="lines" w:linePitch="312" w:charSpace="0"/>
        </w:sectPr>
      </w:pPr>
    </w:p>
    <w:p>
      <w:pPr>
        <w:spacing w:line="360" w:lineRule="auto"/>
        <w:jc w:val="center"/>
        <w:sectPr>
          <w:pgSz w:w="11906" w:h="16838"/>
          <w:pgMar w:top="1440" w:right="1800" w:bottom="1440" w:left="1800" w:header="851" w:footer="992" w:gutter="0"/>
          <w:pgNumType w:start="1"/>
          <w:cols w:space="720" w:num="1"/>
          <w:docGrid w:type="lines" w:linePitch="312" w:charSpace="0"/>
        </w:sectPr>
      </w:pPr>
      <w:r>
        <w:drawing>
          <wp:inline distT="0" distB="0" distL="114300" distR="114300">
            <wp:extent cx="6851650" cy="9694545"/>
            <wp:effectExtent l="0" t="0" r="6350" b="19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9"/>
                    <a:stretch>
                      <a:fillRect/>
                    </a:stretch>
                  </pic:blipFill>
                  <pic:spPr>
                    <a:xfrm>
                      <a:off x="0" y="0"/>
                      <a:ext cx="6851650" cy="9694545"/>
                    </a:xfrm>
                    <a:prstGeom prst="rect">
                      <a:avLst/>
                    </a:prstGeom>
                    <a:noFill/>
                    <a:ln w="9525">
                      <a:noFill/>
                    </a:ln>
                  </pic:spPr>
                </pic:pic>
              </a:graphicData>
            </a:graphic>
          </wp:inline>
        </w:drawing>
      </w:r>
    </w:p>
    <w:p>
      <w:pPr>
        <w:spacing w:line="360" w:lineRule="auto"/>
        <w:jc w:val="center"/>
        <w:sectPr>
          <w:pgSz w:w="11906" w:h="16838"/>
          <w:pgMar w:top="1440" w:right="1800" w:bottom="1440" w:left="1800" w:header="851" w:footer="992" w:gutter="0"/>
          <w:pgNumType w:start="1"/>
          <w:cols w:space="720" w:num="1"/>
          <w:docGrid w:type="lines" w:linePitch="312" w:charSpace="0"/>
        </w:sectPr>
      </w:pPr>
    </w:p>
    <w:p>
      <w:pPr>
        <w:spacing w:line="360" w:lineRule="auto"/>
        <w:jc w:val="center"/>
        <w:sectPr>
          <w:pgSz w:w="11906" w:h="16838"/>
          <w:pgMar w:top="1440" w:right="1800" w:bottom="1440" w:left="1800" w:header="851" w:footer="992" w:gutter="0"/>
          <w:pgNumType w:start="1"/>
          <w:cols w:space="720" w:num="1"/>
          <w:docGrid w:type="lines" w:linePitch="312" w:charSpace="0"/>
        </w:sectPr>
      </w:pPr>
      <w:r>
        <w:drawing>
          <wp:inline distT="0" distB="0" distL="114300" distR="114300">
            <wp:extent cx="6852285" cy="9695180"/>
            <wp:effectExtent l="0" t="0" r="5715" b="127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0"/>
                    <a:stretch>
                      <a:fillRect/>
                    </a:stretch>
                  </pic:blipFill>
                  <pic:spPr>
                    <a:xfrm>
                      <a:off x="0" y="0"/>
                      <a:ext cx="6852285" cy="9695180"/>
                    </a:xfrm>
                    <a:prstGeom prst="rect">
                      <a:avLst/>
                    </a:prstGeom>
                    <a:noFill/>
                    <a:ln w="9525">
                      <a:noFill/>
                    </a:ln>
                  </pic:spPr>
                </pic:pic>
              </a:graphicData>
            </a:graphic>
          </wp:inline>
        </w:drawing>
      </w:r>
    </w:p>
    <w:p>
      <w:pPr>
        <w:spacing w:line="360" w:lineRule="auto"/>
        <w:jc w:val="center"/>
        <w:sectPr>
          <w:pgSz w:w="11906" w:h="16838"/>
          <w:pgMar w:top="1440" w:right="1800" w:bottom="1440" w:left="1800" w:header="851" w:footer="992" w:gutter="0"/>
          <w:pgNumType w:start="1"/>
          <w:cols w:space="720" w:num="1"/>
          <w:docGrid w:type="lines" w:linePitch="312" w:charSpace="0"/>
        </w:sectPr>
      </w:pPr>
    </w:p>
    <w:p>
      <w:pPr>
        <w:spacing w:line="360" w:lineRule="auto"/>
        <w:jc w:val="center"/>
        <w:rPr>
          <w:color w:val="000000" w:themeColor="text1"/>
          <w:sz w:val="36"/>
          <w:highlight w:val="red"/>
        </w:rPr>
      </w:pPr>
      <w:r>
        <w:drawing>
          <wp:inline distT="0" distB="0" distL="114300" distR="114300">
            <wp:extent cx="7168515" cy="10142855"/>
            <wp:effectExtent l="0" t="0" r="13335" b="1079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1"/>
                    <a:stretch>
                      <a:fillRect/>
                    </a:stretch>
                  </pic:blipFill>
                  <pic:spPr>
                    <a:xfrm>
                      <a:off x="0" y="0"/>
                      <a:ext cx="7168515" cy="10142855"/>
                    </a:xfrm>
                    <a:prstGeom prst="rect">
                      <a:avLst/>
                    </a:prstGeom>
                    <a:noFill/>
                    <a:ln w="9525">
                      <a:noFill/>
                    </a:ln>
                  </pic:spPr>
                </pic:pic>
              </a:graphicData>
            </a:graphic>
          </wp:inline>
        </w:drawing>
      </w:r>
    </w:p>
    <w:p>
      <w:pPr>
        <w:pStyle w:val="27"/>
        <w:ind w:left="640"/>
        <w:rPr>
          <w:color w:val="000000" w:themeColor="text1"/>
          <w:highlight w:val="red"/>
        </w:rPr>
        <w:sectPr>
          <w:pgSz w:w="11906" w:h="16838"/>
          <w:pgMar w:top="1440" w:right="1800" w:bottom="1440" w:left="1800" w:header="851" w:footer="992" w:gutter="0"/>
          <w:pgNumType w:start="1"/>
          <w:cols w:space="720" w:num="1"/>
          <w:docGrid w:type="lines" w:linePitch="312" w:charSpace="0"/>
        </w:sectPr>
      </w:pPr>
    </w:p>
    <w:p>
      <w:pPr>
        <w:spacing w:before="120" w:after="120" w:line="760" w:lineRule="exact"/>
        <w:jc w:val="center"/>
        <w:rPr>
          <w:b/>
          <w:color w:val="000000" w:themeColor="text1"/>
          <w:sz w:val="36"/>
          <w:highlight w:val="none"/>
        </w:rPr>
        <w:sectPr>
          <w:footerReference r:id="rId11" w:type="first"/>
          <w:footerReference r:id="rId10" w:type="default"/>
          <w:pgSz w:w="11906" w:h="16838"/>
          <w:pgMar w:top="1440" w:right="1800" w:bottom="1440" w:left="1800" w:header="851" w:footer="992" w:gutter="0"/>
          <w:pgNumType w:start="1"/>
          <w:cols w:space="720" w:num="1"/>
          <w:titlePg/>
          <w:docGrid w:type="lines" w:linePitch="312" w:charSpace="0"/>
        </w:sectPr>
      </w:pPr>
    </w:p>
    <w:p>
      <w:pPr>
        <w:pStyle w:val="7"/>
        <w:spacing w:line="500" w:lineRule="exact"/>
        <w:ind w:firstLine="0"/>
        <w:jc w:val="center"/>
        <w:outlineLvl w:val="0"/>
        <w:rPr>
          <w:rFonts w:hint="eastAsia" w:ascii="黑体" w:eastAsia="黑体"/>
          <w:sz w:val="36"/>
          <w:szCs w:val="36"/>
        </w:rPr>
      </w:pPr>
    </w:p>
    <w:p>
      <w:pPr>
        <w:pStyle w:val="7"/>
        <w:spacing w:line="500" w:lineRule="exact"/>
        <w:ind w:firstLine="0"/>
        <w:jc w:val="center"/>
        <w:outlineLvl w:val="0"/>
        <w:rPr>
          <w:rFonts w:hint="eastAsia" w:ascii="黑体" w:eastAsia="黑体"/>
          <w:sz w:val="36"/>
          <w:szCs w:val="36"/>
        </w:rPr>
      </w:pPr>
      <w:r>
        <w:rPr>
          <w:rFonts w:hint="eastAsia" w:ascii="黑体" w:eastAsia="黑体"/>
          <w:sz w:val="36"/>
          <w:szCs w:val="36"/>
        </w:rPr>
        <w:t>湖南乐思检测有限公司实验室建设项目环境影响报告表专家意见修改索引</w:t>
      </w:r>
    </w:p>
    <w:p>
      <w:pPr>
        <w:spacing w:line="500" w:lineRule="exact"/>
        <w:ind w:firstLine="480" w:firstLineChars="200"/>
        <w:jc w:val="left"/>
        <w:rPr>
          <w:rFonts w:hint="eastAsia"/>
          <w:sz w:val="24"/>
          <w:szCs w:val="24"/>
        </w:rPr>
      </w:pPr>
      <w:r>
        <w:rPr>
          <w:sz w:val="24"/>
          <w:szCs w:val="24"/>
        </w:rPr>
        <w:t>本环境影响报告</w:t>
      </w:r>
      <w:r>
        <w:rPr>
          <w:rFonts w:hint="eastAsia"/>
          <w:sz w:val="24"/>
          <w:szCs w:val="24"/>
        </w:rPr>
        <w:t>表</w:t>
      </w:r>
      <w:r>
        <w:rPr>
          <w:sz w:val="24"/>
          <w:szCs w:val="24"/>
        </w:rPr>
        <w:t>根据《环境影响评价技术导则》和技术评估会专家评估意见做了调整、补充、修改。专家意见以及相应的修改内容说明如下：</w:t>
      </w:r>
    </w:p>
    <w:tbl>
      <w:tblPr>
        <w:tblStyle w:val="34"/>
        <w:tblW w:w="90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95"/>
        <w:gridCol w:w="36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95" w:type="dxa"/>
            <w:noWrap w:val="0"/>
            <w:vAlign w:val="center"/>
          </w:tcPr>
          <w:p>
            <w:pPr>
              <w:spacing w:line="400" w:lineRule="exact"/>
              <w:jc w:val="center"/>
              <w:rPr>
                <w:sz w:val="24"/>
                <w:szCs w:val="24"/>
              </w:rPr>
            </w:pPr>
            <w:r>
              <w:rPr>
                <w:b/>
                <w:sz w:val="24"/>
                <w:szCs w:val="24"/>
              </w:rPr>
              <w:t>评估意见</w:t>
            </w:r>
          </w:p>
        </w:tc>
        <w:tc>
          <w:tcPr>
            <w:tcW w:w="3604" w:type="dxa"/>
            <w:noWrap w:val="0"/>
            <w:vAlign w:val="center"/>
          </w:tcPr>
          <w:p>
            <w:pPr>
              <w:spacing w:line="400" w:lineRule="exact"/>
              <w:jc w:val="center"/>
              <w:rPr>
                <w:b/>
                <w:sz w:val="24"/>
                <w:szCs w:val="24"/>
              </w:rPr>
            </w:pPr>
            <w:r>
              <w:rPr>
                <w:b/>
                <w:sz w:val="24"/>
                <w:szCs w:val="24"/>
              </w:rPr>
              <w:t>修改情况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95" w:type="dxa"/>
            <w:noWrap w:val="0"/>
            <w:vAlign w:val="center"/>
          </w:tcPr>
          <w:p>
            <w:pPr>
              <w:rPr>
                <w:rFonts w:hint="eastAsia"/>
                <w:sz w:val="24"/>
                <w:szCs w:val="24"/>
              </w:rPr>
            </w:pPr>
            <w:r>
              <w:rPr>
                <w:rFonts w:hint="eastAsia"/>
                <w:sz w:val="24"/>
                <w:szCs w:val="24"/>
              </w:rPr>
              <w:t>完善项目由来，核实项目检测内容；完善项目原辅材料储存管理要求；强化项目危废规范化暂存和管理要求，提出分类分区储存要求。</w:t>
            </w:r>
          </w:p>
        </w:tc>
        <w:tc>
          <w:tcPr>
            <w:tcW w:w="3604" w:type="dxa"/>
            <w:noWrap w:val="0"/>
            <w:vAlign w:val="center"/>
          </w:tcPr>
          <w:p>
            <w:pPr>
              <w:spacing w:line="400" w:lineRule="exact"/>
              <w:rPr>
                <w:rFonts w:hint="eastAsia"/>
                <w:sz w:val="24"/>
                <w:szCs w:val="24"/>
              </w:rPr>
            </w:pPr>
            <w:r>
              <w:rPr>
                <w:rFonts w:hint="eastAsia"/>
                <w:sz w:val="24"/>
                <w:szCs w:val="24"/>
              </w:rPr>
              <w:t>完善项目由来，核实项目检测内容，详见P</w:t>
            </w:r>
            <w:r>
              <w:rPr>
                <w:rFonts w:hint="eastAsia"/>
                <w:sz w:val="24"/>
                <w:szCs w:val="24"/>
                <w:lang w:val="en-US" w:eastAsia="zh-CN"/>
              </w:rPr>
              <w:t>1、12</w:t>
            </w:r>
            <w:r>
              <w:rPr>
                <w:rFonts w:hint="eastAsia"/>
                <w:sz w:val="24"/>
                <w:szCs w:val="24"/>
              </w:rPr>
              <w:t>；</w:t>
            </w:r>
            <w:r>
              <w:rPr>
                <w:rFonts w:hint="eastAsia"/>
                <w:sz w:val="24"/>
                <w:szCs w:val="24"/>
                <w:lang w:val="en-US" w:eastAsia="zh-CN"/>
              </w:rPr>
              <w:t>已</w:t>
            </w:r>
            <w:r>
              <w:rPr>
                <w:rFonts w:hint="eastAsia"/>
                <w:sz w:val="24"/>
                <w:szCs w:val="24"/>
              </w:rPr>
              <w:t>完善项目原辅材料储存管理要求，详见P</w:t>
            </w:r>
            <w:r>
              <w:rPr>
                <w:rFonts w:hint="eastAsia"/>
                <w:sz w:val="24"/>
                <w:szCs w:val="24"/>
                <w:lang w:val="en-US" w:eastAsia="zh-CN"/>
              </w:rPr>
              <w:t>11</w:t>
            </w:r>
            <w:r>
              <w:rPr>
                <w:rFonts w:hint="eastAsia"/>
                <w:sz w:val="24"/>
                <w:szCs w:val="24"/>
              </w:rPr>
              <w:t>；</w:t>
            </w:r>
            <w:r>
              <w:rPr>
                <w:rFonts w:hint="eastAsia"/>
                <w:sz w:val="24"/>
                <w:szCs w:val="24"/>
                <w:lang w:val="en-US" w:eastAsia="zh-CN"/>
              </w:rPr>
              <w:t>已</w:t>
            </w:r>
            <w:r>
              <w:rPr>
                <w:rFonts w:hint="eastAsia"/>
                <w:sz w:val="24"/>
                <w:szCs w:val="24"/>
              </w:rPr>
              <w:t>强化项目危废规范化暂存和管理要求，提出分类分区储存要求，详见P。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95" w:type="dxa"/>
            <w:noWrap w:val="0"/>
            <w:vAlign w:val="center"/>
          </w:tcPr>
          <w:p>
            <w:pPr>
              <w:rPr>
                <w:rFonts w:hint="eastAsia"/>
                <w:sz w:val="24"/>
                <w:szCs w:val="24"/>
              </w:rPr>
            </w:pPr>
            <w:r>
              <w:rPr>
                <w:rFonts w:hint="eastAsia"/>
                <w:sz w:val="24"/>
                <w:szCs w:val="24"/>
              </w:rPr>
              <w:t>完善火灾情况下的环境风险评价及风险防范措施；根据项目检测内容和最大污染污染物源强，校核项目废气处理措施；校核项目废水排放量、总量和来源，强化项目依托相关污水处理设施的可行性。</w:t>
            </w:r>
          </w:p>
        </w:tc>
        <w:tc>
          <w:tcPr>
            <w:tcW w:w="3604" w:type="dxa"/>
            <w:noWrap w:val="0"/>
            <w:vAlign w:val="center"/>
          </w:tcPr>
          <w:p>
            <w:pPr>
              <w:pStyle w:val="2"/>
              <w:rPr>
                <w:rFonts w:hint="eastAsia"/>
                <w:sz w:val="24"/>
                <w:szCs w:val="24"/>
              </w:rPr>
            </w:pPr>
            <w:r>
              <w:rPr>
                <w:rFonts w:hint="eastAsia"/>
                <w:sz w:val="24"/>
                <w:szCs w:val="24"/>
                <w:lang w:val="en-US" w:eastAsia="zh-CN"/>
              </w:rPr>
              <w:t>已</w:t>
            </w:r>
            <w:r>
              <w:rPr>
                <w:rFonts w:hint="eastAsia"/>
                <w:sz w:val="24"/>
                <w:szCs w:val="24"/>
              </w:rPr>
              <w:t>完善火灾情况下的环境风险评价及风险防范措施，详见P</w:t>
            </w:r>
            <w:r>
              <w:rPr>
                <w:rFonts w:hint="eastAsia"/>
                <w:sz w:val="24"/>
                <w:szCs w:val="24"/>
                <w:lang w:val="en-US" w:eastAsia="zh-CN"/>
              </w:rPr>
              <w:t>42、43</w:t>
            </w:r>
            <w:r>
              <w:rPr>
                <w:rFonts w:hint="eastAsia"/>
                <w:sz w:val="24"/>
                <w:szCs w:val="24"/>
              </w:rPr>
              <w:t>；</w:t>
            </w:r>
            <w:r>
              <w:rPr>
                <w:rFonts w:hint="eastAsia"/>
                <w:sz w:val="24"/>
                <w:szCs w:val="24"/>
                <w:lang w:val="en-US" w:eastAsia="zh-CN"/>
              </w:rPr>
              <w:t>已</w:t>
            </w:r>
            <w:r>
              <w:rPr>
                <w:rFonts w:hint="eastAsia"/>
                <w:sz w:val="24"/>
                <w:szCs w:val="24"/>
              </w:rPr>
              <w:t>根据项目检测内容和最大污染污染物源强，校核项目废气处理措施，详见P</w:t>
            </w:r>
            <w:r>
              <w:rPr>
                <w:rFonts w:hint="eastAsia"/>
                <w:sz w:val="24"/>
                <w:szCs w:val="24"/>
                <w:lang w:val="en-US" w:eastAsia="zh-CN"/>
              </w:rPr>
              <w:t>29、37</w:t>
            </w:r>
            <w:r>
              <w:rPr>
                <w:rFonts w:hint="eastAsia"/>
                <w:sz w:val="24"/>
                <w:szCs w:val="24"/>
              </w:rPr>
              <w:t>；</w:t>
            </w:r>
            <w:r>
              <w:rPr>
                <w:rFonts w:hint="eastAsia"/>
                <w:sz w:val="24"/>
                <w:szCs w:val="24"/>
                <w:lang w:val="en-US" w:eastAsia="zh-CN"/>
              </w:rPr>
              <w:t>已</w:t>
            </w:r>
            <w:r>
              <w:rPr>
                <w:rFonts w:hint="eastAsia"/>
                <w:sz w:val="24"/>
                <w:szCs w:val="24"/>
              </w:rPr>
              <w:t>校核项目废水排放量、总量和来源，强化项目依托相关污水处理设施的可行性，详见P</w:t>
            </w:r>
            <w:r>
              <w:rPr>
                <w:rFonts w:hint="eastAsia"/>
                <w:sz w:val="24"/>
                <w:szCs w:val="24"/>
                <w:lang w:val="en-US" w:eastAsia="zh-CN"/>
              </w:rPr>
              <w:t>26、35、36</w:t>
            </w:r>
            <w:r>
              <w:rPr>
                <w:rFonts w:hint="eastAsia"/>
                <w:sz w:val="24"/>
                <w:szCs w:val="24"/>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95" w:type="dxa"/>
            <w:noWrap w:val="0"/>
            <w:vAlign w:val="center"/>
          </w:tcPr>
          <w:p>
            <w:pPr>
              <w:rPr>
                <w:rFonts w:hint="eastAsia"/>
                <w:sz w:val="24"/>
                <w:szCs w:val="24"/>
              </w:rPr>
            </w:pPr>
            <w:r>
              <w:rPr>
                <w:rFonts w:hint="eastAsia"/>
                <w:sz w:val="24"/>
                <w:szCs w:val="24"/>
              </w:rPr>
              <w:t>校核项目环保投资，完善竣工环保验收一览表；完善项目总平面布置图等图件。</w:t>
            </w:r>
          </w:p>
        </w:tc>
        <w:tc>
          <w:tcPr>
            <w:tcW w:w="3604" w:type="dxa"/>
            <w:noWrap w:val="0"/>
            <w:vAlign w:val="center"/>
          </w:tcPr>
          <w:p>
            <w:pPr>
              <w:spacing w:line="400" w:lineRule="exact"/>
              <w:rPr>
                <w:rFonts w:hint="eastAsia"/>
                <w:sz w:val="24"/>
                <w:szCs w:val="24"/>
              </w:rPr>
            </w:pPr>
            <w:r>
              <w:rPr>
                <w:rFonts w:hint="eastAsia"/>
                <w:sz w:val="24"/>
                <w:szCs w:val="24"/>
                <w:lang w:val="en-US" w:eastAsia="zh-CN"/>
              </w:rPr>
              <w:t>已</w:t>
            </w:r>
            <w:r>
              <w:rPr>
                <w:rFonts w:hint="eastAsia"/>
                <w:sz w:val="24"/>
                <w:szCs w:val="24"/>
              </w:rPr>
              <w:t>校核项目环保投资，完善竣工环保验收一览表，详见P</w:t>
            </w:r>
            <w:r>
              <w:rPr>
                <w:rFonts w:hint="eastAsia"/>
                <w:sz w:val="24"/>
                <w:szCs w:val="24"/>
                <w:lang w:val="en-US" w:eastAsia="zh-CN"/>
              </w:rPr>
              <w:t>45、46</w:t>
            </w:r>
            <w:r>
              <w:rPr>
                <w:rFonts w:hint="eastAsia"/>
                <w:sz w:val="24"/>
                <w:szCs w:val="24"/>
              </w:rPr>
              <w:t>；</w:t>
            </w:r>
            <w:r>
              <w:rPr>
                <w:rFonts w:hint="eastAsia"/>
                <w:sz w:val="24"/>
                <w:szCs w:val="24"/>
                <w:lang w:val="en-US" w:eastAsia="zh-CN"/>
              </w:rPr>
              <w:t>已</w:t>
            </w:r>
            <w:r>
              <w:rPr>
                <w:rFonts w:hint="eastAsia"/>
                <w:sz w:val="24"/>
                <w:szCs w:val="24"/>
              </w:rPr>
              <w:t>完善项目总平面布置图等图件，详见P</w:t>
            </w:r>
            <w:r>
              <w:rPr>
                <w:rFonts w:hint="eastAsia"/>
                <w:sz w:val="24"/>
                <w:szCs w:val="24"/>
                <w:lang w:val="en-US" w:eastAsia="zh-CN"/>
              </w:rPr>
              <w:t>56、57</w:t>
            </w:r>
            <w:r>
              <w:rPr>
                <w:rFonts w:hint="eastAsia"/>
                <w:sz w:val="24"/>
                <w:szCs w:val="24"/>
              </w:rPr>
              <w:t>。</w:t>
            </w:r>
          </w:p>
        </w:tc>
      </w:tr>
    </w:tbl>
    <w:p>
      <w:pPr>
        <w:spacing w:before="156" w:beforeLines="50" w:after="312" w:afterLines="100"/>
        <w:rPr>
          <w:rFonts w:hint="eastAsia"/>
        </w:rPr>
      </w:pPr>
    </w:p>
    <w:p>
      <w:pPr>
        <w:spacing w:before="120" w:after="120" w:line="760" w:lineRule="exact"/>
        <w:jc w:val="center"/>
        <w:rPr>
          <w:b/>
          <w:color w:val="000000" w:themeColor="text1"/>
          <w:sz w:val="36"/>
          <w:highlight w:val="none"/>
        </w:rPr>
        <w:sectPr>
          <w:pgSz w:w="11906" w:h="16838"/>
          <w:pgMar w:top="1440" w:right="1800" w:bottom="1440" w:left="1800" w:header="851" w:footer="992" w:gutter="0"/>
          <w:pgNumType w:start="1"/>
          <w:cols w:space="720" w:num="1"/>
          <w:titlePg/>
          <w:docGrid w:type="lines" w:linePitch="312" w:charSpace="0"/>
        </w:sectPr>
      </w:pPr>
    </w:p>
    <w:p>
      <w:pPr>
        <w:spacing w:before="120" w:after="120" w:line="760" w:lineRule="exact"/>
        <w:jc w:val="center"/>
        <w:rPr>
          <w:b/>
          <w:color w:val="000000" w:themeColor="text1"/>
          <w:sz w:val="36"/>
          <w:highlight w:val="none"/>
        </w:rPr>
        <w:sectPr>
          <w:pgSz w:w="11906" w:h="16838"/>
          <w:pgMar w:top="1440" w:right="1800" w:bottom="1440" w:left="1800" w:header="851" w:footer="992" w:gutter="0"/>
          <w:pgNumType w:start="1"/>
          <w:cols w:space="720" w:num="1"/>
          <w:titlePg/>
          <w:docGrid w:type="lines" w:linePitch="312" w:charSpace="0"/>
        </w:sectPr>
      </w:pPr>
    </w:p>
    <w:p>
      <w:pPr>
        <w:spacing w:before="120" w:after="120" w:line="760" w:lineRule="exact"/>
        <w:jc w:val="center"/>
        <w:rPr>
          <w:b/>
          <w:color w:val="000000" w:themeColor="text1"/>
          <w:sz w:val="36"/>
          <w:highlight w:val="none"/>
        </w:rPr>
      </w:pPr>
      <w:r>
        <w:rPr>
          <w:b/>
          <w:color w:val="000000" w:themeColor="text1"/>
          <w:sz w:val="36"/>
          <w:highlight w:val="none"/>
        </w:rPr>
        <w:t>《建设项目环境影响报告表》编制说明</w:t>
      </w:r>
    </w:p>
    <w:p>
      <w:pPr>
        <w:ind w:firstLine="720"/>
        <w:rPr>
          <w:color w:val="000000" w:themeColor="text1"/>
          <w:sz w:val="36"/>
          <w:highlight w:val="none"/>
        </w:rPr>
      </w:pPr>
    </w:p>
    <w:p>
      <w:pPr>
        <w:pStyle w:val="18"/>
        <w:ind w:firstLine="602"/>
        <w:rPr>
          <w:color w:val="000000" w:themeColor="text1"/>
          <w:sz w:val="24"/>
          <w:highlight w:val="none"/>
        </w:rPr>
      </w:pPr>
      <w:r>
        <w:rPr>
          <w:color w:val="000000" w:themeColor="text1"/>
          <w:sz w:val="24"/>
          <w:highlight w:val="none"/>
        </w:rPr>
        <w:t>《建设项目环境影响报告表》由具有从事环境影响评价工作资质的单位编制。</w:t>
      </w:r>
    </w:p>
    <w:p>
      <w:pPr>
        <w:spacing w:line="600" w:lineRule="exact"/>
        <w:ind w:firstLine="720"/>
        <w:rPr>
          <w:color w:val="000000" w:themeColor="text1"/>
          <w:spacing w:val="10"/>
          <w:sz w:val="24"/>
          <w:highlight w:val="none"/>
        </w:rPr>
      </w:pPr>
      <w:r>
        <w:rPr>
          <w:color w:val="000000" w:themeColor="text1"/>
          <w:spacing w:val="10"/>
          <w:sz w:val="24"/>
          <w:highlight w:val="none"/>
        </w:rPr>
        <w:t>1、项目名称——指项目立项批复时的名称，应不超过30个字（两个英文字段作一个汉字）。</w:t>
      </w:r>
    </w:p>
    <w:p>
      <w:pPr>
        <w:spacing w:line="600" w:lineRule="exact"/>
        <w:ind w:firstLine="720"/>
        <w:rPr>
          <w:color w:val="000000" w:themeColor="text1"/>
          <w:spacing w:val="10"/>
          <w:sz w:val="24"/>
          <w:highlight w:val="none"/>
        </w:rPr>
      </w:pPr>
      <w:r>
        <w:rPr>
          <w:color w:val="000000" w:themeColor="text1"/>
          <w:spacing w:val="10"/>
          <w:sz w:val="24"/>
          <w:highlight w:val="none"/>
        </w:rPr>
        <w:t>2、建设地点——指项目所在地详细地址，公路、铁路应填写起止地点。</w:t>
      </w:r>
    </w:p>
    <w:p>
      <w:pPr>
        <w:spacing w:line="600" w:lineRule="exact"/>
        <w:ind w:firstLine="720"/>
        <w:rPr>
          <w:color w:val="000000" w:themeColor="text1"/>
          <w:spacing w:val="10"/>
          <w:sz w:val="24"/>
          <w:highlight w:val="none"/>
        </w:rPr>
      </w:pPr>
      <w:r>
        <w:rPr>
          <w:color w:val="000000" w:themeColor="text1"/>
          <w:spacing w:val="10"/>
          <w:sz w:val="24"/>
          <w:highlight w:val="none"/>
        </w:rPr>
        <w:t>3、行业类别——按国标填写。</w:t>
      </w:r>
    </w:p>
    <w:p>
      <w:pPr>
        <w:spacing w:line="600" w:lineRule="exact"/>
        <w:ind w:firstLine="720"/>
        <w:rPr>
          <w:color w:val="000000" w:themeColor="text1"/>
          <w:spacing w:val="10"/>
          <w:sz w:val="24"/>
          <w:highlight w:val="none"/>
        </w:rPr>
      </w:pPr>
      <w:r>
        <w:rPr>
          <w:color w:val="000000" w:themeColor="text1"/>
          <w:spacing w:val="10"/>
          <w:sz w:val="24"/>
          <w:highlight w:val="none"/>
        </w:rPr>
        <w:t>4、总投资——指项目投资总额。</w:t>
      </w:r>
    </w:p>
    <w:p>
      <w:pPr>
        <w:spacing w:line="600" w:lineRule="exact"/>
        <w:ind w:firstLine="720"/>
        <w:rPr>
          <w:color w:val="000000" w:themeColor="text1"/>
          <w:spacing w:val="10"/>
          <w:sz w:val="24"/>
          <w:highlight w:val="none"/>
        </w:rPr>
      </w:pPr>
      <w:r>
        <w:rPr>
          <w:color w:val="000000" w:themeColor="text1"/>
          <w:spacing w:val="10"/>
          <w:sz w:val="24"/>
          <w:highlight w:val="none"/>
        </w:rPr>
        <w:t>5、主要环境保护目标——指项目区周围一定范围内集中居民住宅区、学校、医院、保护文物、风景名胜区、水源地和生态敏感点等，应尽可能给出保护目标、性质、规模和距厂界距离等。</w:t>
      </w:r>
    </w:p>
    <w:p>
      <w:pPr>
        <w:spacing w:line="600" w:lineRule="exact"/>
        <w:ind w:firstLine="720"/>
        <w:rPr>
          <w:color w:val="000000" w:themeColor="text1"/>
          <w:spacing w:val="10"/>
          <w:sz w:val="24"/>
          <w:highlight w:val="none"/>
        </w:rPr>
      </w:pPr>
      <w:r>
        <w:rPr>
          <w:color w:val="000000" w:themeColor="text1"/>
          <w:spacing w:val="10"/>
          <w:sz w:val="24"/>
          <w:highlight w:val="none"/>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600" w:lineRule="exact"/>
        <w:ind w:firstLine="720"/>
        <w:rPr>
          <w:color w:val="000000" w:themeColor="text1"/>
          <w:spacing w:val="10"/>
          <w:sz w:val="24"/>
          <w:highlight w:val="none"/>
        </w:rPr>
      </w:pPr>
      <w:r>
        <w:rPr>
          <w:color w:val="000000" w:themeColor="text1"/>
          <w:spacing w:val="10"/>
          <w:sz w:val="24"/>
          <w:highlight w:val="none"/>
        </w:rPr>
        <w:t>7、预审意见——由行业主管部门填写答复意见，无主管部门项目，可不填。</w:t>
      </w:r>
    </w:p>
    <w:p>
      <w:pPr>
        <w:spacing w:line="600" w:lineRule="exact"/>
        <w:ind w:firstLine="720"/>
        <w:rPr>
          <w:color w:val="000000" w:themeColor="text1"/>
          <w:spacing w:val="10"/>
          <w:sz w:val="24"/>
          <w:highlight w:val="none"/>
        </w:rPr>
        <w:sectPr>
          <w:pgSz w:w="11906" w:h="16838"/>
          <w:pgMar w:top="1440" w:right="1800" w:bottom="1440" w:left="1800" w:header="851" w:footer="992" w:gutter="0"/>
          <w:pgNumType w:start="1"/>
          <w:cols w:space="720" w:num="1"/>
          <w:titlePg/>
          <w:docGrid w:type="lines" w:linePitch="312" w:charSpace="0"/>
        </w:sectPr>
      </w:pPr>
      <w:r>
        <w:rPr>
          <w:color w:val="000000" w:themeColor="text1"/>
          <w:spacing w:val="10"/>
          <w:sz w:val="24"/>
          <w:highlight w:val="none"/>
        </w:rPr>
        <w:t>8、审批意见——由负责审批该项目的环境保护行政主管部门批复。</w:t>
      </w:r>
    </w:p>
    <w:p>
      <w:pPr>
        <w:spacing w:line="600" w:lineRule="exact"/>
        <w:ind w:firstLine="720"/>
        <w:rPr>
          <w:color w:val="000000" w:themeColor="text1"/>
          <w:spacing w:val="10"/>
          <w:sz w:val="24"/>
          <w:highlight w:val="red"/>
        </w:rPr>
      </w:pPr>
    </w:p>
    <w:p>
      <w:pPr>
        <w:spacing w:line="600" w:lineRule="exact"/>
        <w:ind w:firstLine="720"/>
        <w:rPr>
          <w:b/>
          <w:color w:val="000000" w:themeColor="text1"/>
          <w:sz w:val="30"/>
          <w:highlight w:val="red"/>
        </w:rPr>
        <w:sectPr>
          <w:type w:val="continuous"/>
          <w:pgSz w:w="11906" w:h="16838"/>
          <w:pgMar w:top="1440" w:right="1800" w:bottom="1440" w:left="1800" w:header="851" w:footer="992" w:gutter="0"/>
          <w:pgNumType w:start="1"/>
          <w:cols w:space="720" w:num="1"/>
          <w:docGrid w:type="lines" w:linePitch="312" w:charSpace="0"/>
        </w:sectPr>
      </w:pPr>
    </w:p>
    <w:p>
      <w:pPr>
        <w:pStyle w:val="97"/>
        <w:tabs>
          <w:tab w:val="right" w:leader="dot" w:pos="9071"/>
        </w:tabs>
        <w:spacing w:line="360" w:lineRule="auto"/>
        <w:jc w:val="center"/>
        <w:rPr>
          <w:rFonts w:hint="eastAsia"/>
          <w:b/>
          <w:bCs/>
          <w:color w:val="000000" w:themeColor="text1"/>
          <w:sz w:val="32"/>
          <w:szCs w:val="32"/>
          <w:highlight w:val="none"/>
          <w:lang w:val="en-US" w:eastAsia="zh-CN"/>
        </w:rPr>
        <w:sectPr>
          <w:footerReference r:id="rId12" w:type="default"/>
          <w:pgSz w:w="11907" w:h="16840"/>
          <w:pgMar w:top="1418" w:right="1418" w:bottom="1134" w:left="1418" w:header="1134" w:footer="1134" w:gutter="0"/>
          <w:pgNumType w:start="1"/>
          <w:cols w:space="720" w:num="1"/>
          <w:docGrid w:type="linesAndChars" w:linePitch="312" w:charSpace="0"/>
        </w:sectPr>
      </w:pPr>
    </w:p>
    <w:p>
      <w:pPr>
        <w:pStyle w:val="97"/>
        <w:tabs>
          <w:tab w:val="right" w:leader="dot" w:pos="9071"/>
        </w:tabs>
        <w:spacing w:line="360" w:lineRule="auto"/>
        <w:jc w:val="center"/>
        <w:rPr>
          <w:rFonts w:hint="eastAsia" w:eastAsia="宋体"/>
          <w:b/>
          <w:bCs/>
          <w:color w:val="000000" w:themeColor="text1"/>
          <w:sz w:val="32"/>
          <w:szCs w:val="32"/>
          <w:highlight w:val="none"/>
          <w:lang w:val="en-US" w:eastAsia="zh-CN"/>
        </w:rPr>
      </w:pPr>
      <w:r>
        <w:rPr>
          <w:rFonts w:hint="eastAsia"/>
          <w:b/>
          <w:bCs/>
          <w:color w:val="000000" w:themeColor="text1"/>
          <w:sz w:val="32"/>
          <w:szCs w:val="32"/>
          <w:highlight w:val="none"/>
          <w:lang w:val="en-US" w:eastAsia="zh-CN"/>
        </w:rPr>
        <w:t>目录</w:t>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color w:val="000000" w:themeColor="text1"/>
          <w:sz w:val="24"/>
          <w:szCs w:val="24"/>
          <w:highlight w:val="none"/>
        </w:rPr>
        <w:fldChar w:fldCharType="begin"/>
      </w:r>
      <w:r>
        <w:rPr>
          <w:rFonts w:hint="eastAsia" w:asciiTheme="minorEastAsia" w:hAnsiTheme="minorEastAsia" w:eastAsiaTheme="minorEastAsia" w:cstheme="minorEastAsia"/>
          <w:b/>
          <w:bCs/>
          <w:color w:val="000000" w:themeColor="text1"/>
          <w:sz w:val="24"/>
          <w:szCs w:val="24"/>
          <w:highlight w:val="none"/>
        </w:rPr>
        <w:instrText xml:space="preserve">TOC \o "1-1" \h \u </w:instrText>
      </w:r>
      <w:r>
        <w:rPr>
          <w:rFonts w:hint="eastAsia" w:asciiTheme="minorEastAsia" w:hAnsiTheme="minorEastAsia" w:eastAsiaTheme="minorEastAsia" w:cstheme="minorEastAsia"/>
          <w:b/>
          <w:bCs/>
          <w:color w:val="000000" w:themeColor="text1"/>
          <w:sz w:val="24"/>
          <w:szCs w:val="24"/>
          <w:highlight w:val="none"/>
        </w:rPr>
        <w:fldChar w:fldCharType="separate"/>
      </w: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_Toc25558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sz w:val="24"/>
          <w:szCs w:val="24"/>
          <w:highlight w:val="none"/>
        </w:rPr>
        <w:t>建设项目基本情况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_Toc25558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_Toc2743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建设项目所在地自然社会环境简况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_Toc2743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_Toc16020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环境质量状况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_Toc16020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_Toc2606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评价适用标准</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_Toc2606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_Toc4035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建设项目工程分析</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_Toc4035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_Toc11273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项目主要污染物产生及预计排放情况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_Toc11273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_Toc23961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环境影响分析</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_Toc23961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_Toc19826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建设项目拟采取的防治措施及预期治理效果</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_Toc19826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_Toc26939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结论与建议</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_Toc26939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_Toc10517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附图</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_Toc10517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25"/>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Cs/>
          <w:color w:val="000000" w:themeColor="text1"/>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 HYPERLINK \l _Toc28759 </w:instrText>
      </w:r>
      <w:r>
        <w:rPr>
          <w:rFonts w:hint="eastAsia" w:asciiTheme="minorEastAsia" w:hAnsiTheme="minorEastAsia" w:eastAsiaTheme="minorEastAsia" w:cstheme="minorEastAsia"/>
          <w:bCs/>
          <w:sz w:val="24"/>
          <w:szCs w:val="24"/>
          <w:highlight w:val="none"/>
        </w:rPr>
        <w:fldChar w:fldCharType="separate"/>
      </w:r>
      <w:r>
        <w:rPr>
          <w:rFonts w:hint="eastAsia" w:asciiTheme="minorEastAsia" w:hAnsiTheme="minorEastAsia" w:eastAsiaTheme="minorEastAsia" w:cstheme="minorEastAsia"/>
          <w:bCs/>
          <w:sz w:val="24"/>
          <w:szCs w:val="24"/>
          <w:highlight w:val="none"/>
        </w:rPr>
        <w:t>附件</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_Toc28759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bCs/>
          <w:color w:val="000000" w:themeColor="text1"/>
          <w:sz w:val="24"/>
          <w:szCs w:val="24"/>
          <w:highlight w:val="none"/>
        </w:rPr>
        <w:fldChar w:fldCharType="end"/>
      </w:r>
    </w:p>
    <w:p>
      <w:pPr>
        <w:pStyle w:val="97"/>
        <w:keepNext w:val="0"/>
        <w:keepLines w:val="0"/>
        <w:pageBreakBefore w:val="0"/>
        <w:tabs>
          <w:tab w:val="right" w:leader="dot" w:pos="9071"/>
        </w:tabs>
        <w:kinsoku/>
        <w:wordWrap/>
        <w:overflowPunct/>
        <w:topLinePunct w:val="0"/>
        <w:autoSpaceDE/>
        <w:autoSpaceDN/>
        <w:bidi w:val="0"/>
        <w:adjustRightInd/>
        <w:snapToGrid/>
        <w:spacing w:line="360" w:lineRule="auto"/>
        <w:textAlignment w:val="auto"/>
        <w:outlineLvl w:val="9"/>
        <w:rPr>
          <w:b/>
          <w:bCs/>
          <w:color w:val="000000" w:themeColor="text1"/>
          <w:sz w:val="24"/>
          <w:szCs w:val="24"/>
          <w:highlight w:val="none"/>
        </w:rPr>
      </w:pPr>
      <w:r>
        <w:rPr>
          <w:rFonts w:hint="eastAsia" w:asciiTheme="minorEastAsia" w:hAnsiTheme="minorEastAsia" w:eastAsiaTheme="minorEastAsia" w:cstheme="minorEastAsia"/>
          <w:bCs/>
          <w:color w:val="000000" w:themeColor="text1"/>
          <w:sz w:val="24"/>
          <w:szCs w:val="24"/>
          <w:highlight w:val="none"/>
        </w:rPr>
        <w:fldChar w:fldCharType="end"/>
      </w:r>
      <w:r>
        <w:rPr>
          <w:rFonts w:hint="eastAsia"/>
          <w:b/>
          <w:bCs/>
          <w:color w:val="000000" w:themeColor="text1"/>
          <w:sz w:val="24"/>
          <w:szCs w:val="24"/>
          <w:highlight w:val="none"/>
        </w:rPr>
        <w:t>附图：</w:t>
      </w:r>
    </w:p>
    <w:p>
      <w:pPr>
        <w:pStyle w:val="97"/>
        <w:tabs>
          <w:tab w:val="right" w:leader="dot" w:pos="9071"/>
        </w:tabs>
        <w:spacing w:line="360" w:lineRule="auto"/>
        <w:rPr>
          <w:color w:val="000000" w:themeColor="text1"/>
          <w:sz w:val="24"/>
          <w:szCs w:val="24"/>
          <w:highlight w:val="none"/>
        </w:rPr>
      </w:pPr>
      <w:bookmarkStart w:id="0" w:name="_Toc4248_WPSOffice_Level1"/>
      <w:r>
        <w:rPr>
          <w:rFonts w:hint="eastAsia"/>
          <w:color w:val="000000" w:themeColor="text1"/>
          <w:sz w:val="24"/>
          <w:szCs w:val="24"/>
          <w:highlight w:val="none"/>
        </w:rPr>
        <w:t>附图 1：建设项目地理位置示意图</w:t>
      </w:r>
      <w:bookmarkEnd w:id="0"/>
    </w:p>
    <w:p>
      <w:pPr>
        <w:pStyle w:val="97"/>
        <w:tabs>
          <w:tab w:val="right" w:leader="dot" w:pos="9071"/>
        </w:tabs>
        <w:spacing w:line="360" w:lineRule="auto"/>
        <w:rPr>
          <w:color w:val="000000" w:themeColor="text1"/>
          <w:sz w:val="24"/>
          <w:szCs w:val="24"/>
          <w:highlight w:val="none"/>
        </w:rPr>
      </w:pPr>
      <w:bookmarkStart w:id="1" w:name="_Toc14226_WPSOffice_Level1"/>
      <w:r>
        <w:rPr>
          <w:rFonts w:hint="eastAsia"/>
          <w:color w:val="000000" w:themeColor="text1"/>
          <w:sz w:val="24"/>
          <w:szCs w:val="24"/>
          <w:highlight w:val="none"/>
        </w:rPr>
        <w:t>附图 2：建设项目周围环境现状图</w:t>
      </w:r>
      <w:bookmarkEnd w:id="1"/>
    </w:p>
    <w:p>
      <w:pPr>
        <w:pStyle w:val="97"/>
        <w:tabs>
          <w:tab w:val="right" w:leader="dot" w:pos="9071"/>
        </w:tabs>
        <w:spacing w:line="360" w:lineRule="auto"/>
        <w:rPr>
          <w:color w:val="000000" w:themeColor="text1"/>
          <w:sz w:val="24"/>
          <w:szCs w:val="24"/>
          <w:highlight w:val="none"/>
        </w:rPr>
      </w:pPr>
      <w:bookmarkStart w:id="2" w:name="_Toc11176_WPSOffice_Level1"/>
      <w:r>
        <w:rPr>
          <w:rFonts w:hint="eastAsia"/>
          <w:color w:val="000000" w:themeColor="text1"/>
          <w:sz w:val="24"/>
          <w:szCs w:val="24"/>
          <w:highlight w:val="none"/>
        </w:rPr>
        <w:t>附图 3：环保目标及声环境监测示意图</w:t>
      </w:r>
      <w:bookmarkEnd w:id="2"/>
    </w:p>
    <w:p>
      <w:pPr>
        <w:pStyle w:val="97"/>
        <w:tabs>
          <w:tab w:val="right" w:leader="dot" w:pos="9071"/>
        </w:tabs>
        <w:spacing w:line="360" w:lineRule="auto"/>
        <w:rPr>
          <w:color w:val="000000" w:themeColor="text1"/>
          <w:sz w:val="24"/>
          <w:szCs w:val="24"/>
          <w:highlight w:val="none"/>
        </w:rPr>
      </w:pPr>
      <w:bookmarkStart w:id="3" w:name="_Toc16651_WPSOffice_Level1"/>
      <w:r>
        <w:rPr>
          <w:rFonts w:hint="eastAsia"/>
          <w:color w:val="000000" w:themeColor="text1"/>
          <w:sz w:val="24"/>
          <w:szCs w:val="24"/>
          <w:highlight w:val="none"/>
        </w:rPr>
        <w:t>附图 4：</w:t>
      </w:r>
      <w:bookmarkEnd w:id="3"/>
      <w:r>
        <w:rPr>
          <w:rFonts w:hint="eastAsia"/>
          <w:color w:val="000000" w:themeColor="text1"/>
          <w:sz w:val="24"/>
          <w:szCs w:val="24"/>
          <w:highlight w:val="none"/>
        </w:rPr>
        <w:t>平面布置图</w:t>
      </w:r>
    </w:p>
    <w:p>
      <w:pPr>
        <w:pStyle w:val="97"/>
        <w:tabs>
          <w:tab w:val="right" w:leader="dot" w:pos="9071"/>
        </w:tabs>
        <w:spacing w:line="360" w:lineRule="auto"/>
        <w:rPr>
          <w:b/>
          <w:bCs/>
          <w:color w:val="000000" w:themeColor="text1"/>
          <w:sz w:val="24"/>
          <w:szCs w:val="24"/>
          <w:highlight w:val="none"/>
        </w:rPr>
      </w:pPr>
      <w:bookmarkStart w:id="4" w:name="_Toc23185_WPSOffice_Level1"/>
      <w:r>
        <w:rPr>
          <w:rFonts w:hint="eastAsia"/>
          <w:b/>
          <w:bCs/>
          <w:color w:val="000000" w:themeColor="text1"/>
          <w:sz w:val="24"/>
          <w:szCs w:val="24"/>
          <w:highlight w:val="none"/>
        </w:rPr>
        <w:t>附件：</w:t>
      </w:r>
      <w:bookmarkEnd w:id="4"/>
    </w:p>
    <w:p>
      <w:pPr>
        <w:pStyle w:val="97"/>
        <w:tabs>
          <w:tab w:val="right" w:leader="dot" w:pos="9071"/>
        </w:tabs>
        <w:spacing w:line="360" w:lineRule="auto"/>
        <w:rPr>
          <w:color w:val="000000" w:themeColor="text1"/>
          <w:sz w:val="24"/>
          <w:szCs w:val="24"/>
          <w:highlight w:val="none"/>
        </w:rPr>
      </w:pPr>
      <w:bookmarkStart w:id="5" w:name="_Toc23639_WPSOffice_Level1"/>
      <w:r>
        <w:rPr>
          <w:rFonts w:hint="eastAsia"/>
          <w:color w:val="000000" w:themeColor="text1"/>
          <w:sz w:val="24"/>
          <w:szCs w:val="24"/>
          <w:highlight w:val="none"/>
        </w:rPr>
        <w:t>附件 1：营业执照</w:t>
      </w:r>
      <w:bookmarkEnd w:id="5"/>
    </w:p>
    <w:p>
      <w:pPr>
        <w:pStyle w:val="97"/>
        <w:tabs>
          <w:tab w:val="right" w:leader="dot" w:pos="9071"/>
        </w:tabs>
        <w:spacing w:line="360" w:lineRule="auto"/>
        <w:rPr>
          <w:color w:val="000000" w:themeColor="text1"/>
          <w:sz w:val="24"/>
          <w:szCs w:val="24"/>
          <w:highlight w:val="none"/>
        </w:rPr>
      </w:pPr>
      <w:bookmarkStart w:id="6" w:name="_Toc23349_WPSOffice_Level1"/>
      <w:r>
        <w:rPr>
          <w:rFonts w:hint="eastAsia"/>
          <w:color w:val="000000" w:themeColor="text1"/>
          <w:sz w:val="24"/>
          <w:szCs w:val="24"/>
          <w:highlight w:val="none"/>
        </w:rPr>
        <w:t>附件 2：法人身份证复印件</w:t>
      </w:r>
      <w:bookmarkEnd w:id="6"/>
    </w:p>
    <w:p>
      <w:pPr>
        <w:pStyle w:val="97"/>
        <w:tabs>
          <w:tab w:val="right" w:leader="dot" w:pos="9071"/>
        </w:tabs>
        <w:spacing w:line="360" w:lineRule="auto"/>
        <w:rPr>
          <w:rFonts w:hint="eastAsia" w:eastAsia="宋体"/>
          <w:color w:val="000000" w:themeColor="text1"/>
          <w:sz w:val="24"/>
          <w:szCs w:val="24"/>
          <w:highlight w:val="none"/>
          <w:lang w:val="en-US" w:eastAsia="zh-CN"/>
        </w:rPr>
      </w:pPr>
      <w:bookmarkStart w:id="7" w:name="_Toc9976_WPSOffice_Level1"/>
      <w:r>
        <w:rPr>
          <w:rFonts w:hint="eastAsia"/>
          <w:color w:val="000000" w:themeColor="text1"/>
          <w:sz w:val="24"/>
          <w:szCs w:val="24"/>
          <w:highlight w:val="none"/>
        </w:rPr>
        <w:t>附件 3：</w:t>
      </w:r>
      <w:bookmarkEnd w:id="7"/>
      <w:r>
        <w:rPr>
          <w:rFonts w:hint="eastAsia"/>
          <w:color w:val="000000" w:themeColor="text1"/>
          <w:sz w:val="24"/>
          <w:szCs w:val="24"/>
          <w:highlight w:val="none"/>
          <w:lang w:val="en-US" w:eastAsia="zh-CN"/>
        </w:rPr>
        <w:t>租赁协议及园区意见</w:t>
      </w:r>
    </w:p>
    <w:p>
      <w:pPr>
        <w:pStyle w:val="97"/>
        <w:tabs>
          <w:tab w:val="right" w:leader="dot" w:pos="9071"/>
        </w:tabs>
        <w:spacing w:line="360" w:lineRule="auto"/>
        <w:rPr>
          <w:color w:val="000000" w:themeColor="text1"/>
          <w:sz w:val="24"/>
          <w:szCs w:val="24"/>
          <w:highlight w:val="none"/>
        </w:rPr>
      </w:pPr>
      <w:r>
        <w:rPr>
          <w:rFonts w:hint="eastAsia"/>
          <w:color w:val="000000" w:themeColor="text1"/>
          <w:sz w:val="24"/>
          <w:szCs w:val="24"/>
          <w:highlight w:val="none"/>
        </w:rPr>
        <w:t>附件4：环评委托书</w:t>
      </w:r>
    </w:p>
    <w:p>
      <w:pPr>
        <w:pStyle w:val="97"/>
        <w:tabs>
          <w:tab w:val="right" w:leader="dot" w:pos="9071"/>
        </w:tabs>
        <w:spacing w:line="360" w:lineRule="auto"/>
        <w:rPr>
          <w:color w:val="000000" w:themeColor="text1"/>
          <w:sz w:val="24"/>
          <w:szCs w:val="24"/>
          <w:highlight w:val="none"/>
        </w:rPr>
      </w:pPr>
      <w:r>
        <w:rPr>
          <w:rFonts w:hint="eastAsia"/>
          <w:color w:val="000000" w:themeColor="text1"/>
          <w:sz w:val="24"/>
          <w:szCs w:val="24"/>
          <w:highlight w:val="none"/>
        </w:rPr>
        <w:t>附件5</w:t>
      </w:r>
      <w:r>
        <w:rPr>
          <w:rFonts w:hint="eastAsia"/>
          <w:color w:val="000000" w:themeColor="text1"/>
          <w:sz w:val="24"/>
          <w:szCs w:val="24"/>
          <w:highlight w:val="none"/>
          <w:lang w:eastAsia="zh-CN"/>
        </w:rPr>
        <w:t>：</w:t>
      </w:r>
      <w:r>
        <w:rPr>
          <w:rFonts w:hint="eastAsia"/>
          <w:color w:val="000000" w:themeColor="text1"/>
          <w:sz w:val="24"/>
          <w:szCs w:val="24"/>
          <w:highlight w:val="none"/>
        </w:rPr>
        <w:t>项目噪声现状检测报告</w:t>
      </w:r>
    </w:p>
    <w:p>
      <w:pPr>
        <w:pStyle w:val="97"/>
        <w:tabs>
          <w:tab w:val="right" w:leader="dot" w:pos="9071"/>
        </w:tabs>
        <w:spacing w:line="360" w:lineRule="auto"/>
        <w:rPr>
          <w:b/>
          <w:bCs/>
          <w:color w:val="000000" w:themeColor="text1"/>
          <w:sz w:val="24"/>
          <w:szCs w:val="24"/>
          <w:highlight w:val="none"/>
        </w:rPr>
      </w:pPr>
      <w:bookmarkStart w:id="8" w:name="_Toc11204_WPSOffice_Level1"/>
      <w:r>
        <w:rPr>
          <w:rFonts w:hint="eastAsia"/>
          <w:b/>
          <w:bCs/>
          <w:color w:val="000000" w:themeColor="text1"/>
          <w:sz w:val="24"/>
          <w:szCs w:val="24"/>
          <w:highlight w:val="none"/>
        </w:rPr>
        <w:t>附表：</w:t>
      </w:r>
      <w:bookmarkEnd w:id="8"/>
    </w:p>
    <w:p>
      <w:pPr>
        <w:pStyle w:val="97"/>
        <w:tabs>
          <w:tab w:val="right" w:leader="dot" w:pos="9071"/>
        </w:tabs>
        <w:spacing w:line="360" w:lineRule="auto"/>
        <w:rPr>
          <w:color w:val="000000" w:themeColor="text1"/>
          <w:sz w:val="24"/>
          <w:szCs w:val="24"/>
          <w:highlight w:val="none"/>
        </w:rPr>
      </w:pPr>
      <w:bookmarkStart w:id="9" w:name="_Toc24980_WPSOffice_Level1"/>
      <w:r>
        <w:rPr>
          <w:rFonts w:hint="eastAsia"/>
          <w:color w:val="000000" w:themeColor="text1"/>
          <w:sz w:val="24"/>
          <w:szCs w:val="24"/>
          <w:highlight w:val="none"/>
        </w:rPr>
        <w:t>附表1  建设项目大气环境影响评价自查表</w:t>
      </w:r>
      <w:bookmarkEnd w:id="9"/>
    </w:p>
    <w:p>
      <w:pPr>
        <w:pStyle w:val="97"/>
        <w:tabs>
          <w:tab w:val="right" w:leader="dot" w:pos="9071"/>
        </w:tabs>
        <w:spacing w:line="360" w:lineRule="auto"/>
        <w:rPr>
          <w:color w:val="000000" w:themeColor="text1"/>
          <w:sz w:val="24"/>
          <w:szCs w:val="24"/>
          <w:highlight w:val="none"/>
        </w:rPr>
      </w:pPr>
      <w:bookmarkStart w:id="10" w:name="_Toc15932_WPSOffice_Level1"/>
      <w:r>
        <w:rPr>
          <w:rFonts w:hint="eastAsia"/>
          <w:color w:val="000000" w:themeColor="text1"/>
          <w:sz w:val="24"/>
          <w:szCs w:val="24"/>
          <w:highlight w:val="none"/>
        </w:rPr>
        <w:t>附表2  建设项目地表水环境影响评价自查表</w:t>
      </w:r>
      <w:bookmarkEnd w:id="10"/>
    </w:p>
    <w:p>
      <w:pPr>
        <w:pStyle w:val="97"/>
        <w:tabs>
          <w:tab w:val="right" w:leader="dot" w:pos="9071"/>
        </w:tabs>
        <w:spacing w:line="360" w:lineRule="auto"/>
        <w:rPr>
          <w:color w:val="000000" w:themeColor="text1"/>
          <w:sz w:val="24"/>
          <w:szCs w:val="24"/>
          <w:highlight w:val="none"/>
        </w:rPr>
      </w:pPr>
      <w:bookmarkStart w:id="11" w:name="_Toc3566_WPSOffice_Level1"/>
      <w:r>
        <w:rPr>
          <w:rFonts w:hint="eastAsia"/>
          <w:color w:val="000000" w:themeColor="text1"/>
          <w:sz w:val="24"/>
          <w:szCs w:val="24"/>
          <w:highlight w:val="none"/>
        </w:rPr>
        <w:t>附表3  环境风险评价自查表</w:t>
      </w:r>
      <w:bookmarkEnd w:id="11"/>
    </w:p>
    <w:p>
      <w:pPr>
        <w:pStyle w:val="97"/>
        <w:tabs>
          <w:tab w:val="right" w:leader="dot" w:pos="9071"/>
        </w:tabs>
        <w:spacing w:line="360" w:lineRule="auto"/>
        <w:rPr>
          <w:color w:val="000000" w:themeColor="text1"/>
          <w:sz w:val="24"/>
          <w:szCs w:val="24"/>
          <w:highlight w:val="none"/>
        </w:rPr>
      </w:pPr>
      <w:bookmarkStart w:id="12" w:name="_Toc3592_WPSOffice_Level1"/>
      <w:r>
        <w:rPr>
          <w:rFonts w:hint="eastAsia"/>
          <w:color w:val="000000" w:themeColor="text1"/>
          <w:sz w:val="24"/>
          <w:szCs w:val="24"/>
          <w:highlight w:val="none"/>
        </w:rPr>
        <w:t>附表4  建设项目环评审批基础信息表</w:t>
      </w:r>
      <w:bookmarkEnd w:id="12"/>
    </w:p>
    <w:p>
      <w:pPr>
        <w:spacing w:line="400" w:lineRule="exact"/>
        <w:jc w:val="left"/>
        <w:outlineLvl w:val="0"/>
        <w:rPr>
          <w:b/>
          <w:color w:val="000000" w:themeColor="text1"/>
          <w:sz w:val="30"/>
          <w:szCs w:val="30"/>
          <w:highlight w:val="red"/>
        </w:rPr>
        <w:sectPr>
          <w:pgSz w:w="11907" w:h="16840"/>
          <w:pgMar w:top="1418" w:right="1418" w:bottom="1134" w:left="1418" w:header="1134" w:footer="1134" w:gutter="0"/>
          <w:pgNumType w:start="1"/>
          <w:cols w:space="720" w:num="1"/>
          <w:docGrid w:type="linesAndChars" w:linePitch="312" w:charSpace="0"/>
        </w:sectPr>
      </w:pPr>
    </w:p>
    <w:p>
      <w:pPr>
        <w:spacing w:line="400" w:lineRule="exact"/>
        <w:jc w:val="left"/>
        <w:outlineLvl w:val="0"/>
        <w:rPr>
          <w:b/>
          <w:color w:val="000000" w:themeColor="text1"/>
          <w:sz w:val="30"/>
          <w:szCs w:val="30"/>
          <w:highlight w:val="none"/>
        </w:rPr>
        <w:sectPr>
          <w:headerReference r:id="rId13" w:type="default"/>
          <w:footerReference r:id="rId14" w:type="default"/>
          <w:pgSz w:w="11907" w:h="16840"/>
          <w:pgMar w:top="1418" w:right="1418" w:bottom="1134" w:left="1418" w:header="1134" w:footer="1134" w:gutter="0"/>
          <w:pgNumType w:fmt="decimal" w:start="1"/>
          <w:cols w:space="720" w:num="1"/>
          <w:docGrid w:type="linesAndChars" w:linePitch="312" w:charSpace="0"/>
        </w:sectPr>
      </w:pPr>
      <w:bookmarkStart w:id="13" w:name="_Toc25558"/>
    </w:p>
    <w:p>
      <w:pPr>
        <w:spacing w:line="400" w:lineRule="exact"/>
        <w:jc w:val="left"/>
        <w:outlineLvl w:val="0"/>
        <w:rPr>
          <w:b/>
          <w:color w:val="000000" w:themeColor="text1"/>
          <w:sz w:val="30"/>
          <w:szCs w:val="30"/>
          <w:highlight w:val="none"/>
        </w:rPr>
      </w:pPr>
      <w:r>
        <w:rPr>
          <w:b/>
          <w:color w:val="000000" w:themeColor="text1"/>
          <w:sz w:val="30"/>
          <w:szCs w:val="30"/>
          <w:highlight w:val="none"/>
        </w:rPr>
        <w:t>建设项目基本情况</w:t>
      </w:r>
      <w:bookmarkEnd w:id="13"/>
    </w:p>
    <w:tbl>
      <w:tblPr>
        <w:tblStyle w:val="34"/>
        <w:tblW w:w="89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1260"/>
        <w:gridCol w:w="525"/>
        <w:gridCol w:w="630"/>
        <w:gridCol w:w="483"/>
        <w:gridCol w:w="147"/>
        <w:gridCol w:w="1365"/>
        <w:gridCol w:w="420"/>
        <w:gridCol w:w="1260"/>
        <w:gridCol w:w="120"/>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680" w:type="dxa"/>
            <w:vAlign w:val="center"/>
          </w:tcPr>
          <w:p>
            <w:pPr>
              <w:spacing w:line="340" w:lineRule="exact"/>
              <w:jc w:val="center"/>
              <w:rPr>
                <w:color w:val="000000" w:themeColor="text1"/>
                <w:sz w:val="24"/>
                <w:highlight w:val="none"/>
              </w:rPr>
            </w:pPr>
            <w:r>
              <w:rPr>
                <w:color w:val="000000" w:themeColor="text1"/>
                <w:sz w:val="24"/>
                <w:highlight w:val="none"/>
              </w:rPr>
              <w:t>项目名称</w:t>
            </w:r>
          </w:p>
        </w:tc>
        <w:tc>
          <w:tcPr>
            <w:tcW w:w="7245" w:type="dxa"/>
            <w:gridSpan w:val="10"/>
            <w:vAlign w:val="center"/>
          </w:tcPr>
          <w:p>
            <w:pPr>
              <w:spacing w:line="340" w:lineRule="exact"/>
              <w:jc w:val="center"/>
              <w:rPr>
                <w:color w:val="000000" w:themeColor="text1"/>
                <w:sz w:val="24"/>
                <w:highlight w:val="none"/>
              </w:rPr>
            </w:pPr>
            <w:r>
              <w:rPr>
                <w:rFonts w:hint="eastAsia"/>
                <w:color w:val="000000" w:themeColor="text1"/>
                <w:sz w:val="24"/>
                <w:highlight w:val="none"/>
                <w:lang w:eastAsia="zh-CN"/>
              </w:rPr>
              <w:t>湖南乐思检测有限公司</w:t>
            </w:r>
            <w:r>
              <w:rPr>
                <w:color w:val="000000" w:themeColor="text1"/>
                <w:sz w:val="24"/>
                <w:highlight w:val="none"/>
              </w:rPr>
              <w:t>实验室建设项目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680" w:type="dxa"/>
            <w:vAlign w:val="center"/>
          </w:tcPr>
          <w:p>
            <w:pPr>
              <w:spacing w:line="340" w:lineRule="exact"/>
              <w:jc w:val="center"/>
              <w:rPr>
                <w:color w:val="000000" w:themeColor="text1"/>
                <w:sz w:val="24"/>
                <w:highlight w:val="none"/>
              </w:rPr>
            </w:pPr>
            <w:r>
              <w:rPr>
                <w:color w:val="000000" w:themeColor="text1"/>
                <w:sz w:val="24"/>
                <w:highlight w:val="none"/>
              </w:rPr>
              <w:t>建设单位</w:t>
            </w:r>
          </w:p>
        </w:tc>
        <w:tc>
          <w:tcPr>
            <w:tcW w:w="7245" w:type="dxa"/>
            <w:gridSpan w:val="10"/>
            <w:vAlign w:val="center"/>
          </w:tcPr>
          <w:p>
            <w:pPr>
              <w:spacing w:line="340" w:lineRule="exact"/>
              <w:jc w:val="center"/>
              <w:rPr>
                <w:rFonts w:hint="eastAsia" w:eastAsia="宋体"/>
                <w:color w:val="000000" w:themeColor="text1"/>
                <w:sz w:val="24"/>
                <w:highlight w:val="none"/>
                <w:lang w:eastAsia="zh-CN"/>
              </w:rPr>
            </w:pPr>
            <w:r>
              <w:rPr>
                <w:rFonts w:hint="eastAsia"/>
                <w:color w:val="000000" w:themeColor="text1"/>
                <w:sz w:val="24"/>
                <w:highlight w:val="none"/>
                <w:lang w:eastAsia="zh-CN"/>
              </w:rPr>
              <w:t>湖南乐思检测有限公司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680" w:type="dxa"/>
            <w:vAlign w:val="center"/>
          </w:tcPr>
          <w:p>
            <w:pPr>
              <w:spacing w:line="340" w:lineRule="exact"/>
              <w:jc w:val="center"/>
              <w:rPr>
                <w:color w:val="000000" w:themeColor="text1"/>
                <w:sz w:val="24"/>
                <w:highlight w:val="none"/>
              </w:rPr>
            </w:pPr>
            <w:r>
              <w:rPr>
                <w:color w:val="000000" w:themeColor="text1"/>
                <w:sz w:val="24"/>
                <w:highlight w:val="none"/>
              </w:rPr>
              <w:t>法人代表</w:t>
            </w:r>
          </w:p>
        </w:tc>
        <w:tc>
          <w:tcPr>
            <w:tcW w:w="2415" w:type="dxa"/>
            <w:gridSpan w:val="3"/>
            <w:vAlign w:val="center"/>
          </w:tcPr>
          <w:p>
            <w:pPr>
              <w:spacing w:line="340" w:lineRule="exact"/>
              <w:jc w:val="center"/>
              <w:rPr>
                <w:color w:val="000000" w:themeColor="text1"/>
                <w:sz w:val="24"/>
                <w:highlight w:val="none"/>
              </w:rPr>
            </w:pPr>
            <w:r>
              <w:rPr>
                <w:rFonts w:hint="eastAsia"/>
                <w:color w:val="000000" w:themeColor="text1"/>
                <w:sz w:val="24"/>
                <w:highlight w:val="none"/>
              </w:rPr>
              <w:t>李红</w:t>
            </w:r>
          </w:p>
        </w:tc>
        <w:tc>
          <w:tcPr>
            <w:tcW w:w="2415" w:type="dxa"/>
            <w:gridSpan w:val="4"/>
            <w:vAlign w:val="center"/>
          </w:tcPr>
          <w:p>
            <w:pPr>
              <w:spacing w:line="340" w:lineRule="exact"/>
              <w:jc w:val="center"/>
              <w:rPr>
                <w:color w:val="000000" w:themeColor="text1"/>
                <w:sz w:val="24"/>
                <w:highlight w:val="none"/>
              </w:rPr>
            </w:pPr>
            <w:r>
              <w:rPr>
                <w:color w:val="000000" w:themeColor="text1"/>
                <w:sz w:val="24"/>
                <w:highlight w:val="none"/>
              </w:rPr>
              <w:t>联系人</w:t>
            </w:r>
          </w:p>
        </w:tc>
        <w:tc>
          <w:tcPr>
            <w:tcW w:w="2415" w:type="dxa"/>
            <w:gridSpan w:val="3"/>
            <w:vAlign w:val="center"/>
          </w:tcPr>
          <w:p>
            <w:pPr>
              <w:spacing w:line="340" w:lineRule="exact"/>
              <w:jc w:val="center"/>
              <w:rPr>
                <w:color w:val="000000" w:themeColor="text1"/>
                <w:sz w:val="24"/>
                <w:highlight w:val="none"/>
              </w:rPr>
            </w:pPr>
            <w:r>
              <w:rPr>
                <w:rFonts w:hint="eastAsia"/>
                <w:color w:val="000000" w:themeColor="text1"/>
                <w:sz w:val="24"/>
                <w:highlight w:val="none"/>
              </w:rPr>
              <w:t>李红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1680" w:type="dxa"/>
            <w:vAlign w:val="center"/>
          </w:tcPr>
          <w:p>
            <w:pPr>
              <w:spacing w:line="340" w:lineRule="exact"/>
              <w:jc w:val="center"/>
              <w:rPr>
                <w:color w:val="000000" w:themeColor="text1"/>
                <w:sz w:val="24"/>
                <w:highlight w:val="none"/>
              </w:rPr>
            </w:pPr>
            <w:r>
              <w:rPr>
                <w:color w:val="000000" w:themeColor="text1"/>
                <w:sz w:val="24"/>
                <w:highlight w:val="none"/>
              </w:rPr>
              <w:t>通讯地址</w:t>
            </w:r>
          </w:p>
        </w:tc>
        <w:tc>
          <w:tcPr>
            <w:tcW w:w="7245" w:type="dxa"/>
            <w:gridSpan w:val="10"/>
            <w:vAlign w:val="center"/>
          </w:tcPr>
          <w:p>
            <w:pPr>
              <w:adjustRightInd w:val="0"/>
              <w:snapToGrid w:val="0"/>
              <w:jc w:val="center"/>
              <w:rPr>
                <w:rFonts w:hint="eastAsia" w:eastAsia="宋体"/>
                <w:color w:val="000000" w:themeColor="text1"/>
                <w:sz w:val="24"/>
                <w:highlight w:val="none"/>
                <w:lang w:eastAsia="zh-CN"/>
              </w:rPr>
            </w:pPr>
            <w:r>
              <w:rPr>
                <w:rFonts w:hint="eastAsia"/>
                <w:bCs/>
                <w:color w:val="000000" w:themeColor="text1"/>
                <w:sz w:val="24"/>
                <w:highlight w:val="none"/>
                <w:lang w:eastAsia="zh-CN"/>
              </w:rPr>
              <w:t>湖南省岳阳市湘阴县金龙新区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680" w:type="dxa"/>
            <w:vAlign w:val="center"/>
          </w:tcPr>
          <w:p>
            <w:pPr>
              <w:spacing w:line="340" w:lineRule="exact"/>
              <w:jc w:val="center"/>
              <w:rPr>
                <w:color w:val="000000" w:themeColor="text1"/>
                <w:sz w:val="24"/>
                <w:highlight w:val="none"/>
              </w:rPr>
            </w:pPr>
            <w:r>
              <w:rPr>
                <w:color w:val="000000" w:themeColor="text1"/>
                <w:sz w:val="24"/>
                <w:highlight w:val="none"/>
              </w:rPr>
              <w:t>联系电话</w:t>
            </w:r>
          </w:p>
        </w:tc>
        <w:tc>
          <w:tcPr>
            <w:tcW w:w="1785" w:type="dxa"/>
            <w:gridSpan w:val="2"/>
            <w:vAlign w:val="center"/>
          </w:tcPr>
          <w:p>
            <w:pPr>
              <w:spacing w:line="340" w:lineRule="exact"/>
              <w:jc w:val="center"/>
              <w:rPr>
                <w:rFonts w:hint="eastAsia" w:eastAsia="宋体"/>
                <w:color w:val="000000" w:themeColor="text1"/>
                <w:sz w:val="24"/>
                <w:highlight w:val="none"/>
                <w:lang w:eastAsia="zh-CN"/>
              </w:rPr>
            </w:pPr>
            <w:r>
              <w:rPr>
                <w:rFonts w:hint="eastAsia"/>
                <w:color w:val="000000" w:themeColor="text1"/>
                <w:sz w:val="24"/>
                <w:highlight w:val="none"/>
                <w:lang w:eastAsia="zh-CN"/>
              </w:rPr>
              <w:t>13548625290</w:t>
            </w:r>
          </w:p>
        </w:tc>
        <w:tc>
          <w:tcPr>
            <w:tcW w:w="1113" w:type="dxa"/>
            <w:gridSpan w:val="2"/>
            <w:vAlign w:val="center"/>
          </w:tcPr>
          <w:p>
            <w:pPr>
              <w:spacing w:line="340" w:lineRule="exact"/>
              <w:jc w:val="center"/>
              <w:rPr>
                <w:color w:val="000000" w:themeColor="text1"/>
                <w:sz w:val="24"/>
                <w:highlight w:val="none"/>
              </w:rPr>
            </w:pPr>
            <w:r>
              <w:rPr>
                <w:color w:val="000000" w:themeColor="text1"/>
                <w:sz w:val="24"/>
                <w:highlight w:val="none"/>
              </w:rPr>
              <w:t>传真</w:t>
            </w:r>
          </w:p>
        </w:tc>
        <w:tc>
          <w:tcPr>
            <w:tcW w:w="1932" w:type="dxa"/>
            <w:gridSpan w:val="3"/>
            <w:vAlign w:val="center"/>
          </w:tcPr>
          <w:p>
            <w:pPr>
              <w:spacing w:line="340" w:lineRule="exact"/>
              <w:jc w:val="center"/>
              <w:rPr>
                <w:color w:val="000000" w:themeColor="text1"/>
                <w:sz w:val="24"/>
                <w:highlight w:val="none"/>
              </w:rPr>
            </w:pPr>
            <w:r>
              <w:rPr>
                <w:color w:val="000000" w:themeColor="text1"/>
                <w:sz w:val="24"/>
                <w:highlight w:val="none"/>
              </w:rPr>
              <w:t>/</w:t>
            </w:r>
          </w:p>
        </w:tc>
        <w:tc>
          <w:tcPr>
            <w:tcW w:w="1380" w:type="dxa"/>
            <w:gridSpan w:val="2"/>
            <w:vAlign w:val="center"/>
          </w:tcPr>
          <w:p>
            <w:pPr>
              <w:spacing w:line="340" w:lineRule="exact"/>
              <w:jc w:val="center"/>
              <w:rPr>
                <w:color w:val="000000" w:themeColor="text1"/>
                <w:sz w:val="24"/>
                <w:highlight w:val="none"/>
              </w:rPr>
            </w:pPr>
            <w:r>
              <w:rPr>
                <w:color w:val="000000" w:themeColor="text1"/>
                <w:sz w:val="24"/>
                <w:highlight w:val="none"/>
              </w:rPr>
              <w:t>邮政编码</w:t>
            </w:r>
          </w:p>
        </w:tc>
        <w:tc>
          <w:tcPr>
            <w:tcW w:w="1035" w:type="dxa"/>
            <w:vAlign w:val="center"/>
          </w:tcPr>
          <w:p>
            <w:pPr>
              <w:spacing w:line="340" w:lineRule="exact"/>
              <w:jc w:val="center"/>
              <w:rPr>
                <w:color w:val="000000" w:themeColor="text1"/>
                <w:sz w:val="24"/>
                <w:highlight w:val="none"/>
              </w:rPr>
            </w:pPr>
            <w:r>
              <w:rPr>
                <w:rFonts w:hint="eastAsia"/>
                <w:color w:val="000000" w:themeColor="text1"/>
                <w:sz w:val="24"/>
                <w:highlight w:val="none"/>
              </w:rPr>
              <w:t>414600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80" w:type="dxa"/>
            <w:vAlign w:val="center"/>
          </w:tcPr>
          <w:p>
            <w:pPr>
              <w:adjustRightInd w:val="0"/>
              <w:snapToGrid w:val="0"/>
              <w:jc w:val="center"/>
              <w:rPr>
                <w:bCs/>
                <w:color w:val="000000" w:themeColor="text1"/>
                <w:sz w:val="24"/>
                <w:highlight w:val="none"/>
              </w:rPr>
            </w:pPr>
            <w:r>
              <w:rPr>
                <w:bCs/>
                <w:color w:val="000000" w:themeColor="text1"/>
                <w:sz w:val="24"/>
                <w:highlight w:val="none"/>
              </w:rPr>
              <w:t>建设地点</w:t>
            </w:r>
          </w:p>
        </w:tc>
        <w:tc>
          <w:tcPr>
            <w:tcW w:w="7245" w:type="dxa"/>
            <w:gridSpan w:val="10"/>
            <w:vAlign w:val="center"/>
          </w:tcPr>
          <w:p>
            <w:pPr>
              <w:adjustRightInd w:val="0"/>
              <w:snapToGrid w:val="0"/>
              <w:jc w:val="center"/>
              <w:rPr>
                <w:rFonts w:hint="eastAsia" w:eastAsia="宋体"/>
                <w:bCs/>
                <w:color w:val="000000" w:themeColor="text1"/>
                <w:sz w:val="24"/>
                <w:highlight w:val="none"/>
                <w:lang w:eastAsia="zh-CN"/>
              </w:rPr>
            </w:pPr>
            <w:r>
              <w:rPr>
                <w:rFonts w:hint="eastAsia"/>
                <w:bCs/>
                <w:color w:val="000000" w:themeColor="text1"/>
                <w:sz w:val="24"/>
                <w:highlight w:val="none"/>
                <w:lang w:eastAsia="zh-CN"/>
              </w:rPr>
              <w:t>湖南省岳阳市湘阴县金龙新区</w:t>
            </w:r>
          </w:p>
          <w:p>
            <w:pPr>
              <w:adjustRightInd w:val="0"/>
              <w:snapToGrid w:val="0"/>
              <w:jc w:val="center"/>
              <w:rPr>
                <w:bCs/>
                <w:color w:val="000000" w:themeColor="text1"/>
                <w:sz w:val="24"/>
                <w:highlight w:val="none"/>
              </w:rPr>
            </w:pPr>
            <w:r>
              <w:rPr>
                <w:bCs/>
                <w:color w:val="000000" w:themeColor="text1"/>
                <w:sz w:val="24"/>
                <w:highlight w:val="none"/>
              </w:rPr>
              <w:t>（</w:t>
            </w:r>
            <w:r>
              <w:rPr>
                <w:rFonts w:hint="eastAsia"/>
                <w:bCs/>
                <w:color w:val="000000" w:themeColor="text1"/>
                <w:sz w:val="24"/>
                <w:highlight w:val="none"/>
                <w:lang w:eastAsia="zh-CN"/>
              </w:rPr>
              <w:t>112°55′33.45583″,28°31′42.20361″</w:t>
            </w:r>
            <w:r>
              <w:rPr>
                <w:bCs/>
                <w:color w:val="000000" w:themeColor="text1"/>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680" w:type="dxa"/>
            <w:vAlign w:val="center"/>
          </w:tcPr>
          <w:p>
            <w:pPr>
              <w:spacing w:line="300" w:lineRule="exact"/>
              <w:jc w:val="center"/>
              <w:rPr>
                <w:color w:val="000000" w:themeColor="text1"/>
                <w:sz w:val="24"/>
                <w:highlight w:val="none"/>
              </w:rPr>
            </w:pPr>
            <w:r>
              <w:rPr>
                <w:color w:val="000000" w:themeColor="text1"/>
                <w:sz w:val="24"/>
                <w:highlight w:val="none"/>
              </w:rPr>
              <w:t>立项审批</w:t>
            </w:r>
          </w:p>
          <w:p>
            <w:pPr>
              <w:spacing w:line="300" w:lineRule="exact"/>
              <w:jc w:val="center"/>
              <w:rPr>
                <w:color w:val="000000" w:themeColor="text1"/>
                <w:spacing w:val="-10"/>
                <w:sz w:val="24"/>
                <w:highlight w:val="none"/>
              </w:rPr>
            </w:pPr>
            <w:r>
              <w:rPr>
                <w:color w:val="000000" w:themeColor="text1"/>
                <w:sz w:val="24"/>
                <w:highlight w:val="none"/>
              </w:rPr>
              <w:t>部   门</w:t>
            </w:r>
          </w:p>
        </w:tc>
        <w:tc>
          <w:tcPr>
            <w:tcW w:w="3045" w:type="dxa"/>
            <w:gridSpan w:val="5"/>
            <w:vAlign w:val="center"/>
          </w:tcPr>
          <w:p>
            <w:pPr>
              <w:spacing w:line="300" w:lineRule="exact"/>
              <w:jc w:val="center"/>
              <w:rPr>
                <w:color w:val="000000" w:themeColor="text1"/>
                <w:sz w:val="24"/>
                <w:highlight w:val="none"/>
              </w:rPr>
            </w:pPr>
            <w:r>
              <w:rPr>
                <w:color w:val="000000" w:themeColor="text1"/>
                <w:sz w:val="24"/>
                <w:highlight w:val="none"/>
              </w:rPr>
              <w:t>/</w:t>
            </w:r>
          </w:p>
        </w:tc>
        <w:tc>
          <w:tcPr>
            <w:tcW w:w="1365" w:type="dxa"/>
            <w:vAlign w:val="center"/>
          </w:tcPr>
          <w:p>
            <w:pPr>
              <w:spacing w:line="300" w:lineRule="exact"/>
              <w:jc w:val="left"/>
              <w:rPr>
                <w:color w:val="000000" w:themeColor="text1"/>
                <w:sz w:val="24"/>
                <w:highlight w:val="none"/>
              </w:rPr>
            </w:pPr>
            <w:r>
              <w:rPr>
                <w:color w:val="000000" w:themeColor="text1"/>
                <w:sz w:val="24"/>
                <w:highlight w:val="none"/>
              </w:rPr>
              <w:t>批准文号</w:t>
            </w:r>
          </w:p>
        </w:tc>
        <w:tc>
          <w:tcPr>
            <w:tcW w:w="2835" w:type="dxa"/>
            <w:gridSpan w:val="4"/>
            <w:vAlign w:val="center"/>
          </w:tcPr>
          <w:p>
            <w:pPr>
              <w:spacing w:line="300" w:lineRule="exact"/>
              <w:jc w:val="center"/>
              <w:rPr>
                <w:color w:val="000000" w:themeColor="text1"/>
                <w:spacing w:val="-8"/>
                <w:sz w:val="24"/>
                <w:highlight w:val="none"/>
              </w:rPr>
            </w:pPr>
            <w:r>
              <w:rPr>
                <w:color w:val="000000" w:themeColor="text1"/>
                <w:spacing w:val="-8"/>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0" w:type="dxa"/>
            <w:vAlign w:val="center"/>
          </w:tcPr>
          <w:p>
            <w:pPr>
              <w:spacing w:line="300" w:lineRule="exact"/>
              <w:jc w:val="center"/>
              <w:rPr>
                <w:color w:val="000000" w:themeColor="text1"/>
                <w:sz w:val="24"/>
                <w:highlight w:val="none"/>
              </w:rPr>
            </w:pPr>
            <w:r>
              <w:rPr>
                <w:color w:val="000000" w:themeColor="text1"/>
                <w:sz w:val="24"/>
                <w:highlight w:val="none"/>
              </w:rPr>
              <w:t>建设性质</w:t>
            </w:r>
          </w:p>
        </w:tc>
        <w:tc>
          <w:tcPr>
            <w:tcW w:w="3045" w:type="dxa"/>
            <w:gridSpan w:val="5"/>
            <w:vAlign w:val="center"/>
          </w:tcPr>
          <w:p>
            <w:pPr>
              <w:spacing w:line="300" w:lineRule="exact"/>
              <w:jc w:val="center"/>
              <w:rPr>
                <w:color w:val="000000" w:themeColor="text1"/>
                <w:sz w:val="24"/>
                <w:highlight w:val="none"/>
              </w:rPr>
            </w:pPr>
            <w:r>
              <w:rPr>
                <w:color w:val="000000" w:themeColor="text1"/>
                <w:sz w:val="24"/>
                <w:highlight w:val="none"/>
              </w:rPr>
              <w:fldChar w:fldCharType="begin"/>
            </w:r>
            <w:r>
              <w:rPr>
                <w:color w:val="000000" w:themeColor="text1"/>
                <w:sz w:val="24"/>
                <w:highlight w:val="none"/>
              </w:rPr>
              <w:instrText xml:space="preserve"> eq \o\ac(□,</w:instrText>
            </w:r>
            <w:r>
              <w:rPr>
                <w:color w:val="000000" w:themeColor="text1"/>
                <w:position w:val="1"/>
                <w:sz w:val="24"/>
                <w:highlight w:val="none"/>
              </w:rPr>
              <w:instrText xml:space="preserve">√</w:instrText>
            </w:r>
            <w:r>
              <w:rPr>
                <w:color w:val="000000" w:themeColor="text1"/>
                <w:sz w:val="24"/>
                <w:highlight w:val="none"/>
              </w:rPr>
              <w:instrText xml:space="preserve">)</w:instrText>
            </w:r>
            <w:r>
              <w:rPr>
                <w:color w:val="000000" w:themeColor="text1"/>
                <w:sz w:val="24"/>
                <w:highlight w:val="none"/>
              </w:rPr>
              <w:fldChar w:fldCharType="end"/>
            </w:r>
            <w:r>
              <w:rPr>
                <w:color w:val="000000" w:themeColor="text1"/>
                <w:sz w:val="24"/>
                <w:highlight w:val="none"/>
              </w:rPr>
              <w:t xml:space="preserve">新建 □改扩建 </w:t>
            </w:r>
            <w:r>
              <w:rPr>
                <w:color w:val="000000" w:themeColor="text1"/>
                <w:sz w:val="24"/>
                <w:highlight w:val="none"/>
              </w:rPr>
              <w:sym w:font="Wingdings 2" w:char="00A3"/>
            </w:r>
            <w:r>
              <w:rPr>
                <w:color w:val="000000" w:themeColor="text1"/>
                <w:sz w:val="24"/>
                <w:highlight w:val="none"/>
              </w:rPr>
              <w:t>技改</w:t>
            </w:r>
          </w:p>
        </w:tc>
        <w:tc>
          <w:tcPr>
            <w:tcW w:w="1365" w:type="dxa"/>
            <w:vAlign w:val="center"/>
          </w:tcPr>
          <w:p>
            <w:pPr>
              <w:spacing w:line="300" w:lineRule="exact"/>
              <w:jc w:val="distribute"/>
              <w:rPr>
                <w:color w:val="000000" w:themeColor="text1"/>
                <w:sz w:val="24"/>
                <w:highlight w:val="none"/>
              </w:rPr>
            </w:pPr>
            <w:r>
              <w:rPr>
                <w:color w:val="000000" w:themeColor="text1"/>
                <w:sz w:val="24"/>
                <w:highlight w:val="none"/>
              </w:rPr>
              <w:t>行业类别</w:t>
            </w:r>
          </w:p>
          <w:p>
            <w:pPr>
              <w:spacing w:line="300" w:lineRule="exact"/>
              <w:jc w:val="distribute"/>
              <w:rPr>
                <w:color w:val="000000" w:themeColor="text1"/>
                <w:sz w:val="24"/>
                <w:highlight w:val="none"/>
              </w:rPr>
            </w:pPr>
            <w:r>
              <w:rPr>
                <w:color w:val="000000" w:themeColor="text1"/>
                <w:sz w:val="24"/>
                <w:highlight w:val="none"/>
              </w:rPr>
              <w:t>及代码</w:t>
            </w:r>
          </w:p>
        </w:tc>
        <w:tc>
          <w:tcPr>
            <w:tcW w:w="2835" w:type="dxa"/>
            <w:gridSpan w:val="4"/>
            <w:vAlign w:val="center"/>
          </w:tcPr>
          <w:p>
            <w:pPr>
              <w:pStyle w:val="2"/>
              <w:spacing w:line="340" w:lineRule="exact"/>
              <w:ind w:firstLine="0" w:firstLineChars="0"/>
              <w:jc w:val="center"/>
              <w:rPr>
                <w:color w:val="000000" w:themeColor="text1"/>
                <w:szCs w:val="24"/>
                <w:highlight w:val="none"/>
              </w:rPr>
            </w:pPr>
            <w:r>
              <w:rPr>
                <w:color w:val="000000" w:themeColor="text1"/>
                <w:szCs w:val="24"/>
                <w:highlight w:val="none"/>
              </w:rPr>
              <w:t>M7452检测服务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0" w:type="dxa"/>
            <w:vAlign w:val="center"/>
          </w:tcPr>
          <w:p>
            <w:pPr>
              <w:spacing w:line="300" w:lineRule="exact"/>
              <w:jc w:val="center"/>
              <w:rPr>
                <w:color w:val="000000" w:themeColor="text1"/>
                <w:sz w:val="24"/>
                <w:highlight w:val="none"/>
              </w:rPr>
            </w:pPr>
            <w:r>
              <w:rPr>
                <w:rFonts w:hint="eastAsia"/>
                <w:color w:val="000000" w:themeColor="text1"/>
                <w:sz w:val="24"/>
                <w:highlight w:val="none"/>
              </w:rPr>
              <w:t>建筑面积</w:t>
            </w:r>
          </w:p>
          <w:p>
            <w:pPr>
              <w:spacing w:line="300" w:lineRule="exact"/>
              <w:jc w:val="center"/>
              <w:rPr>
                <w:color w:val="000000" w:themeColor="text1"/>
                <w:sz w:val="24"/>
                <w:highlight w:val="none"/>
              </w:rPr>
            </w:pPr>
            <w:r>
              <w:rPr>
                <w:color w:val="000000" w:themeColor="text1"/>
                <w:sz w:val="24"/>
                <w:highlight w:val="none"/>
              </w:rPr>
              <w:t>（平方米）</w:t>
            </w:r>
          </w:p>
        </w:tc>
        <w:tc>
          <w:tcPr>
            <w:tcW w:w="3045" w:type="dxa"/>
            <w:gridSpan w:val="5"/>
            <w:vAlign w:val="center"/>
          </w:tcPr>
          <w:p>
            <w:pPr>
              <w:spacing w:line="300" w:lineRule="exact"/>
              <w:jc w:val="center"/>
              <w:rPr>
                <w:color w:val="000000" w:themeColor="text1"/>
                <w:sz w:val="24"/>
                <w:highlight w:val="none"/>
              </w:rPr>
            </w:pPr>
            <w:r>
              <w:rPr>
                <w:rFonts w:hint="eastAsia"/>
                <w:bCs/>
                <w:color w:val="000000" w:themeColor="text1"/>
                <w:sz w:val="24"/>
                <w:highlight w:val="none"/>
                <w:lang w:val="en-US" w:eastAsia="zh-CN"/>
              </w:rPr>
              <w:t>80</w:t>
            </w:r>
            <w:r>
              <w:rPr>
                <w:rFonts w:hint="eastAsia"/>
                <w:bCs/>
                <w:color w:val="000000" w:themeColor="text1"/>
                <w:sz w:val="24"/>
                <w:highlight w:val="none"/>
              </w:rPr>
              <w:t>0</w:t>
            </w:r>
          </w:p>
        </w:tc>
        <w:tc>
          <w:tcPr>
            <w:tcW w:w="1365" w:type="dxa"/>
            <w:vAlign w:val="center"/>
          </w:tcPr>
          <w:p>
            <w:pPr>
              <w:spacing w:line="300" w:lineRule="exact"/>
              <w:jc w:val="left"/>
              <w:rPr>
                <w:color w:val="000000" w:themeColor="text1"/>
                <w:sz w:val="24"/>
                <w:highlight w:val="none"/>
              </w:rPr>
            </w:pPr>
            <w:r>
              <w:rPr>
                <w:color w:val="000000" w:themeColor="text1"/>
                <w:sz w:val="24"/>
                <w:highlight w:val="none"/>
              </w:rPr>
              <w:t>绿化面积</w:t>
            </w:r>
          </w:p>
          <w:p>
            <w:pPr>
              <w:spacing w:line="300" w:lineRule="exact"/>
              <w:jc w:val="left"/>
              <w:rPr>
                <w:color w:val="000000" w:themeColor="text1"/>
                <w:sz w:val="24"/>
                <w:highlight w:val="none"/>
              </w:rPr>
            </w:pPr>
            <w:r>
              <w:rPr>
                <w:color w:val="000000" w:themeColor="text1"/>
                <w:sz w:val="24"/>
                <w:highlight w:val="none"/>
              </w:rPr>
              <w:t>（平方米）</w:t>
            </w:r>
          </w:p>
        </w:tc>
        <w:tc>
          <w:tcPr>
            <w:tcW w:w="2835" w:type="dxa"/>
            <w:gridSpan w:val="4"/>
            <w:vAlign w:val="center"/>
          </w:tcPr>
          <w:p>
            <w:pPr>
              <w:spacing w:line="300" w:lineRule="exact"/>
              <w:jc w:val="center"/>
              <w:rPr>
                <w:color w:val="000000" w:themeColor="text1"/>
                <w:sz w:val="24"/>
                <w:highlight w:val="none"/>
              </w:rPr>
            </w:pPr>
            <w:r>
              <w:rPr>
                <w:color w:val="000000" w:themeColor="text1"/>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0" w:type="dxa"/>
            <w:vAlign w:val="center"/>
          </w:tcPr>
          <w:p>
            <w:pPr>
              <w:spacing w:line="300" w:lineRule="exact"/>
              <w:jc w:val="center"/>
              <w:rPr>
                <w:color w:val="000000" w:themeColor="text1"/>
                <w:sz w:val="24"/>
                <w:highlight w:val="none"/>
              </w:rPr>
            </w:pPr>
            <w:r>
              <w:rPr>
                <w:color w:val="000000" w:themeColor="text1"/>
                <w:sz w:val="24"/>
                <w:highlight w:val="none"/>
              </w:rPr>
              <w:t>总投资</w:t>
            </w:r>
          </w:p>
          <w:p>
            <w:pPr>
              <w:spacing w:line="300" w:lineRule="exact"/>
              <w:jc w:val="center"/>
              <w:rPr>
                <w:color w:val="000000" w:themeColor="text1"/>
                <w:sz w:val="24"/>
                <w:highlight w:val="none"/>
              </w:rPr>
            </w:pPr>
            <w:r>
              <w:rPr>
                <w:color w:val="000000" w:themeColor="text1"/>
                <w:sz w:val="24"/>
                <w:highlight w:val="none"/>
              </w:rPr>
              <w:t>（万元）</w:t>
            </w:r>
          </w:p>
        </w:tc>
        <w:tc>
          <w:tcPr>
            <w:tcW w:w="1260" w:type="dxa"/>
            <w:vAlign w:val="center"/>
          </w:tcPr>
          <w:p>
            <w:pPr>
              <w:spacing w:line="300" w:lineRule="exact"/>
              <w:jc w:val="center"/>
              <w:rPr>
                <w:color w:val="000000" w:themeColor="text1"/>
                <w:sz w:val="24"/>
                <w:highlight w:val="none"/>
              </w:rPr>
            </w:pPr>
            <w:r>
              <w:rPr>
                <w:rFonts w:hint="eastAsia"/>
                <w:color w:val="000000" w:themeColor="text1"/>
                <w:sz w:val="24"/>
                <w:highlight w:val="none"/>
              </w:rPr>
              <w:t>200</w:t>
            </w:r>
          </w:p>
        </w:tc>
        <w:tc>
          <w:tcPr>
            <w:tcW w:w="1785" w:type="dxa"/>
            <w:gridSpan w:val="4"/>
            <w:vAlign w:val="center"/>
          </w:tcPr>
          <w:p>
            <w:pPr>
              <w:spacing w:line="300" w:lineRule="exact"/>
              <w:jc w:val="center"/>
              <w:rPr>
                <w:color w:val="000000" w:themeColor="text1"/>
                <w:sz w:val="24"/>
                <w:highlight w:val="none"/>
              </w:rPr>
            </w:pPr>
            <w:r>
              <w:rPr>
                <w:color w:val="000000" w:themeColor="text1"/>
                <w:sz w:val="24"/>
                <w:highlight w:val="none"/>
              </w:rPr>
              <w:t>其中：环保投资（万元）</w:t>
            </w:r>
          </w:p>
        </w:tc>
        <w:tc>
          <w:tcPr>
            <w:tcW w:w="1365" w:type="dxa"/>
            <w:vAlign w:val="center"/>
          </w:tcPr>
          <w:p>
            <w:pPr>
              <w:spacing w:line="300" w:lineRule="exact"/>
              <w:jc w:val="center"/>
              <w:rPr>
                <w:rFonts w:hint="eastAsia" w:eastAsia="宋体"/>
                <w:color w:val="000000" w:themeColor="text1"/>
                <w:sz w:val="24"/>
                <w:highlight w:val="none"/>
                <w:lang w:eastAsia="zh-CN"/>
              </w:rPr>
            </w:pPr>
            <w:r>
              <w:rPr>
                <w:rFonts w:hint="eastAsia"/>
                <w:color w:val="000000" w:themeColor="text1"/>
                <w:sz w:val="24"/>
                <w:highlight w:val="none"/>
              </w:rPr>
              <w:t>1</w:t>
            </w:r>
            <w:r>
              <w:rPr>
                <w:rFonts w:hint="eastAsia"/>
                <w:color w:val="000000" w:themeColor="text1"/>
                <w:sz w:val="24"/>
                <w:highlight w:val="none"/>
                <w:lang w:val="en-US" w:eastAsia="zh-CN"/>
              </w:rPr>
              <w:t>9</w:t>
            </w:r>
          </w:p>
        </w:tc>
        <w:tc>
          <w:tcPr>
            <w:tcW w:w="1680" w:type="dxa"/>
            <w:gridSpan w:val="2"/>
            <w:vAlign w:val="center"/>
          </w:tcPr>
          <w:p>
            <w:pPr>
              <w:spacing w:line="300" w:lineRule="exact"/>
              <w:jc w:val="center"/>
              <w:rPr>
                <w:color w:val="000000" w:themeColor="text1"/>
                <w:sz w:val="24"/>
                <w:highlight w:val="none"/>
              </w:rPr>
            </w:pPr>
            <w:r>
              <w:rPr>
                <w:color w:val="000000" w:themeColor="text1"/>
                <w:sz w:val="24"/>
                <w:highlight w:val="none"/>
              </w:rPr>
              <w:t>环保投资占总投资比例</w:t>
            </w:r>
          </w:p>
        </w:tc>
        <w:tc>
          <w:tcPr>
            <w:tcW w:w="1155" w:type="dxa"/>
            <w:gridSpan w:val="2"/>
            <w:vAlign w:val="center"/>
          </w:tcPr>
          <w:p>
            <w:pPr>
              <w:spacing w:line="300" w:lineRule="exact"/>
              <w:jc w:val="center"/>
              <w:rPr>
                <w:rFonts w:hint="eastAsia" w:eastAsia="宋体"/>
                <w:color w:val="000000" w:themeColor="text1"/>
                <w:sz w:val="24"/>
                <w:highlight w:val="none"/>
                <w:lang w:eastAsia="zh-CN"/>
              </w:rPr>
            </w:pPr>
            <w:r>
              <w:rPr>
                <w:rFonts w:hint="eastAsia"/>
                <w:color w:val="000000" w:themeColor="text1"/>
                <w:sz w:val="24"/>
                <w:highlight w:val="none"/>
                <w:lang w:eastAsia="zh-CN"/>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80" w:type="dxa"/>
            <w:vAlign w:val="center"/>
          </w:tcPr>
          <w:p>
            <w:pPr>
              <w:spacing w:line="300" w:lineRule="exact"/>
              <w:jc w:val="center"/>
              <w:rPr>
                <w:color w:val="000000" w:themeColor="text1"/>
                <w:sz w:val="24"/>
                <w:highlight w:val="none"/>
              </w:rPr>
            </w:pPr>
            <w:r>
              <w:rPr>
                <w:color w:val="000000" w:themeColor="text1"/>
                <w:sz w:val="24"/>
                <w:highlight w:val="none"/>
              </w:rPr>
              <w:t>评价经费</w:t>
            </w:r>
          </w:p>
          <w:p>
            <w:pPr>
              <w:spacing w:line="300" w:lineRule="exact"/>
              <w:jc w:val="center"/>
              <w:rPr>
                <w:color w:val="000000" w:themeColor="text1"/>
                <w:sz w:val="24"/>
                <w:highlight w:val="none"/>
              </w:rPr>
            </w:pPr>
            <w:r>
              <w:rPr>
                <w:color w:val="000000" w:themeColor="text1"/>
                <w:sz w:val="24"/>
                <w:highlight w:val="none"/>
              </w:rPr>
              <w:t>（万元）</w:t>
            </w:r>
          </w:p>
        </w:tc>
        <w:tc>
          <w:tcPr>
            <w:tcW w:w="1260" w:type="dxa"/>
            <w:vAlign w:val="center"/>
          </w:tcPr>
          <w:p>
            <w:pPr>
              <w:spacing w:line="300" w:lineRule="exact"/>
              <w:jc w:val="center"/>
              <w:rPr>
                <w:color w:val="000000" w:themeColor="text1"/>
                <w:sz w:val="24"/>
                <w:highlight w:val="none"/>
              </w:rPr>
            </w:pPr>
            <w:r>
              <w:rPr>
                <w:rFonts w:hint="eastAsia"/>
                <w:color w:val="000000" w:themeColor="text1"/>
                <w:sz w:val="24"/>
                <w:highlight w:val="none"/>
              </w:rPr>
              <w:t>/</w:t>
            </w:r>
          </w:p>
        </w:tc>
        <w:tc>
          <w:tcPr>
            <w:tcW w:w="3150" w:type="dxa"/>
            <w:gridSpan w:val="5"/>
            <w:vAlign w:val="center"/>
          </w:tcPr>
          <w:p>
            <w:pPr>
              <w:spacing w:line="300" w:lineRule="exact"/>
              <w:jc w:val="center"/>
              <w:rPr>
                <w:color w:val="000000" w:themeColor="text1"/>
                <w:sz w:val="24"/>
                <w:highlight w:val="none"/>
              </w:rPr>
            </w:pPr>
            <w:r>
              <w:rPr>
                <w:color w:val="000000" w:themeColor="text1"/>
                <w:sz w:val="24"/>
                <w:highlight w:val="none"/>
              </w:rPr>
              <w:t>预期投产日期</w:t>
            </w:r>
          </w:p>
        </w:tc>
        <w:tc>
          <w:tcPr>
            <w:tcW w:w="2835" w:type="dxa"/>
            <w:gridSpan w:val="4"/>
            <w:vAlign w:val="center"/>
          </w:tcPr>
          <w:p>
            <w:pPr>
              <w:spacing w:line="300" w:lineRule="exact"/>
              <w:jc w:val="center"/>
              <w:rPr>
                <w:color w:val="000000" w:themeColor="text1"/>
                <w:sz w:val="24"/>
                <w:highlight w:val="none"/>
              </w:rPr>
            </w:pPr>
            <w:r>
              <w:rPr>
                <w:color w:val="000000" w:themeColor="text1"/>
                <w:sz w:val="24"/>
                <w:highlight w:val="none"/>
              </w:rPr>
              <w:t>20</w:t>
            </w:r>
            <w:r>
              <w:rPr>
                <w:rFonts w:hint="eastAsia"/>
                <w:color w:val="000000" w:themeColor="text1"/>
                <w:sz w:val="24"/>
                <w:highlight w:val="none"/>
                <w:lang w:val="en-US" w:eastAsia="zh-CN"/>
              </w:rPr>
              <w:t>20</w:t>
            </w:r>
            <w:r>
              <w:rPr>
                <w:color w:val="000000" w:themeColor="text1"/>
                <w:sz w:val="24"/>
                <w:highlight w:val="none"/>
              </w:rPr>
              <w:t>年</w:t>
            </w:r>
            <w:r>
              <w:rPr>
                <w:rFonts w:hint="eastAsia"/>
                <w:color w:val="000000" w:themeColor="text1"/>
                <w:sz w:val="24"/>
                <w:highlight w:val="none"/>
                <w:lang w:val="en-US" w:eastAsia="zh-CN"/>
              </w:rPr>
              <w:t>10</w:t>
            </w:r>
            <w:r>
              <w:rPr>
                <w:color w:val="000000" w:themeColor="text1"/>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5" w:type="dxa"/>
            <w:gridSpan w:val="11"/>
            <w:vAlign w:val="center"/>
          </w:tcPr>
          <w:p>
            <w:pPr>
              <w:numPr>
                <w:ilvl w:val="0"/>
                <w:numId w:val="1"/>
              </w:numPr>
              <w:adjustRightInd w:val="0"/>
              <w:snapToGrid w:val="0"/>
              <w:spacing w:beforeLines="50" w:line="360" w:lineRule="auto"/>
              <w:rPr>
                <w:b/>
                <w:color w:val="000000" w:themeColor="text1"/>
                <w:sz w:val="24"/>
                <w:highlight w:val="none"/>
              </w:rPr>
            </w:pPr>
            <w:r>
              <w:rPr>
                <w:b/>
                <w:color w:val="000000" w:themeColor="text1"/>
                <w:sz w:val="24"/>
                <w:highlight w:val="none"/>
              </w:rPr>
              <w:t>项目由来</w:t>
            </w:r>
          </w:p>
          <w:p>
            <w:pPr>
              <w:pStyle w:val="2"/>
              <w:spacing w:line="360" w:lineRule="auto"/>
              <w:ind w:firstLine="480"/>
              <w:rPr>
                <w:bCs/>
                <w:color w:val="000000" w:themeColor="text1"/>
                <w:highlight w:val="none"/>
                <w:u w:val="single"/>
              </w:rPr>
            </w:pPr>
            <w:r>
              <w:rPr>
                <w:rFonts w:hint="eastAsia"/>
                <w:bCs/>
                <w:color w:val="000000" w:themeColor="text1"/>
                <w:highlight w:val="none"/>
                <w:u w:val="single"/>
                <w:lang w:eastAsia="zh-CN"/>
              </w:rPr>
              <w:t>湖南乐思检测有限公司为湖南奇思环保全资子公司，</w:t>
            </w:r>
            <w:r>
              <w:rPr>
                <w:bCs/>
                <w:color w:val="000000" w:themeColor="text1"/>
                <w:highlight w:val="none"/>
                <w:u w:val="single"/>
              </w:rPr>
              <w:t>成立于201</w:t>
            </w:r>
            <w:r>
              <w:rPr>
                <w:rFonts w:hint="eastAsia"/>
                <w:bCs/>
                <w:color w:val="000000" w:themeColor="text1"/>
                <w:highlight w:val="none"/>
                <w:u w:val="single"/>
                <w:lang w:val="en-US" w:eastAsia="zh-CN"/>
              </w:rPr>
              <w:t>9</w:t>
            </w:r>
            <w:r>
              <w:rPr>
                <w:bCs/>
                <w:color w:val="000000" w:themeColor="text1"/>
                <w:highlight w:val="none"/>
                <w:u w:val="single"/>
              </w:rPr>
              <w:t>年，</w:t>
            </w:r>
            <w:r>
              <w:rPr>
                <w:rFonts w:hint="eastAsia"/>
                <w:bCs/>
                <w:color w:val="000000" w:themeColor="text1"/>
                <w:highlight w:val="none"/>
                <w:u w:val="single"/>
                <w:lang w:eastAsia="zh-CN"/>
              </w:rPr>
              <w:t>为了更好地服务于湖南奇思环保排水管道清淤检测和黑臭水治理领域的检测工作，</w:t>
            </w:r>
            <w:r>
              <w:rPr>
                <w:bCs/>
                <w:color w:val="000000" w:themeColor="text1"/>
                <w:highlight w:val="none"/>
                <w:u w:val="single"/>
              </w:rPr>
              <w:t>经过市场调研</w:t>
            </w:r>
            <w:r>
              <w:rPr>
                <w:rFonts w:hint="eastAsia"/>
                <w:bCs/>
                <w:color w:val="000000" w:themeColor="text1"/>
                <w:highlight w:val="none"/>
                <w:u w:val="single"/>
              </w:rPr>
              <w:t>并</w:t>
            </w:r>
            <w:r>
              <w:rPr>
                <w:bCs/>
                <w:color w:val="000000" w:themeColor="text1"/>
                <w:highlight w:val="none"/>
                <w:u w:val="single"/>
              </w:rPr>
              <w:t>结合公司实际情况</w:t>
            </w:r>
            <w:r>
              <w:rPr>
                <w:rFonts w:hint="eastAsia"/>
                <w:bCs/>
                <w:color w:val="000000" w:themeColor="text1"/>
                <w:highlight w:val="none"/>
                <w:u w:val="single"/>
              </w:rPr>
              <w:t>，拟</w:t>
            </w:r>
            <w:r>
              <w:rPr>
                <w:bCs/>
                <w:color w:val="000000" w:themeColor="text1"/>
                <w:highlight w:val="none"/>
                <w:u w:val="single"/>
              </w:rPr>
              <w:t>租赁</w:t>
            </w:r>
            <w:r>
              <w:rPr>
                <w:rFonts w:hint="eastAsia"/>
                <w:bCs/>
                <w:color w:val="000000" w:themeColor="text1"/>
                <w:highlight w:val="none"/>
                <w:u w:val="single"/>
                <w:lang w:eastAsia="zh-CN"/>
              </w:rPr>
              <w:t>湖南奇思环保设备制造有限公司</w:t>
            </w:r>
            <w:r>
              <w:rPr>
                <w:rFonts w:hint="eastAsia"/>
                <w:bCs/>
                <w:color w:val="000000" w:themeColor="text1"/>
                <w:highlight w:val="none"/>
                <w:u w:val="single"/>
              </w:rPr>
              <w:t>已</w:t>
            </w:r>
            <w:r>
              <w:rPr>
                <w:bCs/>
                <w:color w:val="000000" w:themeColor="text1"/>
                <w:highlight w:val="none"/>
                <w:u w:val="single"/>
              </w:rPr>
              <w:t>有场地作为</w:t>
            </w:r>
            <w:r>
              <w:rPr>
                <w:rFonts w:hint="eastAsia"/>
                <w:bCs/>
                <w:color w:val="000000" w:themeColor="text1"/>
                <w:highlight w:val="none"/>
                <w:u w:val="single"/>
              </w:rPr>
              <w:t>“</w:t>
            </w:r>
            <w:r>
              <w:rPr>
                <w:rFonts w:hint="eastAsia"/>
                <w:bCs/>
                <w:color w:val="000000" w:themeColor="text1"/>
                <w:highlight w:val="none"/>
                <w:u w:val="single"/>
                <w:lang w:eastAsia="zh-CN"/>
              </w:rPr>
              <w:t>湖南乐思检测有限公司</w:t>
            </w:r>
            <w:r>
              <w:rPr>
                <w:bCs/>
                <w:color w:val="000000" w:themeColor="text1"/>
                <w:highlight w:val="none"/>
                <w:u w:val="single"/>
              </w:rPr>
              <w:t>实验室建设项目</w:t>
            </w:r>
            <w:r>
              <w:rPr>
                <w:rFonts w:hint="eastAsia"/>
                <w:bCs/>
                <w:color w:val="000000" w:themeColor="text1"/>
                <w:highlight w:val="none"/>
                <w:u w:val="single"/>
              </w:rPr>
              <w:t>”</w:t>
            </w:r>
            <w:r>
              <w:rPr>
                <w:bCs/>
                <w:color w:val="000000" w:themeColor="text1"/>
                <w:highlight w:val="none"/>
                <w:u w:val="single"/>
              </w:rPr>
              <w:t>实验和办公场所，</w:t>
            </w:r>
            <w:r>
              <w:rPr>
                <w:rFonts w:hint="eastAsia"/>
                <w:bCs/>
                <w:color w:val="000000" w:themeColor="text1"/>
                <w:highlight w:val="none"/>
                <w:u w:val="single"/>
              </w:rPr>
              <w:t>项目总</w:t>
            </w:r>
            <w:r>
              <w:rPr>
                <w:bCs/>
                <w:color w:val="000000" w:themeColor="text1"/>
                <w:highlight w:val="none"/>
                <w:u w:val="single"/>
              </w:rPr>
              <w:t>投资</w:t>
            </w:r>
            <w:r>
              <w:rPr>
                <w:rFonts w:hint="eastAsia"/>
                <w:bCs/>
                <w:color w:val="000000" w:themeColor="text1"/>
                <w:highlight w:val="none"/>
                <w:u w:val="single"/>
              </w:rPr>
              <w:t>2</w:t>
            </w:r>
            <w:r>
              <w:rPr>
                <w:bCs/>
                <w:color w:val="000000" w:themeColor="text1"/>
                <w:highlight w:val="none"/>
                <w:u w:val="single"/>
              </w:rPr>
              <w:t>00万元</w:t>
            </w:r>
            <w:r>
              <w:rPr>
                <w:rFonts w:hint="eastAsia"/>
                <w:bCs/>
                <w:color w:val="000000" w:themeColor="text1"/>
                <w:highlight w:val="none"/>
                <w:u w:val="single"/>
              </w:rPr>
              <w:t>，</w:t>
            </w:r>
            <w:r>
              <w:rPr>
                <w:bCs/>
                <w:color w:val="000000" w:themeColor="text1"/>
                <w:highlight w:val="none"/>
                <w:u w:val="single"/>
              </w:rPr>
              <w:t>总建筑面积</w:t>
            </w:r>
            <w:r>
              <w:rPr>
                <w:rFonts w:hint="eastAsia"/>
                <w:bCs/>
                <w:color w:val="000000" w:themeColor="text1"/>
                <w:highlight w:val="none"/>
                <w:u w:val="single"/>
                <w:lang w:val="en-US" w:eastAsia="zh-CN"/>
              </w:rPr>
              <w:t>80</w:t>
            </w:r>
            <w:r>
              <w:rPr>
                <w:rFonts w:hint="eastAsia"/>
                <w:bCs/>
                <w:color w:val="000000" w:themeColor="text1"/>
                <w:highlight w:val="none"/>
                <w:u w:val="single"/>
              </w:rPr>
              <w:t>0</w:t>
            </w:r>
            <w:r>
              <w:rPr>
                <w:bCs/>
                <w:color w:val="000000" w:themeColor="text1"/>
                <w:highlight w:val="none"/>
                <w:u w:val="single"/>
              </w:rPr>
              <w:t>平方米，主要经营范围为环境</w:t>
            </w:r>
            <w:r>
              <w:rPr>
                <w:rFonts w:hint="eastAsia"/>
                <w:bCs/>
                <w:color w:val="000000" w:themeColor="text1"/>
                <w:highlight w:val="none"/>
                <w:u w:val="single"/>
              </w:rPr>
              <w:t>的检测与研究等</w:t>
            </w:r>
            <w:r>
              <w:rPr>
                <w:rFonts w:hint="eastAsia"/>
                <w:bCs/>
                <w:color w:val="000000" w:themeColor="text1"/>
                <w:highlight w:val="none"/>
                <w:u w:val="single"/>
                <w:lang w:eastAsia="zh-CN"/>
              </w:rPr>
              <w:t>。本项目位于工业园区，用地符合建设用地要求，并经湖南湘阴高新技术产业开发区管理委员会同意建设（详见附件“</w:t>
            </w:r>
            <w:r>
              <w:rPr>
                <w:rFonts w:hint="eastAsia"/>
                <w:color w:val="000000" w:themeColor="text1"/>
                <w:sz w:val="24"/>
                <w:szCs w:val="24"/>
                <w:highlight w:val="none"/>
                <w:u w:val="single"/>
                <w:lang w:val="en-US" w:eastAsia="zh-CN"/>
              </w:rPr>
              <w:t>租赁协议及园区意见</w:t>
            </w:r>
            <w:r>
              <w:rPr>
                <w:rFonts w:hint="eastAsia"/>
                <w:bCs/>
                <w:color w:val="000000" w:themeColor="text1"/>
                <w:highlight w:val="none"/>
                <w:u w:val="single"/>
                <w:lang w:eastAsia="zh-CN"/>
              </w:rPr>
              <w:t>”）</w:t>
            </w:r>
            <w:r>
              <w:rPr>
                <w:rFonts w:hint="eastAsia"/>
                <w:bCs/>
                <w:color w:val="000000" w:themeColor="text1"/>
                <w:highlight w:val="none"/>
                <w:u w:val="single"/>
              </w:rPr>
              <w:t>。</w:t>
            </w:r>
          </w:p>
          <w:p>
            <w:pPr>
              <w:pStyle w:val="2"/>
              <w:spacing w:line="360" w:lineRule="auto"/>
              <w:ind w:firstLine="480"/>
              <w:rPr>
                <w:bCs/>
                <w:color w:val="000000" w:themeColor="text1"/>
                <w:highlight w:val="none"/>
                <w:u w:val="single"/>
              </w:rPr>
            </w:pPr>
            <w:r>
              <w:rPr>
                <w:rFonts w:hint="eastAsia"/>
                <w:bCs/>
                <w:color w:val="000000" w:themeColor="text1"/>
                <w:highlight w:val="none"/>
                <w:u w:val="single"/>
              </w:rPr>
              <w:t>本项目</w:t>
            </w:r>
            <w:r>
              <w:rPr>
                <w:bCs/>
                <w:color w:val="000000" w:themeColor="text1"/>
                <w:highlight w:val="none"/>
                <w:u w:val="single"/>
              </w:rPr>
              <w:t>不涉及</w:t>
            </w:r>
            <w:r>
              <w:rPr>
                <w:rFonts w:hint="eastAsia"/>
                <w:bCs/>
                <w:color w:val="000000" w:themeColor="text1"/>
                <w:highlight w:val="none"/>
                <w:u w:val="single"/>
              </w:rPr>
              <w:t>引起严重危害的</w:t>
            </w:r>
            <w:r>
              <w:rPr>
                <w:bCs/>
                <w:color w:val="000000" w:themeColor="text1"/>
                <w:highlight w:val="none"/>
                <w:u w:val="single"/>
              </w:rPr>
              <w:t>人体致病菌的培养等有生物安全风险的科学研究</w:t>
            </w:r>
            <w:r>
              <w:rPr>
                <w:color w:val="000000" w:themeColor="text1"/>
                <w:kern w:val="0"/>
                <w:highlight w:val="none"/>
                <w:u w:val="single"/>
              </w:rPr>
              <w:t>，无P3、P4等具有生物风险的实验室。</w:t>
            </w:r>
          </w:p>
          <w:p>
            <w:pPr>
              <w:spacing w:line="360" w:lineRule="auto"/>
              <w:ind w:firstLine="480" w:firstLineChars="200"/>
              <w:rPr>
                <w:color w:val="000000" w:themeColor="text1"/>
                <w:sz w:val="24"/>
                <w:highlight w:val="red"/>
              </w:rPr>
            </w:pPr>
            <w:r>
              <w:rPr>
                <w:bCs/>
                <w:color w:val="000000" w:themeColor="text1"/>
                <w:sz w:val="24"/>
                <w:highlight w:val="none"/>
              </w:rPr>
              <w:t>为保证项目建设与环境保护同步、协调发展，根据《中华人民共和国环境保护法》、《中华人民共和国环境影响评价法》、《建设项目环境保护管理条例》（国务院第682号令）、《建设项目环境影响评价分类管理名录》（环境保护部令2017年第44号）及《关于修改&lt;建设项目环境影响评价分类管理名录&gt;部分内容的决定》（生态环境部令2018年第1号）的有关规定，本项目属于三十七、研究与试验发展中107、专业实验室，本项目属于其他，</w:t>
            </w:r>
            <w:r>
              <w:rPr>
                <w:color w:val="000000" w:themeColor="text1"/>
                <w:sz w:val="24"/>
                <w:highlight w:val="none"/>
              </w:rPr>
              <w:t>应进行环境影响评价。为此，</w:t>
            </w:r>
            <w:r>
              <w:rPr>
                <w:rFonts w:hint="eastAsia"/>
                <w:color w:val="000000" w:themeColor="text1"/>
                <w:sz w:val="24"/>
                <w:highlight w:val="none"/>
                <w:lang w:eastAsia="zh-CN"/>
              </w:rPr>
              <w:t>湖南乐思检测有限公司</w:t>
            </w:r>
            <w:r>
              <w:rPr>
                <w:color w:val="000000" w:themeColor="text1"/>
                <w:sz w:val="24"/>
                <w:highlight w:val="none"/>
              </w:rPr>
              <w:t>委托</w:t>
            </w:r>
            <w:r>
              <w:rPr>
                <w:rFonts w:hint="eastAsia"/>
                <w:color w:val="000000" w:themeColor="text1"/>
                <w:sz w:val="24"/>
                <w:highlight w:val="none"/>
                <w:lang w:eastAsia="zh-CN"/>
              </w:rPr>
              <w:t>江西展航环保科技有限公司</w:t>
            </w:r>
            <w:r>
              <w:rPr>
                <w:color w:val="000000" w:themeColor="text1"/>
                <w:sz w:val="24"/>
                <w:highlight w:val="none"/>
              </w:rPr>
              <w:t>承担该项目环境影响评价工作。接受委托后，在当地有关部门的协作下对该项目进行了现场踏勘和资料收集，按有关技术规范编制完成该项目的环境影响报告表，待审批后作为开展项目建设环保设计及主管部门环境管理工作的依据。</w:t>
            </w:r>
          </w:p>
          <w:p>
            <w:pPr>
              <w:pStyle w:val="2"/>
              <w:spacing w:line="360" w:lineRule="auto"/>
              <w:ind w:firstLine="0" w:firstLineChars="0"/>
              <w:rPr>
                <w:b/>
                <w:bCs/>
                <w:color w:val="000000" w:themeColor="text1"/>
                <w:highlight w:val="none"/>
              </w:rPr>
            </w:pPr>
            <w:r>
              <w:rPr>
                <w:b/>
                <w:bCs/>
                <w:color w:val="000000" w:themeColor="text1"/>
                <w:highlight w:val="none"/>
              </w:rPr>
              <w:t>二、编制依据</w:t>
            </w:r>
          </w:p>
          <w:p>
            <w:pPr>
              <w:pStyle w:val="2"/>
              <w:spacing w:line="360" w:lineRule="auto"/>
              <w:ind w:firstLine="480"/>
              <w:rPr>
                <w:color w:val="000000" w:themeColor="text1"/>
                <w:highlight w:val="none"/>
              </w:rPr>
            </w:pPr>
            <w:r>
              <w:rPr>
                <w:color w:val="000000" w:themeColor="text1"/>
                <w:highlight w:val="none"/>
              </w:rPr>
              <w:t>1、《中华人民共和国环境保护法》（2015年1月1日）；</w:t>
            </w:r>
          </w:p>
          <w:p>
            <w:pPr>
              <w:pStyle w:val="2"/>
              <w:spacing w:line="360" w:lineRule="auto"/>
              <w:ind w:firstLine="480"/>
              <w:rPr>
                <w:color w:val="000000" w:themeColor="text1"/>
                <w:highlight w:val="none"/>
              </w:rPr>
            </w:pPr>
            <w:r>
              <w:rPr>
                <w:color w:val="000000" w:themeColor="text1"/>
                <w:highlight w:val="none"/>
              </w:rPr>
              <w:t>2、《中华人民共和国环境影响评价法》（2016年9月1日）；</w:t>
            </w:r>
          </w:p>
          <w:p>
            <w:pPr>
              <w:pStyle w:val="2"/>
              <w:spacing w:line="360" w:lineRule="auto"/>
              <w:ind w:firstLine="480"/>
              <w:rPr>
                <w:color w:val="000000" w:themeColor="text1"/>
                <w:highlight w:val="none"/>
              </w:rPr>
            </w:pPr>
            <w:r>
              <w:rPr>
                <w:color w:val="000000" w:themeColor="text1"/>
                <w:highlight w:val="none"/>
              </w:rPr>
              <w:t>3、《中华人民共和国大气污染防治法》（2016年1月1日）；</w:t>
            </w:r>
          </w:p>
          <w:p>
            <w:pPr>
              <w:pStyle w:val="2"/>
              <w:spacing w:line="360" w:lineRule="auto"/>
              <w:ind w:firstLine="480"/>
              <w:rPr>
                <w:color w:val="000000" w:themeColor="text1"/>
                <w:highlight w:val="none"/>
              </w:rPr>
            </w:pPr>
            <w:r>
              <w:rPr>
                <w:color w:val="000000" w:themeColor="text1"/>
                <w:highlight w:val="none"/>
              </w:rPr>
              <w:t>4、《中华人民共和国水污染防治法》（2018年1月1日）；</w:t>
            </w:r>
          </w:p>
          <w:p>
            <w:pPr>
              <w:pStyle w:val="2"/>
              <w:spacing w:line="360" w:lineRule="auto"/>
              <w:ind w:firstLine="480"/>
              <w:rPr>
                <w:color w:val="000000" w:themeColor="text1"/>
                <w:highlight w:val="none"/>
              </w:rPr>
            </w:pPr>
            <w:r>
              <w:rPr>
                <w:color w:val="000000" w:themeColor="text1"/>
                <w:highlight w:val="none"/>
              </w:rPr>
              <w:t>5、《中华人民共和国环境噪声污染防治法》（</w:t>
            </w:r>
            <w:r>
              <w:rPr>
                <w:rFonts w:hint="eastAsia"/>
                <w:color w:val="000000" w:themeColor="text1"/>
                <w:highlight w:val="none"/>
              </w:rPr>
              <w:t>2018</w:t>
            </w:r>
            <w:r>
              <w:rPr>
                <w:color w:val="000000" w:themeColor="text1"/>
                <w:highlight w:val="none"/>
              </w:rPr>
              <w:t>年</w:t>
            </w:r>
            <w:r>
              <w:rPr>
                <w:rFonts w:hint="eastAsia"/>
                <w:color w:val="000000" w:themeColor="text1"/>
                <w:highlight w:val="none"/>
              </w:rPr>
              <w:t>12</w:t>
            </w:r>
            <w:r>
              <w:rPr>
                <w:color w:val="000000" w:themeColor="text1"/>
                <w:highlight w:val="none"/>
              </w:rPr>
              <w:t>月</w:t>
            </w:r>
            <w:r>
              <w:rPr>
                <w:rFonts w:hint="eastAsia"/>
                <w:color w:val="000000" w:themeColor="text1"/>
                <w:highlight w:val="none"/>
              </w:rPr>
              <w:t>29</w:t>
            </w:r>
            <w:r>
              <w:rPr>
                <w:color w:val="000000" w:themeColor="text1"/>
                <w:highlight w:val="none"/>
              </w:rPr>
              <w:t>日）；</w:t>
            </w:r>
          </w:p>
          <w:p>
            <w:pPr>
              <w:pStyle w:val="2"/>
              <w:spacing w:line="360" w:lineRule="auto"/>
              <w:ind w:firstLine="480"/>
              <w:rPr>
                <w:color w:val="000000" w:themeColor="text1"/>
                <w:highlight w:val="none"/>
              </w:rPr>
            </w:pPr>
            <w:r>
              <w:rPr>
                <w:color w:val="000000" w:themeColor="text1"/>
                <w:highlight w:val="none"/>
              </w:rPr>
              <w:t>6、《中华人民共和国固体废物污染环境防治法》（</w:t>
            </w:r>
            <w:r>
              <w:rPr>
                <w:rFonts w:hint="eastAsia"/>
                <w:color w:val="000000" w:themeColor="text1"/>
                <w:highlight w:val="none"/>
              </w:rPr>
              <w:t>2016</w:t>
            </w:r>
            <w:r>
              <w:rPr>
                <w:color w:val="000000" w:themeColor="text1"/>
                <w:highlight w:val="none"/>
              </w:rPr>
              <w:t>年</w:t>
            </w:r>
            <w:r>
              <w:rPr>
                <w:rFonts w:hint="eastAsia"/>
                <w:color w:val="000000" w:themeColor="text1"/>
                <w:highlight w:val="none"/>
              </w:rPr>
              <w:t>11</w:t>
            </w:r>
            <w:r>
              <w:rPr>
                <w:color w:val="000000" w:themeColor="text1"/>
                <w:highlight w:val="none"/>
              </w:rPr>
              <w:t>月</w:t>
            </w:r>
            <w:r>
              <w:rPr>
                <w:rFonts w:hint="eastAsia"/>
                <w:color w:val="000000" w:themeColor="text1"/>
                <w:highlight w:val="none"/>
              </w:rPr>
              <w:t>07</w:t>
            </w:r>
            <w:r>
              <w:rPr>
                <w:color w:val="000000" w:themeColor="text1"/>
                <w:highlight w:val="none"/>
              </w:rPr>
              <w:t>日）；</w:t>
            </w:r>
          </w:p>
          <w:p>
            <w:pPr>
              <w:pStyle w:val="2"/>
              <w:spacing w:line="360" w:lineRule="auto"/>
              <w:ind w:firstLine="480"/>
              <w:rPr>
                <w:color w:val="000000" w:themeColor="text1"/>
                <w:highlight w:val="none"/>
              </w:rPr>
            </w:pPr>
            <w:r>
              <w:rPr>
                <w:color w:val="000000" w:themeColor="text1"/>
                <w:highlight w:val="none"/>
              </w:rPr>
              <w:t>7、《建设项目环境保护管理条例》（2017年10月1日）；</w:t>
            </w:r>
          </w:p>
          <w:p>
            <w:pPr>
              <w:pStyle w:val="2"/>
              <w:spacing w:line="360" w:lineRule="auto"/>
              <w:ind w:firstLine="480"/>
              <w:rPr>
                <w:color w:val="000000" w:themeColor="text1"/>
                <w:highlight w:val="none"/>
              </w:rPr>
            </w:pPr>
            <w:r>
              <w:rPr>
                <w:color w:val="000000" w:themeColor="text1"/>
                <w:highlight w:val="none"/>
              </w:rPr>
              <w:t>8、《建设项目环境影响评价分类管理名录》（2018年4月28日）；</w:t>
            </w:r>
          </w:p>
          <w:p>
            <w:pPr>
              <w:pStyle w:val="2"/>
              <w:spacing w:line="360" w:lineRule="auto"/>
              <w:ind w:firstLine="480"/>
              <w:rPr>
                <w:color w:val="000000" w:themeColor="text1"/>
                <w:highlight w:val="none"/>
              </w:rPr>
            </w:pPr>
            <w:r>
              <w:rPr>
                <w:color w:val="000000" w:themeColor="text1"/>
                <w:highlight w:val="none"/>
              </w:rPr>
              <w:t>9、《湖南省建设项目环境保护管理办法》（2007年10月1日）；</w:t>
            </w:r>
          </w:p>
          <w:p>
            <w:pPr>
              <w:pStyle w:val="2"/>
              <w:spacing w:line="360" w:lineRule="auto"/>
              <w:ind w:firstLine="480"/>
              <w:rPr>
                <w:color w:val="000000" w:themeColor="text1"/>
                <w:highlight w:val="none"/>
              </w:rPr>
            </w:pPr>
            <w:r>
              <w:rPr>
                <w:color w:val="000000" w:themeColor="text1"/>
                <w:highlight w:val="none"/>
              </w:rPr>
              <w:t>10、《环境影响评价公众参与办法》（2019年1月1日）；</w:t>
            </w:r>
          </w:p>
          <w:p>
            <w:pPr>
              <w:pStyle w:val="2"/>
              <w:spacing w:line="360" w:lineRule="auto"/>
              <w:ind w:firstLine="480"/>
              <w:rPr>
                <w:color w:val="000000" w:themeColor="text1"/>
                <w:highlight w:val="none"/>
              </w:rPr>
            </w:pPr>
            <w:r>
              <w:rPr>
                <w:color w:val="000000" w:themeColor="text1"/>
                <w:highlight w:val="none"/>
              </w:rPr>
              <w:t>11、《国家危险废物名录》（2016年8月1号，中华人民共和国环境保护部2016年修订本）。</w:t>
            </w:r>
          </w:p>
          <w:p>
            <w:pPr>
              <w:pStyle w:val="2"/>
              <w:spacing w:line="360" w:lineRule="auto"/>
              <w:ind w:firstLine="480"/>
              <w:rPr>
                <w:color w:val="000000" w:themeColor="text1"/>
                <w:highlight w:val="none"/>
              </w:rPr>
            </w:pPr>
            <w:r>
              <w:rPr>
                <w:color w:val="000000" w:themeColor="text1"/>
                <w:highlight w:val="none"/>
              </w:rPr>
              <w:t>12、《产业结构调整指导目录（201</w:t>
            </w:r>
            <w:r>
              <w:rPr>
                <w:rFonts w:hint="eastAsia"/>
                <w:color w:val="000000" w:themeColor="text1"/>
                <w:highlight w:val="none"/>
                <w:lang w:val="en-US" w:eastAsia="zh-CN"/>
              </w:rPr>
              <w:t>9</w:t>
            </w:r>
            <w:r>
              <w:rPr>
                <w:color w:val="000000" w:themeColor="text1"/>
                <w:highlight w:val="none"/>
              </w:rPr>
              <w:t>年本）》；</w:t>
            </w:r>
          </w:p>
          <w:p>
            <w:pPr>
              <w:pStyle w:val="2"/>
              <w:spacing w:line="360" w:lineRule="auto"/>
              <w:ind w:firstLine="480"/>
              <w:rPr>
                <w:color w:val="000000" w:themeColor="text1"/>
                <w:highlight w:val="none"/>
              </w:rPr>
            </w:pPr>
            <w:r>
              <w:rPr>
                <w:color w:val="000000" w:themeColor="text1"/>
                <w:highlight w:val="none"/>
              </w:rPr>
              <w:t>13、《环境影响评价技术导则 总纲》（HJ2.1-2016，2017年1月1日）；</w:t>
            </w:r>
          </w:p>
          <w:p>
            <w:pPr>
              <w:pStyle w:val="2"/>
              <w:spacing w:line="360" w:lineRule="auto"/>
              <w:ind w:firstLine="480"/>
              <w:rPr>
                <w:color w:val="000000" w:themeColor="text1"/>
                <w:highlight w:val="none"/>
              </w:rPr>
            </w:pPr>
            <w:r>
              <w:rPr>
                <w:color w:val="000000" w:themeColor="text1"/>
                <w:highlight w:val="none"/>
              </w:rPr>
              <w:t>14、《环境影响评价技术导则 大气环境》（HJ2.2-2018，2018年12月1日）；</w:t>
            </w:r>
          </w:p>
          <w:p>
            <w:pPr>
              <w:pStyle w:val="2"/>
              <w:spacing w:line="360" w:lineRule="auto"/>
              <w:ind w:firstLine="480"/>
              <w:rPr>
                <w:color w:val="000000" w:themeColor="text1"/>
                <w:highlight w:val="none"/>
              </w:rPr>
            </w:pPr>
            <w:r>
              <w:rPr>
                <w:color w:val="000000" w:themeColor="text1"/>
                <w:highlight w:val="none"/>
              </w:rPr>
              <w:t>15、《环境影响评价技术导则 地表水环境》（HJ2.3-2018，2019年3月1日）；</w:t>
            </w:r>
          </w:p>
          <w:p>
            <w:pPr>
              <w:pStyle w:val="2"/>
              <w:spacing w:line="360" w:lineRule="auto"/>
              <w:ind w:firstLine="480"/>
              <w:rPr>
                <w:color w:val="000000" w:themeColor="text1"/>
                <w:highlight w:val="none"/>
              </w:rPr>
            </w:pPr>
            <w:r>
              <w:rPr>
                <w:color w:val="000000" w:themeColor="text1"/>
                <w:highlight w:val="none"/>
              </w:rPr>
              <w:t>16、《环境影响评价技术导则 声环境》（HJ2.4-2009，2010年4月1日）；</w:t>
            </w:r>
          </w:p>
          <w:p>
            <w:pPr>
              <w:pStyle w:val="2"/>
              <w:spacing w:line="360" w:lineRule="auto"/>
              <w:ind w:firstLine="480"/>
              <w:rPr>
                <w:color w:val="000000" w:themeColor="text1"/>
                <w:highlight w:val="none"/>
              </w:rPr>
            </w:pPr>
            <w:r>
              <w:rPr>
                <w:color w:val="000000" w:themeColor="text1"/>
                <w:highlight w:val="none"/>
              </w:rPr>
              <w:t>17、《环境影响评价技术导则 生态影响》（HJ19-2011，2011年9月1日）；</w:t>
            </w:r>
          </w:p>
          <w:p>
            <w:pPr>
              <w:pStyle w:val="2"/>
              <w:spacing w:line="360" w:lineRule="auto"/>
              <w:ind w:firstLine="480"/>
              <w:rPr>
                <w:color w:val="000000" w:themeColor="text1"/>
                <w:highlight w:val="none"/>
                <w:u w:val="none"/>
              </w:rPr>
            </w:pPr>
            <w:r>
              <w:rPr>
                <w:rFonts w:hint="eastAsia"/>
                <w:color w:val="000000" w:themeColor="text1"/>
                <w:highlight w:val="none"/>
                <w:u w:val="none"/>
              </w:rPr>
              <w:t>18、</w:t>
            </w:r>
            <w:r>
              <w:rPr>
                <w:color w:val="000000" w:themeColor="text1"/>
                <w:highlight w:val="none"/>
                <w:u w:val="none"/>
              </w:rPr>
              <w:t>《</w:t>
            </w:r>
            <w:r>
              <w:rPr>
                <w:rFonts w:hint="eastAsia"/>
                <w:color w:val="000000" w:themeColor="text1"/>
                <w:highlight w:val="none"/>
                <w:u w:val="none"/>
              </w:rPr>
              <w:t>建设项目环境影响风险评价技术导则</w:t>
            </w:r>
            <w:r>
              <w:rPr>
                <w:color w:val="000000" w:themeColor="text1"/>
                <w:highlight w:val="none"/>
                <w:u w:val="none"/>
              </w:rPr>
              <w:t>》（HJ1</w:t>
            </w:r>
            <w:r>
              <w:rPr>
                <w:rFonts w:hint="eastAsia"/>
                <w:color w:val="000000" w:themeColor="text1"/>
                <w:highlight w:val="none"/>
                <w:u w:val="none"/>
              </w:rPr>
              <w:t>6</w:t>
            </w:r>
            <w:r>
              <w:rPr>
                <w:color w:val="000000" w:themeColor="text1"/>
                <w:highlight w:val="none"/>
                <w:u w:val="none"/>
              </w:rPr>
              <w:t>9-201</w:t>
            </w:r>
            <w:r>
              <w:rPr>
                <w:rFonts w:hint="eastAsia"/>
                <w:color w:val="000000" w:themeColor="text1"/>
                <w:highlight w:val="none"/>
                <w:u w:val="none"/>
              </w:rPr>
              <w:t>8</w:t>
            </w:r>
            <w:r>
              <w:rPr>
                <w:color w:val="000000" w:themeColor="text1"/>
                <w:highlight w:val="none"/>
                <w:u w:val="none"/>
              </w:rPr>
              <w:t>，201</w:t>
            </w:r>
            <w:r>
              <w:rPr>
                <w:rFonts w:hint="eastAsia"/>
                <w:color w:val="000000" w:themeColor="text1"/>
                <w:highlight w:val="none"/>
                <w:u w:val="none"/>
              </w:rPr>
              <w:t>8</w:t>
            </w:r>
            <w:r>
              <w:rPr>
                <w:color w:val="000000" w:themeColor="text1"/>
                <w:highlight w:val="none"/>
                <w:u w:val="none"/>
              </w:rPr>
              <w:t>年</w:t>
            </w:r>
            <w:r>
              <w:rPr>
                <w:rFonts w:hint="eastAsia"/>
                <w:color w:val="000000" w:themeColor="text1"/>
                <w:highlight w:val="none"/>
                <w:u w:val="none"/>
              </w:rPr>
              <w:t>10</w:t>
            </w:r>
            <w:r>
              <w:rPr>
                <w:color w:val="000000" w:themeColor="text1"/>
                <w:highlight w:val="none"/>
                <w:u w:val="none"/>
              </w:rPr>
              <w:t>月</w:t>
            </w:r>
            <w:r>
              <w:rPr>
                <w:rFonts w:hint="eastAsia"/>
                <w:color w:val="000000" w:themeColor="text1"/>
                <w:highlight w:val="none"/>
                <w:u w:val="none"/>
              </w:rPr>
              <w:t>14</w:t>
            </w:r>
            <w:r>
              <w:rPr>
                <w:color w:val="000000" w:themeColor="text1"/>
                <w:highlight w:val="none"/>
                <w:u w:val="none"/>
              </w:rPr>
              <w:t>日）；</w:t>
            </w:r>
          </w:p>
          <w:p>
            <w:pPr>
              <w:pStyle w:val="2"/>
              <w:spacing w:line="360" w:lineRule="auto"/>
              <w:ind w:firstLine="480"/>
              <w:rPr>
                <w:color w:val="000000" w:themeColor="text1"/>
                <w:highlight w:val="none"/>
                <w:u w:val="none"/>
              </w:rPr>
            </w:pPr>
            <w:r>
              <w:rPr>
                <w:rFonts w:hint="eastAsia"/>
                <w:color w:val="000000" w:themeColor="text1"/>
                <w:highlight w:val="none"/>
                <w:u w:val="none"/>
              </w:rPr>
              <w:t>19、</w:t>
            </w:r>
            <w:r>
              <w:rPr>
                <w:color w:val="000000" w:themeColor="text1"/>
                <w:highlight w:val="none"/>
                <w:u w:val="none"/>
              </w:rPr>
              <w:t>《</w:t>
            </w:r>
            <w:r>
              <w:rPr>
                <w:rFonts w:hint="eastAsia"/>
                <w:color w:val="000000" w:themeColor="text1"/>
                <w:highlight w:val="none"/>
                <w:u w:val="none"/>
              </w:rPr>
              <w:t>环境影响评价技术导则 土壤环境（试行）</w:t>
            </w:r>
            <w:r>
              <w:rPr>
                <w:color w:val="000000" w:themeColor="text1"/>
                <w:highlight w:val="none"/>
                <w:u w:val="none"/>
              </w:rPr>
              <w:t>》（HJ</w:t>
            </w:r>
            <w:r>
              <w:rPr>
                <w:rFonts w:hint="eastAsia"/>
                <w:color w:val="000000" w:themeColor="text1"/>
                <w:highlight w:val="none"/>
                <w:u w:val="none"/>
              </w:rPr>
              <w:t>964</w:t>
            </w:r>
            <w:r>
              <w:rPr>
                <w:color w:val="000000" w:themeColor="text1"/>
                <w:highlight w:val="none"/>
                <w:u w:val="none"/>
              </w:rPr>
              <w:t>-201</w:t>
            </w:r>
            <w:r>
              <w:rPr>
                <w:rFonts w:hint="eastAsia"/>
                <w:color w:val="000000" w:themeColor="text1"/>
                <w:highlight w:val="none"/>
                <w:u w:val="none"/>
              </w:rPr>
              <w:t>8</w:t>
            </w:r>
            <w:r>
              <w:rPr>
                <w:color w:val="000000" w:themeColor="text1"/>
                <w:highlight w:val="none"/>
                <w:u w:val="none"/>
              </w:rPr>
              <w:t>，201</w:t>
            </w:r>
            <w:r>
              <w:rPr>
                <w:rFonts w:hint="eastAsia"/>
                <w:color w:val="000000" w:themeColor="text1"/>
                <w:highlight w:val="none"/>
                <w:u w:val="none"/>
              </w:rPr>
              <w:t>8</w:t>
            </w:r>
            <w:r>
              <w:rPr>
                <w:color w:val="000000" w:themeColor="text1"/>
                <w:highlight w:val="none"/>
                <w:u w:val="none"/>
              </w:rPr>
              <w:t>年</w:t>
            </w:r>
            <w:r>
              <w:rPr>
                <w:rFonts w:hint="eastAsia"/>
                <w:color w:val="000000" w:themeColor="text1"/>
                <w:highlight w:val="none"/>
                <w:u w:val="none"/>
              </w:rPr>
              <w:t>9</w:t>
            </w:r>
            <w:r>
              <w:rPr>
                <w:color w:val="000000" w:themeColor="text1"/>
                <w:highlight w:val="none"/>
                <w:u w:val="none"/>
              </w:rPr>
              <w:t>月</w:t>
            </w:r>
            <w:r>
              <w:rPr>
                <w:rFonts w:hint="eastAsia"/>
                <w:color w:val="000000" w:themeColor="text1"/>
                <w:highlight w:val="none"/>
                <w:u w:val="none"/>
              </w:rPr>
              <w:t>13</w:t>
            </w:r>
            <w:r>
              <w:rPr>
                <w:color w:val="000000" w:themeColor="text1"/>
                <w:highlight w:val="none"/>
                <w:u w:val="none"/>
              </w:rPr>
              <w:t>日）；</w:t>
            </w:r>
          </w:p>
          <w:p>
            <w:pPr>
              <w:pStyle w:val="2"/>
              <w:spacing w:line="360" w:lineRule="auto"/>
              <w:ind w:firstLine="480" w:firstLineChars="0"/>
              <w:rPr>
                <w:b/>
                <w:bCs/>
                <w:color w:val="000000" w:themeColor="text1"/>
                <w:highlight w:val="none"/>
              </w:rPr>
            </w:pPr>
            <w:r>
              <w:rPr>
                <w:rFonts w:hint="eastAsia"/>
                <w:color w:val="000000" w:themeColor="text1"/>
                <w:highlight w:val="none"/>
              </w:rPr>
              <w:t>20</w:t>
            </w:r>
            <w:r>
              <w:rPr>
                <w:color w:val="000000" w:themeColor="text1"/>
                <w:highlight w:val="none"/>
              </w:rPr>
              <w:t>、</w:t>
            </w:r>
            <w:r>
              <w:rPr>
                <w:rFonts w:hint="eastAsia"/>
                <w:color w:val="000000" w:themeColor="text1"/>
                <w:highlight w:val="none"/>
                <w:lang w:eastAsia="zh-CN"/>
              </w:rPr>
              <w:t>湖南乐思检测有限公司</w:t>
            </w:r>
            <w:r>
              <w:rPr>
                <w:color w:val="000000" w:themeColor="text1"/>
                <w:highlight w:val="none"/>
              </w:rPr>
              <w:t>提供的有关技术资料</w:t>
            </w:r>
            <w:r>
              <w:rPr>
                <w:rFonts w:hint="eastAsia"/>
                <w:color w:val="000000" w:themeColor="text1"/>
                <w:highlight w:val="none"/>
              </w:rPr>
              <w:t>。</w:t>
            </w:r>
          </w:p>
          <w:p>
            <w:pPr>
              <w:pStyle w:val="2"/>
              <w:spacing w:line="360" w:lineRule="auto"/>
              <w:ind w:firstLine="0" w:firstLineChars="0"/>
              <w:rPr>
                <w:b/>
                <w:bCs/>
                <w:color w:val="000000" w:themeColor="text1"/>
                <w:highlight w:val="none"/>
              </w:rPr>
            </w:pPr>
            <w:r>
              <w:rPr>
                <w:b/>
                <w:bCs/>
                <w:color w:val="000000" w:themeColor="text1"/>
                <w:highlight w:val="none"/>
              </w:rPr>
              <w:t>三、项目基本情况</w:t>
            </w:r>
          </w:p>
          <w:p>
            <w:pPr>
              <w:pStyle w:val="2"/>
              <w:spacing w:line="360" w:lineRule="auto"/>
              <w:ind w:firstLine="480"/>
              <w:rPr>
                <w:color w:val="000000" w:themeColor="text1"/>
                <w:highlight w:val="none"/>
              </w:rPr>
            </w:pPr>
            <w:r>
              <w:rPr>
                <w:color w:val="000000" w:themeColor="text1"/>
                <w:highlight w:val="none"/>
              </w:rPr>
              <w:t>1、建设规模及内容</w:t>
            </w:r>
          </w:p>
          <w:p>
            <w:pPr>
              <w:pStyle w:val="2"/>
              <w:spacing w:line="360" w:lineRule="auto"/>
              <w:ind w:firstLine="480"/>
              <w:rPr>
                <w:color w:val="000000" w:themeColor="text1"/>
                <w:highlight w:val="none"/>
              </w:rPr>
            </w:pPr>
            <w:r>
              <w:rPr>
                <w:color w:val="000000" w:themeColor="text1"/>
                <w:highlight w:val="none"/>
              </w:rPr>
              <w:t>项目总投资</w:t>
            </w:r>
            <w:r>
              <w:rPr>
                <w:rFonts w:hint="eastAsia"/>
                <w:color w:val="000000" w:themeColor="text1"/>
                <w:highlight w:val="none"/>
              </w:rPr>
              <w:t>2</w:t>
            </w:r>
            <w:r>
              <w:rPr>
                <w:color w:val="000000" w:themeColor="text1"/>
                <w:highlight w:val="none"/>
              </w:rPr>
              <w:t>00万元，建筑面积约</w:t>
            </w:r>
            <w:r>
              <w:rPr>
                <w:rFonts w:hint="eastAsia"/>
                <w:bCs/>
                <w:color w:val="000000" w:themeColor="text1"/>
                <w:szCs w:val="24"/>
                <w:highlight w:val="none"/>
                <w:lang w:val="en-US" w:eastAsia="zh-CN"/>
              </w:rPr>
              <w:t>80</w:t>
            </w:r>
            <w:r>
              <w:rPr>
                <w:rFonts w:hint="eastAsia"/>
                <w:bCs/>
                <w:color w:val="000000" w:themeColor="text1"/>
                <w:szCs w:val="24"/>
                <w:highlight w:val="none"/>
              </w:rPr>
              <w:t>0</w:t>
            </w:r>
            <w:r>
              <w:rPr>
                <w:color w:val="000000" w:themeColor="text1"/>
                <w:highlight w:val="none"/>
              </w:rPr>
              <w:t>平方米。项目主要建设内容见表1-1。</w:t>
            </w:r>
          </w:p>
          <w:p>
            <w:pPr>
              <w:tabs>
                <w:tab w:val="left" w:pos="720"/>
              </w:tabs>
              <w:jc w:val="center"/>
              <w:rPr>
                <w:b/>
                <w:bCs/>
                <w:color w:val="000000" w:themeColor="text1"/>
                <w:sz w:val="21"/>
                <w:szCs w:val="21"/>
                <w:highlight w:val="red"/>
              </w:rPr>
            </w:pPr>
            <w:r>
              <w:rPr>
                <w:b/>
                <w:bCs/>
                <w:color w:val="000000" w:themeColor="text1"/>
                <w:sz w:val="21"/>
                <w:szCs w:val="21"/>
                <w:highlight w:val="none"/>
              </w:rPr>
              <w:t>表1-1  项目主要建设内容</w:t>
            </w:r>
          </w:p>
          <w:tbl>
            <w:tblPr>
              <w:tblStyle w:val="34"/>
              <w:tblW w:w="8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2042"/>
              <w:gridCol w:w="5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5" w:type="dxa"/>
                  <w:vAlign w:val="center"/>
                </w:tcPr>
                <w:p>
                  <w:pPr>
                    <w:pStyle w:val="123"/>
                    <w:jc w:val="center"/>
                    <w:rPr>
                      <w:rFonts w:hint="eastAsia" w:ascii="宋体" w:eastAsia="宋体" w:cs="宋体"/>
                      <w:sz w:val="21"/>
                    </w:rPr>
                  </w:pPr>
                  <w:r>
                    <w:rPr>
                      <w:rFonts w:hint="eastAsia" w:ascii="宋体" w:eastAsia="宋体" w:cs="宋体"/>
                      <w:sz w:val="21"/>
                    </w:rPr>
                    <w:t>序号</w:t>
                  </w:r>
                </w:p>
              </w:tc>
              <w:tc>
                <w:tcPr>
                  <w:tcW w:w="2042" w:type="dxa"/>
                  <w:vAlign w:val="center"/>
                </w:tcPr>
                <w:p>
                  <w:pPr>
                    <w:pStyle w:val="123"/>
                    <w:jc w:val="center"/>
                    <w:rPr>
                      <w:rFonts w:hint="eastAsia" w:ascii="宋体" w:eastAsia="宋体" w:cs="宋体"/>
                      <w:sz w:val="21"/>
                    </w:rPr>
                  </w:pPr>
                  <w:r>
                    <w:rPr>
                      <w:rFonts w:hint="eastAsia" w:ascii="宋体" w:eastAsia="宋体" w:cs="宋体"/>
                      <w:sz w:val="21"/>
                    </w:rPr>
                    <w:t>名称</w:t>
                  </w:r>
                </w:p>
              </w:tc>
              <w:tc>
                <w:tcPr>
                  <w:tcW w:w="5511" w:type="dxa"/>
                  <w:vAlign w:val="center"/>
                </w:tcPr>
                <w:p>
                  <w:pPr>
                    <w:pStyle w:val="123"/>
                    <w:jc w:val="center"/>
                    <w:rPr>
                      <w:rFonts w:hint="eastAsia" w:ascii="宋体" w:eastAsia="宋体" w:cs="宋体"/>
                      <w:sz w:val="21"/>
                    </w:rPr>
                  </w:pPr>
                  <w:r>
                    <w:rPr>
                      <w:rFonts w:hint="eastAsia" w:ascii="宋体" w:eastAsia="宋体" w:cs="宋体"/>
                      <w:sz w:val="21"/>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085" w:type="dxa"/>
                  <w:vAlign w:val="center"/>
                </w:tcPr>
                <w:p>
                  <w:pPr>
                    <w:pStyle w:val="123"/>
                    <w:jc w:val="center"/>
                    <w:rPr>
                      <w:rFonts w:hint="eastAsia" w:ascii="宋体" w:eastAsia="宋体" w:cs="宋体"/>
                      <w:sz w:val="21"/>
                    </w:rPr>
                  </w:pPr>
                  <w:r>
                    <w:rPr>
                      <w:rFonts w:hint="eastAsia" w:ascii="宋体" w:eastAsia="宋体" w:cs="宋体"/>
                      <w:sz w:val="21"/>
                    </w:rPr>
                    <w:t>主体工程</w:t>
                  </w:r>
                </w:p>
              </w:tc>
              <w:tc>
                <w:tcPr>
                  <w:tcW w:w="2042" w:type="dxa"/>
                  <w:vAlign w:val="center"/>
                </w:tcPr>
                <w:p>
                  <w:pPr>
                    <w:pStyle w:val="123"/>
                    <w:jc w:val="center"/>
                    <w:rPr>
                      <w:rFonts w:hint="eastAsia" w:ascii="宋体" w:eastAsia="宋体" w:cs="宋体"/>
                      <w:sz w:val="21"/>
                    </w:rPr>
                  </w:pPr>
                  <w:r>
                    <w:rPr>
                      <w:rFonts w:hint="eastAsia" w:ascii="宋体" w:eastAsia="宋体" w:cs="宋体"/>
                      <w:sz w:val="21"/>
                    </w:rPr>
                    <w:t>实验室</w:t>
                  </w:r>
                </w:p>
              </w:tc>
              <w:tc>
                <w:tcPr>
                  <w:tcW w:w="5511" w:type="dxa"/>
                  <w:vAlign w:val="center"/>
                </w:tcPr>
                <w:p>
                  <w:pPr>
                    <w:pStyle w:val="123"/>
                    <w:jc w:val="center"/>
                    <w:rPr>
                      <w:rFonts w:hint="eastAsia" w:ascii="宋体" w:eastAsia="宋体" w:cs="宋体"/>
                      <w:sz w:val="21"/>
                      <w:lang w:eastAsia="zh-CN"/>
                    </w:rPr>
                  </w:pPr>
                  <w:r>
                    <w:rPr>
                      <w:rFonts w:hint="eastAsia" w:ascii="宋体" w:cs="宋体"/>
                      <w:sz w:val="21"/>
                      <w:lang w:eastAsia="zh-CN"/>
                    </w:rPr>
                    <w:t>位于项目二楼，钢构结构，建筑面积约</w:t>
                  </w:r>
                  <w:r>
                    <w:rPr>
                      <w:rFonts w:hint="eastAsia" w:ascii="宋体" w:cs="宋体"/>
                      <w:sz w:val="21"/>
                      <w:lang w:val="en-US" w:eastAsia="zh-CN"/>
                    </w:rPr>
                    <w:t>400㎡。</w:t>
                  </w:r>
                  <w:r>
                    <w:rPr>
                      <w:rFonts w:hint="eastAsia" w:ascii="宋体" w:cs="宋体"/>
                      <w:sz w:val="21"/>
                      <w:lang w:eastAsia="zh-CN"/>
                    </w:rPr>
                    <w:t>检测类别包括：环境检测：环境空气与废气检测、水源地水质和生活饮用水检测、噪声与振动检测、土壤检测、固体废弃物、室内空气质量检测、工业废水检测、生活污水检测、地下水质量检测、地表水质量检测、公共场所微生物检测、公共场所进出风系统检测、公共场所物理指标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5" w:type="dxa"/>
                  <w:vMerge w:val="restart"/>
                  <w:vAlign w:val="center"/>
                </w:tcPr>
                <w:p>
                  <w:pPr>
                    <w:pStyle w:val="123"/>
                    <w:jc w:val="center"/>
                    <w:rPr>
                      <w:rFonts w:hint="eastAsia" w:ascii="宋体" w:eastAsia="宋体" w:cs="宋体"/>
                      <w:sz w:val="21"/>
                    </w:rPr>
                  </w:pPr>
                  <w:r>
                    <w:rPr>
                      <w:rFonts w:hint="eastAsia" w:ascii="宋体" w:eastAsia="宋体" w:cs="宋体"/>
                      <w:sz w:val="21"/>
                    </w:rPr>
                    <w:t>辅助工程</w:t>
                  </w:r>
                </w:p>
              </w:tc>
              <w:tc>
                <w:tcPr>
                  <w:tcW w:w="2042" w:type="dxa"/>
                  <w:vAlign w:val="center"/>
                </w:tcPr>
                <w:p>
                  <w:pPr>
                    <w:pStyle w:val="123"/>
                    <w:jc w:val="center"/>
                    <w:rPr>
                      <w:rFonts w:hint="eastAsia" w:ascii="宋体" w:eastAsia="宋体" w:cs="宋体"/>
                      <w:sz w:val="21"/>
                    </w:rPr>
                  </w:pPr>
                  <w:r>
                    <w:rPr>
                      <w:rFonts w:hint="eastAsia" w:ascii="宋体" w:eastAsia="宋体" w:cs="宋体"/>
                      <w:sz w:val="21"/>
                    </w:rPr>
                    <w:t>办公室</w:t>
                  </w:r>
                </w:p>
              </w:tc>
              <w:tc>
                <w:tcPr>
                  <w:tcW w:w="5511" w:type="dxa"/>
                  <w:vAlign w:val="center"/>
                </w:tcPr>
                <w:p>
                  <w:pPr>
                    <w:pStyle w:val="123"/>
                    <w:jc w:val="center"/>
                    <w:rPr>
                      <w:rFonts w:hint="default" w:ascii="宋体" w:eastAsia="宋体" w:cs="宋体"/>
                      <w:sz w:val="21"/>
                      <w:lang w:val="en-US" w:eastAsia="zh-CN"/>
                    </w:rPr>
                  </w:pPr>
                  <w:r>
                    <w:rPr>
                      <w:rFonts w:hint="eastAsia" w:ascii="宋体" w:cs="宋体"/>
                      <w:sz w:val="21"/>
                      <w:lang w:eastAsia="zh-CN"/>
                    </w:rPr>
                    <w:t>位于一楼南面，钢构结构，建筑面积约</w:t>
                  </w:r>
                  <w:r>
                    <w:rPr>
                      <w:rFonts w:hint="eastAsia" w:ascii="宋体" w:cs="宋体"/>
                      <w:sz w:val="21"/>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5" w:type="dxa"/>
                  <w:vMerge w:val="continue"/>
                  <w:vAlign w:val="center"/>
                </w:tcPr>
                <w:p>
                  <w:pPr>
                    <w:pStyle w:val="123"/>
                    <w:jc w:val="center"/>
                    <w:rPr>
                      <w:rFonts w:hint="eastAsia" w:ascii="宋体" w:eastAsia="宋体" w:cs="宋体"/>
                      <w:sz w:val="21"/>
                    </w:rPr>
                  </w:pPr>
                </w:p>
              </w:tc>
              <w:tc>
                <w:tcPr>
                  <w:tcW w:w="2042" w:type="dxa"/>
                  <w:vAlign w:val="center"/>
                </w:tcPr>
                <w:p>
                  <w:pPr>
                    <w:pStyle w:val="123"/>
                    <w:jc w:val="center"/>
                    <w:rPr>
                      <w:rFonts w:hint="eastAsia" w:ascii="宋体" w:eastAsia="宋体" w:cs="宋体"/>
                      <w:sz w:val="21"/>
                      <w:lang w:eastAsia="zh-CN"/>
                    </w:rPr>
                  </w:pPr>
                  <w:r>
                    <w:rPr>
                      <w:rFonts w:hint="eastAsia" w:ascii="宋体" w:cs="宋体"/>
                      <w:sz w:val="21"/>
                      <w:lang w:eastAsia="zh-CN"/>
                    </w:rPr>
                    <w:t>仓库</w:t>
                  </w:r>
                </w:p>
              </w:tc>
              <w:tc>
                <w:tcPr>
                  <w:tcW w:w="5511" w:type="dxa"/>
                  <w:vAlign w:val="center"/>
                </w:tcPr>
                <w:p>
                  <w:pPr>
                    <w:pStyle w:val="123"/>
                    <w:jc w:val="center"/>
                    <w:rPr>
                      <w:rFonts w:hint="default" w:ascii="宋体" w:cs="宋体"/>
                      <w:sz w:val="21"/>
                      <w:lang w:val="en-US" w:eastAsia="zh-CN"/>
                    </w:rPr>
                  </w:pPr>
                  <w:r>
                    <w:rPr>
                      <w:rFonts w:hint="eastAsia" w:ascii="宋体" w:cs="宋体"/>
                      <w:sz w:val="21"/>
                      <w:lang w:eastAsia="zh-CN"/>
                    </w:rPr>
                    <w:t>位于一楼北面，钢构结构，建筑面积约</w:t>
                  </w:r>
                  <w:r>
                    <w:rPr>
                      <w:rFonts w:hint="eastAsia" w:ascii="宋体" w:cs="宋体"/>
                      <w:sz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5" w:type="dxa"/>
                  <w:vMerge w:val="continue"/>
                  <w:vAlign w:val="center"/>
                </w:tcPr>
                <w:p>
                  <w:pPr>
                    <w:pStyle w:val="123"/>
                    <w:jc w:val="center"/>
                    <w:rPr>
                      <w:rFonts w:hint="eastAsia" w:ascii="宋体" w:eastAsia="宋体" w:cs="宋体"/>
                      <w:sz w:val="21"/>
                    </w:rPr>
                  </w:pPr>
                </w:p>
              </w:tc>
              <w:tc>
                <w:tcPr>
                  <w:tcW w:w="2042" w:type="dxa"/>
                  <w:vAlign w:val="center"/>
                </w:tcPr>
                <w:p>
                  <w:pPr>
                    <w:spacing w:line="260" w:lineRule="exact"/>
                    <w:jc w:val="center"/>
                    <w:rPr>
                      <w:rFonts w:hint="eastAsia" w:ascii="Times New Roman" w:hAnsi="Times New Roman" w:eastAsia="宋体" w:cs="Times New Roman"/>
                      <w:color w:val="000000" w:themeColor="text1"/>
                      <w:kern w:val="2"/>
                      <w:sz w:val="21"/>
                      <w:szCs w:val="21"/>
                      <w:lang w:val="en-US" w:eastAsia="zh-CN" w:bidi="ar-SA"/>
                    </w:rPr>
                  </w:pPr>
                  <w:r>
                    <w:rPr>
                      <w:color w:val="000000" w:themeColor="text1"/>
                      <w:sz w:val="21"/>
                      <w:szCs w:val="21"/>
                    </w:rPr>
                    <w:t>食宿</w:t>
                  </w:r>
                </w:p>
              </w:tc>
              <w:tc>
                <w:tcPr>
                  <w:tcW w:w="5511" w:type="dxa"/>
                  <w:vAlign w:val="center"/>
                </w:tcPr>
                <w:p>
                  <w:pPr>
                    <w:spacing w:line="260" w:lineRule="exact"/>
                    <w:jc w:val="center"/>
                    <w:rPr>
                      <w:rFonts w:hint="eastAsia" w:ascii="Times New Roman" w:hAnsi="Times New Roman" w:eastAsia="宋体" w:cs="Times New Roman"/>
                      <w:color w:val="000000" w:themeColor="text1"/>
                      <w:kern w:val="2"/>
                      <w:sz w:val="21"/>
                      <w:szCs w:val="21"/>
                      <w:lang w:val="en-US" w:eastAsia="zh-CN" w:bidi="ar-SA"/>
                    </w:rPr>
                  </w:pPr>
                  <w:r>
                    <w:rPr>
                      <w:color w:val="000000" w:themeColor="text1"/>
                      <w:sz w:val="21"/>
                      <w:szCs w:val="21"/>
                    </w:rPr>
                    <w:t>项目不设食堂和宿舍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5" w:type="dxa"/>
                  <w:vMerge w:val="restart"/>
                  <w:vAlign w:val="center"/>
                </w:tcPr>
                <w:p>
                  <w:pPr>
                    <w:pStyle w:val="123"/>
                    <w:jc w:val="center"/>
                    <w:rPr>
                      <w:rFonts w:hint="eastAsia" w:ascii="宋体" w:eastAsia="宋体" w:cs="宋体"/>
                      <w:sz w:val="21"/>
                    </w:rPr>
                  </w:pPr>
                  <w:r>
                    <w:rPr>
                      <w:rFonts w:hint="eastAsia" w:ascii="宋体" w:eastAsia="宋体" w:cs="宋体"/>
                      <w:sz w:val="21"/>
                    </w:rPr>
                    <w:t>公用工程</w:t>
                  </w:r>
                </w:p>
              </w:tc>
              <w:tc>
                <w:tcPr>
                  <w:tcW w:w="2042" w:type="dxa"/>
                  <w:vAlign w:val="center"/>
                </w:tcPr>
                <w:p>
                  <w:pPr>
                    <w:pStyle w:val="123"/>
                    <w:jc w:val="center"/>
                    <w:rPr>
                      <w:rFonts w:hint="eastAsia" w:ascii="宋体" w:eastAsia="宋体" w:cs="宋体"/>
                      <w:sz w:val="21"/>
                    </w:rPr>
                  </w:pPr>
                  <w:r>
                    <w:rPr>
                      <w:rFonts w:hint="eastAsia" w:ascii="宋体" w:eastAsia="宋体" w:cs="宋体"/>
                      <w:sz w:val="21"/>
                    </w:rPr>
                    <w:t>供电</w:t>
                  </w:r>
                </w:p>
              </w:tc>
              <w:tc>
                <w:tcPr>
                  <w:tcW w:w="5511" w:type="dxa"/>
                  <w:vAlign w:val="center"/>
                </w:tcPr>
                <w:p>
                  <w:pPr>
                    <w:pStyle w:val="123"/>
                    <w:jc w:val="center"/>
                    <w:rPr>
                      <w:rFonts w:hint="eastAsia" w:ascii="宋体" w:eastAsia="宋体" w:cs="宋体"/>
                      <w:sz w:val="21"/>
                    </w:rPr>
                  </w:pPr>
                  <w:r>
                    <w:rPr>
                      <w:rFonts w:hint="eastAsia" w:ascii="宋体" w:eastAsia="宋体" w:cs="宋体"/>
                      <w:sz w:val="21"/>
                    </w:rPr>
                    <w:t>由市政供电，依托湖南奇思环保设备制造有限公司配电站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5" w:type="dxa"/>
                  <w:vMerge w:val="continue"/>
                  <w:vAlign w:val="center"/>
                </w:tcPr>
                <w:p>
                  <w:pPr>
                    <w:pStyle w:val="123"/>
                    <w:jc w:val="center"/>
                    <w:rPr>
                      <w:rFonts w:hint="eastAsia" w:ascii="宋体" w:eastAsia="宋体" w:cs="宋体"/>
                      <w:sz w:val="21"/>
                    </w:rPr>
                  </w:pPr>
                </w:p>
              </w:tc>
              <w:tc>
                <w:tcPr>
                  <w:tcW w:w="2042" w:type="dxa"/>
                  <w:vAlign w:val="center"/>
                </w:tcPr>
                <w:p>
                  <w:pPr>
                    <w:pStyle w:val="123"/>
                    <w:jc w:val="center"/>
                    <w:rPr>
                      <w:rFonts w:hint="eastAsia" w:ascii="宋体" w:eastAsia="宋体" w:cs="宋体"/>
                      <w:sz w:val="21"/>
                    </w:rPr>
                  </w:pPr>
                  <w:r>
                    <w:rPr>
                      <w:rFonts w:hint="eastAsia" w:ascii="宋体" w:eastAsia="宋体" w:cs="宋体"/>
                      <w:sz w:val="21"/>
                    </w:rPr>
                    <w:t>供水</w:t>
                  </w:r>
                </w:p>
              </w:tc>
              <w:tc>
                <w:tcPr>
                  <w:tcW w:w="5511" w:type="dxa"/>
                  <w:vAlign w:val="center"/>
                </w:tcPr>
                <w:p>
                  <w:pPr>
                    <w:pStyle w:val="123"/>
                    <w:jc w:val="center"/>
                    <w:rPr>
                      <w:rFonts w:hint="eastAsia" w:ascii="宋体" w:eastAsia="宋体" w:cs="宋体"/>
                      <w:sz w:val="21"/>
                    </w:rPr>
                  </w:pPr>
                  <w:r>
                    <w:rPr>
                      <w:rFonts w:hint="eastAsia" w:ascii="宋体" w:cs="宋体"/>
                      <w:sz w:val="21"/>
                      <w:lang w:val="en-US" w:eastAsia="zh-CN"/>
                    </w:rPr>
                    <w:t>由</w:t>
                  </w:r>
                  <w:r>
                    <w:rPr>
                      <w:rFonts w:hint="eastAsia" w:ascii="宋体" w:eastAsia="宋体" w:cs="宋体"/>
                      <w:sz w:val="21"/>
                    </w:rPr>
                    <w:t>市政供水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5" w:type="dxa"/>
                  <w:vMerge w:val="restart"/>
                  <w:vAlign w:val="center"/>
                </w:tcPr>
                <w:p>
                  <w:pPr>
                    <w:pStyle w:val="123"/>
                    <w:jc w:val="center"/>
                    <w:rPr>
                      <w:rFonts w:hint="eastAsia" w:ascii="宋体" w:eastAsia="宋体" w:cs="宋体"/>
                      <w:sz w:val="21"/>
                    </w:rPr>
                  </w:pPr>
                  <w:r>
                    <w:rPr>
                      <w:rFonts w:hint="eastAsia" w:ascii="宋体" w:eastAsia="宋体" w:cs="宋体"/>
                      <w:sz w:val="21"/>
                    </w:rPr>
                    <w:t>环保工程</w:t>
                  </w:r>
                </w:p>
              </w:tc>
              <w:tc>
                <w:tcPr>
                  <w:tcW w:w="2042"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噪声治理</w:t>
                  </w:r>
                </w:p>
              </w:tc>
              <w:tc>
                <w:tcPr>
                  <w:tcW w:w="551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合理布局、隔声降噪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5" w:type="dxa"/>
                  <w:vMerge w:val="continue"/>
                  <w:vAlign w:val="center"/>
                </w:tcPr>
                <w:p>
                  <w:pPr>
                    <w:pStyle w:val="123"/>
                    <w:jc w:val="center"/>
                    <w:rPr>
                      <w:rFonts w:hint="eastAsia" w:ascii="宋体" w:eastAsia="宋体" w:cs="宋体"/>
                      <w:sz w:val="21"/>
                    </w:rPr>
                  </w:pPr>
                </w:p>
              </w:tc>
              <w:tc>
                <w:tcPr>
                  <w:tcW w:w="2042"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固废处理</w:t>
                  </w:r>
                </w:p>
              </w:tc>
              <w:tc>
                <w:tcPr>
                  <w:tcW w:w="5511" w:type="dxa"/>
                  <w:vAlign w:val="center"/>
                </w:tcPr>
                <w:p>
                  <w:pPr>
                    <w:jc w:val="both"/>
                    <w:rPr>
                      <w:rFonts w:hint="eastAsia" w:ascii="宋体" w:hAnsi="宋体" w:cs="宋体"/>
                      <w:sz w:val="21"/>
                      <w:szCs w:val="21"/>
                      <w:lang w:eastAsia="zh-CN"/>
                    </w:rPr>
                  </w:pPr>
                  <w:r>
                    <w:rPr>
                      <w:rFonts w:hint="eastAsia" w:ascii="宋体" w:hAnsi="宋体" w:cs="宋体"/>
                      <w:sz w:val="21"/>
                      <w:szCs w:val="21"/>
                      <w:lang w:eastAsia="zh-CN"/>
                    </w:rPr>
                    <w:t>生活垃圾设置专门垃圾桶收集，收集后交环卫部门统一清运处理；</w:t>
                  </w:r>
                </w:p>
                <w:p>
                  <w:pPr>
                    <w:jc w:val="both"/>
                    <w:rPr>
                      <w:rFonts w:hint="eastAsia" w:ascii="宋体" w:hAnsi="宋体" w:cs="宋体"/>
                      <w:sz w:val="21"/>
                      <w:szCs w:val="21"/>
                      <w:lang w:eastAsia="zh-CN"/>
                    </w:rPr>
                  </w:pPr>
                  <w:r>
                    <w:rPr>
                      <w:rFonts w:hint="eastAsia" w:ascii="宋体" w:hAnsi="宋体" w:cs="宋体"/>
                      <w:sz w:val="21"/>
                      <w:szCs w:val="21"/>
                      <w:lang w:eastAsia="zh-CN"/>
                    </w:rPr>
                    <w:t>实验过程中产生的各类废液（一般实验废液、含重金属的实验废液）、装有危险化学品的废包装、过期失效药剂、化学品废弃容器由危废暂存间暂存后委托有资质单位进行处理；</w:t>
                  </w:r>
                </w:p>
                <w:p>
                  <w:pPr>
                    <w:jc w:val="both"/>
                    <w:rPr>
                      <w:rFonts w:hint="eastAsia" w:ascii="宋体" w:hAnsi="宋体" w:cs="宋体"/>
                      <w:sz w:val="21"/>
                      <w:szCs w:val="21"/>
                      <w:lang w:eastAsia="zh-CN"/>
                    </w:rPr>
                  </w:pPr>
                  <w:r>
                    <w:rPr>
                      <w:rFonts w:hint="eastAsia" w:ascii="宋体" w:hAnsi="宋体" w:cs="宋体"/>
                      <w:sz w:val="21"/>
                      <w:szCs w:val="21"/>
                      <w:lang w:eastAsia="zh-CN"/>
                    </w:rPr>
                    <w:t>废培养基经高压灭菌锅灭活处理后与生活垃圾一并由当地环卫部门处置；</w:t>
                  </w:r>
                </w:p>
                <w:p>
                  <w:pPr>
                    <w:jc w:val="both"/>
                    <w:rPr>
                      <w:rFonts w:hint="eastAsia"/>
                      <w:lang w:eastAsia="zh-CN"/>
                    </w:rPr>
                  </w:pPr>
                  <w:r>
                    <w:rPr>
                      <w:rFonts w:hint="eastAsia" w:ascii="宋体" w:hAnsi="宋体" w:cs="宋体"/>
                      <w:sz w:val="21"/>
                      <w:szCs w:val="21"/>
                      <w:lang w:eastAsia="zh-CN"/>
                    </w:rPr>
                    <w:t>检测过程中产生的不含危险化学品的废纸箱、玻璃瓶由废品回收站回收，废塑料、不含重金属或重金属未超标的废样品等固态物质作为生活垃圾由环卫部门统一收集处置。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085" w:type="dxa"/>
                  <w:vMerge w:val="continue"/>
                  <w:vAlign w:val="center"/>
                </w:tcPr>
                <w:p>
                  <w:pPr>
                    <w:pStyle w:val="123"/>
                    <w:jc w:val="center"/>
                    <w:rPr>
                      <w:rFonts w:hint="eastAsia" w:ascii="宋体" w:eastAsia="宋体" w:cs="宋体"/>
                      <w:sz w:val="21"/>
                    </w:rPr>
                  </w:pPr>
                </w:p>
              </w:tc>
              <w:tc>
                <w:tcPr>
                  <w:tcW w:w="2042"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废水</w:t>
                  </w:r>
                </w:p>
              </w:tc>
              <w:tc>
                <w:tcPr>
                  <w:tcW w:w="5511" w:type="dxa"/>
                  <w:vAlign w:val="center"/>
                </w:tcPr>
                <w:p>
                  <w:pPr>
                    <w:jc w:val="both"/>
                    <w:rPr>
                      <w:rFonts w:hint="eastAsia" w:ascii="宋体" w:hAnsi="宋体" w:cs="宋体"/>
                      <w:sz w:val="21"/>
                      <w:szCs w:val="21"/>
                      <w:lang w:eastAsia="zh-CN"/>
                    </w:rPr>
                  </w:pPr>
                  <w:r>
                    <w:rPr>
                      <w:rFonts w:hint="eastAsia" w:ascii="宋体" w:hAnsi="宋体" w:eastAsia="宋体" w:cs="宋体"/>
                      <w:sz w:val="21"/>
                      <w:szCs w:val="21"/>
                    </w:rPr>
                    <w:t>生活污水</w:t>
                  </w:r>
                  <w:r>
                    <w:rPr>
                      <w:rFonts w:hint="eastAsia" w:ascii="宋体" w:hAnsi="宋体" w:cs="宋体"/>
                      <w:sz w:val="21"/>
                      <w:szCs w:val="21"/>
                      <w:lang w:eastAsia="zh-CN"/>
                    </w:rPr>
                    <w:t>依托湖南奇思环保设备制造有限公司化粪池及隔油池，经化粪池、隔油池处理后，达到《污水综合排放标准》（GB8978-1996）三级排放标准后经管网排入园区污水处理厂；</w:t>
                  </w:r>
                </w:p>
                <w:p>
                  <w:pPr>
                    <w:jc w:val="both"/>
                    <w:rPr>
                      <w:rFonts w:hint="eastAsia" w:ascii="宋体" w:hAnsi="宋体" w:eastAsia="宋体" w:cs="宋体"/>
                      <w:sz w:val="21"/>
                      <w:szCs w:val="21"/>
                    </w:rPr>
                  </w:pPr>
                  <w:r>
                    <w:rPr>
                      <w:rFonts w:hint="eastAsia" w:ascii="宋体" w:hAnsi="宋体" w:eastAsia="宋体" w:cs="宋体"/>
                      <w:sz w:val="21"/>
                      <w:szCs w:val="21"/>
                    </w:rPr>
                    <w:t>实验污水经沉淀池处理，少量含化学品实验污水收集后交有资质单位处理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085" w:type="dxa"/>
                  <w:vMerge w:val="continue"/>
                  <w:vAlign w:val="center"/>
                </w:tcPr>
                <w:p>
                  <w:pPr>
                    <w:pStyle w:val="123"/>
                    <w:jc w:val="center"/>
                    <w:rPr>
                      <w:rFonts w:hint="eastAsia" w:ascii="宋体" w:eastAsia="宋体" w:cs="宋体"/>
                      <w:sz w:val="21"/>
                    </w:rPr>
                  </w:pPr>
                </w:p>
              </w:tc>
              <w:tc>
                <w:tcPr>
                  <w:tcW w:w="2042"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废气治理</w:t>
                  </w:r>
                </w:p>
              </w:tc>
              <w:tc>
                <w:tcPr>
                  <w:tcW w:w="5511" w:type="dxa"/>
                  <w:vAlign w:val="center"/>
                </w:tcPr>
                <w:p>
                  <w:pPr>
                    <w:jc w:val="both"/>
                    <w:rPr>
                      <w:rFonts w:hint="eastAsia" w:ascii="宋体" w:hAnsi="宋体" w:eastAsia="宋体" w:cs="宋体"/>
                      <w:sz w:val="21"/>
                      <w:szCs w:val="21"/>
                    </w:rPr>
                  </w:pPr>
                  <w:r>
                    <w:rPr>
                      <w:rFonts w:hint="eastAsia" w:ascii="宋体" w:hAnsi="宋体" w:eastAsia="宋体" w:cs="宋体"/>
                      <w:sz w:val="21"/>
                      <w:szCs w:val="21"/>
                    </w:rPr>
                    <w:t>产生的少量硫酸、盐酸、硝酸等酸雾经通风橱收集经酸雾净化塔净化后由15m高排气筒外排</w:t>
                  </w:r>
                </w:p>
              </w:tc>
            </w:tr>
          </w:tbl>
          <w:p>
            <w:pPr>
              <w:pStyle w:val="2"/>
              <w:numPr>
                <w:ilvl w:val="0"/>
                <w:numId w:val="2"/>
              </w:numPr>
              <w:spacing w:beforeLines="50" w:line="360" w:lineRule="auto"/>
              <w:ind w:firstLine="480"/>
              <w:rPr>
                <w:b/>
                <w:bCs/>
                <w:color w:val="000000" w:themeColor="text1"/>
                <w:sz w:val="21"/>
                <w:szCs w:val="21"/>
                <w:highlight w:val="none"/>
              </w:rPr>
            </w:pPr>
            <w:r>
              <w:rPr>
                <w:color w:val="000000" w:themeColor="text1"/>
                <w:highlight w:val="none"/>
              </w:rPr>
              <w:t xml:space="preserve">主要设备 </w:t>
            </w:r>
          </w:p>
          <w:p>
            <w:pPr>
              <w:spacing w:line="360" w:lineRule="auto"/>
              <w:jc w:val="center"/>
              <w:rPr>
                <w:color w:val="000000" w:themeColor="text1"/>
                <w:highlight w:val="none"/>
              </w:rPr>
            </w:pPr>
            <w:r>
              <w:rPr>
                <w:b/>
                <w:bCs/>
                <w:color w:val="000000" w:themeColor="text1"/>
                <w:sz w:val="21"/>
                <w:szCs w:val="21"/>
                <w:highlight w:val="none"/>
              </w:rPr>
              <w:t>表1-2  项目主要生产设备</w:t>
            </w:r>
          </w:p>
          <w:tbl>
            <w:tblPr>
              <w:tblStyle w:val="34"/>
              <w:tblW w:w="867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4"/>
              <w:gridCol w:w="2208"/>
              <w:gridCol w:w="1947"/>
              <w:gridCol w:w="1360"/>
              <w:gridCol w:w="1159"/>
              <w:gridCol w:w="129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序号</w:t>
                  </w: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仪器名称</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生产厂商</w:t>
                  </w:r>
                </w:p>
              </w:tc>
              <w:tc>
                <w:tcPr>
                  <w:tcW w:w="1360"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设备型号</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数量</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生化培养箱</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SPX-250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立式压力蒸汽灭菌器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上海博讯实业有限公司医疗设备厂</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BXM-30R</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超纯水器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北京普析通用仪器设备有限责任公司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GWB-1</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精密鼓风干燥箱</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WGZ-9140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真空干燥箱</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DZF-2B</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马弗炉（中温箱式电阻炉）</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SX-4-10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紫外/可见分光光度计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上海佑科仪器仪表有限公司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UV752</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紫外可见分光光度计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北京普析通用仪器设备有限责任公司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T6新世纪</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冰箱（医用低温保存箱）</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安徽中科都菱商用电器股份有限公司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MDF-25v210RF</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电子天平</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岛津企业管理（中国）有限公司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AUY220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电子天平</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上海佑科仪器仪表有限公司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JA 5003N</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原子荧光光度计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北京博晖创新光电技术股份有限公司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RGF-6200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原子吸收分光光度计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北京普析通用仪器设备有限责任公司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TAS-990AFG</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离子色谱仪</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青岛盛翰色谱技术有限公司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CIC-D100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自动电位滴定仪</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上海仪电科学仪器股份有限公司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ZDJ-4B</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数显恒温水浴锅</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常州国华电器有限公司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HH-4</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数显恒温水浴锅</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常州国华电器有限公司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HH-4</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超声波清洗机</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北京国环高科自动化技术研究所</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GH-5200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磁力搅拌器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海门市其林贝尔仪器制造有限公司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GL-3250A</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磁力搅拌器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海门市其林贝尔仪器制造有限公司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GL-3250A</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万用电炉</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DL-1</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万用电炉</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DL-1</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溶解氧测定仪</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上海仪电科学仪器股份有限公司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JPSJ-605F</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电导率仪</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上海仪电科学仪器股份有限公司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DDS-307A</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自动凯氏定氮仪</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山东海能科学仪器有限公司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K9840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浊度计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上海昕瑞仪器仪表有限公司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WGZ-2</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PH计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上海仪电科学仪器股份有限公司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PHS-3C</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石墨消解仪</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山东海能科学仪器有限公司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SH220F</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不锈钢溶液过滤器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北京国环高科自动化技术研究所</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GLC-6</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GGC-12C标准COD消解仪</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北京国环高科自动化技术研究所</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GGC-12C</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水浴恒温振荡器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常州国华电器有限公司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SHA-B</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台式低速离心机</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长沙英泰仪器有限公司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TD4N</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微波消解仪</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上海新仪微波化学科技有限公司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MDS-6G</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微波控温加热板</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上海新仪微波化学科技有限公司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ECH-Ⅱ</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多功能声级计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杭州爱华仪器有限公司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AWA6228+</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声校准器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杭州爱华仪器有限公司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AWA6021A</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PH计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上海仪电科学仪器股份有限公司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PHS-25</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离子计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上海仪电科学仪器股份有限公司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PXS-270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智能型生化培养箱</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上海琅玕实验设备有限公司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SPX-150B</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智能型恒温恒湿培养箱</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上海琅玕实验设备有限公司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SPX-150-C</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污泥采样器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金坛区白塔新宝仪器厂</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ETC-200</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数显恒温电热板</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DB-2</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菌落计数器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江苏康健医疗用品有限公司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J-2</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电子天平</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上海光正医疗仪器有限公司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YP20002</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电热套</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DZTW</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电热套</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DZTW</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土壤ORP计</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上海仪电科学仪器股份有限公司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TR-901</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电子调温电热套</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北京市永光明医疗仪器有限公司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DZTW</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生物显微镜</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江西凤凰光学科技有限公司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XSP-36</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深水采样器</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长沙市汇虹化玻仪器设备有限公司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管道潜望镜</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Peek2s plus</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管道潜望镜</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Peek2s plus</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管道潜望镜</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Peek2s plus</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管道潜望镜</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Peek2s plus</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管道潜望镜</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Peek2s plus</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管道潜望镜</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Peek2s plus</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管道潜望镜</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Peek2s plus</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管道检测机器人</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Dolhpin-L2</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2</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管道检测机器人</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深圳市博铭维智能科技有限公司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Dolhpin-L2</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2</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714" w:type="dxa"/>
                  <w:vAlign w:val="center"/>
                </w:tcPr>
                <w:p>
                  <w:pPr>
                    <w:numPr>
                      <w:ilvl w:val="0"/>
                      <w:numId w:val="3"/>
                    </w:numPr>
                    <w:ind w:left="425" w:leftChars="0" w:hanging="425" w:firstLineChars="0"/>
                    <w:jc w:val="center"/>
                    <w:rPr>
                      <w:rFonts w:hint="eastAsia" w:asciiTheme="minorEastAsia" w:hAnsiTheme="minorEastAsia" w:eastAsiaTheme="minorEastAsia" w:cstheme="minorEastAsia"/>
                      <w:sz w:val="21"/>
                      <w:szCs w:val="21"/>
                    </w:rPr>
                  </w:pPr>
                </w:p>
              </w:tc>
              <w:tc>
                <w:tcPr>
                  <w:tcW w:w="2208"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GNSS接收机</w:t>
                  </w:r>
                </w:p>
              </w:tc>
              <w:tc>
                <w:tcPr>
                  <w:tcW w:w="1947"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湖南良马测绘有限公司</w:t>
                  </w:r>
                </w:p>
              </w:tc>
              <w:tc>
                <w:tcPr>
                  <w:tcW w:w="1360"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北斗海达TS7</w:t>
                  </w:r>
                </w:p>
              </w:tc>
              <w:tc>
                <w:tcPr>
                  <w:tcW w:w="1159" w:type="dxa"/>
                  <w:tcBorders>
                    <w:right w:val="single" w:color="auto" w:sz="4" w:space="0"/>
                  </w:tcBorders>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291" w:type="dxa"/>
                  <w:tcBorders>
                    <w:left w:val="single" w:color="auto" w:sz="4" w:space="0"/>
                  </w:tcBorders>
                  <w:vAlign w:val="center"/>
                </w:tcPr>
                <w:p>
                  <w:pPr>
                    <w:jc w:val="center"/>
                    <w:rPr>
                      <w:rFonts w:hint="eastAsia" w:asciiTheme="minorEastAsia" w:hAnsiTheme="minorEastAsia" w:eastAsiaTheme="minorEastAsia" w:cstheme="minorEastAsia"/>
                      <w:sz w:val="21"/>
                      <w:szCs w:val="21"/>
                    </w:rPr>
                  </w:pPr>
                </w:p>
              </w:tc>
            </w:tr>
          </w:tbl>
          <w:p>
            <w:pPr>
              <w:pStyle w:val="2"/>
              <w:numPr>
                <w:ilvl w:val="0"/>
                <w:numId w:val="4"/>
              </w:numPr>
              <w:spacing w:beforeLines="50" w:line="360" w:lineRule="auto"/>
              <w:ind w:firstLine="480"/>
              <w:rPr>
                <w:color w:val="000000" w:themeColor="text1"/>
                <w:highlight w:val="none"/>
              </w:rPr>
            </w:pPr>
            <w:r>
              <w:rPr>
                <w:color w:val="000000" w:themeColor="text1"/>
                <w:highlight w:val="none"/>
              </w:rPr>
              <w:t>项目主要原辅材料</w:t>
            </w:r>
          </w:p>
          <w:p>
            <w:pPr>
              <w:spacing w:line="360" w:lineRule="auto"/>
              <w:jc w:val="center"/>
              <w:rPr>
                <w:b/>
                <w:bCs/>
                <w:color w:val="000000" w:themeColor="text1"/>
                <w:sz w:val="21"/>
                <w:szCs w:val="21"/>
                <w:highlight w:val="none"/>
              </w:rPr>
            </w:pPr>
            <w:r>
              <w:rPr>
                <w:rFonts w:hint="eastAsia"/>
                <w:b/>
                <w:bCs/>
                <w:color w:val="000000" w:themeColor="text1"/>
                <w:sz w:val="21"/>
                <w:szCs w:val="21"/>
                <w:highlight w:val="none"/>
              </w:rPr>
              <w:t xml:space="preserve">表1-3 </w:t>
            </w:r>
            <w:r>
              <w:rPr>
                <w:b/>
                <w:bCs/>
                <w:color w:val="000000" w:themeColor="text1"/>
                <w:sz w:val="21"/>
                <w:szCs w:val="21"/>
                <w:highlight w:val="none"/>
              </w:rPr>
              <w:t>项目主要化学试剂常备用量一览表</w:t>
            </w:r>
          </w:p>
          <w:tbl>
            <w:tblPr>
              <w:tblStyle w:val="34"/>
              <w:tblW w:w="869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19"/>
              <w:gridCol w:w="1106"/>
              <w:gridCol w:w="800"/>
              <w:gridCol w:w="1140"/>
              <w:gridCol w:w="930"/>
              <w:gridCol w:w="400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26"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序号</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实验室试剂名称</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规格</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最大存储量（瓶）</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年用量（瓶）</w:t>
                  </w:r>
                </w:p>
              </w:tc>
              <w:tc>
                <w:tcPr>
                  <w:tcW w:w="4004" w:type="dxa"/>
                  <w:vAlign w:val="center"/>
                </w:tcPr>
                <w:p>
                  <w:pPr>
                    <w:adjustRightInd w:val="0"/>
                    <w:snapToGrid w:val="0"/>
                    <w:jc w:val="center"/>
                    <w:rPr>
                      <w:color w:val="000000" w:themeColor="text1"/>
                      <w:sz w:val="21"/>
                      <w:szCs w:val="21"/>
                      <w:highlight w:val="none"/>
                      <w:u w:val="none"/>
                    </w:rPr>
                  </w:pPr>
                  <w:r>
                    <w:rPr>
                      <w:color w:val="000000" w:themeColor="text1"/>
                      <w:sz w:val="21"/>
                      <w:szCs w:val="21"/>
                      <w:highlight w:val="none"/>
                      <w:u w:val="none"/>
                    </w:rPr>
                    <w:t>理化性质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氯化钠</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10</w:t>
                  </w:r>
                </w:p>
              </w:tc>
              <w:tc>
                <w:tcPr>
                  <w:tcW w:w="4004" w:type="dxa"/>
                  <w:vAlign w:val="center"/>
                </w:tcPr>
                <w:p>
                  <w:pPr>
                    <w:adjustRightInd w:val="0"/>
                    <w:snapToGrid w:val="0"/>
                    <w:jc w:val="center"/>
                    <w:rPr>
                      <w:color w:val="000000" w:themeColor="text1"/>
                      <w:sz w:val="21"/>
                      <w:szCs w:val="21"/>
                      <w:highlight w:val="none"/>
                      <w:u w:val="none"/>
                    </w:rPr>
                  </w:pPr>
                  <w:r>
                    <w:rPr>
                      <w:color w:val="000000" w:themeColor="text1"/>
                      <w:sz w:val="21"/>
                      <w:szCs w:val="21"/>
                      <w:highlight w:val="none"/>
                      <w:u w:val="none"/>
                    </w:rPr>
                    <w:t>白色晶体状，易溶于水、甘油，微溶于乙醇、液氨，不溶于浓盐酸。熔点801℃，沸点1465℃。能与硝酸银、浓硫酸反应，能被电解。</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碳酸氢钠</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10</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rPr>
                    <w:t>俗称</w:t>
                  </w:r>
                  <w:r>
                    <w:rPr>
                      <w:rFonts w:hint="eastAsia"/>
                      <w:color w:val="000000" w:themeColor="text1"/>
                      <w:sz w:val="21"/>
                      <w:szCs w:val="21"/>
                      <w:highlight w:val="none"/>
                      <w:u w:val="none"/>
                    </w:rPr>
                    <w:t>“</w:t>
                  </w:r>
                  <w:r>
                    <w:rPr>
                      <w:color w:val="000000" w:themeColor="text1"/>
                      <w:sz w:val="21"/>
                      <w:szCs w:val="21"/>
                      <w:highlight w:val="none"/>
                      <w:u w:val="none"/>
                    </w:rPr>
                    <w:t>小苏打</w:t>
                  </w:r>
                  <w:r>
                    <w:rPr>
                      <w:rFonts w:hint="eastAsia"/>
                      <w:color w:val="000000" w:themeColor="text1"/>
                      <w:sz w:val="21"/>
                      <w:szCs w:val="21"/>
                      <w:highlight w:val="none"/>
                      <w:u w:val="none"/>
                    </w:rPr>
                    <w:t>”</w:t>
                  </w:r>
                  <w:r>
                    <w:rPr>
                      <w:color w:val="000000" w:themeColor="text1"/>
                      <w:sz w:val="21"/>
                      <w:szCs w:val="21"/>
                      <w:highlight w:val="none"/>
                      <w:u w:val="none"/>
                    </w:rPr>
                    <w:t>、</w:t>
                  </w:r>
                  <w:r>
                    <w:rPr>
                      <w:rFonts w:hint="eastAsia"/>
                      <w:color w:val="000000" w:themeColor="text1"/>
                      <w:sz w:val="21"/>
                      <w:szCs w:val="21"/>
                      <w:highlight w:val="none"/>
                      <w:u w:val="none"/>
                    </w:rPr>
                    <w:t>“</w:t>
                  </w:r>
                  <w:r>
                    <w:rPr>
                      <w:color w:val="000000" w:themeColor="text1"/>
                      <w:sz w:val="21"/>
                      <w:szCs w:val="21"/>
                      <w:highlight w:val="none"/>
                      <w:u w:val="none"/>
                    </w:rPr>
                    <w:t>苏打粉</w:t>
                  </w:r>
                  <w:r>
                    <w:rPr>
                      <w:rFonts w:hint="eastAsia"/>
                      <w:color w:val="000000" w:themeColor="text1"/>
                      <w:sz w:val="21"/>
                      <w:szCs w:val="21"/>
                      <w:highlight w:val="none"/>
                      <w:u w:val="none"/>
                    </w:rPr>
                    <w:t>”</w:t>
                  </w:r>
                  <w:r>
                    <w:rPr>
                      <w:color w:val="000000" w:themeColor="text1"/>
                      <w:sz w:val="21"/>
                      <w:szCs w:val="21"/>
                      <w:highlight w:val="none"/>
                      <w:u w:val="none"/>
                    </w:rPr>
                    <w:t>、</w:t>
                  </w:r>
                  <w:r>
                    <w:rPr>
                      <w:rFonts w:hint="eastAsia"/>
                      <w:color w:val="000000" w:themeColor="text1"/>
                      <w:sz w:val="21"/>
                      <w:szCs w:val="21"/>
                      <w:highlight w:val="none"/>
                      <w:u w:val="none"/>
                    </w:rPr>
                    <w:t>“</w:t>
                  </w:r>
                  <w:r>
                    <w:rPr>
                      <w:color w:val="000000" w:themeColor="text1"/>
                      <w:sz w:val="21"/>
                      <w:szCs w:val="21"/>
                      <w:highlight w:val="none"/>
                      <w:u w:val="none"/>
                    </w:rPr>
                    <w:t>重曹</w:t>
                  </w:r>
                  <w:r>
                    <w:rPr>
                      <w:rFonts w:hint="eastAsia"/>
                      <w:color w:val="000000" w:themeColor="text1"/>
                      <w:sz w:val="21"/>
                      <w:szCs w:val="21"/>
                      <w:highlight w:val="none"/>
                      <w:u w:val="none"/>
                    </w:rPr>
                    <w:t>”</w:t>
                  </w:r>
                  <w:r>
                    <w:rPr>
                      <w:color w:val="000000" w:themeColor="text1"/>
                      <w:sz w:val="21"/>
                      <w:szCs w:val="21"/>
                      <w:highlight w:val="none"/>
                      <w:u w:val="none"/>
                    </w:rPr>
                    <w:t>，白色细小晶体，在水中的溶解度小于</w:t>
                  </w:r>
                  <w:r>
                    <w:rPr>
                      <w:highlight w:val="none"/>
                      <w:u w:val="none"/>
                    </w:rPr>
                    <w:fldChar w:fldCharType="begin"/>
                  </w:r>
                  <w:r>
                    <w:rPr>
                      <w:highlight w:val="none"/>
                      <w:u w:val="none"/>
                    </w:rPr>
                    <w:instrText xml:space="preserve"> HYPERLINK "http://www.baike.com/wiki/%E7%A2%B3%E9%85%B8%E9%92%A0" \t "http://www.baike.com/wiki/_blank" </w:instrText>
                  </w:r>
                  <w:r>
                    <w:rPr>
                      <w:highlight w:val="none"/>
                      <w:u w:val="none"/>
                    </w:rPr>
                    <w:fldChar w:fldCharType="separate"/>
                  </w:r>
                  <w:r>
                    <w:rPr>
                      <w:color w:val="000000" w:themeColor="text1"/>
                      <w:sz w:val="21"/>
                      <w:szCs w:val="21"/>
                      <w:highlight w:val="none"/>
                      <w:u w:val="none"/>
                    </w:rPr>
                    <w:t>碳酸钠</w:t>
                  </w:r>
                  <w:r>
                    <w:rPr>
                      <w:color w:val="000000" w:themeColor="text1"/>
                      <w:sz w:val="21"/>
                      <w:szCs w:val="21"/>
                      <w:highlight w:val="none"/>
                      <w:u w:val="none"/>
                    </w:rPr>
                    <w:fldChar w:fldCharType="end"/>
                  </w:r>
                  <w:r>
                    <w:rPr>
                      <w:color w:val="000000" w:themeColor="text1"/>
                      <w:sz w:val="21"/>
                      <w:szCs w:val="21"/>
                      <w:highlight w:val="none"/>
                      <w:u w:val="none"/>
                    </w:rPr>
                    <w:t>。碳酸氢钠是一种</w:t>
                  </w:r>
                  <w:r>
                    <w:rPr>
                      <w:highlight w:val="none"/>
                      <w:u w:val="none"/>
                    </w:rPr>
                    <w:fldChar w:fldCharType="begin"/>
                  </w:r>
                  <w:r>
                    <w:rPr>
                      <w:highlight w:val="none"/>
                      <w:u w:val="none"/>
                    </w:rPr>
                    <w:instrText xml:space="preserve"> HYPERLINK "http://www.baike.com/wiki/%E5%B7%A5%E4%B8%9A%E7%94%A8%E5%8C%96%E5%AD%A6%E5%93%81" \t "http://www.baike.com/wiki/_blank" </w:instrText>
                  </w:r>
                  <w:r>
                    <w:rPr>
                      <w:highlight w:val="none"/>
                      <w:u w:val="none"/>
                    </w:rPr>
                    <w:fldChar w:fldCharType="separate"/>
                  </w:r>
                  <w:r>
                    <w:rPr>
                      <w:color w:val="000000" w:themeColor="text1"/>
                      <w:sz w:val="21"/>
                      <w:szCs w:val="21"/>
                      <w:highlight w:val="none"/>
                      <w:u w:val="none"/>
                    </w:rPr>
                    <w:t>工业用化学品</w:t>
                  </w:r>
                  <w:r>
                    <w:rPr>
                      <w:color w:val="000000" w:themeColor="text1"/>
                      <w:sz w:val="21"/>
                      <w:szCs w:val="21"/>
                      <w:highlight w:val="none"/>
                      <w:u w:val="none"/>
                    </w:rPr>
                    <w:fldChar w:fldCharType="end"/>
                  </w:r>
                  <w:r>
                    <w:rPr>
                      <w:color w:val="000000" w:themeColor="text1"/>
                      <w:sz w:val="21"/>
                      <w:szCs w:val="21"/>
                      <w:highlight w:val="none"/>
                      <w:u w:val="none"/>
                    </w:rPr>
                    <w:t>，可能存在毒性。固体50℃以上开始逐渐分解成碳酸钠、</w:t>
                  </w:r>
                  <w:r>
                    <w:rPr>
                      <w:highlight w:val="none"/>
                      <w:u w:val="none"/>
                    </w:rPr>
                    <w:fldChar w:fldCharType="begin"/>
                  </w:r>
                  <w:r>
                    <w:rPr>
                      <w:highlight w:val="none"/>
                      <w:u w:val="none"/>
                    </w:rPr>
                    <w:instrText xml:space="preserve"> HYPERLINK "http://www.baike.com/wiki/%E4%BA%8C%E6%B0%A7%E5%8C%96%E7%A2%B3" \t "http://www.baike.com/wiki/_blank" </w:instrText>
                  </w:r>
                  <w:r>
                    <w:rPr>
                      <w:highlight w:val="none"/>
                      <w:u w:val="none"/>
                    </w:rPr>
                    <w:fldChar w:fldCharType="separate"/>
                  </w:r>
                  <w:r>
                    <w:rPr>
                      <w:color w:val="000000" w:themeColor="text1"/>
                      <w:sz w:val="21"/>
                      <w:szCs w:val="21"/>
                      <w:highlight w:val="none"/>
                      <w:u w:val="none"/>
                    </w:rPr>
                    <w:t>二氧化碳</w:t>
                  </w:r>
                  <w:r>
                    <w:rPr>
                      <w:color w:val="000000" w:themeColor="text1"/>
                      <w:sz w:val="21"/>
                      <w:szCs w:val="21"/>
                      <w:highlight w:val="none"/>
                      <w:u w:val="none"/>
                    </w:rPr>
                    <w:fldChar w:fldCharType="end"/>
                  </w:r>
                  <w:r>
                    <w:rPr>
                      <w:color w:val="000000" w:themeColor="text1"/>
                      <w:sz w:val="21"/>
                      <w:szCs w:val="21"/>
                      <w:highlight w:val="none"/>
                      <w:u w:val="none"/>
                    </w:rPr>
                    <w:t>和水，440℃时完全分解。碳酸氢钠是</w:t>
                  </w:r>
                  <w:r>
                    <w:rPr>
                      <w:highlight w:val="none"/>
                      <w:u w:val="none"/>
                    </w:rPr>
                    <w:fldChar w:fldCharType="begin"/>
                  </w:r>
                  <w:r>
                    <w:rPr>
                      <w:highlight w:val="none"/>
                      <w:u w:val="none"/>
                    </w:rPr>
                    <w:instrText xml:space="preserve"> HYPERLINK "http://www.baike.com/wiki/%E5%BC%BA%E7%A2%B1" \t "http://www.baike.com/wiki/_blank" </w:instrText>
                  </w:r>
                  <w:r>
                    <w:rPr>
                      <w:highlight w:val="none"/>
                      <w:u w:val="none"/>
                    </w:rPr>
                    <w:fldChar w:fldCharType="separate"/>
                  </w:r>
                  <w:r>
                    <w:rPr>
                      <w:color w:val="000000" w:themeColor="text1"/>
                      <w:sz w:val="21"/>
                      <w:szCs w:val="21"/>
                      <w:highlight w:val="none"/>
                      <w:u w:val="none"/>
                    </w:rPr>
                    <w:t>强碱</w:t>
                  </w:r>
                  <w:r>
                    <w:rPr>
                      <w:color w:val="000000" w:themeColor="text1"/>
                      <w:sz w:val="21"/>
                      <w:szCs w:val="21"/>
                      <w:highlight w:val="none"/>
                      <w:u w:val="none"/>
                    </w:rPr>
                    <w:fldChar w:fldCharType="end"/>
                  </w:r>
                  <w:r>
                    <w:rPr>
                      <w:color w:val="000000" w:themeColor="text1"/>
                      <w:sz w:val="21"/>
                      <w:szCs w:val="21"/>
                      <w:highlight w:val="none"/>
                      <w:u w:val="none"/>
                    </w:rPr>
                    <w:t>与</w:t>
                  </w:r>
                  <w:r>
                    <w:rPr>
                      <w:highlight w:val="none"/>
                      <w:u w:val="none"/>
                    </w:rPr>
                    <w:fldChar w:fldCharType="begin"/>
                  </w:r>
                  <w:r>
                    <w:rPr>
                      <w:highlight w:val="none"/>
                      <w:u w:val="none"/>
                    </w:rPr>
                    <w:instrText xml:space="preserve"> HYPERLINK "http://www.baike.com/wiki/%E5%BC%B1%E9%85%B8" \t "http://www.baike.com/wiki/_blank" </w:instrText>
                  </w:r>
                  <w:r>
                    <w:rPr>
                      <w:highlight w:val="none"/>
                      <w:u w:val="none"/>
                    </w:rPr>
                    <w:fldChar w:fldCharType="separate"/>
                  </w:r>
                  <w:r>
                    <w:rPr>
                      <w:color w:val="000000" w:themeColor="text1"/>
                      <w:sz w:val="21"/>
                      <w:szCs w:val="21"/>
                      <w:highlight w:val="none"/>
                      <w:u w:val="none"/>
                    </w:rPr>
                    <w:t>弱酸</w:t>
                  </w:r>
                  <w:r>
                    <w:rPr>
                      <w:color w:val="000000" w:themeColor="text1"/>
                      <w:sz w:val="21"/>
                      <w:szCs w:val="21"/>
                      <w:highlight w:val="none"/>
                      <w:u w:val="none"/>
                    </w:rPr>
                    <w:fldChar w:fldCharType="end"/>
                  </w:r>
                  <w:r>
                    <w:rPr>
                      <w:color w:val="000000" w:themeColor="text1"/>
                      <w:sz w:val="21"/>
                      <w:szCs w:val="21"/>
                      <w:highlight w:val="none"/>
                      <w:u w:val="none"/>
                    </w:rPr>
                    <w:t>中和后生成的</w:t>
                  </w:r>
                  <w:r>
                    <w:rPr>
                      <w:highlight w:val="none"/>
                      <w:u w:val="none"/>
                    </w:rPr>
                    <w:fldChar w:fldCharType="begin"/>
                  </w:r>
                  <w:r>
                    <w:rPr>
                      <w:highlight w:val="none"/>
                      <w:u w:val="none"/>
                    </w:rPr>
                    <w:instrText xml:space="preserve"> HYPERLINK "http://www.baike.com/wiki/%E9%85%B8%E5%BC%8F%E7%9B%90" \t "http://www.baike.com/wiki/_blank" </w:instrText>
                  </w:r>
                  <w:r>
                    <w:rPr>
                      <w:highlight w:val="none"/>
                      <w:u w:val="none"/>
                    </w:rPr>
                    <w:fldChar w:fldCharType="separate"/>
                  </w:r>
                  <w:r>
                    <w:rPr>
                      <w:color w:val="000000" w:themeColor="text1"/>
                      <w:sz w:val="21"/>
                      <w:szCs w:val="21"/>
                      <w:highlight w:val="none"/>
                      <w:u w:val="none"/>
                    </w:rPr>
                    <w:t>酸式盐</w:t>
                  </w:r>
                  <w:r>
                    <w:rPr>
                      <w:color w:val="000000" w:themeColor="text1"/>
                      <w:sz w:val="21"/>
                      <w:szCs w:val="21"/>
                      <w:highlight w:val="none"/>
                      <w:u w:val="none"/>
                    </w:rPr>
                    <w:fldChar w:fldCharType="end"/>
                  </w:r>
                  <w:r>
                    <w:rPr>
                      <w:color w:val="000000" w:themeColor="text1"/>
                      <w:sz w:val="21"/>
                      <w:szCs w:val="21"/>
                      <w:highlight w:val="none"/>
                      <w:u w:val="none"/>
                    </w:rPr>
                    <w:t>，溶于水呈现弱碱性。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3</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无水乙酸钠</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10</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rPr>
                    <w:t>本品为无色或白色晶体。暴露于潮湿空气中易潮解，于干燥空气中易风化，呈白色粉末。本品比重1.45，熔点58℃，在123℃时失去结晶水，变成无水醋酸钠。本品易溶于水，微溶于乙醇。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4</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氢氧化钠</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3</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5</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rPr>
                    <w:t>俗称烧碱、火碱、苛性钠，为一种具有强</w:t>
                  </w:r>
                  <w:r>
                    <w:rPr>
                      <w:highlight w:val="none"/>
                      <w:u w:val="none"/>
                    </w:rPr>
                    <w:fldChar w:fldCharType="begin"/>
                  </w:r>
                  <w:r>
                    <w:rPr>
                      <w:highlight w:val="none"/>
                      <w:u w:val="none"/>
                    </w:rPr>
                    <w:instrText xml:space="preserve"> HYPERLINK "https://baike.baidu.com/item/%E8%85%90%E8%9A%80%E6%80%A7/770500" \t "_blank" </w:instrText>
                  </w:r>
                  <w:r>
                    <w:rPr>
                      <w:highlight w:val="none"/>
                      <w:u w:val="none"/>
                    </w:rPr>
                    <w:fldChar w:fldCharType="separate"/>
                  </w:r>
                  <w:r>
                    <w:rPr>
                      <w:color w:val="000000" w:themeColor="text1"/>
                      <w:sz w:val="21"/>
                      <w:szCs w:val="21"/>
                      <w:highlight w:val="none"/>
                      <w:u w:val="none"/>
                    </w:rPr>
                    <w:t>腐蚀性</w:t>
                  </w:r>
                  <w:r>
                    <w:rPr>
                      <w:color w:val="000000" w:themeColor="text1"/>
                      <w:sz w:val="21"/>
                      <w:szCs w:val="21"/>
                      <w:highlight w:val="none"/>
                      <w:u w:val="none"/>
                    </w:rPr>
                    <w:fldChar w:fldCharType="end"/>
                  </w:r>
                  <w:r>
                    <w:rPr>
                      <w:color w:val="000000" w:themeColor="text1"/>
                      <w:sz w:val="21"/>
                      <w:szCs w:val="21"/>
                      <w:highlight w:val="none"/>
                      <w:u w:val="none"/>
                    </w:rPr>
                    <w:t>的</w:t>
                  </w:r>
                  <w:r>
                    <w:rPr>
                      <w:highlight w:val="none"/>
                      <w:u w:val="none"/>
                    </w:rPr>
                    <w:fldChar w:fldCharType="begin"/>
                  </w:r>
                  <w:r>
                    <w:rPr>
                      <w:highlight w:val="none"/>
                      <w:u w:val="none"/>
                    </w:rPr>
                    <w:instrText xml:space="preserve"> HYPERLINK "https://baike.baidu.com/item/%E5%BC%BA%E7%A2%B1/9177996" \t "_blank" </w:instrText>
                  </w:r>
                  <w:r>
                    <w:rPr>
                      <w:highlight w:val="none"/>
                      <w:u w:val="none"/>
                    </w:rPr>
                    <w:fldChar w:fldCharType="separate"/>
                  </w:r>
                  <w:r>
                    <w:rPr>
                      <w:color w:val="000000" w:themeColor="text1"/>
                      <w:sz w:val="21"/>
                      <w:szCs w:val="21"/>
                      <w:highlight w:val="none"/>
                      <w:u w:val="none"/>
                    </w:rPr>
                    <w:t>强碱</w:t>
                  </w:r>
                  <w:r>
                    <w:rPr>
                      <w:color w:val="000000" w:themeColor="text1"/>
                      <w:sz w:val="21"/>
                      <w:szCs w:val="21"/>
                      <w:highlight w:val="none"/>
                      <w:u w:val="none"/>
                    </w:rPr>
                    <w:fldChar w:fldCharType="end"/>
                  </w:r>
                  <w:r>
                    <w:rPr>
                      <w:color w:val="000000" w:themeColor="text1"/>
                      <w:sz w:val="21"/>
                      <w:szCs w:val="21"/>
                      <w:highlight w:val="none"/>
                      <w:u w:val="none"/>
                    </w:rPr>
                    <w:t>，一般为片状或块状形态，易溶于水（溶于水时放热）并形成碱性溶液，另有</w:t>
                  </w:r>
                  <w:r>
                    <w:rPr>
                      <w:highlight w:val="none"/>
                      <w:u w:val="none"/>
                    </w:rPr>
                    <w:fldChar w:fldCharType="begin"/>
                  </w:r>
                  <w:r>
                    <w:rPr>
                      <w:highlight w:val="none"/>
                      <w:u w:val="none"/>
                    </w:rPr>
                    <w:instrText xml:space="preserve"> HYPERLINK "https://baike.baidu.com/item/%E6%BD%AE%E8%A7%A3%E6%80%A7/9184881" \t "_blank" </w:instrText>
                  </w:r>
                  <w:r>
                    <w:rPr>
                      <w:highlight w:val="none"/>
                      <w:u w:val="none"/>
                    </w:rPr>
                    <w:fldChar w:fldCharType="separate"/>
                  </w:r>
                  <w:r>
                    <w:rPr>
                      <w:color w:val="000000" w:themeColor="text1"/>
                      <w:sz w:val="21"/>
                      <w:szCs w:val="21"/>
                      <w:highlight w:val="none"/>
                      <w:u w:val="none"/>
                    </w:rPr>
                    <w:t>潮解性</w:t>
                  </w:r>
                  <w:r>
                    <w:rPr>
                      <w:color w:val="000000" w:themeColor="text1"/>
                      <w:sz w:val="21"/>
                      <w:szCs w:val="21"/>
                      <w:highlight w:val="none"/>
                      <w:u w:val="none"/>
                    </w:rPr>
                    <w:fldChar w:fldCharType="end"/>
                  </w:r>
                  <w:r>
                    <w:rPr>
                      <w:color w:val="000000" w:themeColor="text1"/>
                      <w:sz w:val="21"/>
                      <w:szCs w:val="21"/>
                      <w:highlight w:val="none"/>
                      <w:u w:val="none"/>
                    </w:rPr>
                    <w:t>，易吸取</w:t>
                  </w:r>
                  <w:r>
                    <w:rPr>
                      <w:highlight w:val="none"/>
                      <w:u w:val="none"/>
                    </w:rPr>
                    <w:fldChar w:fldCharType="begin"/>
                  </w:r>
                  <w:r>
                    <w:rPr>
                      <w:highlight w:val="none"/>
                      <w:u w:val="none"/>
                    </w:rPr>
                    <w:instrText xml:space="preserve"> HYPERLINK "https://baike.baidu.com/item/%E7%A9%BA%E6%B0%94/2735809" \t "_blank" </w:instrText>
                  </w:r>
                  <w:r>
                    <w:rPr>
                      <w:highlight w:val="none"/>
                      <w:u w:val="none"/>
                    </w:rPr>
                    <w:fldChar w:fldCharType="separate"/>
                  </w:r>
                  <w:r>
                    <w:rPr>
                      <w:color w:val="000000" w:themeColor="text1"/>
                      <w:sz w:val="21"/>
                      <w:szCs w:val="21"/>
                      <w:highlight w:val="none"/>
                      <w:u w:val="none"/>
                    </w:rPr>
                    <w:t>空气</w:t>
                  </w:r>
                  <w:r>
                    <w:rPr>
                      <w:color w:val="000000" w:themeColor="text1"/>
                      <w:sz w:val="21"/>
                      <w:szCs w:val="21"/>
                      <w:highlight w:val="none"/>
                      <w:u w:val="none"/>
                    </w:rPr>
                    <w:fldChar w:fldCharType="end"/>
                  </w:r>
                  <w:r>
                    <w:rPr>
                      <w:color w:val="000000" w:themeColor="text1"/>
                      <w:sz w:val="21"/>
                      <w:szCs w:val="21"/>
                      <w:highlight w:val="none"/>
                      <w:u w:val="none"/>
                    </w:rPr>
                    <w:t>中的水蒸气（潮解）和二氧化碳（变质），可加入盐酸检验是否变质。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乙酸乙酯</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20</w:t>
                  </w:r>
                </w:p>
              </w:tc>
              <w:tc>
                <w:tcPr>
                  <w:tcW w:w="4004"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乙酸乙酯又称醋酸乙酯，低毒性，有甜味，浓度较高时有刺激性气味，易挥发，是一种用途广泛的精细化工产品。具有优异的溶解性、快干性，用途广泛，是一种重要的有机化工原料和工业溶剂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71"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6</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无水乙醇</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20</w:t>
                  </w:r>
                </w:p>
              </w:tc>
              <w:tc>
                <w:tcPr>
                  <w:tcW w:w="4004"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无色澄清液体。有灼烧味。易流动。极易从空气中吸收水分，能与水和氯仿、乙醚等多种有机溶剂以任意比例互溶。</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7</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氢氧化钾</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3</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5</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白色粉末或片状固体。</w:t>
                  </w:r>
                  <w:r>
                    <w:rPr>
                      <w:highlight w:val="none"/>
                      <w:u w:val="none"/>
                    </w:rPr>
                    <w:fldChar w:fldCharType="begin"/>
                  </w:r>
                  <w:r>
                    <w:rPr>
                      <w:highlight w:val="none"/>
                      <w:u w:val="none"/>
                    </w:rPr>
                    <w:instrText xml:space="preserve"> HYPERLINK "https://baike.baidu.com/item/%E7%86%94%E7%82%B9/2144633" \t "https://baike.baidu.com/item/%E6%B0%A2%E6%B0%A7%E5%8C%96%E9%92%BE/_blank" </w:instrText>
                  </w:r>
                  <w:r>
                    <w:rPr>
                      <w:highlight w:val="none"/>
                      <w:u w:val="none"/>
                    </w:rPr>
                    <w:fldChar w:fldCharType="separate"/>
                  </w:r>
                  <w:r>
                    <w:rPr>
                      <w:color w:val="000000" w:themeColor="text1"/>
                      <w:sz w:val="21"/>
                      <w:szCs w:val="21"/>
                      <w:highlight w:val="none"/>
                      <w:u w:val="none"/>
                      <w:shd w:val="clear" w:color="auto" w:fill="FFFFFF"/>
                    </w:rPr>
                    <w:t>熔点</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380℃，沸点1324℃，</w:t>
                  </w:r>
                  <w:r>
                    <w:rPr>
                      <w:highlight w:val="none"/>
                      <w:u w:val="none"/>
                    </w:rPr>
                    <w:fldChar w:fldCharType="begin"/>
                  </w:r>
                  <w:r>
                    <w:rPr>
                      <w:highlight w:val="none"/>
                      <w:u w:val="none"/>
                    </w:rPr>
                    <w:instrText xml:space="preserve"> HYPERLINK "https://baike.baidu.com/item/%E7%9B%B8%E5%AF%B9%E5%AF%86%E5%BA%A6/5064282" \t "https://baike.baidu.com/item/%E6%B0%A2%E6%B0%A7%E5%8C%96%E9%92%BE/_blank" </w:instrText>
                  </w:r>
                  <w:r>
                    <w:rPr>
                      <w:highlight w:val="none"/>
                      <w:u w:val="none"/>
                    </w:rPr>
                    <w:fldChar w:fldCharType="separate"/>
                  </w:r>
                  <w:r>
                    <w:rPr>
                      <w:color w:val="000000" w:themeColor="text1"/>
                      <w:sz w:val="21"/>
                      <w:szCs w:val="21"/>
                      <w:highlight w:val="none"/>
                      <w:u w:val="none"/>
                      <w:shd w:val="clear" w:color="auto" w:fill="FFFFFF"/>
                    </w:rPr>
                    <w:t>相对密度</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2.04g/cm</w:t>
                  </w:r>
                  <w:r>
                    <w:rPr>
                      <w:color w:val="000000" w:themeColor="text1"/>
                      <w:sz w:val="21"/>
                      <w:szCs w:val="21"/>
                      <w:highlight w:val="none"/>
                      <w:u w:val="none"/>
                      <w:shd w:val="clear" w:color="auto" w:fill="FFFFFF"/>
                      <w:vertAlign w:val="superscript"/>
                    </w:rPr>
                    <w:t>3</w:t>
                  </w:r>
                  <w:r>
                    <w:rPr>
                      <w:color w:val="000000" w:themeColor="text1"/>
                      <w:sz w:val="21"/>
                      <w:szCs w:val="21"/>
                      <w:highlight w:val="none"/>
                      <w:u w:val="none"/>
                      <w:shd w:val="clear" w:color="auto" w:fill="FFFFFF"/>
                    </w:rPr>
                    <w:t>，</w:t>
                  </w:r>
                  <w:r>
                    <w:rPr>
                      <w:highlight w:val="none"/>
                      <w:u w:val="none"/>
                    </w:rPr>
                    <w:fldChar w:fldCharType="begin"/>
                  </w:r>
                  <w:r>
                    <w:rPr>
                      <w:highlight w:val="none"/>
                      <w:u w:val="none"/>
                    </w:rPr>
                    <w:instrText xml:space="preserve"> HYPERLINK "https://baike.baidu.com/item/%E6%8A%98%E5%B0%84%E7%8E%87/788655" \t "https://baike.baidu.com/item/%E6%B0%A2%E6%B0%A7%E5%8C%96%E9%92%BE/_blank" </w:instrText>
                  </w:r>
                  <w:r>
                    <w:rPr>
                      <w:highlight w:val="none"/>
                      <w:u w:val="none"/>
                    </w:rPr>
                    <w:fldChar w:fldCharType="separate"/>
                  </w:r>
                  <w:r>
                    <w:rPr>
                      <w:color w:val="000000" w:themeColor="text1"/>
                      <w:sz w:val="21"/>
                      <w:szCs w:val="21"/>
                      <w:highlight w:val="none"/>
                      <w:u w:val="none"/>
                      <w:shd w:val="clear" w:color="auto" w:fill="FFFFFF"/>
                    </w:rPr>
                    <w:t>折射率</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n20/D1.421，</w:t>
                  </w:r>
                  <w:r>
                    <w:rPr>
                      <w:highlight w:val="none"/>
                      <w:u w:val="none"/>
                    </w:rPr>
                    <w:fldChar w:fldCharType="begin"/>
                  </w:r>
                  <w:r>
                    <w:rPr>
                      <w:highlight w:val="none"/>
                      <w:u w:val="none"/>
                    </w:rPr>
                    <w:instrText xml:space="preserve"> HYPERLINK "https://baike.baidu.com/item/%E8%92%B8%E6%B1%BD%E5%8E%8B/8217444" \t "https://baike.baidu.com/item/%E6%B0%A2%E6%B0%A7%E5%8C%96%E9%92%BE/_blank" </w:instrText>
                  </w:r>
                  <w:r>
                    <w:rPr>
                      <w:highlight w:val="none"/>
                      <w:u w:val="none"/>
                    </w:rPr>
                    <w:fldChar w:fldCharType="separate"/>
                  </w:r>
                  <w:r>
                    <w:rPr>
                      <w:color w:val="000000" w:themeColor="text1"/>
                      <w:sz w:val="21"/>
                      <w:szCs w:val="21"/>
                      <w:highlight w:val="none"/>
                      <w:u w:val="none"/>
                      <w:shd w:val="clear" w:color="auto" w:fill="FFFFFF"/>
                    </w:rPr>
                    <w:t>蒸汽压</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1mmHg（719℃）。具强碱性及腐蚀性。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8</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海砂</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2</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4</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砂石。作为仅次于石油天然气的第二大海洋矿产，海砂有着众多用途，其中最主要的用途之一就是作为工程建设的原材料。</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9</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冰醋酸</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10</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化学式CH</w:t>
                  </w:r>
                  <w:r>
                    <w:rPr>
                      <w:color w:val="000000" w:themeColor="text1"/>
                      <w:sz w:val="21"/>
                      <w:szCs w:val="21"/>
                      <w:highlight w:val="none"/>
                      <w:u w:val="none"/>
                      <w:shd w:val="clear" w:color="auto" w:fill="FFFFFF"/>
                      <w:vertAlign w:val="subscript"/>
                    </w:rPr>
                    <w:t>3</w:t>
                  </w:r>
                  <w:r>
                    <w:rPr>
                      <w:color w:val="000000" w:themeColor="text1"/>
                      <w:sz w:val="21"/>
                      <w:szCs w:val="21"/>
                      <w:highlight w:val="none"/>
                      <w:u w:val="none"/>
                      <w:shd w:val="clear" w:color="auto" w:fill="FFFFFF"/>
                    </w:rPr>
                    <w:t>COOH，是一种</w:t>
                  </w:r>
                  <w:r>
                    <w:rPr>
                      <w:highlight w:val="none"/>
                      <w:u w:val="none"/>
                    </w:rPr>
                    <w:fldChar w:fldCharType="begin"/>
                  </w:r>
                  <w:r>
                    <w:rPr>
                      <w:highlight w:val="none"/>
                      <w:u w:val="none"/>
                    </w:rPr>
                    <w:instrText xml:space="preserve"> HYPERLINK "https://baike.baidu.com/item/%E6%9C%89%E6%9C%BA/6786082" \t "_blank" </w:instrText>
                  </w:r>
                  <w:r>
                    <w:rPr>
                      <w:highlight w:val="none"/>
                      <w:u w:val="none"/>
                    </w:rPr>
                    <w:fldChar w:fldCharType="separate"/>
                  </w:r>
                  <w:r>
                    <w:rPr>
                      <w:color w:val="000000" w:themeColor="text1"/>
                      <w:sz w:val="21"/>
                      <w:szCs w:val="21"/>
                      <w:highlight w:val="none"/>
                      <w:u w:val="none"/>
                      <w:shd w:val="clear" w:color="auto" w:fill="FFFFFF"/>
                    </w:rPr>
                    <w:t>有机</w:t>
                  </w:r>
                  <w:r>
                    <w:rPr>
                      <w:color w:val="000000" w:themeColor="text1"/>
                      <w:sz w:val="21"/>
                      <w:szCs w:val="21"/>
                      <w:highlight w:val="none"/>
                      <w:u w:val="none"/>
                      <w:shd w:val="clear" w:color="auto" w:fill="FFFFFF"/>
                    </w:rPr>
                    <w:fldChar w:fldCharType="end"/>
                  </w:r>
                  <w:r>
                    <w:rPr>
                      <w:highlight w:val="none"/>
                      <w:u w:val="none"/>
                    </w:rPr>
                    <w:fldChar w:fldCharType="begin"/>
                  </w:r>
                  <w:r>
                    <w:rPr>
                      <w:highlight w:val="none"/>
                      <w:u w:val="none"/>
                    </w:rPr>
                    <w:instrText xml:space="preserve"> HYPERLINK "https://baike.baidu.com/item/%E4%B8%80%E5%85%83%E9%85%B8/5920353" \t "_blank" </w:instrText>
                  </w:r>
                  <w:r>
                    <w:rPr>
                      <w:highlight w:val="none"/>
                      <w:u w:val="none"/>
                    </w:rPr>
                    <w:fldChar w:fldCharType="separate"/>
                  </w:r>
                  <w:r>
                    <w:rPr>
                      <w:color w:val="000000" w:themeColor="text1"/>
                      <w:sz w:val="21"/>
                      <w:szCs w:val="21"/>
                      <w:highlight w:val="none"/>
                      <w:u w:val="none"/>
                      <w:shd w:val="clear" w:color="auto" w:fill="FFFFFF"/>
                    </w:rPr>
                    <w:t>一元酸</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，为</w:t>
                  </w:r>
                  <w:r>
                    <w:rPr>
                      <w:highlight w:val="none"/>
                      <w:u w:val="none"/>
                    </w:rPr>
                    <w:fldChar w:fldCharType="begin"/>
                  </w:r>
                  <w:r>
                    <w:rPr>
                      <w:highlight w:val="none"/>
                      <w:u w:val="none"/>
                    </w:rPr>
                    <w:instrText xml:space="preserve"> HYPERLINK "https://baike.baidu.com/item/%E9%A3%9F%E9%86%8B/6128695" \t "_blank" </w:instrText>
                  </w:r>
                  <w:r>
                    <w:rPr>
                      <w:highlight w:val="none"/>
                      <w:u w:val="none"/>
                    </w:rPr>
                    <w:fldChar w:fldCharType="separate"/>
                  </w:r>
                  <w:r>
                    <w:rPr>
                      <w:color w:val="000000" w:themeColor="text1"/>
                      <w:sz w:val="21"/>
                      <w:szCs w:val="21"/>
                      <w:highlight w:val="none"/>
                      <w:u w:val="none"/>
                      <w:shd w:val="clear" w:color="auto" w:fill="FFFFFF"/>
                    </w:rPr>
                    <w:t>食醋</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主要成分。纯的无水乙酸（冰醋酸）是无色的吸湿性固体，凝固点为16.6℃（62</w:t>
                  </w:r>
                  <w:r>
                    <w:rPr>
                      <w:highlight w:val="none"/>
                      <w:u w:val="none"/>
                    </w:rPr>
                    <w:fldChar w:fldCharType="begin"/>
                  </w:r>
                  <w:r>
                    <w:rPr>
                      <w:highlight w:val="none"/>
                      <w:u w:val="none"/>
                    </w:rPr>
                    <w:instrText xml:space="preserve"> HYPERLINK "https://baike.baidu.com/item/%E2%84%89" \t "_blank" </w:instrText>
                  </w:r>
                  <w:r>
                    <w:rPr>
                      <w:highlight w:val="none"/>
                      <w:u w:val="none"/>
                    </w:rPr>
                    <w:fldChar w:fldCharType="separate"/>
                  </w:r>
                  <w:r>
                    <w:rPr>
                      <w:color w:val="000000" w:themeColor="text1"/>
                      <w:sz w:val="21"/>
                      <w:szCs w:val="21"/>
                      <w:highlight w:val="none"/>
                      <w:u w:val="none"/>
                      <w:shd w:val="clear" w:color="auto" w:fill="FFFFFF"/>
                    </w:rPr>
                    <w:t>℉</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），凝固后为无色晶体，其水溶液中呈弱酸性且蚀性强，蒸汽对眼和</w:t>
                  </w:r>
                  <w:r>
                    <w:rPr>
                      <w:highlight w:val="none"/>
                      <w:u w:val="none"/>
                    </w:rPr>
                    <w:fldChar w:fldCharType="begin"/>
                  </w:r>
                  <w:r>
                    <w:rPr>
                      <w:highlight w:val="none"/>
                      <w:u w:val="none"/>
                    </w:rPr>
                    <w:instrText xml:space="preserve"> HYPERLINK "https://baike.baidu.com/item/%E9%BC%BB/13024143" \t "_blank" </w:instrText>
                  </w:r>
                  <w:r>
                    <w:rPr>
                      <w:highlight w:val="none"/>
                      <w:u w:val="none"/>
                    </w:rPr>
                    <w:fldChar w:fldCharType="separate"/>
                  </w:r>
                  <w:r>
                    <w:rPr>
                      <w:color w:val="000000" w:themeColor="text1"/>
                      <w:sz w:val="21"/>
                      <w:szCs w:val="21"/>
                      <w:highlight w:val="none"/>
                      <w:u w:val="none"/>
                      <w:shd w:val="clear" w:color="auto" w:fill="FFFFFF"/>
                    </w:rPr>
                    <w:t>鼻</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有刺激性作用。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10</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无水硫酸钠</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10</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硫酸钠（Na</w:t>
                  </w:r>
                  <w:r>
                    <w:rPr>
                      <w:color w:val="000000" w:themeColor="text1"/>
                      <w:sz w:val="21"/>
                      <w:szCs w:val="21"/>
                      <w:highlight w:val="none"/>
                      <w:u w:val="none"/>
                      <w:shd w:val="clear" w:color="auto" w:fill="FFFFFF"/>
                      <w:vertAlign w:val="subscript"/>
                    </w:rPr>
                    <w:t>2</w:t>
                  </w:r>
                  <w:r>
                    <w:rPr>
                      <w:color w:val="000000" w:themeColor="text1"/>
                      <w:sz w:val="21"/>
                      <w:szCs w:val="21"/>
                      <w:highlight w:val="none"/>
                      <w:u w:val="none"/>
                      <w:shd w:val="clear" w:color="auto" w:fill="FFFFFF"/>
                    </w:rPr>
                    <w:t>SO</w:t>
                  </w:r>
                  <w:r>
                    <w:rPr>
                      <w:color w:val="000000" w:themeColor="text1"/>
                      <w:sz w:val="21"/>
                      <w:szCs w:val="21"/>
                      <w:highlight w:val="none"/>
                      <w:u w:val="none"/>
                      <w:shd w:val="clear" w:color="auto" w:fill="FFFFFF"/>
                      <w:vertAlign w:val="subscript"/>
                    </w:rPr>
                    <w:t>4</w:t>
                  </w:r>
                  <w:r>
                    <w:rPr>
                      <w:color w:val="000000" w:themeColor="text1"/>
                      <w:sz w:val="21"/>
                      <w:szCs w:val="21"/>
                      <w:highlight w:val="none"/>
                      <w:u w:val="none"/>
                      <w:shd w:val="clear" w:color="auto" w:fill="FFFFFF"/>
                    </w:rPr>
                    <w:t>）是硫酸根与钠离子化合生成的盐，硫酸钠溶于水且其水溶液呈中性，溶于甘油而不溶于</w:t>
                  </w:r>
                  <w:r>
                    <w:rPr>
                      <w:highlight w:val="none"/>
                      <w:u w:val="none"/>
                    </w:rPr>
                    <w:fldChar w:fldCharType="begin"/>
                  </w:r>
                  <w:r>
                    <w:rPr>
                      <w:highlight w:val="none"/>
                      <w:u w:val="none"/>
                    </w:rPr>
                    <w:instrText xml:space="preserve"> HYPERLINK "https://baike.baidu.com/item/%E4%B9%99%E9%86%87/135334" \t "https://baike.baidu.com/item/%E7%A1%AB%E9%85%B8%E9%92%A0/_blank" </w:instrText>
                  </w:r>
                  <w:r>
                    <w:rPr>
                      <w:highlight w:val="none"/>
                      <w:u w:val="none"/>
                    </w:rPr>
                    <w:fldChar w:fldCharType="separate"/>
                  </w:r>
                  <w:r>
                    <w:rPr>
                      <w:color w:val="000000" w:themeColor="text1"/>
                      <w:sz w:val="21"/>
                      <w:szCs w:val="21"/>
                      <w:highlight w:val="none"/>
                      <w:u w:val="none"/>
                      <w:shd w:val="clear" w:color="auto" w:fill="FFFFFF"/>
                    </w:rPr>
                    <w:t>乙醇</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。有</w:t>
                  </w:r>
                  <w:r>
                    <w:rPr>
                      <w:highlight w:val="none"/>
                      <w:u w:val="none"/>
                    </w:rPr>
                    <w:fldChar w:fldCharType="begin"/>
                  </w:r>
                  <w:r>
                    <w:rPr>
                      <w:highlight w:val="none"/>
                      <w:u w:val="none"/>
                    </w:rPr>
                    <w:instrText xml:space="preserve"> HYPERLINK "https://baike.baidu.com/item/%E5%90%B8%E6%B9%BF%E6%80%A7/10930709" \t "https://baike.baidu.com/item/%E7%A1%AB%E9%85%B8%E9%92%A0/_blank" </w:instrText>
                  </w:r>
                  <w:r>
                    <w:rPr>
                      <w:highlight w:val="none"/>
                      <w:u w:val="none"/>
                    </w:rPr>
                    <w:fldChar w:fldCharType="separate"/>
                  </w:r>
                  <w:r>
                    <w:rPr>
                      <w:color w:val="000000" w:themeColor="text1"/>
                      <w:sz w:val="21"/>
                      <w:szCs w:val="21"/>
                      <w:highlight w:val="none"/>
                      <w:u w:val="none"/>
                      <w:shd w:val="clear" w:color="auto" w:fill="FFFFFF"/>
                    </w:rPr>
                    <w:t>吸湿性</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。外形为无色、透明、大的结晶或颗粒性小结晶。在有机合成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986"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11</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柠檬酸</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5</w:t>
                  </w:r>
                </w:p>
              </w:tc>
              <w:tc>
                <w:tcPr>
                  <w:tcW w:w="930" w:type="dxa"/>
                  <w:vAlign w:val="center"/>
                </w:tcPr>
                <w:p>
                  <w:pPr>
                    <w:jc w:val="center"/>
                    <w:rPr>
                      <w:color w:val="000000" w:themeColor="text1"/>
                      <w:sz w:val="21"/>
                      <w:szCs w:val="21"/>
                      <w:highlight w:val="none"/>
                      <w:u w:val="none"/>
                      <w:shd w:val="clear" w:color="auto" w:fill="FFFFFF"/>
                    </w:rPr>
                  </w:pPr>
                  <w:r>
                    <w:rPr>
                      <w:rFonts w:hint="eastAsia"/>
                      <w:color w:val="000000" w:themeColor="text1"/>
                      <w:sz w:val="21"/>
                      <w:szCs w:val="21"/>
                      <w:highlight w:val="none"/>
                      <w:u w:val="none"/>
                    </w:rPr>
                    <w:t>10</w:t>
                  </w:r>
                </w:p>
              </w:tc>
              <w:tc>
                <w:tcPr>
                  <w:tcW w:w="4004" w:type="dxa"/>
                  <w:vAlign w:val="center"/>
                </w:tcPr>
                <w:p>
                  <w:pP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相对密度1.542，熔点153℃(失水)，无色半透明的结晶或白色的颗粒,或白色结晶状粉末，常含一分子结晶水，无臭，味极酸，溶于水、醇和乙醚。其钙盐在冷水中比热水中易溶解，此性质常用来鉴定和分离柠檬酸。结晶时控制适宜的温度可获得无水柠檬酸。水溶液呈酸性。在干燥空气中微有风化性，在潮湿空气中有潮解性。175℃以上分解放出水及二氧化碳。</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12</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石油醚30-60\60-90</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4</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10</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石油醚是</w:t>
                  </w:r>
                  <w:r>
                    <w:rPr>
                      <w:highlight w:val="none"/>
                      <w:u w:val="none"/>
                    </w:rPr>
                    <w:fldChar w:fldCharType="begin"/>
                  </w:r>
                  <w:r>
                    <w:rPr>
                      <w:highlight w:val="none"/>
                      <w:u w:val="none"/>
                    </w:rPr>
                    <w:instrText xml:space="preserve"> HYPERLINK "https://baike.baidu.com/item/%E6%97%A0%E8%89%B2%E9%80%8F%E6%98%8E" \t "https://baike.baidu.com/item/%E7%9F%B3%E6%B2%B9%E9%86%9A/_blank" </w:instrText>
                  </w:r>
                  <w:r>
                    <w:rPr>
                      <w:highlight w:val="none"/>
                      <w:u w:val="none"/>
                    </w:rPr>
                    <w:fldChar w:fldCharType="separate"/>
                  </w:r>
                  <w:r>
                    <w:rPr>
                      <w:color w:val="000000" w:themeColor="text1"/>
                      <w:sz w:val="21"/>
                      <w:szCs w:val="21"/>
                      <w:highlight w:val="none"/>
                      <w:u w:val="none"/>
                      <w:shd w:val="clear" w:color="auto" w:fill="FFFFFF"/>
                    </w:rPr>
                    <w:t>无色透明</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液体，有煤油气味。主要为戊烷和己烷的混合物。不溶于水，溶于</w:t>
                  </w:r>
                  <w:r>
                    <w:rPr>
                      <w:highlight w:val="none"/>
                      <w:u w:val="none"/>
                    </w:rPr>
                    <w:fldChar w:fldCharType="begin"/>
                  </w:r>
                  <w:r>
                    <w:rPr>
                      <w:highlight w:val="none"/>
                      <w:u w:val="none"/>
                    </w:rPr>
                    <w:instrText xml:space="preserve"> HYPERLINK "https://baike.baidu.com/item/%E6%97%A0%E6%B0%B4%E4%B9%99%E9%86%87/949504" \t "https://baike.baidu.com/item/%E7%9F%B3%E6%B2%B9%E9%86%9A/_blank" </w:instrText>
                  </w:r>
                  <w:r>
                    <w:rPr>
                      <w:highlight w:val="none"/>
                      <w:u w:val="none"/>
                    </w:rPr>
                    <w:fldChar w:fldCharType="separate"/>
                  </w:r>
                  <w:r>
                    <w:rPr>
                      <w:color w:val="000000" w:themeColor="text1"/>
                      <w:sz w:val="21"/>
                      <w:szCs w:val="21"/>
                      <w:highlight w:val="none"/>
                      <w:u w:val="none"/>
                      <w:shd w:val="clear" w:color="auto" w:fill="FFFFFF"/>
                    </w:rPr>
                    <w:t>无水乙醇</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、苯、</w:t>
                  </w:r>
                  <w:r>
                    <w:rPr>
                      <w:highlight w:val="none"/>
                      <w:u w:val="none"/>
                    </w:rPr>
                    <w:fldChar w:fldCharType="begin"/>
                  </w:r>
                  <w:r>
                    <w:rPr>
                      <w:highlight w:val="none"/>
                      <w:u w:val="none"/>
                    </w:rPr>
                    <w:instrText xml:space="preserve"> HYPERLINK "https://baike.baidu.com/item/%E6%B0%AF%E4%BB%BF/521847" \t "https://baike.baidu.com/item/%E7%9F%B3%E6%B2%B9%E9%86%9A/_blank" </w:instrText>
                  </w:r>
                  <w:r>
                    <w:rPr>
                      <w:highlight w:val="none"/>
                      <w:u w:val="none"/>
                    </w:rPr>
                    <w:fldChar w:fldCharType="separate"/>
                  </w:r>
                  <w:r>
                    <w:rPr>
                      <w:color w:val="000000" w:themeColor="text1"/>
                      <w:sz w:val="21"/>
                      <w:szCs w:val="21"/>
                      <w:highlight w:val="none"/>
                      <w:u w:val="none"/>
                      <w:shd w:val="clear" w:color="auto" w:fill="FFFFFF"/>
                    </w:rPr>
                    <w:t>氯仿</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、油类等多数有机溶剂。易燃易爆，与氧化剂可强烈反应。主要用作溶剂和油脂处理。通常用</w:t>
                  </w:r>
                  <w:r>
                    <w:rPr>
                      <w:highlight w:val="none"/>
                      <w:u w:val="none"/>
                    </w:rPr>
                    <w:fldChar w:fldCharType="begin"/>
                  </w:r>
                  <w:r>
                    <w:rPr>
                      <w:highlight w:val="none"/>
                      <w:u w:val="none"/>
                    </w:rPr>
                    <w:instrText xml:space="preserve"> HYPERLINK "https://baike.baidu.com/item/%E9%93%82" \t "https://baike.baidu.com/item/%E7%9F%B3%E6%B2%B9%E9%86%9A/_blank" </w:instrText>
                  </w:r>
                  <w:r>
                    <w:rPr>
                      <w:highlight w:val="none"/>
                      <w:u w:val="none"/>
                    </w:rPr>
                    <w:fldChar w:fldCharType="separate"/>
                  </w:r>
                  <w:r>
                    <w:rPr>
                      <w:color w:val="000000" w:themeColor="text1"/>
                      <w:sz w:val="21"/>
                      <w:szCs w:val="21"/>
                      <w:highlight w:val="none"/>
                      <w:u w:val="none"/>
                      <w:shd w:val="clear" w:color="auto" w:fill="FFFFFF"/>
                    </w:rPr>
                    <w:t>铂</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重整抽余油或直馏汽油经分馏、加氢或其他方法制得。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13</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琼脂</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250g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10</w:t>
                  </w:r>
                </w:p>
              </w:tc>
              <w:tc>
                <w:tcPr>
                  <w:tcW w:w="4004"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琼脂在化学工业，医学科研，可作</w:t>
                  </w:r>
                  <w:r>
                    <w:rPr>
                      <w:highlight w:val="none"/>
                      <w:u w:val="none"/>
                    </w:rPr>
                    <w:fldChar w:fldCharType="begin"/>
                  </w:r>
                  <w:r>
                    <w:rPr>
                      <w:highlight w:val="none"/>
                      <w:u w:val="none"/>
                    </w:rPr>
                    <w:instrText xml:space="preserve"> HYPERLINK "https://baike.baidu.com/item/%E5%9F%B9%E5%85%BB%E5%9F%BA/1317328" \t "_blank" </w:instrText>
                  </w:r>
                  <w:r>
                    <w:rPr>
                      <w:highlight w:val="none"/>
                      <w:u w:val="none"/>
                    </w:rPr>
                    <w:fldChar w:fldCharType="separate"/>
                  </w:r>
                  <w:r>
                    <w:rPr>
                      <w:color w:val="000000" w:themeColor="text1"/>
                      <w:sz w:val="21"/>
                      <w:szCs w:val="21"/>
                      <w:highlight w:val="none"/>
                      <w:u w:val="none"/>
                    </w:rPr>
                    <w:t>培养基</w:t>
                  </w:r>
                  <w:r>
                    <w:rPr>
                      <w:color w:val="000000" w:themeColor="text1"/>
                      <w:sz w:val="21"/>
                      <w:szCs w:val="21"/>
                      <w:highlight w:val="none"/>
                      <w:u w:val="none"/>
                    </w:rPr>
                    <w:fldChar w:fldCharType="end"/>
                  </w:r>
                  <w:r>
                    <w:rPr>
                      <w:color w:val="000000" w:themeColor="text1"/>
                      <w:sz w:val="21"/>
                      <w:szCs w:val="21"/>
                      <w:highlight w:val="none"/>
                      <w:u w:val="none"/>
                      <w:shd w:val="clear" w:color="auto" w:fill="FFFFFF"/>
                    </w:rPr>
                    <w:t>，药膏基及其他用途。</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14</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无水乙二胺</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2</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5</w:t>
                  </w:r>
                </w:p>
              </w:tc>
              <w:tc>
                <w:tcPr>
                  <w:tcW w:w="4004"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乙二胺，无色或微黄色油状或水样液体，有类似氨的气味。呈强碱性。(n26D)1.4540。易燃。低毒，半数致死量（大鼠，经口）1460mg/kg。有腐蚀性。主要用于溶剂和分析试剂。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15</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酒石酸钾钠</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1</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酒石酸钾钠晶体又名罗谢尔盐，为无色透明结晶体，其应用极其广泛。医药工业用于配制费林溶液和检验还原糖；电镀工业用作化学沉积铜和氯化镀铜用络合剂；化学工业用作天然气脱硫剂；食品工业用于制备发酵粉，电子工业中作压电晶体化学分析中用作掩蔽剂及血清蛋白的生化检验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78"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16</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变色硅胶粒</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5</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5</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变色硅胶是以具有高活性吸附材料</w:t>
                  </w:r>
                  <w:r>
                    <w:rPr>
                      <w:highlight w:val="none"/>
                      <w:u w:val="none"/>
                    </w:rPr>
                    <w:fldChar w:fldCharType="begin"/>
                  </w:r>
                  <w:r>
                    <w:rPr>
                      <w:highlight w:val="none"/>
                      <w:u w:val="none"/>
                    </w:rPr>
                    <w:instrText xml:space="preserve"> HYPERLINK "https://baike.baidu.com/item/%E7%BB%86%E5%AD%94%E7%A1%85%E8%83%B6/353114" \t "https://baike.baidu.com/item/%E5%8F%98%E8%89%B2%E7%A1%85%E8%83%B6/_blank" </w:instrText>
                  </w:r>
                  <w:r>
                    <w:rPr>
                      <w:highlight w:val="none"/>
                      <w:u w:val="none"/>
                    </w:rPr>
                    <w:fldChar w:fldCharType="separate"/>
                  </w:r>
                  <w:r>
                    <w:rPr>
                      <w:color w:val="000000" w:themeColor="text1"/>
                      <w:sz w:val="21"/>
                      <w:szCs w:val="21"/>
                      <w:highlight w:val="none"/>
                      <w:u w:val="none"/>
                      <w:shd w:val="clear" w:color="auto" w:fill="FFFFFF"/>
                    </w:rPr>
                    <w:t>细孔硅胶</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为基础原料经过深加工制成的具有高附加值和较高技术含量的指示型</w:t>
                  </w:r>
                  <w:r>
                    <w:rPr>
                      <w:highlight w:val="none"/>
                      <w:u w:val="none"/>
                    </w:rPr>
                    <w:fldChar w:fldCharType="begin"/>
                  </w:r>
                  <w:r>
                    <w:rPr>
                      <w:highlight w:val="none"/>
                      <w:u w:val="none"/>
                    </w:rPr>
                    <w:instrText xml:space="preserve"> HYPERLINK "https://baike.baidu.com/item/%E5%90%B8%E9%99%84%E5%89%82/8521184" \t "https://baike.baidu.com/item/%E5%8F%98%E8%89%B2%E7%A1%85%E8%83%B6/_blank" </w:instrText>
                  </w:r>
                  <w:r>
                    <w:rPr>
                      <w:highlight w:val="none"/>
                      <w:u w:val="none"/>
                    </w:rPr>
                    <w:fldChar w:fldCharType="separate"/>
                  </w:r>
                  <w:r>
                    <w:rPr>
                      <w:color w:val="000000" w:themeColor="text1"/>
                      <w:sz w:val="21"/>
                      <w:szCs w:val="21"/>
                      <w:highlight w:val="none"/>
                      <w:u w:val="none"/>
                      <w:shd w:val="clear" w:color="auto" w:fill="FFFFFF"/>
                    </w:rPr>
                    <w:t>吸附剂</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，属于高档次的吸附</w:t>
                  </w:r>
                  <w:r>
                    <w:rPr>
                      <w:highlight w:val="none"/>
                      <w:u w:val="none"/>
                    </w:rPr>
                    <w:fldChar w:fldCharType="begin"/>
                  </w:r>
                  <w:r>
                    <w:rPr>
                      <w:highlight w:val="none"/>
                      <w:u w:val="none"/>
                    </w:rPr>
                    <w:instrText xml:space="preserve"> HYPERLINK "https://baike.baidu.com/item/%E5%B9%B2%E7%87%A5%E5%89%82/829789" \t "https://baike.baidu.com/item/%E5%8F%98%E8%89%B2%E7%A1%85%E8%83%B6/_blank" </w:instrText>
                  </w:r>
                  <w:r>
                    <w:rPr>
                      <w:highlight w:val="none"/>
                      <w:u w:val="none"/>
                    </w:rPr>
                    <w:fldChar w:fldCharType="separate"/>
                  </w:r>
                  <w:r>
                    <w:rPr>
                      <w:color w:val="000000" w:themeColor="text1"/>
                      <w:sz w:val="21"/>
                      <w:szCs w:val="21"/>
                      <w:highlight w:val="none"/>
                      <w:u w:val="none"/>
                      <w:shd w:val="clear" w:color="auto" w:fill="FFFFFF"/>
                    </w:rPr>
                    <w:t>干燥剂</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，现执行国家行业标准，《蓝胶指示剂、变色硅胶和无钴变色硅胶》HG/T 2765.4-2005。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400"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17</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蔗糖</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2</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蔗糖，即食糖，双糖的一种，由一分子葡萄糖的半缩醛羟基与一分子果糖的半缩醛羟基彼此缩合脱水而成。蔗糖有甜味，无气味，易溶于水和甘油，微溶于醇。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18</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葡萄糖</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2</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又称为玉米葡糖、</w:t>
                  </w:r>
                  <w:r>
                    <w:rPr>
                      <w:highlight w:val="none"/>
                      <w:u w:val="none"/>
                    </w:rPr>
                    <w:fldChar w:fldCharType="begin"/>
                  </w:r>
                  <w:r>
                    <w:rPr>
                      <w:highlight w:val="none"/>
                      <w:u w:val="none"/>
                    </w:rPr>
                    <w:instrText xml:space="preserve"> HYPERLINK "https://baike.so.com/doc/5896681-6109575.html" \t "https://baike.so.com/doc/_blank" </w:instrText>
                  </w:r>
                  <w:r>
                    <w:rPr>
                      <w:highlight w:val="none"/>
                      <w:u w:val="none"/>
                    </w:rPr>
                    <w:fldChar w:fldCharType="separate"/>
                  </w:r>
                  <w:r>
                    <w:rPr>
                      <w:color w:val="000000" w:themeColor="text1"/>
                      <w:sz w:val="21"/>
                      <w:szCs w:val="21"/>
                      <w:highlight w:val="none"/>
                      <w:u w:val="none"/>
                      <w:shd w:val="clear" w:color="auto" w:fill="FFFFFF"/>
                    </w:rPr>
                    <w:t>玉蜀黍</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糖，简称为葡糖。化学名称：2,3,4,5,6-五羟基己醛，是自然界分布最广且最为重要的一种</w:t>
                  </w:r>
                  <w:r>
                    <w:rPr>
                      <w:highlight w:val="none"/>
                      <w:u w:val="none"/>
                    </w:rPr>
                    <w:fldChar w:fldCharType="begin"/>
                  </w:r>
                  <w:r>
                    <w:rPr>
                      <w:highlight w:val="none"/>
                      <w:u w:val="none"/>
                    </w:rPr>
                    <w:instrText xml:space="preserve"> HYPERLINK "https://baike.so.com/doc/4799643-5015856.html" \t "https://baike.so.com/doc/_blank" </w:instrText>
                  </w:r>
                  <w:r>
                    <w:rPr>
                      <w:highlight w:val="none"/>
                      <w:u w:val="none"/>
                    </w:rPr>
                    <w:fldChar w:fldCharType="separate"/>
                  </w:r>
                  <w:r>
                    <w:rPr>
                      <w:color w:val="000000" w:themeColor="text1"/>
                      <w:sz w:val="21"/>
                      <w:szCs w:val="21"/>
                      <w:highlight w:val="none"/>
                      <w:u w:val="none"/>
                      <w:shd w:val="clear" w:color="auto" w:fill="FFFFFF"/>
                    </w:rPr>
                    <w:t>单糖</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，它是一种多羟基醛。纯净的葡萄糖为无色</w:t>
                  </w:r>
                  <w:r>
                    <w:rPr>
                      <w:highlight w:val="none"/>
                      <w:u w:val="none"/>
                    </w:rPr>
                    <w:fldChar w:fldCharType="begin"/>
                  </w:r>
                  <w:r>
                    <w:rPr>
                      <w:highlight w:val="none"/>
                      <w:u w:val="none"/>
                    </w:rPr>
                    <w:instrText xml:space="preserve"> HYPERLINK "https://baike.so.com/doc/191492-202333.html" \t "https://baike.so.com/doc/_blank" </w:instrText>
                  </w:r>
                  <w:r>
                    <w:rPr>
                      <w:highlight w:val="none"/>
                      <w:u w:val="none"/>
                    </w:rPr>
                    <w:fldChar w:fldCharType="separate"/>
                  </w:r>
                  <w:r>
                    <w:rPr>
                      <w:color w:val="000000" w:themeColor="text1"/>
                      <w:sz w:val="21"/>
                      <w:szCs w:val="21"/>
                      <w:highlight w:val="none"/>
                      <w:u w:val="none"/>
                      <w:shd w:val="clear" w:color="auto" w:fill="FFFFFF"/>
                    </w:rPr>
                    <w:t>晶体</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，有甜味但甜味不如</w:t>
                  </w:r>
                  <w:r>
                    <w:rPr>
                      <w:highlight w:val="none"/>
                      <w:u w:val="none"/>
                    </w:rPr>
                    <w:fldChar w:fldCharType="begin"/>
                  </w:r>
                  <w:r>
                    <w:rPr>
                      <w:highlight w:val="none"/>
                      <w:u w:val="none"/>
                    </w:rPr>
                    <w:instrText xml:space="preserve"> HYPERLINK "https://baike.so.com/doc/3826585-4018332.html" \t "https://baike.so.com/doc/_blank" </w:instrText>
                  </w:r>
                  <w:r>
                    <w:rPr>
                      <w:highlight w:val="none"/>
                      <w:u w:val="none"/>
                    </w:rPr>
                    <w:fldChar w:fldCharType="separate"/>
                  </w:r>
                  <w:r>
                    <w:rPr>
                      <w:color w:val="000000" w:themeColor="text1"/>
                      <w:sz w:val="21"/>
                      <w:szCs w:val="21"/>
                      <w:highlight w:val="none"/>
                      <w:u w:val="none"/>
                      <w:shd w:val="clear" w:color="auto" w:fill="FFFFFF"/>
                    </w:rPr>
                    <w:t>蔗糖</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(一般人无法尝到甜味)，易溶于水，微溶于乙醇，不溶于</w:t>
                  </w:r>
                  <w:r>
                    <w:rPr>
                      <w:highlight w:val="none"/>
                      <w:u w:val="none"/>
                    </w:rPr>
                    <w:fldChar w:fldCharType="begin"/>
                  </w:r>
                  <w:r>
                    <w:rPr>
                      <w:highlight w:val="none"/>
                      <w:u w:val="none"/>
                    </w:rPr>
                    <w:instrText xml:space="preserve"> HYPERLINK "https://baike.so.com/doc/6744681-6959224.html" \t "https://baike.so.com/doc/_blank" </w:instrText>
                  </w:r>
                  <w:r>
                    <w:rPr>
                      <w:highlight w:val="none"/>
                      <w:u w:val="none"/>
                    </w:rPr>
                    <w:fldChar w:fldCharType="separate"/>
                  </w:r>
                  <w:r>
                    <w:rPr>
                      <w:color w:val="000000" w:themeColor="text1"/>
                      <w:sz w:val="21"/>
                      <w:szCs w:val="21"/>
                      <w:highlight w:val="none"/>
                      <w:u w:val="none"/>
                      <w:shd w:val="clear" w:color="auto" w:fill="FFFFFF"/>
                    </w:rPr>
                    <w:t>乙醚</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。天然葡萄糖水溶液旋光向右，故属于“</w:t>
                  </w:r>
                  <w:r>
                    <w:rPr>
                      <w:highlight w:val="none"/>
                      <w:u w:val="none"/>
                    </w:rPr>
                    <w:fldChar w:fldCharType="begin"/>
                  </w:r>
                  <w:r>
                    <w:rPr>
                      <w:highlight w:val="none"/>
                      <w:u w:val="none"/>
                    </w:rPr>
                    <w:instrText xml:space="preserve"> HYPERLINK "https://baike.so.com/doc/4148175-4348053.html" \t "https://baike.so.com/doc/_blank" </w:instrText>
                  </w:r>
                  <w:r>
                    <w:rPr>
                      <w:highlight w:val="none"/>
                      <w:u w:val="none"/>
                    </w:rPr>
                    <w:fldChar w:fldCharType="separate"/>
                  </w:r>
                  <w:r>
                    <w:rPr>
                      <w:color w:val="000000" w:themeColor="text1"/>
                      <w:sz w:val="21"/>
                      <w:szCs w:val="21"/>
                      <w:highlight w:val="none"/>
                      <w:u w:val="none"/>
                      <w:shd w:val="clear" w:color="auto" w:fill="FFFFFF"/>
                    </w:rPr>
                    <w:t>右旋糖</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”。葡萄糖在生物学领域具有重要地位，是活细胞的能量来源和新陈代谢中间产物，即生物的主要供能物质。植物可通过光合作用产生葡萄糖，在</w:t>
                  </w:r>
                  <w:r>
                    <w:rPr>
                      <w:highlight w:val="none"/>
                      <w:u w:val="none"/>
                    </w:rPr>
                    <w:fldChar w:fldCharType="begin"/>
                  </w:r>
                  <w:r>
                    <w:rPr>
                      <w:highlight w:val="none"/>
                      <w:u w:val="none"/>
                    </w:rPr>
                    <w:instrText xml:space="preserve"> HYPERLINK "https://baike.so.com/doc/1586555-1677103.html" \t "https://baike.so.com/doc/_blank" </w:instrText>
                  </w:r>
                  <w:r>
                    <w:rPr>
                      <w:highlight w:val="none"/>
                      <w:u w:val="none"/>
                    </w:rPr>
                    <w:fldChar w:fldCharType="separate"/>
                  </w:r>
                  <w:r>
                    <w:rPr>
                      <w:color w:val="000000" w:themeColor="text1"/>
                      <w:sz w:val="21"/>
                      <w:szCs w:val="21"/>
                      <w:highlight w:val="none"/>
                      <w:u w:val="none"/>
                      <w:shd w:val="clear" w:color="auto" w:fill="FFFFFF"/>
                    </w:rPr>
                    <w:t>糖果</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制造业和医药领域有着广泛应用。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59"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19</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二甲基硅油</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2</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二甲基硅油又名甲基硅油、聚二甲基硅氧烷液体。无色透明粘稠液体</w:t>
                  </w:r>
                  <w:r>
                    <w:rPr>
                      <w:rFonts w:hint="eastAsia"/>
                      <w:color w:val="000000" w:themeColor="text1"/>
                      <w:sz w:val="21"/>
                      <w:szCs w:val="21"/>
                      <w:highlight w:val="none"/>
                      <w:u w:val="none"/>
                      <w:shd w:val="clear" w:color="auto" w:fill="FFFFFF"/>
                    </w:rPr>
                    <w:t>，</w:t>
                  </w:r>
                  <w:r>
                    <w:rPr>
                      <w:color w:val="000000" w:themeColor="text1"/>
                      <w:sz w:val="21"/>
                      <w:szCs w:val="21"/>
                      <w:highlight w:val="none"/>
                      <w:u w:val="none"/>
                      <w:shd w:val="clear" w:color="auto" w:fill="FFFFFF"/>
                    </w:rPr>
                    <w:t>无味</w:t>
                  </w:r>
                  <w:r>
                    <w:rPr>
                      <w:rFonts w:hint="eastAsia"/>
                      <w:color w:val="000000" w:themeColor="text1"/>
                      <w:sz w:val="21"/>
                      <w:szCs w:val="21"/>
                      <w:highlight w:val="none"/>
                      <w:u w:val="none"/>
                      <w:shd w:val="clear" w:color="auto" w:fill="FFFFFF"/>
                    </w:rPr>
                    <w:t>，</w:t>
                  </w:r>
                  <w:r>
                    <w:rPr>
                      <w:color w:val="000000" w:themeColor="text1"/>
                      <w:sz w:val="21"/>
                      <w:szCs w:val="21"/>
                      <w:highlight w:val="none"/>
                      <w:u w:val="none"/>
                      <w:shd w:val="clear" w:color="auto" w:fill="FFFFFF"/>
                    </w:rPr>
                    <w:t>无臭</w:t>
                  </w:r>
                  <w:r>
                    <w:rPr>
                      <w:rFonts w:hint="eastAsia"/>
                      <w:color w:val="000000" w:themeColor="text1"/>
                      <w:sz w:val="21"/>
                      <w:szCs w:val="21"/>
                      <w:highlight w:val="none"/>
                      <w:u w:val="none"/>
                      <w:shd w:val="clear" w:color="auto" w:fill="FFFFFF"/>
                    </w:rPr>
                    <w:t>，</w:t>
                  </w:r>
                  <w:r>
                    <w:rPr>
                      <w:color w:val="000000" w:themeColor="text1"/>
                      <w:sz w:val="21"/>
                      <w:szCs w:val="21"/>
                      <w:highlight w:val="none"/>
                      <w:u w:val="none"/>
                      <w:shd w:val="clear" w:color="auto" w:fill="FFFFFF"/>
                    </w:rPr>
                    <w:t>无毒。</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20</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碘化钾</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250g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3</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白色立方结晶或粉末。在潮湿空气中微有吸湿性，久置析出游离碘而变成黄色，并能形成微量碘酸盐。光及潮湿能加速分解。1g溶于0.7ml水、0.5ml沸水、22ml乙醇、8ml沸乙醇、51ml无水乙醇、8ml甲醇、7.5ml丙酮、2ml甘油、约2.5ml乙二醇。其水溶液呈中性或微碱性，能溶解碘。其水溶液也会氧化而渐变黄色，可加少量碱防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21</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对羟基苯甲酸正丁酯</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100mg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2</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白色结晶粉末。稍有特殊臭味, 微溶于</w:t>
                  </w:r>
                  <w:r>
                    <w:rPr>
                      <w:highlight w:val="none"/>
                      <w:u w:val="none"/>
                    </w:rPr>
                    <w:fldChar w:fldCharType="begin"/>
                  </w:r>
                  <w:r>
                    <w:rPr>
                      <w:highlight w:val="none"/>
                      <w:u w:val="none"/>
                    </w:rPr>
                    <w:instrText xml:space="preserve"> HYPERLINK "https://baike.baidu.com/item/%E6%B0%B4" \t "https://baike.baidu.com/item/%E5%AF%B9%E7%BE%9F%E5%9F%BA%E8%8B%AF%E7%94%B2%E9%85%B8%E4%B8%81%E9%85%AF/_blank" </w:instrText>
                  </w:r>
                  <w:r>
                    <w:rPr>
                      <w:highlight w:val="none"/>
                      <w:u w:val="none"/>
                    </w:rPr>
                    <w:fldChar w:fldCharType="separate"/>
                  </w:r>
                  <w:r>
                    <w:rPr>
                      <w:color w:val="000000" w:themeColor="text1"/>
                      <w:sz w:val="21"/>
                      <w:szCs w:val="21"/>
                      <w:highlight w:val="none"/>
                      <w:u w:val="none"/>
                      <w:shd w:val="clear" w:color="auto" w:fill="FFFFFF"/>
                    </w:rPr>
                    <w:t>水</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，溶于</w:t>
                  </w:r>
                  <w:r>
                    <w:rPr>
                      <w:highlight w:val="none"/>
                      <w:u w:val="none"/>
                    </w:rPr>
                    <w:fldChar w:fldCharType="begin"/>
                  </w:r>
                  <w:r>
                    <w:rPr>
                      <w:highlight w:val="none"/>
                      <w:u w:val="none"/>
                    </w:rPr>
                    <w:instrText xml:space="preserve"> HYPERLINK "https://baike.baidu.com/item/%E9%86%87" \t "https://baike.baidu.com/item/%E5%AF%B9%E7%BE%9F%E5%9F%BA%E8%8B%AF%E7%94%B2%E9%85%B8%E4%B8%81%E9%85%AF/_blank" </w:instrText>
                  </w:r>
                  <w:r>
                    <w:rPr>
                      <w:highlight w:val="none"/>
                      <w:u w:val="none"/>
                    </w:rPr>
                    <w:fldChar w:fldCharType="separate"/>
                  </w:r>
                  <w:r>
                    <w:rPr>
                      <w:color w:val="000000" w:themeColor="text1"/>
                      <w:sz w:val="21"/>
                      <w:szCs w:val="21"/>
                      <w:highlight w:val="none"/>
                      <w:u w:val="none"/>
                      <w:shd w:val="clear" w:color="auto" w:fill="FFFFFF"/>
                    </w:rPr>
                    <w:t>醇</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w:t>
                  </w:r>
                  <w:r>
                    <w:rPr>
                      <w:highlight w:val="none"/>
                      <w:u w:val="none"/>
                    </w:rPr>
                    <w:fldChar w:fldCharType="begin"/>
                  </w:r>
                  <w:r>
                    <w:rPr>
                      <w:highlight w:val="none"/>
                      <w:u w:val="none"/>
                    </w:rPr>
                    <w:instrText xml:space="preserve"> HYPERLINK "https://baike.baidu.com/item/%E9%86%9A" \t "https://baike.baidu.com/item/%E5%AF%B9%E7%BE%9F%E5%9F%BA%E8%8B%AF%E7%94%B2%E9%85%B8%E4%B8%81%E9%85%AF/_blank" </w:instrText>
                  </w:r>
                  <w:r>
                    <w:rPr>
                      <w:highlight w:val="none"/>
                      <w:u w:val="none"/>
                    </w:rPr>
                    <w:fldChar w:fldCharType="separate"/>
                  </w:r>
                  <w:r>
                    <w:rPr>
                      <w:color w:val="000000" w:themeColor="text1"/>
                      <w:sz w:val="21"/>
                      <w:szCs w:val="21"/>
                      <w:highlight w:val="none"/>
                      <w:u w:val="none"/>
                      <w:shd w:val="clear" w:color="auto" w:fill="FFFFFF"/>
                    </w:rPr>
                    <w:t>醚</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和三氯甲烷。用于药品、化妆品及食品的抑菌和防腐。对酵母和霉菌有很强的抑制作用，工业上常用对羟基苯甲酸与丁醇在浓硫酸催化下进行酯化反应制得。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22</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己二酸</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250mg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2</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白色结晶体或结晶性粉末,易溶于酒精、</w:t>
                  </w:r>
                  <w:r>
                    <w:rPr>
                      <w:highlight w:val="none"/>
                      <w:u w:val="none"/>
                    </w:rPr>
                    <w:fldChar w:fldCharType="begin"/>
                  </w:r>
                  <w:r>
                    <w:rPr>
                      <w:highlight w:val="none"/>
                      <w:u w:val="none"/>
                    </w:rPr>
                    <w:instrText xml:space="preserve"> HYPERLINK "https://baike.baidu.com/item/%E4%B9%99%E9%86%9A" \t "https://baike.baidu.com/item/%E5%B7%B1%E4%BA%8C%E9%85%B8/_blank" </w:instrText>
                  </w:r>
                  <w:r>
                    <w:rPr>
                      <w:highlight w:val="none"/>
                      <w:u w:val="none"/>
                    </w:rPr>
                    <w:fldChar w:fldCharType="separate"/>
                  </w:r>
                  <w:r>
                    <w:rPr>
                      <w:color w:val="000000" w:themeColor="text1"/>
                      <w:sz w:val="21"/>
                      <w:szCs w:val="21"/>
                      <w:highlight w:val="none"/>
                      <w:u w:val="none"/>
                      <w:shd w:val="clear" w:color="auto" w:fill="FFFFFF"/>
                    </w:rPr>
                    <w:t>乙醚</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等大多数</w:t>
                  </w:r>
                  <w:r>
                    <w:rPr>
                      <w:highlight w:val="none"/>
                      <w:u w:val="none"/>
                    </w:rPr>
                    <w:fldChar w:fldCharType="begin"/>
                  </w:r>
                  <w:r>
                    <w:rPr>
                      <w:highlight w:val="none"/>
                      <w:u w:val="none"/>
                    </w:rPr>
                    <w:instrText xml:space="preserve"> HYPERLINK "https://baike.baidu.com/item/%E6%9C%89%E6%9C%BA%E6%BA%B6%E5%89%82" \t "https://baike.baidu.com/item/%E5%B7%B1%E4%BA%8C%E9%85%B8/_blank" </w:instrText>
                  </w:r>
                  <w:r>
                    <w:rPr>
                      <w:highlight w:val="none"/>
                      <w:u w:val="none"/>
                    </w:rPr>
                    <w:fldChar w:fldCharType="separate"/>
                  </w:r>
                  <w:r>
                    <w:rPr>
                      <w:color w:val="000000" w:themeColor="text1"/>
                      <w:sz w:val="21"/>
                      <w:szCs w:val="21"/>
                      <w:highlight w:val="none"/>
                      <w:u w:val="none"/>
                      <w:shd w:val="clear" w:color="auto" w:fill="FFFFFF"/>
                    </w:rPr>
                    <w:t>有机溶剂</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。对眼睛、皮肤、粘膜和上呼吸道有刺激作用。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23</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盐酸</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2</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rPr>
                    <w:t>5</w:t>
                  </w:r>
                </w:p>
              </w:tc>
              <w:tc>
                <w:tcPr>
                  <w:tcW w:w="4004"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无色透明的液体，有强烈的</w:t>
                  </w:r>
                  <w:r>
                    <w:rPr>
                      <w:highlight w:val="none"/>
                      <w:u w:val="none"/>
                    </w:rPr>
                    <w:fldChar w:fldCharType="begin"/>
                  </w:r>
                  <w:r>
                    <w:rPr>
                      <w:highlight w:val="none"/>
                      <w:u w:val="none"/>
                    </w:rPr>
                    <w:instrText xml:space="preserve"> HYPERLINK "http://baike.baidu.com/view/5099178.htm" \t "_blank" </w:instrText>
                  </w:r>
                  <w:r>
                    <w:rPr>
                      <w:highlight w:val="none"/>
                      <w:u w:val="none"/>
                    </w:rPr>
                    <w:fldChar w:fldCharType="separate"/>
                  </w:r>
                  <w:r>
                    <w:rPr>
                      <w:color w:val="000000" w:themeColor="text1"/>
                      <w:sz w:val="21"/>
                      <w:szCs w:val="21"/>
                      <w:highlight w:val="none"/>
                      <w:u w:val="none"/>
                      <w:shd w:val="clear" w:color="auto" w:fill="FFFFFF"/>
                    </w:rPr>
                    <w:t>刺鼻</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气味，具有较高的</w:t>
                  </w:r>
                  <w:r>
                    <w:rPr>
                      <w:highlight w:val="none"/>
                      <w:u w:val="none"/>
                    </w:rPr>
                    <w:fldChar w:fldCharType="begin"/>
                  </w:r>
                  <w:r>
                    <w:rPr>
                      <w:highlight w:val="none"/>
                      <w:u w:val="none"/>
                    </w:rPr>
                    <w:instrText xml:space="preserve"> HYPERLINK "http://baike.baidu.com/view/1456180.htm" \t "_blank" </w:instrText>
                  </w:r>
                  <w:r>
                    <w:rPr>
                      <w:highlight w:val="none"/>
                      <w:u w:val="none"/>
                    </w:rPr>
                    <w:fldChar w:fldCharType="separate"/>
                  </w:r>
                  <w:r>
                    <w:rPr>
                      <w:color w:val="000000" w:themeColor="text1"/>
                      <w:sz w:val="21"/>
                      <w:szCs w:val="21"/>
                      <w:highlight w:val="none"/>
                      <w:u w:val="none"/>
                      <w:shd w:val="clear" w:color="auto" w:fill="FFFFFF"/>
                    </w:rPr>
                    <w:t>腐蚀性</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熔点-35℃，沸点57℃，相对密度（水=1）:1.20。与水混溶，浓盐酸溶于水且有热量放出；与碱液发生中和反应；与活泼金属单质发生反应生成氢气；与金属氧化物反应生成盐和水。能与一些活性金属粉末发生反应，放出氢气。遇氰化物产生剧毒的氰化氢气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24</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硝酸</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2</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shd w:val="clear" w:color="auto" w:fill="FFFFFF"/>
                    </w:rPr>
                    <w:t>10</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无色透明溶液，易溶于水，易挥发，相对密度1.41，熔点-42℃，沸点120.5℃。是强氧化性、腐蚀性的强酸，能发生硝化、酯化、氧化还原反应。助燃。(与可燃物混合会发生爆炸)</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25</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硫酸</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2</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shd w:val="clear" w:color="auto" w:fill="FFFFFF"/>
                    </w:rPr>
                    <w:t>5</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纯品为无色油状液体，密度1.84g/cm³，沸点337℃，熔点10.371℃，能与水以任何比例互溶，同时放出大量的热，浓硫酸有脱水性、强氧化性，稀硫酸能与金属、金属氧化物、碱等发生物质反应</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695"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26</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甲苯</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shd w:val="clear" w:color="auto" w:fill="FFFFFF"/>
                    </w:rPr>
                    <w:t>10</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无色透明液体，有类似苯的芳香气味。熔点(℃)： -94.9,相对密度(水=1)：0.87,沸点(℃)：110.6,相对蒸气密度(空气=1)：3.14，不溶于水，可混溶于苯、醇、醚等多数有机溶剂。化学性质活泼，与苯相像. 可进行氧化、磺化、硝化和歧化反应，以及侧链氯化反应。</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43"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27</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高氯酸</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500ml</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shd w:val="clear" w:color="auto" w:fill="FFFFFF"/>
                    </w:rPr>
                    <w:t>2</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无色透明、发烟液体，熔点-122℃，沸点130℃。具有极强腐蚀性、强刺激性。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28</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酚酞</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10g</w:t>
                  </w:r>
                </w:p>
              </w:tc>
              <w:tc>
                <w:tcPr>
                  <w:tcW w:w="1140"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1</w:t>
                  </w:r>
                </w:p>
              </w:tc>
              <w:tc>
                <w:tcPr>
                  <w:tcW w:w="930" w:type="dxa"/>
                  <w:vAlign w:val="center"/>
                </w:tcPr>
                <w:p>
                  <w:pPr>
                    <w:jc w:val="center"/>
                    <w:rPr>
                      <w:color w:val="000000" w:themeColor="text1"/>
                      <w:sz w:val="21"/>
                      <w:szCs w:val="21"/>
                      <w:highlight w:val="none"/>
                      <w:u w:val="none"/>
                      <w:shd w:val="clear" w:color="auto" w:fill="FFFFFF"/>
                    </w:rPr>
                  </w:pPr>
                  <w:r>
                    <w:rPr>
                      <w:rFonts w:hint="eastAsia"/>
                      <w:color w:val="000000" w:themeColor="text1"/>
                      <w:sz w:val="21"/>
                      <w:szCs w:val="21"/>
                      <w:highlight w:val="none"/>
                      <w:u w:val="none"/>
                      <w:shd w:val="clear" w:color="auto" w:fill="FFFFFF"/>
                    </w:rPr>
                    <w:t>1</w:t>
                  </w:r>
                </w:p>
              </w:tc>
              <w:tc>
                <w:tcPr>
                  <w:tcW w:w="4004"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晶体粉末状，几乎不溶于水。其特性是在酸性和中性溶液中为无色，在碱性溶液中为紫红色。常被人们用来检测酸碱。</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88"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29</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碘</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250g</w:t>
                  </w:r>
                </w:p>
              </w:tc>
              <w:tc>
                <w:tcPr>
                  <w:tcW w:w="1140"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1</w:t>
                  </w:r>
                </w:p>
              </w:tc>
              <w:tc>
                <w:tcPr>
                  <w:tcW w:w="930" w:type="dxa"/>
                  <w:vAlign w:val="center"/>
                </w:tcPr>
                <w:p>
                  <w:pPr>
                    <w:jc w:val="center"/>
                    <w:rPr>
                      <w:color w:val="000000" w:themeColor="text1"/>
                      <w:sz w:val="21"/>
                      <w:szCs w:val="21"/>
                      <w:highlight w:val="none"/>
                      <w:u w:val="none"/>
                      <w:shd w:val="clear" w:color="auto" w:fill="FFFFFF"/>
                    </w:rPr>
                  </w:pPr>
                  <w:r>
                    <w:rPr>
                      <w:rFonts w:hint="eastAsia"/>
                      <w:color w:val="000000" w:themeColor="text1"/>
                      <w:sz w:val="21"/>
                      <w:szCs w:val="21"/>
                      <w:highlight w:val="none"/>
                      <w:u w:val="none"/>
                      <w:shd w:val="clear" w:color="auto" w:fill="FFFFFF"/>
                    </w:rPr>
                    <w:t>2</w:t>
                  </w:r>
                </w:p>
              </w:tc>
              <w:tc>
                <w:tcPr>
                  <w:tcW w:w="4004" w:type="dxa"/>
                  <w:vAlign w:val="center"/>
                </w:tcPr>
                <w:p>
                  <w:pPr>
                    <w:jc w:val="center"/>
                    <w:rPr>
                      <w:color w:val="000000" w:themeColor="text1"/>
                      <w:sz w:val="21"/>
                      <w:szCs w:val="21"/>
                      <w:highlight w:val="none"/>
                      <w:u w:val="none"/>
                      <w:shd w:val="clear" w:color="auto" w:fill="FFFFFF"/>
                    </w:rPr>
                  </w:pPr>
                  <w:r>
                    <w:rPr>
                      <w:color w:val="000000" w:themeColor="text1"/>
                      <w:sz w:val="21"/>
                      <w:szCs w:val="21"/>
                      <w:highlight w:val="none"/>
                      <w:u w:val="none"/>
                      <w:shd w:val="clear" w:color="auto" w:fill="FFFFFF"/>
                    </w:rPr>
                    <w:t>单质碘呈紫黑色晶体，易升华，</w:t>
                  </w:r>
                  <w:r>
                    <w:rPr>
                      <w:highlight w:val="none"/>
                      <w:u w:val="none"/>
                    </w:rPr>
                    <w:fldChar w:fldCharType="begin"/>
                  </w:r>
                  <w:r>
                    <w:rPr>
                      <w:highlight w:val="none"/>
                      <w:u w:val="none"/>
                    </w:rPr>
                    <w:instrText xml:space="preserve"> HYPERLINK "https://baike.baidu.com/item/%E5%8D%87%E5%8D%8E/13026118" \t "https://baike.baidu.com/item/%E7%A2%98/_blank" </w:instrText>
                  </w:r>
                  <w:r>
                    <w:rPr>
                      <w:highlight w:val="none"/>
                      <w:u w:val="none"/>
                    </w:rPr>
                    <w:fldChar w:fldCharType="separate"/>
                  </w:r>
                  <w:r>
                    <w:rPr>
                      <w:color w:val="000000" w:themeColor="text1"/>
                      <w:sz w:val="21"/>
                      <w:szCs w:val="21"/>
                      <w:highlight w:val="none"/>
                      <w:u w:val="none"/>
                      <w:shd w:val="clear" w:color="auto" w:fill="FFFFFF"/>
                    </w:rPr>
                    <w:t>升华</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后易</w:t>
                  </w:r>
                  <w:r>
                    <w:rPr>
                      <w:highlight w:val="none"/>
                      <w:u w:val="none"/>
                    </w:rPr>
                    <w:fldChar w:fldCharType="begin"/>
                  </w:r>
                  <w:r>
                    <w:rPr>
                      <w:highlight w:val="none"/>
                      <w:u w:val="none"/>
                    </w:rPr>
                    <w:instrText xml:space="preserve"> HYPERLINK "https://baike.baidu.com/item/%E5%87%9D%E5%8D%8E/2292625" \t "https://baike.baidu.com/item/%E7%A2%98/_blank" </w:instrText>
                  </w:r>
                  <w:r>
                    <w:rPr>
                      <w:highlight w:val="none"/>
                      <w:u w:val="none"/>
                    </w:rPr>
                    <w:fldChar w:fldCharType="separate"/>
                  </w:r>
                  <w:r>
                    <w:rPr>
                      <w:color w:val="000000" w:themeColor="text1"/>
                      <w:sz w:val="21"/>
                      <w:szCs w:val="21"/>
                      <w:highlight w:val="none"/>
                      <w:u w:val="none"/>
                      <w:shd w:val="clear" w:color="auto" w:fill="FFFFFF"/>
                    </w:rPr>
                    <w:t>凝华</w:t>
                  </w:r>
                  <w:r>
                    <w:rPr>
                      <w:color w:val="000000" w:themeColor="text1"/>
                      <w:sz w:val="21"/>
                      <w:szCs w:val="21"/>
                      <w:highlight w:val="none"/>
                      <w:u w:val="none"/>
                      <w:shd w:val="clear" w:color="auto" w:fill="FFFFFF"/>
                    </w:rPr>
                    <w:fldChar w:fldCharType="end"/>
                  </w:r>
                  <w:r>
                    <w:rPr>
                      <w:color w:val="000000" w:themeColor="text1"/>
                      <w:sz w:val="21"/>
                      <w:szCs w:val="21"/>
                      <w:highlight w:val="none"/>
                      <w:u w:val="none"/>
                      <w:shd w:val="clear" w:color="auto" w:fill="FFFFFF"/>
                    </w:rPr>
                    <w:t>。有毒性和腐蚀性。碘单质遇淀粉会变蓝紫色。主要用于制药物、染料、碘酒、试纸和碘化合物等。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74"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30</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碱性蓝</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10g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shd w:val="clear" w:color="auto" w:fill="FFFFFF"/>
                    </w:rPr>
                    <w:t>1</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蓝色粉末，易溶于乙醇、乙二醇乙醚、乙二醇,醇溶液为绿蓝色；溶于热水呈蓝色溶液，稍溶于乙酸乙酯、苯甲醇、甘油和苯甲酸乙酯，微溶于氯仿、吡啶和二氧六环，不溶于橄榄油和冷水；加盐酸于水液中析出蓝色沉淀；遇氢氧化钠呈红棕色溶液，遇硫酸呈红棕色溶液，稀释时析出蓝色沉淀。</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04"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31</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亚甲蓝</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25g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shd w:val="clear" w:color="auto" w:fill="FFFFFF"/>
                    </w:rPr>
                    <w:t>1</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被用作化学指示剂、染料、生物染色剂和药物使用。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32</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溴甲酚绿</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25g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shd w:val="clear" w:color="auto" w:fill="FFFFFF"/>
                    </w:rPr>
                    <w:t>1</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溴甲酚绿，是一种化学品，分子式是C</w:t>
                  </w:r>
                  <w:r>
                    <w:rPr>
                      <w:color w:val="000000" w:themeColor="text1"/>
                      <w:sz w:val="21"/>
                      <w:szCs w:val="21"/>
                      <w:highlight w:val="none"/>
                      <w:u w:val="none"/>
                      <w:shd w:val="clear" w:color="auto" w:fill="FFFFFF"/>
                      <w:vertAlign w:val="subscript"/>
                    </w:rPr>
                    <w:t>21</w:t>
                  </w:r>
                  <w:r>
                    <w:rPr>
                      <w:color w:val="000000" w:themeColor="text1"/>
                      <w:sz w:val="21"/>
                      <w:szCs w:val="21"/>
                      <w:highlight w:val="none"/>
                      <w:u w:val="none"/>
                      <w:shd w:val="clear" w:color="auto" w:fill="FFFFFF"/>
                    </w:rPr>
                    <w:t>H</w:t>
                  </w:r>
                  <w:r>
                    <w:rPr>
                      <w:color w:val="000000" w:themeColor="text1"/>
                      <w:sz w:val="21"/>
                      <w:szCs w:val="21"/>
                      <w:highlight w:val="none"/>
                      <w:u w:val="none"/>
                      <w:shd w:val="clear" w:color="auto" w:fill="FFFFFF"/>
                      <w:vertAlign w:val="subscript"/>
                    </w:rPr>
                    <w:t>14</w:t>
                  </w:r>
                  <w:r>
                    <w:rPr>
                      <w:color w:val="000000" w:themeColor="text1"/>
                      <w:sz w:val="21"/>
                      <w:szCs w:val="21"/>
                      <w:highlight w:val="none"/>
                      <w:u w:val="none"/>
                      <w:shd w:val="clear" w:color="auto" w:fill="FFFFFF"/>
                    </w:rPr>
                    <w:t>Br</w:t>
                  </w:r>
                  <w:r>
                    <w:rPr>
                      <w:color w:val="000000" w:themeColor="text1"/>
                      <w:sz w:val="21"/>
                      <w:szCs w:val="21"/>
                      <w:highlight w:val="none"/>
                      <w:u w:val="none"/>
                      <w:shd w:val="clear" w:color="auto" w:fill="FFFFFF"/>
                      <w:vertAlign w:val="subscript"/>
                    </w:rPr>
                    <w:t>4</w:t>
                  </w:r>
                  <w:r>
                    <w:rPr>
                      <w:color w:val="000000" w:themeColor="text1"/>
                      <w:sz w:val="21"/>
                      <w:szCs w:val="21"/>
                      <w:highlight w:val="none"/>
                      <w:u w:val="none"/>
                      <w:shd w:val="clear" w:color="auto" w:fill="FFFFFF"/>
                    </w:rPr>
                    <w:t>O</w:t>
                  </w:r>
                  <w:r>
                    <w:rPr>
                      <w:color w:val="000000" w:themeColor="text1"/>
                      <w:sz w:val="21"/>
                      <w:szCs w:val="21"/>
                      <w:highlight w:val="none"/>
                      <w:u w:val="none"/>
                      <w:shd w:val="clear" w:color="auto" w:fill="FFFFFF"/>
                      <w:vertAlign w:val="subscript"/>
                    </w:rPr>
                    <w:t>5</w:t>
                  </w:r>
                  <w:r>
                    <w:rPr>
                      <w:color w:val="000000" w:themeColor="text1"/>
                      <w:sz w:val="21"/>
                      <w:szCs w:val="21"/>
                      <w:highlight w:val="none"/>
                      <w:u w:val="none"/>
                      <w:shd w:val="clear" w:color="auto" w:fill="FFFFFF"/>
                    </w:rPr>
                    <w:t>S，主要用作酸碱指示剂。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19" w:type="dxa"/>
                  <w:vAlign w:val="center"/>
                </w:tcPr>
                <w:p>
                  <w:pPr>
                    <w:jc w:val="center"/>
                    <w:rPr>
                      <w:color w:val="000000" w:themeColor="text1"/>
                      <w:sz w:val="21"/>
                      <w:szCs w:val="21"/>
                      <w:highlight w:val="none"/>
                      <w:u w:val="none"/>
                    </w:rPr>
                  </w:pPr>
                  <w:r>
                    <w:rPr>
                      <w:color w:val="000000" w:themeColor="text1"/>
                      <w:sz w:val="21"/>
                      <w:szCs w:val="21"/>
                      <w:highlight w:val="none"/>
                      <w:u w:val="none"/>
                    </w:rPr>
                    <w:t>33</w:t>
                  </w:r>
                </w:p>
              </w:tc>
              <w:tc>
                <w:tcPr>
                  <w:tcW w:w="1106" w:type="dxa"/>
                  <w:vAlign w:val="center"/>
                </w:tcPr>
                <w:p>
                  <w:pPr>
                    <w:jc w:val="center"/>
                    <w:rPr>
                      <w:color w:val="000000" w:themeColor="text1"/>
                      <w:sz w:val="21"/>
                      <w:szCs w:val="21"/>
                      <w:highlight w:val="none"/>
                      <w:u w:val="none"/>
                    </w:rPr>
                  </w:pPr>
                  <w:r>
                    <w:rPr>
                      <w:color w:val="000000" w:themeColor="text1"/>
                      <w:sz w:val="21"/>
                      <w:szCs w:val="21"/>
                      <w:highlight w:val="none"/>
                      <w:u w:val="none"/>
                    </w:rPr>
                    <w:t>甲基红</w:t>
                  </w:r>
                </w:p>
              </w:tc>
              <w:tc>
                <w:tcPr>
                  <w:tcW w:w="800" w:type="dxa"/>
                  <w:vAlign w:val="center"/>
                </w:tcPr>
                <w:p>
                  <w:pPr>
                    <w:jc w:val="center"/>
                    <w:rPr>
                      <w:color w:val="000000" w:themeColor="text1"/>
                      <w:sz w:val="21"/>
                      <w:szCs w:val="21"/>
                      <w:highlight w:val="none"/>
                      <w:u w:val="none"/>
                    </w:rPr>
                  </w:pPr>
                  <w:r>
                    <w:rPr>
                      <w:color w:val="000000" w:themeColor="text1"/>
                      <w:sz w:val="21"/>
                      <w:szCs w:val="21"/>
                      <w:highlight w:val="none"/>
                      <w:u w:val="none"/>
                    </w:rPr>
                    <w:t>25g</w:t>
                  </w:r>
                </w:p>
              </w:tc>
              <w:tc>
                <w:tcPr>
                  <w:tcW w:w="1140" w:type="dxa"/>
                  <w:vAlign w:val="center"/>
                </w:tcPr>
                <w:p>
                  <w:pPr>
                    <w:jc w:val="center"/>
                    <w:rPr>
                      <w:color w:val="000000" w:themeColor="text1"/>
                      <w:sz w:val="21"/>
                      <w:szCs w:val="21"/>
                      <w:highlight w:val="none"/>
                      <w:u w:val="none"/>
                    </w:rPr>
                  </w:pPr>
                  <w:r>
                    <w:rPr>
                      <w:color w:val="000000" w:themeColor="text1"/>
                      <w:sz w:val="21"/>
                      <w:szCs w:val="21"/>
                      <w:highlight w:val="none"/>
                      <w:u w:val="none"/>
                    </w:rPr>
                    <w:t>1</w:t>
                  </w:r>
                </w:p>
              </w:tc>
              <w:tc>
                <w:tcPr>
                  <w:tcW w:w="930" w:type="dxa"/>
                  <w:vAlign w:val="center"/>
                </w:tcPr>
                <w:p>
                  <w:pPr>
                    <w:jc w:val="center"/>
                    <w:rPr>
                      <w:color w:val="000000" w:themeColor="text1"/>
                      <w:sz w:val="21"/>
                      <w:szCs w:val="21"/>
                      <w:highlight w:val="none"/>
                      <w:u w:val="none"/>
                    </w:rPr>
                  </w:pPr>
                  <w:r>
                    <w:rPr>
                      <w:rFonts w:hint="eastAsia"/>
                      <w:color w:val="000000" w:themeColor="text1"/>
                      <w:sz w:val="21"/>
                      <w:szCs w:val="21"/>
                      <w:highlight w:val="none"/>
                      <w:u w:val="none"/>
                      <w:shd w:val="clear" w:color="auto" w:fill="FFFFFF"/>
                    </w:rPr>
                    <w:t>1</w:t>
                  </w:r>
                </w:p>
              </w:tc>
              <w:tc>
                <w:tcPr>
                  <w:tcW w:w="4004" w:type="dxa"/>
                  <w:vAlign w:val="center"/>
                </w:tcPr>
                <w:p>
                  <w:pPr>
                    <w:jc w:val="center"/>
                    <w:rPr>
                      <w:color w:val="000000" w:themeColor="text1"/>
                      <w:sz w:val="21"/>
                      <w:szCs w:val="21"/>
                      <w:highlight w:val="none"/>
                      <w:u w:val="none"/>
                    </w:rPr>
                  </w:pPr>
                  <w:r>
                    <w:rPr>
                      <w:color w:val="000000" w:themeColor="text1"/>
                      <w:sz w:val="21"/>
                      <w:szCs w:val="21"/>
                      <w:highlight w:val="none"/>
                      <w:u w:val="none"/>
                      <w:shd w:val="clear" w:color="auto" w:fill="FFFFFF"/>
                    </w:rPr>
                    <w:t>有光泽的紫色结晶或红棕色粉末，溶于乙醇和乙酸，几乎不溶于水,可与溴甲酚绿和亚甲基蓝组成混合指示剂以缩短变色域和提高变色的敏锐性；沉淀滴定的吸附指示剂，如用硝酸钍滴定氟离子；检定游离氯、亚氯酸盐等氧化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82" w:hRule="atLeast"/>
              </w:trPr>
              <w:tc>
                <w:tcPr>
                  <w:tcW w:w="8699" w:type="dxa"/>
                  <w:gridSpan w:val="6"/>
                  <w:tcBorders>
                    <w:left w:val="nil"/>
                    <w:right w:val="nil"/>
                  </w:tcBorders>
                  <w:vAlign w:val="center"/>
                </w:tcPr>
                <w:p>
                  <w:pPr>
                    <w:pStyle w:val="2"/>
                    <w:spacing w:beforeLines="50" w:line="360" w:lineRule="auto"/>
                    <w:ind w:firstLine="480"/>
                    <w:rPr>
                      <w:color w:val="000000" w:themeColor="text1"/>
                      <w:highlight w:val="none"/>
                      <w:u w:val="single"/>
                    </w:rPr>
                  </w:pPr>
                  <w:r>
                    <w:rPr>
                      <w:color w:val="000000" w:themeColor="text1"/>
                      <w:highlight w:val="none"/>
                      <w:u w:val="single"/>
                    </w:rPr>
                    <w:t>4、实验室试剂存放要求</w:t>
                  </w:r>
                </w:p>
                <w:p>
                  <w:pPr>
                    <w:pStyle w:val="2"/>
                    <w:spacing w:line="360" w:lineRule="auto"/>
                    <w:ind w:firstLine="480"/>
                    <w:rPr>
                      <w:color w:val="000000" w:themeColor="text1"/>
                      <w:highlight w:val="none"/>
                      <w:u w:val="single"/>
                    </w:rPr>
                  </w:pPr>
                  <w:r>
                    <w:rPr>
                      <w:color w:val="000000" w:themeColor="text1"/>
                      <w:highlight w:val="none"/>
                      <w:u w:val="single"/>
                    </w:rPr>
                    <w:t>化验室内只宜存放少量短期内需用的</w:t>
                  </w:r>
                  <w:r>
                    <w:rPr>
                      <w:rFonts w:hint="eastAsia"/>
                      <w:color w:val="000000" w:themeColor="text1"/>
                      <w:highlight w:val="none"/>
                      <w:u w:val="single"/>
                    </w:rPr>
                    <w:t>试剂</w:t>
                  </w:r>
                  <w:r>
                    <w:rPr>
                      <w:color w:val="000000" w:themeColor="text1"/>
                      <w:highlight w:val="none"/>
                      <w:u w:val="single"/>
                    </w:rPr>
                    <w:t>，易燃易爆试剂应放在铁柜中。柜的顶部要有通风口，严禁在化验室内存放大量的瓶装易燃液体。大量试剂应放在试剂库内。对于一般试剂，如无机盐，应存放有序地放在试剂柜内，可按元素周期系类族，或按酸、碱、盐氧化物等分类存放。存放试剂时，要注意化学试剂的存放期限,某些试剂在存放过程中会逐渐变质，甚至形成危害物。在见光条件下，若接触空气可形成过氧化物，放置时间越久越危险。某些具有还原性的试剂，易被空气中氧所氧化变质。</w:t>
                  </w:r>
                </w:p>
                <w:p>
                  <w:pPr>
                    <w:pStyle w:val="2"/>
                    <w:spacing w:line="360" w:lineRule="auto"/>
                    <w:ind w:firstLine="480"/>
                    <w:rPr>
                      <w:color w:val="000000" w:themeColor="text1"/>
                      <w:highlight w:val="none"/>
                      <w:u w:val="single"/>
                    </w:rPr>
                  </w:pPr>
                  <w:r>
                    <w:rPr>
                      <w:color w:val="000000" w:themeColor="text1"/>
                      <w:highlight w:val="none"/>
                      <w:u w:val="single"/>
                    </w:rPr>
                    <w:t>化学试剂必须分类隔离存放，不能混放在一起，通常把试剂分成下面几类，分别存放。</w:t>
                  </w:r>
                </w:p>
                <w:p>
                  <w:pPr>
                    <w:pStyle w:val="2"/>
                    <w:spacing w:line="360" w:lineRule="auto"/>
                    <w:ind w:firstLine="480"/>
                    <w:rPr>
                      <w:color w:val="000000" w:themeColor="text1"/>
                      <w:highlight w:val="none"/>
                      <w:u w:val="single"/>
                    </w:rPr>
                  </w:pPr>
                  <w:r>
                    <w:rPr>
                      <w:color w:val="000000" w:themeColor="text1"/>
                      <w:highlight w:val="none"/>
                      <w:u w:val="single"/>
                    </w:rPr>
                    <w:t>易燃类：易燃类液体极易挥发成气体，遇明火即燃烧，通常把闪点在25℃以下的液体均列入易燃类。闪点在-4℃以下者有二硫化碳、丙酮、苯、乙酸乙酯、乙酸甲酯等。闪点在25℃以下的有甲苯、甲醇、乙醇、二甲苯、乙酸丁酯等。</w:t>
                  </w:r>
                </w:p>
                <w:p>
                  <w:pPr>
                    <w:pStyle w:val="2"/>
                    <w:spacing w:line="360" w:lineRule="auto"/>
                    <w:ind w:firstLine="480"/>
                    <w:rPr>
                      <w:color w:val="000000" w:themeColor="text1"/>
                      <w:highlight w:val="none"/>
                      <w:u w:val="single"/>
                    </w:rPr>
                  </w:pPr>
                  <w:r>
                    <w:rPr>
                      <w:color w:val="000000" w:themeColor="text1"/>
                      <w:highlight w:val="none"/>
                      <w:u w:val="single"/>
                    </w:rPr>
                    <w:t>这类试剂要求单独存放于阴凉通风处，理想存放温度为-4～4℃。闪点在25℃以下的试剂，存放最高室温不得超过30℃</w:t>
                  </w:r>
                  <w:r>
                    <w:rPr>
                      <w:rFonts w:hint="eastAsia"/>
                      <w:color w:val="000000" w:themeColor="text1"/>
                      <w:highlight w:val="none"/>
                      <w:u w:val="single"/>
                    </w:rPr>
                    <w:t>，</w:t>
                  </w:r>
                  <w:r>
                    <w:rPr>
                      <w:color w:val="000000" w:themeColor="text1"/>
                      <w:highlight w:val="none"/>
                      <w:u w:val="single"/>
                    </w:rPr>
                    <w:t>特别要注意远离火源。</w:t>
                  </w:r>
                </w:p>
                <w:p>
                  <w:pPr>
                    <w:pStyle w:val="2"/>
                    <w:spacing w:line="360" w:lineRule="auto"/>
                    <w:ind w:firstLine="480"/>
                    <w:rPr>
                      <w:color w:val="000000" w:themeColor="text1"/>
                      <w:highlight w:val="none"/>
                      <w:u w:val="single"/>
                    </w:rPr>
                  </w:pPr>
                  <w:r>
                    <w:rPr>
                      <w:color w:val="000000" w:themeColor="text1"/>
                      <w:highlight w:val="none"/>
                      <w:u w:val="single"/>
                    </w:rPr>
                    <w:t xml:space="preserve">强腐蚀类：指对人体皮肤、黏膜、眼、呼吸道和物品等有极强腐蚀性的液体和固体（包括蒸气），如发烟硫酸、硫酸、硝酸、盐酸、氢氟酸、氢氧化钠、氢氧化钾等。存放处要求阴凉通风，并与其他药品隔离放置，应选用抗腐蚀性的材料，如耐酸水泥或耐酸陶瓷制成架子来放置这类药品，料架不宜过高，也不要放在高架上，最好放在地面靠墙处，以保证存放安全。此类试剂要求存放室内温度不超过30℃，与易燃物、氧化剂均须隔离存放。料架用砖和水泥砌成，槽内铺消防砂。试剂置于砂中，加盖，万一出事不致扩大事态。 </w:t>
                  </w:r>
                </w:p>
                <w:p>
                  <w:pPr>
                    <w:pStyle w:val="2"/>
                    <w:spacing w:line="360" w:lineRule="auto"/>
                    <w:ind w:firstLine="480"/>
                    <w:rPr>
                      <w:color w:val="000000" w:themeColor="text1"/>
                      <w:highlight w:val="none"/>
                      <w:u w:val="single"/>
                    </w:rPr>
                  </w:pPr>
                  <w:r>
                    <w:rPr>
                      <w:color w:val="000000" w:themeColor="text1"/>
                      <w:highlight w:val="none"/>
                      <w:u w:val="single"/>
                    </w:rPr>
                    <w:t>强氧化剂类：这类试剂是过氧化物或含氧酸及其盐，在适当条件下会发生爆炸，并可与有机物等形成爆炸混合物。这类物质中有的能与水起剧烈反应，如过氧化物遇水有发生爆炸的危险。属于此类的有硝酸铵、硝酸钾、硝酸钠、高氯酸、重铬酸铵、重铬酸钾及其他铬酸盐、高锰酸钾及其他高锰酸盐、氯酸钾、氯酸钡、过硫酸铵及其他过硫酸盐等。存放处要求阴凉通风，最高温度不得超过30℃。要与酸类以及木屑、炭粉、硫化物、糖类等易燃物、可燃物或易被氧化物</w:t>
                  </w:r>
                  <w:r>
                    <w:rPr>
                      <w:rFonts w:hint="eastAsia"/>
                      <w:color w:val="000000" w:themeColor="text1"/>
                      <w:highlight w:val="none"/>
                      <w:u w:val="single"/>
                    </w:rPr>
                    <w:t>（</w:t>
                  </w:r>
                  <w:r>
                    <w:rPr>
                      <w:color w:val="000000" w:themeColor="text1"/>
                      <w:highlight w:val="none"/>
                      <w:u w:val="single"/>
                    </w:rPr>
                    <w:t>即还原性物质</w:t>
                  </w:r>
                  <w:r>
                    <w:rPr>
                      <w:rFonts w:hint="eastAsia"/>
                      <w:color w:val="000000" w:themeColor="text1"/>
                      <w:highlight w:val="none"/>
                      <w:u w:val="single"/>
                    </w:rPr>
                    <w:t>）</w:t>
                  </w:r>
                  <w:r>
                    <w:rPr>
                      <w:color w:val="000000" w:themeColor="text1"/>
                      <w:highlight w:val="none"/>
                      <w:u w:val="single"/>
                    </w:rPr>
                    <w:t>等隔离，堆垛不宜过高过大，注意散热。</w:t>
                  </w:r>
                </w:p>
                <w:p>
                  <w:pPr>
                    <w:pStyle w:val="2"/>
                    <w:spacing w:line="360" w:lineRule="auto"/>
                    <w:ind w:firstLine="480"/>
                    <w:rPr>
                      <w:color w:val="000000" w:themeColor="text1"/>
                      <w:highlight w:val="none"/>
                      <w:u w:val="single"/>
                    </w:rPr>
                  </w:pPr>
                  <w:r>
                    <w:rPr>
                      <w:color w:val="000000" w:themeColor="text1"/>
                      <w:highlight w:val="none"/>
                      <w:u w:val="single"/>
                    </w:rPr>
                    <w:t>指示剂与有机试剂类指示剂可按酸碱指示剂、氧化还原指示剂、络合滴定指示剂及荧光吸附指示剂分类排列，有机试剂可按分子中碳原子数目多少排列。</w:t>
                  </w:r>
                </w:p>
                <w:p>
                  <w:pPr>
                    <w:pStyle w:val="2"/>
                    <w:spacing w:line="360" w:lineRule="auto"/>
                    <w:ind w:firstLine="480"/>
                    <w:rPr>
                      <w:color w:val="000000" w:themeColor="text1"/>
                      <w:highlight w:val="none"/>
                      <w:u w:val="single"/>
                    </w:rPr>
                  </w:pPr>
                  <w:r>
                    <w:rPr>
                      <w:color w:val="000000" w:themeColor="text1"/>
                      <w:highlight w:val="none"/>
                      <w:u w:val="single"/>
                    </w:rPr>
                    <w:t>一般试剂分类存放于阴凉通风，温度低于30℃的柜内即可。</w:t>
                  </w:r>
                </w:p>
                <w:p>
                  <w:pPr>
                    <w:pStyle w:val="2"/>
                    <w:numPr>
                      <w:ilvl w:val="0"/>
                      <w:numId w:val="5"/>
                    </w:numPr>
                    <w:spacing w:line="360" w:lineRule="auto"/>
                    <w:ind w:firstLine="480"/>
                    <w:rPr>
                      <w:color w:val="000000" w:themeColor="text1"/>
                      <w:highlight w:val="none"/>
                      <w:u w:val="single"/>
                    </w:rPr>
                  </w:pPr>
                  <w:r>
                    <w:rPr>
                      <w:color w:val="000000" w:themeColor="text1"/>
                      <w:highlight w:val="none"/>
                      <w:u w:val="single"/>
                    </w:rPr>
                    <w:t>主要服务内容及规模</w:t>
                  </w:r>
                </w:p>
                <w:p>
                  <w:pPr>
                    <w:pStyle w:val="2"/>
                    <w:spacing w:line="360" w:lineRule="auto"/>
                    <w:ind w:firstLine="480"/>
                    <w:rPr>
                      <w:color w:val="000000" w:themeColor="text1"/>
                      <w:highlight w:val="none"/>
                      <w:u w:val="single"/>
                    </w:rPr>
                  </w:pPr>
                  <w:r>
                    <w:rPr>
                      <w:color w:val="000000" w:themeColor="text1"/>
                      <w:highlight w:val="none"/>
                      <w:u w:val="single"/>
                    </w:rPr>
                    <w:t>本项目主营业务为环境检测</w:t>
                  </w:r>
                  <w:r>
                    <w:rPr>
                      <w:rFonts w:hint="eastAsia"/>
                      <w:color w:val="000000" w:themeColor="text1"/>
                      <w:highlight w:val="none"/>
                      <w:u w:val="single"/>
                    </w:rPr>
                    <w:t>以及研究服务。</w:t>
                  </w:r>
                  <w:r>
                    <w:rPr>
                      <w:color w:val="000000" w:themeColor="text1"/>
                      <w:highlight w:val="none"/>
                      <w:u w:val="single"/>
                    </w:rPr>
                    <w:t>主要服务内容见表1</w:t>
                  </w:r>
                  <w:r>
                    <w:rPr>
                      <w:rFonts w:hint="eastAsia"/>
                      <w:color w:val="000000" w:themeColor="text1"/>
                      <w:highlight w:val="none"/>
                      <w:u w:val="single"/>
                    </w:rPr>
                    <w:t>-4</w:t>
                  </w:r>
                  <w:r>
                    <w:rPr>
                      <w:color w:val="000000" w:themeColor="text1"/>
                      <w:highlight w:val="none"/>
                      <w:u w:val="single"/>
                    </w:rPr>
                    <w:t>所示，主要检测项目见表1</w:t>
                  </w:r>
                  <w:r>
                    <w:rPr>
                      <w:rFonts w:hint="eastAsia"/>
                      <w:color w:val="000000" w:themeColor="text1"/>
                      <w:highlight w:val="none"/>
                      <w:u w:val="single"/>
                    </w:rPr>
                    <w:t>-</w:t>
                  </w:r>
                  <w:r>
                    <w:rPr>
                      <w:rFonts w:hint="eastAsia"/>
                      <w:color w:val="000000" w:themeColor="text1"/>
                      <w:highlight w:val="none"/>
                      <w:u w:val="single"/>
                      <w:lang w:val="en-US" w:eastAsia="zh-CN"/>
                    </w:rPr>
                    <w:t>5</w:t>
                  </w:r>
                  <w:r>
                    <w:rPr>
                      <w:color w:val="000000" w:themeColor="text1"/>
                      <w:highlight w:val="none"/>
                      <w:u w:val="single"/>
                    </w:rPr>
                    <w:t>所示。</w:t>
                  </w:r>
                </w:p>
                <w:p>
                  <w:pPr>
                    <w:spacing w:line="360" w:lineRule="auto"/>
                    <w:jc w:val="center"/>
                    <w:rPr>
                      <w:b/>
                      <w:bCs/>
                      <w:color w:val="000000" w:themeColor="text1"/>
                      <w:sz w:val="21"/>
                      <w:szCs w:val="21"/>
                      <w:highlight w:val="none"/>
                      <w:u w:val="single"/>
                    </w:rPr>
                  </w:pPr>
                  <w:r>
                    <w:rPr>
                      <w:b/>
                      <w:bCs/>
                      <w:color w:val="000000" w:themeColor="text1"/>
                      <w:sz w:val="21"/>
                      <w:szCs w:val="21"/>
                      <w:highlight w:val="none"/>
                      <w:u w:val="single"/>
                    </w:rPr>
                    <w:t>表 1</w:t>
                  </w:r>
                  <w:r>
                    <w:rPr>
                      <w:rFonts w:hint="eastAsia"/>
                      <w:b/>
                      <w:bCs/>
                      <w:color w:val="000000" w:themeColor="text1"/>
                      <w:sz w:val="21"/>
                      <w:szCs w:val="21"/>
                      <w:highlight w:val="none"/>
                      <w:u w:val="single"/>
                    </w:rPr>
                    <w:t>-4</w:t>
                  </w:r>
                  <w:r>
                    <w:rPr>
                      <w:b/>
                      <w:bCs/>
                      <w:color w:val="000000" w:themeColor="text1"/>
                      <w:sz w:val="21"/>
                      <w:szCs w:val="21"/>
                      <w:highlight w:val="none"/>
                      <w:u w:val="single"/>
                    </w:rPr>
                    <w:t xml:space="preserve"> 项目主要服务内容一览表</w:t>
                  </w:r>
                </w:p>
                <w:tbl>
                  <w:tblPr>
                    <w:tblStyle w:val="35"/>
                    <w:tblW w:w="84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
                    <w:gridCol w:w="1110"/>
                    <w:gridCol w:w="6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 w:type="dxa"/>
                      </w:tcPr>
                      <w:p>
                        <w:pPr>
                          <w:pStyle w:val="2"/>
                          <w:spacing w:line="36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序号</w:t>
                        </w:r>
                      </w:p>
                    </w:tc>
                    <w:tc>
                      <w:tcPr>
                        <w:tcW w:w="7643" w:type="dxa"/>
                        <w:gridSpan w:val="2"/>
                        <w:vAlign w:val="center"/>
                      </w:tcPr>
                      <w:p>
                        <w:pPr>
                          <w:pStyle w:val="2"/>
                          <w:spacing w:line="36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检测及研究服务类别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 w:type="dxa"/>
                        <w:vAlign w:val="center"/>
                      </w:tcPr>
                      <w:p>
                        <w:pPr>
                          <w:pStyle w:val="2"/>
                          <w:spacing w:line="36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1</w:t>
                        </w:r>
                      </w:p>
                    </w:tc>
                    <w:tc>
                      <w:tcPr>
                        <w:tcW w:w="1110" w:type="dxa"/>
                        <w:vAlign w:val="center"/>
                      </w:tcPr>
                      <w:p>
                        <w:pPr>
                          <w:pStyle w:val="2"/>
                          <w:spacing w:line="36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环境检测</w:t>
                        </w:r>
                      </w:p>
                    </w:tc>
                    <w:tc>
                      <w:tcPr>
                        <w:tcW w:w="6533" w:type="dxa"/>
                        <w:vAlign w:val="center"/>
                      </w:tcPr>
                      <w:p>
                        <w:pPr>
                          <w:jc w:val="center"/>
                          <w:rPr>
                            <w:color w:val="000000" w:themeColor="text1"/>
                            <w:sz w:val="21"/>
                            <w:szCs w:val="21"/>
                            <w:highlight w:val="none"/>
                            <w:u w:val="single"/>
                            <w:shd w:val="clear" w:color="auto" w:fill="FFFFFF"/>
                          </w:rPr>
                        </w:pPr>
                        <w:r>
                          <w:rPr>
                            <w:color w:val="000000" w:themeColor="text1"/>
                            <w:sz w:val="21"/>
                            <w:szCs w:val="21"/>
                            <w:highlight w:val="none"/>
                            <w:u w:val="single"/>
                            <w:shd w:val="clear" w:color="auto" w:fill="FFFFFF"/>
                          </w:rPr>
                          <w:t>环境空气与废气检测、水源地水质和生活饮用水检测、噪声与振动检测、土壤检测、固体废弃物与危险废弃物检测、室内空气质量检测、工业废水检测</w:t>
                        </w:r>
                        <w:r>
                          <w:rPr>
                            <w:rFonts w:hint="eastAsia"/>
                            <w:color w:val="000000" w:themeColor="text1"/>
                            <w:sz w:val="21"/>
                            <w:szCs w:val="21"/>
                            <w:highlight w:val="none"/>
                            <w:u w:val="single"/>
                            <w:shd w:val="clear" w:color="auto" w:fill="FFFFFF"/>
                          </w:rPr>
                          <w:t>、</w:t>
                        </w:r>
                        <w:r>
                          <w:rPr>
                            <w:color w:val="000000" w:themeColor="text1"/>
                            <w:sz w:val="21"/>
                            <w:szCs w:val="21"/>
                            <w:highlight w:val="none"/>
                            <w:u w:val="single"/>
                            <w:shd w:val="clear" w:color="auto" w:fill="FFFFFF"/>
                          </w:rPr>
                          <w:t>生活污水检测、地下水质量检测、地表水质量检测</w:t>
                        </w:r>
                        <w:r>
                          <w:rPr>
                            <w:rFonts w:hint="eastAsia"/>
                            <w:color w:val="000000" w:themeColor="text1"/>
                            <w:sz w:val="21"/>
                            <w:szCs w:val="21"/>
                            <w:highlight w:val="none"/>
                            <w:u w:val="single"/>
                            <w:shd w:val="clear" w:color="auto" w:fill="FFFFFF"/>
                          </w:rPr>
                          <w:t>、公共场所</w:t>
                        </w:r>
                        <w:r>
                          <w:rPr>
                            <w:color w:val="000000" w:themeColor="text1"/>
                            <w:sz w:val="21"/>
                            <w:szCs w:val="21"/>
                            <w:highlight w:val="none"/>
                            <w:u w:val="single"/>
                            <w:shd w:val="clear" w:color="auto" w:fill="FFFFFF"/>
                          </w:rPr>
                          <w:t>环境检测</w:t>
                        </w:r>
                        <w:r>
                          <w:rPr>
                            <w:rFonts w:hint="eastAsia"/>
                            <w:color w:val="000000" w:themeColor="text1"/>
                            <w:sz w:val="21"/>
                            <w:szCs w:val="21"/>
                            <w:highlight w:val="none"/>
                            <w:u w:val="single"/>
                            <w:shd w:val="clear" w:color="auto" w:fill="FFFFFF"/>
                          </w:rPr>
                          <w:t>、</w:t>
                        </w:r>
                        <w:r>
                          <w:rPr>
                            <w:color w:val="000000" w:themeColor="text1"/>
                            <w:sz w:val="21"/>
                            <w:szCs w:val="21"/>
                            <w:highlight w:val="none"/>
                            <w:u w:val="single"/>
                            <w:shd w:val="clear" w:color="auto" w:fill="FFFFFF"/>
                          </w:rPr>
                          <w:t>噪声检测</w:t>
                        </w:r>
                        <w:r>
                          <w:rPr>
                            <w:rFonts w:hint="eastAsia"/>
                            <w:color w:val="000000" w:themeColor="text1"/>
                            <w:sz w:val="21"/>
                            <w:szCs w:val="21"/>
                            <w:highlight w:val="none"/>
                            <w:u w:val="single"/>
                            <w:shd w:val="clear" w:color="auto" w:fill="FFFFFF"/>
                          </w:rPr>
                          <w:t>、空气微生物检测、辐射检测、公共场所进出风系统检测。</w:t>
                        </w:r>
                      </w:p>
                    </w:tc>
                  </w:tr>
                </w:tbl>
                <w:p>
                  <w:pPr>
                    <w:spacing w:line="360" w:lineRule="auto"/>
                    <w:jc w:val="center"/>
                    <w:rPr>
                      <w:b/>
                      <w:bCs/>
                      <w:color w:val="000000" w:themeColor="text1"/>
                      <w:sz w:val="21"/>
                      <w:szCs w:val="21"/>
                      <w:highlight w:val="none"/>
                      <w:u w:val="single"/>
                    </w:rPr>
                  </w:pPr>
                  <w:r>
                    <w:rPr>
                      <w:b/>
                      <w:bCs/>
                      <w:color w:val="000000" w:themeColor="text1"/>
                      <w:sz w:val="21"/>
                      <w:szCs w:val="21"/>
                      <w:highlight w:val="none"/>
                      <w:u w:val="single"/>
                    </w:rPr>
                    <w:t>表 1</w:t>
                  </w:r>
                  <w:r>
                    <w:rPr>
                      <w:rFonts w:hint="eastAsia"/>
                      <w:b/>
                      <w:bCs/>
                      <w:color w:val="000000" w:themeColor="text1"/>
                      <w:sz w:val="21"/>
                      <w:szCs w:val="21"/>
                      <w:highlight w:val="none"/>
                      <w:u w:val="single"/>
                    </w:rPr>
                    <w:t>-5</w:t>
                  </w:r>
                  <w:r>
                    <w:rPr>
                      <w:b/>
                      <w:bCs/>
                      <w:color w:val="000000" w:themeColor="text1"/>
                      <w:sz w:val="21"/>
                      <w:szCs w:val="21"/>
                      <w:highlight w:val="none"/>
                      <w:u w:val="single"/>
                    </w:rPr>
                    <w:t xml:space="preserve"> 项目主要检测项目</w:t>
                  </w:r>
                </w:p>
                <w:tbl>
                  <w:tblPr>
                    <w:tblStyle w:val="35"/>
                    <w:tblW w:w="84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120"/>
                    <w:gridCol w:w="6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dxa"/>
                        <w:vAlign w:val="center"/>
                      </w:tcPr>
                      <w:p>
                        <w:pPr>
                          <w:pStyle w:val="2"/>
                          <w:spacing w:line="360" w:lineRule="auto"/>
                          <w:ind w:firstLine="0" w:firstLineChars="0"/>
                          <w:jc w:val="center"/>
                          <w:rPr>
                            <w:color w:val="000000" w:themeColor="text1"/>
                            <w:sz w:val="21"/>
                            <w:szCs w:val="21"/>
                            <w:highlight w:val="none"/>
                            <w:u w:val="single"/>
                          </w:rPr>
                        </w:pPr>
                        <w:r>
                          <w:rPr>
                            <w:color w:val="000000" w:themeColor="text1"/>
                            <w:sz w:val="21"/>
                            <w:szCs w:val="21"/>
                            <w:highlight w:val="none"/>
                            <w:u w:val="single"/>
                          </w:rPr>
                          <w:t xml:space="preserve">序号     </w:t>
                        </w:r>
                      </w:p>
                    </w:tc>
                    <w:tc>
                      <w:tcPr>
                        <w:tcW w:w="1120" w:type="dxa"/>
                        <w:vAlign w:val="center"/>
                      </w:tcPr>
                      <w:p>
                        <w:pPr>
                          <w:pStyle w:val="2"/>
                          <w:spacing w:line="360" w:lineRule="auto"/>
                          <w:ind w:firstLine="0" w:firstLineChars="0"/>
                          <w:jc w:val="center"/>
                          <w:rPr>
                            <w:color w:val="000000" w:themeColor="text1"/>
                            <w:sz w:val="21"/>
                            <w:szCs w:val="21"/>
                            <w:highlight w:val="none"/>
                            <w:u w:val="single"/>
                          </w:rPr>
                        </w:pPr>
                        <w:r>
                          <w:rPr>
                            <w:color w:val="000000" w:themeColor="text1"/>
                            <w:sz w:val="21"/>
                            <w:szCs w:val="21"/>
                            <w:highlight w:val="none"/>
                            <w:u w:val="single"/>
                          </w:rPr>
                          <w:t>产品类别</w:t>
                        </w:r>
                      </w:p>
                    </w:tc>
                    <w:tc>
                      <w:tcPr>
                        <w:tcW w:w="6702" w:type="dxa"/>
                        <w:vAlign w:val="center"/>
                      </w:tcPr>
                      <w:p>
                        <w:pPr>
                          <w:pStyle w:val="2"/>
                          <w:spacing w:line="360" w:lineRule="auto"/>
                          <w:ind w:firstLine="0" w:firstLineChars="0"/>
                          <w:jc w:val="center"/>
                          <w:rPr>
                            <w:color w:val="000000" w:themeColor="text1"/>
                            <w:sz w:val="21"/>
                            <w:szCs w:val="21"/>
                            <w:highlight w:val="none"/>
                            <w:u w:val="single"/>
                          </w:rPr>
                        </w:pPr>
                        <w:r>
                          <w:rPr>
                            <w:color w:val="000000" w:themeColor="text1"/>
                            <w:sz w:val="21"/>
                            <w:szCs w:val="21"/>
                            <w:highlight w:val="none"/>
                            <w:u w:val="single"/>
                          </w:rPr>
                          <w:t>主要检</w:t>
                        </w:r>
                        <w:r>
                          <w:rPr>
                            <w:rFonts w:hint="eastAsia"/>
                            <w:color w:val="000000" w:themeColor="text1"/>
                            <w:sz w:val="21"/>
                            <w:szCs w:val="21"/>
                            <w:highlight w:val="none"/>
                            <w:u w:val="single"/>
                          </w:rPr>
                          <w:t>测及研究服务</w:t>
                        </w:r>
                        <w:r>
                          <w:rPr>
                            <w:color w:val="000000" w:themeColor="text1"/>
                            <w:sz w:val="21"/>
                            <w:szCs w:val="21"/>
                            <w:highlight w:val="none"/>
                            <w:u w:val="single"/>
                          </w:rPr>
                          <w:t>项目（部分</w:t>
                        </w:r>
                        <w:r>
                          <w:rPr>
                            <w:rFonts w:hint="eastAsia"/>
                            <w:color w:val="000000" w:themeColor="text1"/>
                            <w:sz w:val="21"/>
                            <w:szCs w:val="21"/>
                            <w:highlight w:val="none"/>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dxa"/>
                        <w:vAlign w:val="center"/>
                      </w:tcPr>
                      <w:p>
                        <w:pPr>
                          <w:pStyle w:val="2"/>
                          <w:spacing w:line="360" w:lineRule="auto"/>
                          <w:ind w:firstLine="0" w:firstLineChars="0"/>
                          <w:jc w:val="center"/>
                          <w:rPr>
                            <w:color w:val="000000" w:themeColor="text1"/>
                            <w:sz w:val="21"/>
                            <w:szCs w:val="21"/>
                            <w:highlight w:val="none"/>
                            <w:u w:val="single"/>
                          </w:rPr>
                        </w:pPr>
                        <w:r>
                          <w:rPr>
                            <w:color w:val="000000" w:themeColor="text1"/>
                            <w:sz w:val="21"/>
                            <w:szCs w:val="21"/>
                            <w:highlight w:val="none"/>
                            <w:u w:val="single"/>
                          </w:rPr>
                          <w:t xml:space="preserve">1    </w:t>
                        </w:r>
                      </w:p>
                    </w:tc>
                    <w:tc>
                      <w:tcPr>
                        <w:tcW w:w="1120" w:type="dxa"/>
                        <w:vAlign w:val="center"/>
                      </w:tcPr>
                      <w:p>
                        <w:pPr>
                          <w:pStyle w:val="2"/>
                          <w:spacing w:line="360" w:lineRule="auto"/>
                          <w:ind w:firstLine="0" w:firstLineChars="0"/>
                          <w:jc w:val="center"/>
                          <w:rPr>
                            <w:color w:val="000000" w:themeColor="text1"/>
                            <w:sz w:val="21"/>
                            <w:szCs w:val="21"/>
                            <w:highlight w:val="none"/>
                            <w:u w:val="single"/>
                          </w:rPr>
                        </w:pPr>
                        <w:r>
                          <w:rPr>
                            <w:color w:val="000000" w:themeColor="text1"/>
                            <w:sz w:val="21"/>
                            <w:szCs w:val="21"/>
                            <w:highlight w:val="none"/>
                            <w:u w:val="single"/>
                          </w:rPr>
                          <w:t>环境检测</w:t>
                        </w:r>
                      </w:p>
                    </w:tc>
                    <w:tc>
                      <w:tcPr>
                        <w:tcW w:w="6702" w:type="dxa"/>
                        <w:vAlign w:val="center"/>
                      </w:tcPr>
                      <w:p>
                        <w:pPr>
                          <w:pStyle w:val="2"/>
                          <w:spacing w:line="36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shd w:val="clear" w:color="auto" w:fill="FFFFFF"/>
                          </w:rPr>
                          <w:t>1.1</w:t>
                        </w:r>
                      </w:p>
                    </w:tc>
                    <w:tc>
                      <w:tcPr>
                        <w:tcW w:w="1120" w:type="dxa"/>
                        <w:vAlign w:val="center"/>
                      </w:tcPr>
                      <w:p>
                        <w:pPr>
                          <w:jc w:val="center"/>
                          <w:rPr>
                            <w:color w:val="000000" w:themeColor="text1"/>
                            <w:sz w:val="21"/>
                            <w:szCs w:val="21"/>
                            <w:highlight w:val="none"/>
                            <w:u w:val="single"/>
                            <w:shd w:val="clear" w:color="auto" w:fill="FFFFFF"/>
                          </w:rPr>
                        </w:pPr>
                        <w:r>
                          <w:rPr>
                            <w:color w:val="000000" w:themeColor="text1"/>
                            <w:sz w:val="21"/>
                            <w:szCs w:val="21"/>
                            <w:highlight w:val="none"/>
                            <w:u w:val="single"/>
                            <w:shd w:val="clear" w:color="auto" w:fill="FFFFFF"/>
                          </w:rPr>
                          <w:t>水和废水</w:t>
                        </w:r>
                      </w:p>
                    </w:tc>
                    <w:tc>
                      <w:tcPr>
                        <w:tcW w:w="6702" w:type="dxa"/>
                        <w:vAlign w:val="center"/>
                      </w:tcPr>
                      <w:p>
                        <w:pPr>
                          <w:jc w:val="center"/>
                          <w:rPr>
                            <w:color w:val="000000" w:themeColor="text1"/>
                            <w:sz w:val="21"/>
                            <w:szCs w:val="21"/>
                            <w:highlight w:val="none"/>
                            <w:u w:val="single"/>
                            <w:shd w:val="clear" w:color="auto" w:fill="FFFFFF"/>
                          </w:rPr>
                        </w:pPr>
                        <w:r>
                          <w:rPr>
                            <w:color w:val="000000" w:themeColor="text1"/>
                            <w:sz w:val="21"/>
                            <w:szCs w:val="21"/>
                            <w:highlight w:val="none"/>
                            <w:u w:val="single"/>
                            <w:shd w:val="clear" w:color="auto" w:fill="FFFFFF"/>
                          </w:rPr>
                          <w:t>pH、浊度/浑浊度、色度、氧化还原电位、透明度、悬浮物、总悬浮性固体、溶解性总固体、总硬度、溶解氧、总磷/溶解性总磷、硝酸盐/溶解性硝酸盐、氨氮、氯化物</w:t>
                        </w:r>
                        <w:r>
                          <w:rPr>
                            <w:rFonts w:hint="eastAsia"/>
                            <w:color w:val="000000" w:themeColor="text1"/>
                            <w:sz w:val="21"/>
                            <w:szCs w:val="21"/>
                            <w:highlight w:val="none"/>
                            <w:u w:val="single"/>
                            <w:shd w:val="clear" w:color="auto" w:fill="FFFFFF"/>
                          </w:rPr>
                          <w:t>、</w:t>
                        </w:r>
                        <w:r>
                          <w:rPr>
                            <w:color w:val="000000" w:themeColor="text1"/>
                            <w:sz w:val="21"/>
                            <w:szCs w:val="21"/>
                            <w:highlight w:val="none"/>
                            <w:u w:val="single"/>
                            <w:shd w:val="clear" w:color="auto" w:fill="FFFFFF"/>
                          </w:rPr>
                          <w:t>氰化物、硫化物、氟化物、化学需氧量、五日生化需氧量、挥发酚、高锰酸盐指数、石油类、动植物油类、阴离子表面活性剂、臭氧、铬、铜、锌、铅、镉、镍、铁、锰、砷、锑、汞等。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shd w:val="clear" w:color="auto" w:fill="FFFFFF"/>
                          </w:rPr>
                          <w:t>1.2</w:t>
                        </w:r>
                      </w:p>
                    </w:tc>
                    <w:tc>
                      <w:tcPr>
                        <w:tcW w:w="1120" w:type="dxa"/>
                        <w:vAlign w:val="center"/>
                      </w:tcPr>
                      <w:p>
                        <w:pPr>
                          <w:jc w:val="center"/>
                          <w:rPr>
                            <w:color w:val="000000" w:themeColor="text1"/>
                            <w:sz w:val="21"/>
                            <w:szCs w:val="21"/>
                            <w:highlight w:val="none"/>
                            <w:u w:val="single"/>
                            <w:shd w:val="clear" w:color="auto" w:fill="FFFFFF"/>
                          </w:rPr>
                        </w:pPr>
                        <w:r>
                          <w:rPr>
                            <w:color w:val="000000" w:themeColor="text1"/>
                            <w:sz w:val="21"/>
                            <w:szCs w:val="21"/>
                            <w:highlight w:val="none"/>
                            <w:u w:val="single"/>
                            <w:shd w:val="clear" w:color="auto" w:fill="FFFFFF"/>
                          </w:rPr>
                          <w:t>空气和废气</w:t>
                        </w:r>
                      </w:p>
                    </w:tc>
                    <w:tc>
                      <w:tcPr>
                        <w:tcW w:w="6702" w:type="dxa"/>
                        <w:vAlign w:val="center"/>
                      </w:tcPr>
                      <w:p>
                        <w:pPr>
                          <w:jc w:val="center"/>
                          <w:rPr>
                            <w:color w:val="000000" w:themeColor="text1"/>
                            <w:sz w:val="21"/>
                            <w:szCs w:val="21"/>
                            <w:highlight w:val="none"/>
                            <w:u w:val="single"/>
                            <w:shd w:val="clear" w:color="auto" w:fill="FFFFFF"/>
                          </w:rPr>
                        </w:pPr>
                        <w:r>
                          <w:rPr>
                            <w:color w:val="000000" w:themeColor="text1"/>
                            <w:sz w:val="21"/>
                            <w:szCs w:val="21"/>
                            <w:highlight w:val="none"/>
                            <w:u w:val="single"/>
                            <w:shd w:val="clear" w:color="auto" w:fill="FFFFFF"/>
                          </w:rPr>
                          <w:t>总悬浮颗粒物、可吸入颗粒物（PM</w:t>
                        </w:r>
                        <w:r>
                          <w:rPr>
                            <w:color w:val="000000" w:themeColor="text1"/>
                            <w:sz w:val="21"/>
                            <w:szCs w:val="21"/>
                            <w:highlight w:val="none"/>
                            <w:u w:val="single"/>
                            <w:shd w:val="clear" w:color="auto" w:fill="FFFFFF"/>
                            <w:vertAlign w:val="subscript"/>
                          </w:rPr>
                          <w:t>10</w:t>
                        </w:r>
                        <w:r>
                          <w:rPr>
                            <w:color w:val="000000" w:themeColor="text1"/>
                            <w:sz w:val="21"/>
                            <w:szCs w:val="21"/>
                            <w:highlight w:val="none"/>
                            <w:u w:val="single"/>
                            <w:shd w:val="clear" w:color="auto" w:fill="FFFFFF"/>
                          </w:rPr>
                          <w:t>）、PM</w:t>
                        </w:r>
                        <w:r>
                          <w:rPr>
                            <w:color w:val="000000" w:themeColor="text1"/>
                            <w:sz w:val="21"/>
                            <w:szCs w:val="21"/>
                            <w:highlight w:val="none"/>
                            <w:u w:val="single"/>
                            <w:shd w:val="clear" w:color="auto" w:fill="FFFFFF"/>
                            <w:vertAlign w:val="subscript"/>
                          </w:rPr>
                          <w:t>2.5</w:t>
                        </w:r>
                        <w:r>
                          <w:rPr>
                            <w:color w:val="000000" w:themeColor="text1"/>
                            <w:sz w:val="21"/>
                            <w:szCs w:val="21"/>
                            <w:highlight w:val="none"/>
                            <w:u w:val="single"/>
                            <w:shd w:val="clear" w:color="auto" w:fill="FFFFFF"/>
                          </w:rPr>
                          <w:t>、烟尘、沥青烟、一氧化碳、二氧化碳、二氧化硫、氮氧化物、铬酸雾、氨、氟化物、氟化氢、氯化氢、氯气、硫化氢、硫酸雾、氰化氢、五氧化二磷、臭氧、臭气浓度、饮食业油烟、甲醛、苯系物、挥发性有机物类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shd w:val="clear" w:color="auto" w:fill="FFFFFF"/>
                          </w:rPr>
                          <w:t>1.3</w:t>
                        </w:r>
                      </w:p>
                    </w:tc>
                    <w:tc>
                      <w:tcPr>
                        <w:tcW w:w="1120" w:type="dxa"/>
                        <w:vAlign w:val="center"/>
                      </w:tcPr>
                      <w:p>
                        <w:pPr>
                          <w:jc w:val="center"/>
                          <w:rPr>
                            <w:color w:val="000000" w:themeColor="text1"/>
                            <w:sz w:val="21"/>
                            <w:szCs w:val="21"/>
                            <w:highlight w:val="none"/>
                            <w:u w:val="single"/>
                            <w:shd w:val="clear" w:color="auto" w:fill="FFFFFF"/>
                          </w:rPr>
                        </w:pPr>
                        <w:r>
                          <w:rPr>
                            <w:color w:val="000000" w:themeColor="text1"/>
                            <w:sz w:val="21"/>
                            <w:szCs w:val="21"/>
                            <w:highlight w:val="none"/>
                            <w:u w:val="single"/>
                            <w:shd w:val="clear" w:color="auto" w:fill="FFFFFF"/>
                          </w:rPr>
                          <w:t>室内空气</w:t>
                        </w:r>
                      </w:p>
                    </w:tc>
                    <w:tc>
                      <w:tcPr>
                        <w:tcW w:w="6702" w:type="dxa"/>
                        <w:vAlign w:val="center"/>
                      </w:tcPr>
                      <w:p>
                        <w:pPr>
                          <w:jc w:val="center"/>
                          <w:rPr>
                            <w:color w:val="000000" w:themeColor="text1"/>
                            <w:sz w:val="21"/>
                            <w:szCs w:val="21"/>
                            <w:highlight w:val="none"/>
                            <w:u w:val="single"/>
                            <w:shd w:val="clear" w:color="auto" w:fill="FFFFFF"/>
                          </w:rPr>
                        </w:pPr>
                        <w:r>
                          <w:rPr>
                            <w:color w:val="000000" w:themeColor="text1"/>
                            <w:sz w:val="21"/>
                            <w:szCs w:val="21"/>
                            <w:highlight w:val="none"/>
                            <w:u w:val="single"/>
                            <w:shd w:val="clear" w:color="auto" w:fill="FFFFFF"/>
                          </w:rPr>
                          <w:t>温度、湿度、相对湿度、氨、臭氧、甲醛、苯、总挥发性有机物、甲苯</w:t>
                        </w:r>
                        <w:r>
                          <w:rPr>
                            <w:rFonts w:hint="eastAsia"/>
                            <w:color w:val="000000" w:themeColor="text1"/>
                            <w:sz w:val="21"/>
                            <w:szCs w:val="21"/>
                            <w:highlight w:val="none"/>
                            <w:u w:val="single"/>
                            <w:shd w:val="clear" w:color="auto" w:fill="FFFFFF"/>
                          </w:rPr>
                          <w:t>、</w:t>
                        </w:r>
                        <w:r>
                          <w:rPr>
                            <w:color w:val="000000" w:themeColor="text1"/>
                            <w:sz w:val="21"/>
                            <w:szCs w:val="21"/>
                            <w:highlight w:val="none"/>
                            <w:u w:val="single"/>
                            <w:shd w:val="clear" w:color="auto" w:fill="FFFFFF"/>
                          </w:rPr>
                          <w:t>二甲苯、一氧化碳、二氧化碳等。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shd w:val="clear" w:color="auto" w:fill="FFFFFF"/>
                          </w:rPr>
                          <w:t>1.4</w:t>
                        </w:r>
                      </w:p>
                    </w:tc>
                    <w:tc>
                      <w:tcPr>
                        <w:tcW w:w="1120"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rPr>
                          <w:t>公共场所微生物</w:t>
                        </w:r>
                      </w:p>
                    </w:tc>
                    <w:tc>
                      <w:tcPr>
                        <w:tcW w:w="6702"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shd w:val="clear" w:color="auto" w:fill="FFFFFF"/>
                          </w:rPr>
                          <w:t>细菌总数、大肠菌群、真菌总数、表面微生物、浮游菌、沉降菌等。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shd w:val="clear" w:color="auto" w:fill="FFFFFF"/>
                          </w:rPr>
                          <w:t>1.5</w:t>
                        </w:r>
                      </w:p>
                    </w:tc>
                    <w:tc>
                      <w:tcPr>
                        <w:tcW w:w="1120" w:type="dxa"/>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公共场所进出风系统</w:t>
                        </w:r>
                      </w:p>
                    </w:tc>
                    <w:tc>
                      <w:tcPr>
                        <w:tcW w:w="6702"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shd w:val="clear" w:color="auto" w:fill="FFFFFF"/>
                          </w:rPr>
                          <w:t>装置阻力、颗粒物净化效率、表面积尘量、风量、换气次数等。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shd w:val="clear" w:color="auto" w:fill="FFFFFF"/>
                          </w:rPr>
                          <w:t>1.6</w:t>
                        </w:r>
                      </w:p>
                    </w:tc>
                    <w:tc>
                      <w:tcPr>
                        <w:tcW w:w="1120" w:type="dxa"/>
                      </w:tcPr>
                      <w:p>
                        <w:pPr>
                          <w:jc w:val="center"/>
                          <w:rPr>
                            <w:color w:val="000000" w:themeColor="text1"/>
                            <w:sz w:val="21"/>
                            <w:szCs w:val="21"/>
                            <w:highlight w:val="none"/>
                            <w:u w:val="single"/>
                          </w:rPr>
                        </w:pPr>
                        <w:r>
                          <w:rPr>
                            <w:rFonts w:hint="eastAsia"/>
                            <w:color w:val="000000" w:themeColor="text1"/>
                            <w:sz w:val="21"/>
                            <w:szCs w:val="21"/>
                            <w:highlight w:val="none"/>
                            <w:u w:val="single"/>
                          </w:rPr>
                          <w:t>公共场所物理指标</w:t>
                        </w:r>
                      </w:p>
                    </w:tc>
                    <w:tc>
                      <w:tcPr>
                        <w:tcW w:w="6702" w:type="dxa"/>
                        <w:vAlign w:val="center"/>
                      </w:tcPr>
                      <w:p>
                        <w:pPr>
                          <w:jc w:val="center"/>
                          <w:rPr>
                            <w:color w:val="000000" w:themeColor="text1"/>
                            <w:sz w:val="21"/>
                            <w:szCs w:val="21"/>
                            <w:highlight w:val="none"/>
                            <w:u w:val="single"/>
                            <w:shd w:val="clear" w:color="auto" w:fill="FFFFFF"/>
                          </w:rPr>
                        </w:pPr>
                        <w:r>
                          <w:rPr>
                            <w:rFonts w:hint="eastAsia"/>
                            <w:color w:val="000000" w:themeColor="text1"/>
                            <w:sz w:val="21"/>
                            <w:szCs w:val="21"/>
                            <w:highlight w:val="none"/>
                            <w:u w:val="single"/>
                          </w:rPr>
                          <w:t>池水透明度、采光系数、照度、池水温度、辐射热、噪声、电磁辐射、紫外线等。</w:t>
                        </w:r>
                      </w:p>
                    </w:tc>
                  </w:tr>
                </w:tbl>
                <w:p>
                  <w:pPr>
                    <w:pStyle w:val="2"/>
                    <w:numPr>
                      <w:ilvl w:val="255"/>
                      <w:numId w:val="0"/>
                    </w:numPr>
                    <w:spacing w:line="360" w:lineRule="auto"/>
                    <w:rPr>
                      <w:color w:val="000000" w:themeColor="text1"/>
                      <w:highlight w:val="none"/>
                      <w:u w:val="none"/>
                    </w:rPr>
                  </w:pPr>
                  <w:r>
                    <w:rPr>
                      <w:rFonts w:hint="eastAsia"/>
                      <w:color w:val="000000" w:themeColor="text1"/>
                      <w:highlight w:val="none"/>
                      <w:u w:val="none"/>
                    </w:rPr>
                    <w:t>（注：本项目环境检测多为现场检测，例如空气和废气检测、公共场所进出风系统检测、公共场所物理指标检测，均为携带仪器现场检测，不带回样品进入实验室检测，实验室检测项目中不包括放射性和辐射相关内容，现场检测产生的少量垃圾及时清理带走，不会对外环境产生影响。）</w:t>
                  </w:r>
                </w:p>
                <w:p>
                  <w:pPr>
                    <w:pStyle w:val="2"/>
                    <w:numPr>
                      <w:ilvl w:val="255"/>
                      <w:numId w:val="0"/>
                    </w:numPr>
                    <w:spacing w:line="360" w:lineRule="auto"/>
                    <w:ind w:firstLine="480"/>
                    <w:rPr>
                      <w:color w:val="000000" w:themeColor="text1"/>
                      <w:highlight w:val="none"/>
                      <w:u w:val="none"/>
                    </w:rPr>
                  </w:pPr>
                  <w:r>
                    <w:rPr>
                      <w:rFonts w:hint="eastAsia"/>
                      <w:color w:val="000000" w:themeColor="text1"/>
                      <w:highlight w:val="none"/>
                      <w:u w:val="none"/>
                    </w:rPr>
                    <w:t>6、</w:t>
                  </w:r>
                  <w:r>
                    <w:rPr>
                      <w:color w:val="000000" w:themeColor="text1"/>
                      <w:highlight w:val="none"/>
                      <w:u w:val="none"/>
                    </w:rPr>
                    <w:t>总平面布置</w:t>
                  </w:r>
                </w:p>
                <w:p>
                  <w:pPr>
                    <w:pStyle w:val="2"/>
                    <w:spacing w:line="360" w:lineRule="auto"/>
                    <w:ind w:firstLine="480"/>
                    <w:rPr>
                      <w:bCs/>
                      <w:color w:val="000000" w:themeColor="text1"/>
                      <w:szCs w:val="24"/>
                      <w:highlight w:val="none"/>
                      <w:u w:val="none"/>
                    </w:rPr>
                  </w:pPr>
                  <w:r>
                    <w:rPr>
                      <w:bCs/>
                      <w:color w:val="000000" w:themeColor="text1"/>
                      <w:szCs w:val="24"/>
                      <w:highlight w:val="none"/>
                      <w:u w:val="none"/>
                    </w:rPr>
                    <w:t>项目位于</w:t>
                  </w:r>
                  <w:r>
                    <w:rPr>
                      <w:rFonts w:hint="eastAsia"/>
                      <w:bCs/>
                      <w:color w:val="000000" w:themeColor="text1"/>
                      <w:szCs w:val="24"/>
                      <w:highlight w:val="none"/>
                      <w:u w:val="none"/>
                      <w:lang w:eastAsia="zh-CN"/>
                    </w:rPr>
                    <w:t>湖南省岳阳市湘阴县金龙新区湖南奇思环保设备制造有限公司</w:t>
                  </w:r>
                  <w:r>
                    <w:rPr>
                      <w:bCs/>
                      <w:color w:val="000000" w:themeColor="text1"/>
                      <w:szCs w:val="24"/>
                      <w:highlight w:val="none"/>
                      <w:u w:val="none"/>
                    </w:rPr>
                    <w:t>内，</w:t>
                  </w:r>
                  <w:r>
                    <w:rPr>
                      <w:rFonts w:hint="eastAsia"/>
                      <w:bCs/>
                      <w:color w:val="000000" w:themeColor="text1"/>
                      <w:szCs w:val="24"/>
                      <w:highlight w:val="none"/>
                      <w:u w:val="none"/>
                      <w:lang w:eastAsia="zh-CN"/>
                    </w:rPr>
                    <w:t>本项目租赁建筑面积约</w:t>
                  </w:r>
                  <w:r>
                    <w:rPr>
                      <w:rFonts w:hint="eastAsia"/>
                      <w:bCs/>
                      <w:color w:val="000000" w:themeColor="text1"/>
                      <w:szCs w:val="24"/>
                      <w:highlight w:val="none"/>
                      <w:u w:val="none"/>
                      <w:lang w:val="en-US" w:eastAsia="zh-CN"/>
                    </w:rPr>
                    <w:t>800㎡，共计两层，一楼为办公区及仓库，二楼为实验室</w:t>
                  </w:r>
                  <w:r>
                    <w:rPr>
                      <w:bCs/>
                      <w:color w:val="000000" w:themeColor="text1"/>
                      <w:szCs w:val="24"/>
                      <w:highlight w:val="none"/>
                      <w:u w:val="none"/>
                    </w:rPr>
                    <w:t>。</w:t>
                  </w:r>
                </w:p>
                <w:p>
                  <w:pPr>
                    <w:pStyle w:val="2"/>
                    <w:spacing w:line="360" w:lineRule="auto"/>
                    <w:ind w:firstLine="480"/>
                    <w:rPr>
                      <w:color w:val="000000" w:themeColor="text1"/>
                      <w:highlight w:val="none"/>
                      <w:u w:val="none"/>
                    </w:rPr>
                  </w:pPr>
                  <w:r>
                    <w:rPr>
                      <w:rFonts w:hint="eastAsia"/>
                      <w:bCs/>
                      <w:color w:val="000000" w:themeColor="text1"/>
                      <w:szCs w:val="24"/>
                      <w:highlight w:val="none"/>
                      <w:u w:val="none"/>
                    </w:rPr>
                    <w:t>本项目</w:t>
                  </w:r>
                  <w:r>
                    <w:rPr>
                      <w:rFonts w:hint="eastAsia"/>
                      <w:bCs/>
                      <w:color w:val="000000" w:themeColor="text1"/>
                      <w:szCs w:val="24"/>
                      <w:highlight w:val="none"/>
                      <w:u w:val="none"/>
                      <w:lang w:eastAsia="zh-CN"/>
                    </w:rPr>
                    <w:t>二楼</w:t>
                  </w:r>
                  <w:r>
                    <w:rPr>
                      <w:rFonts w:hint="eastAsia"/>
                      <w:bCs/>
                      <w:color w:val="000000" w:themeColor="text1"/>
                      <w:szCs w:val="24"/>
                      <w:highlight w:val="none"/>
                      <w:u w:val="none"/>
                    </w:rPr>
                    <w:t>实验区主要实验室有：无机前处理室、色谱实验室、光谱实验室、菌种室、接种室、微生物实验室、样品处理室、感官评价室、微生物前处理室霉菌培养室、高温室、综合检验室、试剂库等。</w:t>
                  </w:r>
                  <w:r>
                    <w:rPr>
                      <w:rFonts w:hint="eastAsia"/>
                      <w:bCs/>
                      <w:color w:val="000000" w:themeColor="text1"/>
                      <w:szCs w:val="24"/>
                      <w:highlight w:val="none"/>
                      <w:u w:val="none"/>
                      <w:lang w:eastAsia="zh-CN"/>
                    </w:rPr>
                    <w:t>一楼</w:t>
                  </w:r>
                  <w:r>
                    <w:rPr>
                      <w:rFonts w:hint="eastAsia"/>
                      <w:bCs/>
                      <w:color w:val="000000" w:themeColor="text1"/>
                      <w:szCs w:val="24"/>
                      <w:highlight w:val="none"/>
                      <w:u w:val="none"/>
                    </w:rPr>
                    <w:t>主要有办公室、会议室</w:t>
                  </w:r>
                  <w:r>
                    <w:rPr>
                      <w:rFonts w:hint="eastAsia"/>
                      <w:bCs/>
                      <w:color w:val="000000" w:themeColor="text1"/>
                      <w:szCs w:val="24"/>
                      <w:highlight w:val="none"/>
                      <w:u w:val="none"/>
                      <w:lang w:eastAsia="zh-CN"/>
                    </w:rPr>
                    <w:t>、</w:t>
                  </w:r>
                  <w:r>
                    <w:rPr>
                      <w:rFonts w:hint="eastAsia"/>
                      <w:bCs/>
                      <w:color w:val="000000" w:themeColor="text1"/>
                      <w:szCs w:val="24"/>
                      <w:highlight w:val="none"/>
                      <w:u w:val="none"/>
                      <w:lang w:val="en-US" w:eastAsia="zh-CN"/>
                    </w:rPr>
                    <w:t>仓储、</w:t>
                  </w:r>
                  <w:r>
                    <w:rPr>
                      <w:rFonts w:hint="eastAsia"/>
                      <w:bCs/>
                      <w:color w:val="000000" w:themeColor="text1"/>
                      <w:szCs w:val="24"/>
                      <w:highlight w:val="none"/>
                      <w:u w:val="none"/>
                    </w:rPr>
                    <w:t>危废暂存间、现场仪器室等。具体平面布置图</w:t>
                  </w:r>
                  <w:r>
                    <w:rPr>
                      <w:color w:val="000000" w:themeColor="text1"/>
                      <w:highlight w:val="none"/>
                      <w:u w:val="none"/>
                    </w:rPr>
                    <w:t>见附图</w:t>
                  </w:r>
                  <w:r>
                    <w:rPr>
                      <w:rFonts w:hint="eastAsia"/>
                      <w:color w:val="000000" w:themeColor="text1"/>
                      <w:highlight w:val="none"/>
                      <w:u w:val="none"/>
                    </w:rPr>
                    <w:t>4</w:t>
                  </w:r>
                  <w:r>
                    <w:rPr>
                      <w:color w:val="000000" w:themeColor="text1"/>
                      <w:highlight w:val="none"/>
                      <w:u w:val="none"/>
                    </w:rPr>
                    <w:t>。</w:t>
                  </w:r>
                </w:p>
                <w:p>
                  <w:pPr>
                    <w:pStyle w:val="2"/>
                    <w:spacing w:line="360" w:lineRule="auto"/>
                    <w:ind w:firstLine="480"/>
                    <w:rPr>
                      <w:color w:val="000000" w:themeColor="text1"/>
                      <w:highlight w:val="none"/>
                      <w:u w:val="none"/>
                    </w:rPr>
                  </w:pPr>
                  <w:r>
                    <w:rPr>
                      <w:rFonts w:hint="eastAsia"/>
                      <w:color w:val="000000" w:themeColor="text1"/>
                      <w:highlight w:val="none"/>
                      <w:u w:val="none"/>
                    </w:rPr>
                    <w:t>7</w:t>
                  </w:r>
                  <w:r>
                    <w:rPr>
                      <w:color w:val="000000" w:themeColor="text1"/>
                      <w:highlight w:val="none"/>
                      <w:u w:val="none"/>
                    </w:rPr>
                    <w:t>、劳动人员及制度</w:t>
                  </w:r>
                </w:p>
                <w:p>
                  <w:pPr>
                    <w:pStyle w:val="2"/>
                    <w:spacing w:line="360" w:lineRule="auto"/>
                    <w:ind w:firstLine="480"/>
                    <w:rPr>
                      <w:color w:val="000000" w:themeColor="text1"/>
                      <w:highlight w:val="none"/>
                      <w:u w:val="none"/>
                    </w:rPr>
                  </w:pPr>
                  <w:r>
                    <w:rPr>
                      <w:color w:val="000000" w:themeColor="text1"/>
                      <w:highlight w:val="none"/>
                      <w:u w:val="none"/>
                    </w:rPr>
                    <w:t>（1）劳动定员：本项目工作定员为</w:t>
                  </w:r>
                  <w:r>
                    <w:rPr>
                      <w:rFonts w:hint="eastAsia"/>
                      <w:color w:val="000000" w:themeColor="text1"/>
                      <w:highlight w:val="none"/>
                      <w:u w:val="none"/>
                    </w:rPr>
                    <w:t>22</w:t>
                  </w:r>
                  <w:r>
                    <w:rPr>
                      <w:color w:val="000000" w:themeColor="text1"/>
                      <w:highlight w:val="none"/>
                      <w:u w:val="none"/>
                    </w:rPr>
                    <w:t>人，员工均不在厂区食宿。</w:t>
                  </w:r>
                </w:p>
                <w:p>
                  <w:pPr>
                    <w:pStyle w:val="2"/>
                    <w:spacing w:line="360" w:lineRule="auto"/>
                    <w:ind w:firstLine="480"/>
                    <w:rPr>
                      <w:color w:val="000000" w:themeColor="text1"/>
                      <w:highlight w:val="none"/>
                      <w:u w:val="none"/>
                    </w:rPr>
                  </w:pPr>
                  <w:r>
                    <w:rPr>
                      <w:color w:val="000000" w:themeColor="text1"/>
                      <w:highlight w:val="none"/>
                      <w:u w:val="none"/>
                    </w:rPr>
                    <w:t>（2）工作制度：本项目年工作日为</w:t>
                  </w:r>
                  <w:r>
                    <w:rPr>
                      <w:rFonts w:hint="eastAsia"/>
                      <w:color w:val="000000" w:themeColor="text1"/>
                      <w:highlight w:val="none"/>
                      <w:u w:val="none"/>
                    </w:rPr>
                    <w:t>250</w:t>
                  </w:r>
                  <w:r>
                    <w:rPr>
                      <w:color w:val="000000" w:themeColor="text1"/>
                      <w:highlight w:val="none"/>
                      <w:u w:val="none"/>
                    </w:rPr>
                    <w:t>天，一天一班制，工作8h/d。</w:t>
                  </w:r>
                </w:p>
                <w:p>
                  <w:pPr>
                    <w:pStyle w:val="2"/>
                    <w:spacing w:line="360" w:lineRule="auto"/>
                    <w:ind w:firstLine="480"/>
                    <w:rPr>
                      <w:color w:val="000000" w:themeColor="text1"/>
                      <w:highlight w:val="none"/>
                      <w:u w:val="none"/>
                    </w:rPr>
                  </w:pPr>
                  <w:r>
                    <w:rPr>
                      <w:rFonts w:hint="eastAsia"/>
                      <w:color w:val="000000" w:themeColor="text1"/>
                      <w:highlight w:val="none"/>
                      <w:u w:val="none"/>
                    </w:rPr>
                    <w:t>8</w:t>
                  </w:r>
                  <w:r>
                    <w:rPr>
                      <w:color w:val="000000" w:themeColor="text1"/>
                      <w:highlight w:val="none"/>
                      <w:u w:val="none"/>
                    </w:rPr>
                    <w:t>、公用工程</w:t>
                  </w:r>
                </w:p>
                <w:p>
                  <w:pPr>
                    <w:pStyle w:val="2"/>
                    <w:spacing w:line="360" w:lineRule="auto"/>
                    <w:ind w:firstLine="480"/>
                    <w:rPr>
                      <w:color w:val="000000" w:themeColor="text1"/>
                      <w:highlight w:val="none"/>
                      <w:u w:val="none"/>
                    </w:rPr>
                  </w:pPr>
                  <w:r>
                    <w:rPr>
                      <w:color w:val="000000" w:themeColor="text1"/>
                      <w:highlight w:val="none"/>
                      <w:u w:val="none"/>
                    </w:rPr>
                    <w:t>（1）给水</w:t>
                  </w:r>
                </w:p>
                <w:p>
                  <w:pPr>
                    <w:pStyle w:val="2"/>
                    <w:spacing w:line="360" w:lineRule="auto"/>
                    <w:ind w:firstLine="480" w:firstLineChars="0"/>
                    <w:jc w:val="left"/>
                    <w:rPr>
                      <w:color w:val="000000" w:themeColor="text1"/>
                      <w:highlight w:val="none"/>
                      <w:u w:val="none"/>
                    </w:rPr>
                  </w:pPr>
                  <w:r>
                    <w:rPr>
                      <w:color w:val="000000" w:themeColor="text1"/>
                      <w:highlight w:val="none"/>
                      <w:u w:val="none"/>
                    </w:rPr>
                    <w:t>本项目所需的生产、生活、消防用水均由自来水管网供给，水质、水量、水压均能满足项目职工日常生活用水和消防用水。本项目营运过程中给水主要包括职工日常生活用水</w:t>
                  </w:r>
                  <w:r>
                    <w:rPr>
                      <w:rFonts w:hint="eastAsia"/>
                      <w:color w:val="000000" w:themeColor="text1"/>
                      <w:highlight w:val="none"/>
                      <w:u w:val="none"/>
                    </w:rPr>
                    <w:t>和</w:t>
                  </w:r>
                  <w:r>
                    <w:rPr>
                      <w:color w:val="000000" w:themeColor="text1"/>
                      <w:highlight w:val="none"/>
                      <w:u w:val="none"/>
                    </w:rPr>
                    <w:t>实验用水</w:t>
                  </w:r>
                  <w:r>
                    <w:rPr>
                      <w:rFonts w:hint="eastAsia"/>
                      <w:color w:val="000000" w:themeColor="text1"/>
                      <w:highlight w:val="none"/>
                      <w:u w:val="none"/>
                    </w:rPr>
                    <w:t>，其中实验室用水又包括纯水制备用水、仪器及器皿清洗用水。</w:t>
                  </w:r>
                </w:p>
                <w:p>
                  <w:pPr>
                    <w:pStyle w:val="2"/>
                    <w:spacing w:line="360" w:lineRule="auto"/>
                    <w:ind w:firstLine="480" w:firstLineChars="0"/>
                    <w:jc w:val="left"/>
                    <w:rPr>
                      <w:color w:val="000000" w:themeColor="text1"/>
                      <w:highlight w:val="none"/>
                      <w:u w:val="none"/>
                    </w:rPr>
                  </w:pPr>
                  <w:r>
                    <w:rPr>
                      <w:color w:val="000000" w:themeColor="text1"/>
                      <w:highlight w:val="none"/>
                      <w:u w:val="none"/>
                    </w:rPr>
                    <w:t>①办公人员办公用水：项目办公人员约为</w:t>
                  </w:r>
                  <w:r>
                    <w:rPr>
                      <w:rFonts w:hint="eastAsia"/>
                      <w:color w:val="000000" w:themeColor="text1"/>
                      <w:highlight w:val="none"/>
                      <w:u w:val="none"/>
                    </w:rPr>
                    <w:t>22</w:t>
                  </w:r>
                  <w:r>
                    <w:rPr>
                      <w:color w:val="000000" w:themeColor="text1"/>
                      <w:highlight w:val="none"/>
                      <w:u w:val="none"/>
                    </w:rPr>
                    <w:t>人，均不在项目内食宿，用水量按50L/人•d计算</w:t>
                  </w:r>
                  <w:r>
                    <w:rPr>
                      <w:rFonts w:hint="eastAsia"/>
                      <w:color w:val="000000" w:themeColor="text1"/>
                      <w:highlight w:val="none"/>
                      <w:u w:val="none"/>
                    </w:rPr>
                    <w:t>，则生活用水年使用量为275</w:t>
                  </w:r>
                  <w:r>
                    <w:rPr>
                      <w:color w:val="000000" w:themeColor="text1"/>
                      <w:highlight w:val="none"/>
                      <w:u w:val="none"/>
                    </w:rPr>
                    <w:t>m</w:t>
                  </w:r>
                  <w:r>
                    <w:rPr>
                      <w:color w:val="000000" w:themeColor="text1"/>
                      <w:highlight w:val="none"/>
                      <w:u w:val="none"/>
                      <w:vertAlign w:val="superscript"/>
                    </w:rPr>
                    <w:t>3</w:t>
                  </w:r>
                  <w:r>
                    <w:rPr>
                      <w:color w:val="000000" w:themeColor="text1"/>
                      <w:highlight w:val="none"/>
                      <w:u w:val="none"/>
                    </w:rPr>
                    <w:t>/d</w:t>
                  </w:r>
                  <w:r>
                    <w:rPr>
                      <w:rFonts w:hint="eastAsia"/>
                      <w:color w:val="000000" w:themeColor="text1"/>
                      <w:highlight w:val="none"/>
                      <w:u w:val="none"/>
                    </w:rPr>
                    <w:t>。</w:t>
                  </w:r>
                </w:p>
                <w:p>
                  <w:pPr>
                    <w:pStyle w:val="2"/>
                    <w:spacing w:line="360" w:lineRule="auto"/>
                    <w:ind w:firstLine="0" w:firstLineChars="0"/>
                    <w:jc w:val="left"/>
                    <w:rPr>
                      <w:color w:val="000000" w:themeColor="text1"/>
                      <w:highlight w:val="none"/>
                      <w:u w:val="none"/>
                    </w:rPr>
                  </w:pPr>
                  <w:r>
                    <w:rPr>
                      <w:color w:val="000000" w:themeColor="text1"/>
                      <w:highlight w:val="none"/>
                      <w:u w:val="none"/>
                    </w:rPr>
                    <w:t>②纯水制备用水：</w:t>
                  </w:r>
                  <w:r>
                    <w:rPr>
                      <w:rFonts w:hint="eastAsia"/>
                      <w:color w:val="000000" w:themeColor="text1"/>
                      <w:highlight w:val="none"/>
                      <w:u w:val="none"/>
                    </w:rPr>
                    <w:t>本项目纯水</w:t>
                  </w:r>
                  <w:r>
                    <w:rPr>
                      <w:color w:val="000000" w:themeColor="text1"/>
                      <w:highlight w:val="none"/>
                      <w:u w:val="none"/>
                    </w:rPr>
                    <w:t>主要用于溶液配制等，根据建设单位提供的资料，纯水用水量约为0.00</w:t>
                  </w:r>
                  <w:r>
                    <w:rPr>
                      <w:rFonts w:hint="eastAsia"/>
                      <w:color w:val="000000" w:themeColor="text1"/>
                      <w:highlight w:val="none"/>
                      <w:u w:val="none"/>
                    </w:rPr>
                    <w:t>5</w:t>
                  </w:r>
                  <w:r>
                    <w:rPr>
                      <w:color w:val="000000" w:themeColor="text1"/>
                      <w:highlight w:val="none"/>
                      <w:u w:val="none"/>
                    </w:rPr>
                    <w:t>m</w:t>
                  </w:r>
                  <w:r>
                    <w:rPr>
                      <w:color w:val="000000" w:themeColor="text1"/>
                      <w:highlight w:val="none"/>
                      <w:u w:val="none"/>
                      <w:vertAlign w:val="superscript"/>
                    </w:rPr>
                    <w:t>3</w:t>
                  </w:r>
                  <w:r>
                    <w:rPr>
                      <w:color w:val="000000" w:themeColor="text1"/>
                      <w:highlight w:val="none"/>
                      <w:u w:val="none"/>
                    </w:rPr>
                    <w:t>/d，项目使用自来水进行纯水的制备，</w:t>
                  </w:r>
                  <w:r>
                    <w:rPr>
                      <w:rFonts w:hint="eastAsia"/>
                      <w:color w:val="000000" w:themeColor="text1"/>
                      <w:highlight w:val="none"/>
                      <w:u w:val="none"/>
                    </w:rPr>
                    <w:t>每一个星期制备一次，</w:t>
                  </w:r>
                  <w:r>
                    <w:rPr>
                      <w:color w:val="000000" w:themeColor="text1"/>
                      <w:highlight w:val="none"/>
                      <w:u w:val="none"/>
                    </w:rPr>
                    <w:t>纯水的产生比例为</w:t>
                  </w:r>
                  <w:r>
                    <w:rPr>
                      <w:rFonts w:hint="eastAsia"/>
                      <w:color w:val="000000" w:themeColor="text1"/>
                      <w:highlight w:val="none"/>
                      <w:u w:val="none"/>
                    </w:rPr>
                    <w:t>5</w:t>
                  </w:r>
                  <w:r>
                    <w:rPr>
                      <w:color w:val="000000" w:themeColor="text1"/>
                      <w:highlight w:val="none"/>
                      <w:u w:val="none"/>
                    </w:rPr>
                    <w:t>0%，项目年工作时间为250d，因此项目纯水制备过程自来水的使用量为0.01m</w:t>
                  </w:r>
                  <w:r>
                    <w:rPr>
                      <w:color w:val="000000" w:themeColor="text1"/>
                      <w:highlight w:val="none"/>
                      <w:u w:val="none"/>
                      <w:vertAlign w:val="superscript"/>
                    </w:rPr>
                    <w:t>3</w:t>
                  </w:r>
                  <w:r>
                    <w:rPr>
                      <w:color w:val="000000" w:themeColor="text1"/>
                      <w:highlight w:val="none"/>
                      <w:u w:val="none"/>
                    </w:rPr>
                    <w:t>/d，年用水量</w:t>
                  </w:r>
                  <w:r>
                    <w:rPr>
                      <w:rFonts w:hint="eastAsia"/>
                      <w:color w:val="000000" w:themeColor="text1"/>
                      <w:highlight w:val="none"/>
                      <w:u w:val="none"/>
                    </w:rPr>
                    <w:t>约为2.5m</w:t>
                  </w:r>
                  <w:r>
                    <w:rPr>
                      <w:rFonts w:hint="eastAsia"/>
                      <w:color w:val="000000" w:themeColor="text1"/>
                      <w:highlight w:val="none"/>
                      <w:u w:val="none"/>
                      <w:vertAlign w:val="superscript"/>
                    </w:rPr>
                    <w:t>3</w:t>
                  </w:r>
                  <w:r>
                    <w:rPr>
                      <w:rFonts w:hint="eastAsia"/>
                      <w:color w:val="000000" w:themeColor="text1"/>
                      <w:highlight w:val="none"/>
                      <w:u w:val="none"/>
                    </w:rPr>
                    <w:t>/a。</w:t>
                  </w:r>
                </w:p>
                <w:p>
                  <w:pPr>
                    <w:pStyle w:val="2"/>
                    <w:spacing w:line="360" w:lineRule="auto"/>
                    <w:ind w:firstLine="480" w:firstLineChars="0"/>
                    <w:rPr>
                      <w:color w:val="000000" w:themeColor="text1"/>
                      <w:highlight w:val="none"/>
                      <w:u w:val="none"/>
                    </w:rPr>
                  </w:pPr>
                  <w:r>
                    <w:rPr>
                      <w:color w:val="000000" w:themeColor="text1"/>
                      <w:highlight w:val="none"/>
                      <w:u w:val="none"/>
                    </w:rPr>
                    <w:t>③仪器、器皿及实验操作台清洗用水：根据建设单位提供的资料，仪器、器皿及实验操作台清洗用水量约为0.2m</w:t>
                  </w:r>
                  <w:r>
                    <w:rPr>
                      <w:color w:val="000000" w:themeColor="text1"/>
                      <w:highlight w:val="none"/>
                      <w:u w:val="none"/>
                      <w:vertAlign w:val="superscript"/>
                    </w:rPr>
                    <w:t>3</w:t>
                  </w:r>
                  <w:r>
                    <w:rPr>
                      <w:color w:val="000000" w:themeColor="text1"/>
                      <w:highlight w:val="none"/>
                      <w:u w:val="none"/>
                    </w:rPr>
                    <w:t>/d，项目年工作时间</w:t>
                  </w:r>
                  <w:r>
                    <w:rPr>
                      <w:rFonts w:hint="eastAsia"/>
                      <w:color w:val="000000" w:themeColor="text1"/>
                      <w:highlight w:val="none"/>
                      <w:u w:val="none"/>
                    </w:rPr>
                    <w:t>为</w:t>
                  </w:r>
                  <w:r>
                    <w:rPr>
                      <w:color w:val="000000" w:themeColor="text1"/>
                      <w:highlight w:val="none"/>
                      <w:u w:val="none"/>
                    </w:rPr>
                    <w:t>250d，则仪器及器皿清洗年用水量约为50m</w:t>
                  </w:r>
                  <w:r>
                    <w:rPr>
                      <w:color w:val="000000" w:themeColor="text1"/>
                      <w:highlight w:val="none"/>
                      <w:u w:val="none"/>
                      <w:vertAlign w:val="superscript"/>
                    </w:rPr>
                    <w:t>3</w:t>
                  </w:r>
                  <w:r>
                    <w:rPr>
                      <w:color w:val="000000" w:themeColor="text1"/>
                      <w:highlight w:val="none"/>
                      <w:u w:val="none"/>
                    </w:rPr>
                    <w:t>/a。</w:t>
                  </w:r>
                </w:p>
                <w:p>
                  <w:pPr>
                    <w:pStyle w:val="2"/>
                    <w:spacing w:line="360" w:lineRule="auto"/>
                    <w:ind w:firstLine="480" w:firstLineChars="0"/>
                    <w:jc w:val="left"/>
                    <w:rPr>
                      <w:color w:val="000000" w:themeColor="text1"/>
                      <w:highlight w:val="none"/>
                      <w:u w:val="none"/>
                    </w:rPr>
                  </w:pPr>
                  <w:r>
                    <w:rPr>
                      <w:color w:val="000000" w:themeColor="text1"/>
                      <w:highlight w:val="none"/>
                      <w:u w:val="none"/>
                    </w:rPr>
                    <w:t>本项目用水量根据《湖南省用水定额地方标准》（DB43/T388-2014）核算，详见表1</w:t>
                  </w:r>
                  <w:r>
                    <w:rPr>
                      <w:rFonts w:hint="eastAsia"/>
                      <w:color w:val="000000" w:themeColor="text1"/>
                      <w:highlight w:val="none"/>
                      <w:u w:val="none"/>
                    </w:rPr>
                    <w:t>-6</w:t>
                  </w:r>
                  <w:r>
                    <w:rPr>
                      <w:color w:val="000000" w:themeColor="text1"/>
                      <w:highlight w:val="none"/>
                      <w:u w:val="none"/>
                    </w:rPr>
                    <w:t>。</w:t>
                  </w:r>
                </w:p>
                <w:p>
                  <w:pPr>
                    <w:pStyle w:val="2"/>
                    <w:spacing w:line="360" w:lineRule="auto"/>
                    <w:ind w:firstLine="480" w:firstLineChars="0"/>
                    <w:jc w:val="center"/>
                    <w:rPr>
                      <w:color w:val="000000" w:themeColor="text1"/>
                      <w:highlight w:val="none"/>
                      <w:u w:val="none"/>
                    </w:rPr>
                  </w:pPr>
                  <w:r>
                    <w:rPr>
                      <w:b/>
                      <w:bCs/>
                      <w:color w:val="000000" w:themeColor="text1"/>
                      <w:sz w:val="21"/>
                      <w:szCs w:val="21"/>
                      <w:highlight w:val="none"/>
                      <w:u w:val="none"/>
                    </w:rPr>
                    <w:t>表1-6  项目用水量计算表</w:t>
                  </w:r>
                </w:p>
                <w:tbl>
                  <w:tblPr>
                    <w:tblStyle w:val="35"/>
                    <w:tblpPr w:leftFromText="180" w:rightFromText="180" w:vertAnchor="text" w:horzAnchor="page" w:tblpX="103" w:tblpY="7"/>
                    <w:tblOverlap w:val="never"/>
                    <w:tblW w:w="84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1283"/>
                    <w:gridCol w:w="1882"/>
                    <w:gridCol w:w="1169"/>
                    <w:gridCol w:w="1705"/>
                    <w:gridCol w:w="1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1"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序号</w:t>
                        </w:r>
                      </w:p>
                    </w:tc>
                    <w:tc>
                      <w:tcPr>
                        <w:tcW w:w="3165" w:type="dxa"/>
                        <w:gridSpan w:val="2"/>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名称</w:t>
                        </w:r>
                      </w:p>
                    </w:tc>
                    <w:tc>
                      <w:tcPr>
                        <w:tcW w:w="116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用水定额</w:t>
                        </w:r>
                      </w:p>
                    </w:tc>
                    <w:tc>
                      <w:tcPr>
                        <w:tcW w:w="1705"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日用水量（m</w:t>
                        </w:r>
                        <w:r>
                          <w:rPr>
                            <w:color w:val="000000" w:themeColor="text1"/>
                            <w:sz w:val="21"/>
                            <w:szCs w:val="21"/>
                            <w:highlight w:val="none"/>
                            <w:u w:val="none"/>
                            <w:vertAlign w:val="superscript"/>
                          </w:rPr>
                          <w:t>3</w:t>
                        </w:r>
                        <w:r>
                          <w:rPr>
                            <w:color w:val="000000" w:themeColor="text1"/>
                            <w:sz w:val="21"/>
                            <w:szCs w:val="21"/>
                            <w:highlight w:val="none"/>
                            <w:u w:val="none"/>
                          </w:rPr>
                          <w:t>/d）</w:t>
                        </w:r>
                      </w:p>
                    </w:tc>
                    <w:tc>
                      <w:tcPr>
                        <w:tcW w:w="1713"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年</w:t>
                        </w:r>
                        <w:r>
                          <w:rPr>
                            <w:color w:val="000000" w:themeColor="text1"/>
                            <w:sz w:val="21"/>
                            <w:szCs w:val="21"/>
                            <w:highlight w:val="none"/>
                            <w:u w:val="none"/>
                          </w:rPr>
                          <w:t>用水量（m</w:t>
                        </w:r>
                        <w:r>
                          <w:rPr>
                            <w:color w:val="000000" w:themeColor="text1"/>
                            <w:sz w:val="21"/>
                            <w:szCs w:val="21"/>
                            <w:highlight w:val="none"/>
                            <w:u w:val="none"/>
                            <w:vertAlign w:val="superscript"/>
                          </w:rPr>
                          <w:t>3</w:t>
                        </w:r>
                        <w:r>
                          <w:rPr>
                            <w:color w:val="000000" w:themeColor="text1"/>
                            <w:sz w:val="21"/>
                            <w:szCs w:val="21"/>
                            <w:highlight w:val="none"/>
                            <w:u w:val="none"/>
                          </w:rPr>
                          <w:t>/</w:t>
                        </w:r>
                        <w:r>
                          <w:rPr>
                            <w:rFonts w:hint="eastAsia"/>
                            <w:color w:val="000000" w:themeColor="text1"/>
                            <w:sz w:val="21"/>
                            <w:szCs w:val="21"/>
                            <w:highlight w:val="none"/>
                            <w:u w:val="none"/>
                          </w:rPr>
                          <w:t>a</w:t>
                        </w:r>
                        <w:r>
                          <w:rPr>
                            <w:color w:val="000000" w:themeColor="text1"/>
                            <w:sz w:val="21"/>
                            <w:szCs w:val="21"/>
                            <w:highlight w:val="none"/>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21"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1</w:t>
                        </w:r>
                      </w:p>
                    </w:tc>
                    <w:tc>
                      <w:tcPr>
                        <w:tcW w:w="3165" w:type="dxa"/>
                        <w:gridSpan w:val="2"/>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员工办公</w:t>
                        </w:r>
                        <w:r>
                          <w:rPr>
                            <w:color w:val="000000" w:themeColor="text1"/>
                            <w:sz w:val="21"/>
                            <w:szCs w:val="21"/>
                            <w:highlight w:val="none"/>
                            <w:u w:val="none"/>
                          </w:rPr>
                          <w:t>生活用水</w:t>
                        </w:r>
                      </w:p>
                    </w:tc>
                    <w:tc>
                      <w:tcPr>
                        <w:tcW w:w="116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50</w:t>
                        </w:r>
                        <w:r>
                          <w:rPr>
                            <w:color w:val="000000" w:themeColor="text1"/>
                            <w:sz w:val="21"/>
                            <w:szCs w:val="21"/>
                            <w:highlight w:val="none"/>
                            <w:u w:val="none"/>
                          </w:rPr>
                          <w:t>L/人·d</w:t>
                        </w:r>
                      </w:p>
                    </w:tc>
                    <w:tc>
                      <w:tcPr>
                        <w:tcW w:w="1705"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1.1</w:t>
                        </w:r>
                      </w:p>
                    </w:tc>
                    <w:tc>
                      <w:tcPr>
                        <w:tcW w:w="1713"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21" w:type="dxa"/>
                        <w:vMerge w:val="restart"/>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2</w:t>
                        </w:r>
                      </w:p>
                    </w:tc>
                    <w:tc>
                      <w:tcPr>
                        <w:tcW w:w="1283" w:type="dxa"/>
                        <w:vMerge w:val="restart"/>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实验用水</w:t>
                        </w:r>
                      </w:p>
                    </w:tc>
                    <w:tc>
                      <w:tcPr>
                        <w:tcW w:w="1882"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纯水制备用水</w:t>
                        </w:r>
                      </w:p>
                    </w:tc>
                    <w:tc>
                      <w:tcPr>
                        <w:tcW w:w="116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0.01m</w:t>
                        </w:r>
                        <w:r>
                          <w:rPr>
                            <w:color w:val="000000" w:themeColor="text1"/>
                            <w:sz w:val="21"/>
                            <w:szCs w:val="21"/>
                            <w:highlight w:val="none"/>
                            <w:u w:val="none"/>
                            <w:vertAlign w:val="superscript"/>
                          </w:rPr>
                          <w:t>3</w:t>
                        </w:r>
                        <w:r>
                          <w:rPr>
                            <w:color w:val="000000" w:themeColor="text1"/>
                            <w:sz w:val="21"/>
                            <w:szCs w:val="21"/>
                            <w:highlight w:val="none"/>
                            <w:u w:val="none"/>
                          </w:rPr>
                          <w:t>/d</w:t>
                        </w:r>
                      </w:p>
                    </w:tc>
                    <w:tc>
                      <w:tcPr>
                        <w:tcW w:w="1705"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0.01</w:t>
                        </w:r>
                      </w:p>
                    </w:tc>
                    <w:tc>
                      <w:tcPr>
                        <w:tcW w:w="1713"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 xml:space="preserve">2.5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721"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c>
                      <w:tcPr>
                        <w:tcW w:w="1283"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c>
                      <w:tcPr>
                        <w:tcW w:w="1882"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仪器、器皿及实验</w:t>
                        </w:r>
                      </w:p>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操作台清洗用水</w:t>
                        </w:r>
                      </w:p>
                    </w:tc>
                    <w:tc>
                      <w:tcPr>
                        <w:tcW w:w="116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0.2m</w:t>
                        </w:r>
                        <w:r>
                          <w:rPr>
                            <w:color w:val="000000" w:themeColor="text1"/>
                            <w:sz w:val="21"/>
                            <w:szCs w:val="21"/>
                            <w:highlight w:val="none"/>
                            <w:u w:val="none"/>
                            <w:vertAlign w:val="superscript"/>
                          </w:rPr>
                          <w:t>3</w:t>
                        </w:r>
                        <w:r>
                          <w:rPr>
                            <w:color w:val="000000" w:themeColor="text1"/>
                            <w:sz w:val="21"/>
                            <w:szCs w:val="21"/>
                            <w:highlight w:val="none"/>
                            <w:u w:val="none"/>
                          </w:rPr>
                          <w:t>/d</w:t>
                        </w:r>
                      </w:p>
                    </w:tc>
                    <w:tc>
                      <w:tcPr>
                        <w:tcW w:w="1705"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0.2</w:t>
                        </w:r>
                      </w:p>
                    </w:tc>
                    <w:tc>
                      <w:tcPr>
                        <w:tcW w:w="1713"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721"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3</w:t>
                        </w:r>
                      </w:p>
                    </w:tc>
                    <w:tc>
                      <w:tcPr>
                        <w:tcW w:w="1283"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合计</w:t>
                        </w:r>
                      </w:p>
                    </w:tc>
                    <w:tc>
                      <w:tcPr>
                        <w:tcW w:w="1882"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w:t>
                        </w:r>
                      </w:p>
                    </w:tc>
                    <w:tc>
                      <w:tcPr>
                        <w:tcW w:w="116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w:t>
                        </w:r>
                      </w:p>
                    </w:tc>
                    <w:tc>
                      <w:tcPr>
                        <w:tcW w:w="1705"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1.31</w:t>
                        </w:r>
                      </w:p>
                    </w:tc>
                    <w:tc>
                      <w:tcPr>
                        <w:tcW w:w="1713"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327.5</w:t>
                        </w:r>
                      </w:p>
                    </w:tc>
                  </w:tr>
                </w:tbl>
                <w:p>
                  <w:pPr>
                    <w:pStyle w:val="2"/>
                    <w:spacing w:beforeLines="50" w:line="360" w:lineRule="auto"/>
                    <w:ind w:firstLine="480"/>
                    <w:rPr>
                      <w:color w:val="000000" w:themeColor="text1"/>
                      <w:highlight w:val="none"/>
                      <w:u w:val="none"/>
                    </w:rPr>
                  </w:pPr>
                  <w:r>
                    <w:rPr>
                      <w:rFonts w:hint="eastAsia"/>
                      <w:color w:val="000000" w:themeColor="text1"/>
                      <w:highlight w:val="none"/>
                      <w:u w:val="none"/>
                    </w:rPr>
                    <w:t>（</w:t>
                  </w:r>
                  <w:r>
                    <w:rPr>
                      <w:color w:val="000000" w:themeColor="text1"/>
                      <w:highlight w:val="none"/>
                      <w:u w:val="none"/>
                    </w:rPr>
                    <w:t>2）排水</w:t>
                  </w:r>
                </w:p>
                <w:p>
                  <w:pPr>
                    <w:pStyle w:val="2"/>
                    <w:spacing w:line="360" w:lineRule="auto"/>
                    <w:ind w:firstLine="480"/>
                    <w:rPr>
                      <w:color w:val="000000" w:themeColor="text1"/>
                      <w:highlight w:val="none"/>
                      <w:u w:val="none"/>
                    </w:rPr>
                  </w:pPr>
                  <w:r>
                    <w:rPr>
                      <w:color w:val="000000" w:themeColor="text1"/>
                      <w:highlight w:val="none"/>
                      <w:u w:val="none"/>
                    </w:rPr>
                    <w:t>本项目实行雨污分流，污污分流的形式。雨水经雨水沟排入市政雨水系统。废水主要包括员工办公生活污水、</w:t>
                  </w:r>
                  <w:r>
                    <w:rPr>
                      <w:rFonts w:hint="eastAsia"/>
                      <w:color w:val="000000" w:themeColor="text1"/>
                      <w:highlight w:val="none"/>
                      <w:u w:val="none"/>
                    </w:rPr>
                    <w:t>纯水制备尾水</w:t>
                  </w:r>
                  <w:r>
                    <w:rPr>
                      <w:color w:val="000000" w:themeColor="text1"/>
                      <w:highlight w:val="none"/>
                      <w:u w:val="none"/>
                    </w:rPr>
                    <w:t>、一般实验废液、含重金属测量的实验废液、仪器、器皿与实验操作台清洗废水等。废水产生量及排放方式见表1</w:t>
                  </w:r>
                  <w:r>
                    <w:rPr>
                      <w:rFonts w:hint="eastAsia"/>
                      <w:color w:val="000000" w:themeColor="text1"/>
                      <w:highlight w:val="none"/>
                      <w:u w:val="none"/>
                    </w:rPr>
                    <w:t>-7</w:t>
                  </w:r>
                  <w:r>
                    <w:rPr>
                      <w:color w:val="000000" w:themeColor="text1"/>
                      <w:highlight w:val="none"/>
                      <w:u w:val="none"/>
                    </w:rPr>
                    <w:t>所示。项目水平衡图见图1-</w:t>
                  </w:r>
                  <w:r>
                    <w:rPr>
                      <w:rFonts w:hint="eastAsia"/>
                      <w:color w:val="000000" w:themeColor="text1"/>
                      <w:highlight w:val="none"/>
                      <w:u w:val="none"/>
                    </w:rPr>
                    <w:t>1</w:t>
                  </w:r>
                  <w:r>
                    <w:rPr>
                      <w:color w:val="000000" w:themeColor="text1"/>
                      <w:highlight w:val="none"/>
                      <w:u w:val="none"/>
                    </w:rPr>
                    <w:t>所示。</w:t>
                  </w:r>
                </w:p>
                <w:p>
                  <w:pPr>
                    <w:pStyle w:val="2"/>
                    <w:spacing w:line="360" w:lineRule="auto"/>
                    <w:ind w:firstLine="480" w:firstLineChars="0"/>
                    <w:jc w:val="center"/>
                    <w:rPr>
                      <w:b/>
                      <w:bCs/>
                      <w:color w:val="000000" w:themeColor="text1"/>
                      <w:sz w:val="21"/>
                      <w:szCs w:val="21"/>
                      <w:highlight w:val="none"/>
                      <w:u w:val="none"/>
                    </w:rPr>
                  </w:pPr>
                  <w:r>
                    <w:rPr>
                      <w:b/>
                      <w:bCs/>
                      <w:color w:val="000000" w:themeColor="text1"/>
                      <w:sz w:val="21"/>
                      <w:szCs w:val="21"/>
                      <w:highlight w:val="none"/>
                      <w:u w:val="none"/>
                    </w:rPr>
                    <w:t>表1-</w:t>
                  </w:r>
                  <w:r>
                    <w:rPr>
                      <w:rFonts w:hint="eastAsia"/>
                      <w:b/>
                      <w:bCs/>
                      <w:color w:val="000000" w:themeColor="text1"/>
                      <w:sz w:val="21"/>
                      <w:szCs w:val="21"/>
                      <w:highlight w:val="none"/>
                      <w:u w:val="none"/>
                    </w:rPr>
                    <w:t>7</w:t>
                  </w:r>
                  <w:r>
                    <w:rPr>
                      <w:b/>
                      <w:bCs/>
                      <w:color w:val="000000" w:themeColor="text1"/>
                      <w:sz w:val="21"/>
                      <w:szCs w:val="21"/>
                      <w:highlight w:val="none"/>
                      <w:u w:val="none"/>
                    </w:rPr>
                    <w:t xml:space="preserve">  项目废水产生量及排放方式一览表</w:t>
                  </w:r>
                </w:p>
                <w:tbl>
                  <w:tblPr>
                    <w:tblStyle w:val="35"/>
                    <w:tblW w:w="84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539"/>
                    <w:gridCol w:w="1066"/>
                    <w:gridCol w:w="1077"/>
                    <w:gridCol w:w="1500"/>
                    <w:gridCol w:w="1590"/>
                    <w:gridCol w:w="2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序号</w:t>
                        </w:r>
                      </w:p>
                    </w:tc>
                    <w:tc>
                      <w:tcPr>
                        <w:tcW w:w="1605" w:type="dxa"/>
                        <w:gridSpan w:val="2"/>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名称</w:t>
                        </w:r>
                      </w:p>
                    </w:tc>
                    <w:tc>
                      <w:tcPr>
                        <w:tcW w:w="1077"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排污系数</w:t>
                        </w:r>
                      </w:p>
                    </w:tc>
                    <w:tc>
                      <w:tcPr>
                        <w:tcW w:w="150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废水日产</w:t>
                        </w:r>
                        <w:r>
                          <w:rPr>
                            <w:rFonts w:hint="eastAsia"/>
                            <w:color w:val="000000" w:themeColor="text1"/>
                            <w:sz w:val="21"/>
                            <w:szCs w:val="21"/>
                            <w:highlight w:val="none"/>
                            <w:u w:val="none"/>
                          </w:rPr>
                          <w:t>生</w:t>
                        </w:r>
                        <w:r>
                          <w:rPr>
                            <w:color w:val="000000" w:themeColor="text1"/>
                            <w:sz w:val="21"/>
                            <w:szCs w:val="21"/>
                            <w:highlight w:val="none"/>
                            <w:u w:val="none"/>
                          </w:rPr>
                          <w:t>量（m</w:t>
                        </w:r>
                        <w:r>
                          <w:rPr>
                            <w:color w:val="000000" w:themeColor="text1"/>
                            <w:sz w:val="21"/>
                            <w:szCs w:val="21"/>
                            <w:highlight w:val="none"/>
                            <w:u w:val="none"/>
                            <w:vertAlign w:val="superscript"/>
                          </w:rPr>
                          <w:t>3</w:t>
                        </w:r>
                        <w:r>
                          <w:rPr>
                            <w:color w:val="000000" w:themeColor="text1"/>
                            <w:sz w:val="21"/>
                            <w:szCs w:val="21"/>
                            <w:highlight w:val="none"/>
                            <w:u w:val="none"/>
                          </w:rPr>
                          <w:t>/d）</w:t>
                        </w:r>
                      </w:p>
                    </w:tc>
                    <w:tc>
                      <w:tcPr>
                        <w:tcW w:w="159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废水年产生量（m</w:t>
                        </w:r>
                        <w:r>
                          <w:rPr>
                            <w:rFonts w:hint="eastAsia"/>
                            <w:color w:val="000000" w:themeColor="text1"/>
                            <w:sz w:val="21"/>
                            <w:szCs w:val="21"/>
                            <w:highlight w:val="none"/>
                            <w:u w:val="none"/>
                            <w:vertAlign w:val="superscript"/>
                          </w:rPr>
                          <w:t>3</w:t>
                        </w:r>
                        <w:r>
                          <w:rPr>
                            <w:rFonts w:hint="eastAsia"/>
                            <w:color w:val="000000" w:themeColor="text1"/>
                            <w:sz w:val="21"/>
                            <w:szCs w:val="21"/>
                            <w:highlight w:val="none"/>
                            <w:u w:val="none"/>
                          </w:rPr>
                          <w:t>/a）</w:t>
                        </w:r>
                      </w:p>
                    </w:tc>
                    <w:tc>
                      <w:tcPr>
                        <w:tcW w:w="2100" w:type="dxa"/>
                        <w:tcBorders>
                          <w:tl2br w:val="nil"/>
                          <w:tr2bl w:val="nil"/>
                        </w:tcBorders>
                        <w:vAlign w:val="center"/>
                      </w:tcPr>
                      <w:p>
                        <w:pPr>
                          <w:pStyle w:val="2"/>
                          <w:spacing w:line="240" w:lineRule="auto"/>
                          <w:ind w:firstLine="0" w:firstLineChars="0"/>
                          <w:jc w:val="center"/>
                          <w:rPr>
                            <w:color w:val="000000" w:themeColor="text1"/>
                            <w:highlight w:val="none"/>
                            <w:u w:val="none"/>
                          </w:rPr>
                        </w:pPr>
                        <w:r>
                          <w:rPr>
                            <w:rFonts w:hint="eastAsia"/>
                            <w:color w:val="000000" w:themeColor="text1"/>
                            <w:highlight w:val="none"/>
                            <w:u w:val="none"/>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1</w:t>
                        </w:r>
                      </w:p>
                    </w:tc>
                    <w:tc>
                      <w:tcPr>
                        <w:tcW w:w="1605" w:type="dxa"/>
                        <w:gridSpan w:val="2"/>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员工办公</w:t>
                        </w:r>
                        <w:r>
                          <w:rPr>
                            <w:color w:val="000000" w:themeColor="text1"/>
                            <w:sz w:val="21"/>
                            <w:szCs w:val="21"/>
                            <w:highlight w:val="none"/>
                            <w:u w:val="none"/>
                          </w:rPr>
                          <w:t>生活用水</w:t>
                        </w:r>
                      </w:p>
                    </w:tc>
                    <w:tc>
                      <w:tcPr>
                        <w:tcW w:w="1077"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生活用水量的80%</w:t>
                        </w:r>
                      </w:p>
                    </w:tc>
                    <w:tc>
                      <w:tcPr>
                        <w:tcW w:w="150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0.88</w:t>
                        </w:r>
                      </w:p>
                    </w:tc>
                    <w:tc>
                      <w:tcPr>
                        <w:tcW w:w="159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220</w:t>
                        </w:r>
                      </w:p>
                    </w:tc>
                    <w:tc>
                      <w:tcPr>
                        <w:tcW w:w="2100" w:type="dxa"/>
                        <w:vMerge w:val="restart"/>
                        <w:tcBorders>
                          <w:tl2br w:val="nil"/>
                          <w:tr2bl w:val="nil"/>
                        </w:tcBorders>
                        <w:vAlign w:val="center"/>
                      </w:tcPr>
                      <w:p>
                        <w:pPr>
                          <w:pStyle w:val="2"/>
                          <w:spacing w:line="240" w:lineRule="auto"/>
                          <w:ind w:firstLine="0" w:firstLineChars="0"/>
                          <w:jc w:val="center"/>
                          <w:rPr>
                            <w:rFonts w:hint="eastAsia" w:eastAsia="宋体"/>
                            <w:color w:val="000000" w:themeColor="text1"/>
                            <w:sz w:val="21"/>
                            <w:szCs w:val="21"/>
                            <w:highlight w:val="none"/>
                            <w:u w:val="none"/>
                            <w:lang w:eastAsia="zh-CN"/>
                          </w:rPr>
                        </w:pPr>
                        <w:r>
                          <w:rPr>
                            <w:rFonts w:hint="eastAsia"/>
                            <w:color w:val="000000" w:themeColor="text1"/>
                            <w:sz w:val="21"/>
                            <w:szCs w:val="21"/>
                            <w:highlight w:val="none"/>
                            <w:u w:val="none"/>
                          </w:rPr>
                          <w:t>经化粪池处理后由市政污水管网排至</w:t>
                        </w:r>
                        <w:r>
                          <w:rPr>
                            <w:rFonts w:hint="eastAsia"/>
                            <w:color w:val="000000" w:themeColor="text1"/>
                            <w:sz w:val="21"/>
                            <w:szCs w:val="21"/>
                            <w:highlight w:val="none"/>
                            <w:u w:val="none"/>
                            <w:lang w:eastAsia="zh-CN"/>
                          </w:rPr>
                          <w:t>园区污水处理厂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601" w:type="dxa"/>
                        <w:vMerge w:val="restart"/>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2</w:t>
                        </w:r>
                      </w:p>
                      <w:p>
                        <w:pPr>
                          <w:pStyle w:val="2"/>
                          <w:spacing w:line="240" w:lineRule="auto"/>
                          <w:ind w:firstLine="0" w:firstLineChars="0"/>
                          <w:jc w:val="center"/>
                          <w:rPr>
                            <w:color w:val="000000" w:themeColor="text1"/>
                            <w:sz w:val="21"/>
                            <w:szCs w:val="21"/>
                            <w:highlight w:val="none"/>
                            <w:u w:val="none"/>
                          </w:rPr>
                        </w:pPr>
                      </w:p>
                    </w:tc>
                    <w:tc>
                      <w:tcPr>
                        <w:tcW w:w="539" w:type="dxa"/>
                        <w:vMerge w:val="restart"/>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实验用水</w:t>
                        </w:r>
                      </w:p>
                    </w:tc>
                    <w:tc>
                      <w:tcPr>
                        <w:tcW w:w="1066"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纯水制备用水</w:t>
                        </w:r>
                      </w:p>
                    </w:tc>
                    <w:tc>
                      <w:tcPr>
                        <w:tcW w:w="1077"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纯水制备用</w:t>
                        </w:r>
                        <w:r>
                          <w:rPr>
                            <w:rFonts w:hint="eastAsia"/>
                            <w:color w:val="000000" w:themeColor="text1"/>
                            <w:sz w:val="21"/>
                            <w:szCs w:val="21"/>
                            <w:highlight w:val="none"/>
                            <w:u w:val="none"/>
                          </w:rPr>
                          <w:t>水</w:t>
                        </w:r>
                        <w:r>
                          <w:rPr>
                            <w:color w:val="000000" w:themeColor="text1"/>
                            <w:sz w:val="21"/>
                            <w:szCs w:val="21"/>
                            <w:highlight w:val="none"/>
                            <w:u w:val="none"/>
                          </w:rPr>
                          <w:t>量的</w:t>
                        </w:r>
                        <w:r>
                          <w:rPr>
                            <w:rFonts w:hint="eastAsia"/>
                            <w:color w:val="000000" w:themeColor="text1"/>
                            <w:sz w:val="21"/>
                            <w:szCs w:val="21"/>
                            <w:highlight w:val="none"/>
                            <w:u w:val="none"/>
                          </w:rPr>
                          <w:t>50%</w:t>
                        </w:r>
                      </w:p>
                    </w:tc>
                    <w:tc>
                      <w:tcPr>
                        <w:tcW w:w="150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0.005</w:t>
                        </w:r>
                      </w:p>
                    </w:tc>
                    <w:tc>
                      <w:tcPr>
                        <w:tcW w:w="159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1.25</w:t>
                        </w:r>
                      </w:p>
                    </w:tc>
                    <w:tc>
                      <w:tcPr>
                        <w:tcW w:w="2100"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1"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c>
                      <w:tcPr>
                        <w:tcW w:w="539"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c>
                      <w:tcPr>
                        <w:tcW w:w="1066"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一般实验废液</w:t>
                        </w:r>
                      </w:p>
                    </w:tc>
                    <w:tc>
                      <w:tcPr>
                        <w:tcW w:w="1077"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 xml:space="preserve">纯水用量的 </w:t>
                        </w:r>
                        <w:r>
                          <w:rPr>
                            <w:rFonts w:hint="eastAsia"/>
                            <w:color w:val="000000" w:themeColor="text1"/>
                            <w:sz w:val="21"/>
                            <w:szCs w:val="21"/>
                            <w:highlight w:val="none"/>
                            <w:u w:val="none"/>
                          </w:rPr>
                          <w:t>90%</w:t>
                        </w:r>
                      </w:p>
                    </w:tc>
                    <w:tc>
                      <w:tcPr>
                        <w:tcW w:w="150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0.0045</w:t>
                        </w:r>
                      </w:p>
                    </w:tc>
                    <w:tc>
                      <w:tcPr>
                        <w:tcW w:w="159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1.125</w:t>
                        </w:r>
                      </w:p>
                    </w:tc>
                    <w:tc>
                      <w:tcPr>
                        <w:tcW w:w="2100" w:type="dxa"/>
                        <w:vMerge w:val="restart"/>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color w:val="000000" w:themeColor="text1"/>
                            <w:sz w:val="21"/>
                            <w:szCs w:val="21"/>
                            <w:highlight w:val="none"/>
                            <w:u w:val="none"/>
                          </w:rPr>
                          <w:t>作为危险废液交由</w:t>
                        </w:r>
                        <w:r>
                          <w:rPr>
                            <w:rFonts w:hint="eastAsia"/>
                            <w:color w:val="000000" w:themeColor="text1"/>
                            <w:sz w:val="21"/>
                            <w:szCs w:val="21"/>
                            <w:highlight w:val="none"/>
                            <w:u w:val="none"/>
                          </w:rPr>
                          <w:t>有资质单位</w:t>
                        </w:r>
                        <w:r>
                          <w:rPr>
                            <w:color w:val="000000" w:themeColor="text1"/>
                            <w:sz w:val="21"/>
                            <w:szCs w:val="21"/>
                            <w:highlight w:val="none"/>
                            <w:u w:val="none"/>
                          </w:rPr>
                          <w:t>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c>
                      <w:tcPr>
                        <w:tcW w:w="539"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c>
                      <w:tcPr>
                        <w:tcW w:w="1066"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含重金属测量的实验废液</w:t>
                        </w:r>
                      </w:p>
                    </w:tc>
                    <w:tc>
                      <w:tcPr>
                        <w:tcW w:w="1077"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纯水用量的10%</w:t>
                        </w:r>
                      </w:p>
                    </w:tc>
                    <w:tc>
                      <w:tcPr>
                        <w:tcW w:w="150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0.0005</w:t>
                        </w:r>
                      </w:p>
                    </w:tc>
                    <w:tc>
                      <w:tcPr>
                        <w:tcW w:w="159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0.125</w:t>
                        </w:r>
                      </w:p>
                    </w:tc>
                    <w:tc>
                      <w:tcPr>
                        <w:tcW w:w="2100"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c>
                      <w:tcPr>
                        <w:tcW w:w="539" w:type="dxa"/>
                        <w:vMerge w:val="continue"/>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p>
                    </w:tc>
                    <w:tc>
                      <w:tcPr>
                        <w:tcW w:w="1066"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仪器、器皿与实验操作台初清洗废水</w:t>
                        </w:r>
                      </w:p>
                    </w:tc>
                    <w:tc>
                      <w:tcPr>
                        <w:tcW w:w="1077"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清洗用水量的80%</w:t>
                        </w:r>
                      </w:p>
                    </w:tc>
                    <w:tc>
                      <w:tcPr>
                        <w:tcW w:w="150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0.16</w:t>
                        </w:r>
                      </w:p>
                    </w:tc>
                    <w:tc>
                      <w:tcPr>
                        <w:tcW w:w="159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40</w:t>
                        </w:r>
                      </w:p>
                    </w:tc>
                    <w:tc>
                      <w:tcPr>
                        <w:tcW w:w="2100" w:type="dxa"/>
                        <w:tcBorders>
                          <w:tl2br w:val="nil"/>
                          <w:tr2bl w:val="nil"/>
                        </w:tcBorders>
                        <w:vAlign w:val="center"/>
                      </w:tcPr>
                      <w:p>
                        <w:pPr>
                          <w:pStyle w:val="2"/>
                          <w:spacing w:line="240" w:lineRule="auto"/>
                          <w:ind w:firstLine="0" w:firstLineChars="0"/>
                          <w:jc w:val="center"/>
                          <w:rPr>
                            <w:rFonts w:hint="eastAsia" w:eastAsia="宋体"/>
                            <w:color w:val="000000" w:themeColor="text1"/>
                            <w:sz w:val="21"/>
                            <w:szCs w:val="21"/>
                            <w:highlight w:val="none"/>
                            <w:u w:val="none"/>
                            <w:lang w:eastAsia="zh-CN"/>
                          </w:rPr>
                        </w:pPr>
                        <w:r>
                          <w:rPr>
                            <w:rFonts w:hint="eastAsia"/>
                            <w:color w:val="000000" w:themeColor="text1"/>
                            <w:sz w:val="21"/>
                            <w:szCs w:val="21"/>
                            <w:highlight w:val="none"/>
                            <w:u w:val="none"/>
                          </w:rPr>
                          <w:t>经“实验室一体化小型废水处理设备”处理后经市政污水管网排至</w:t>
                        </w:r>
                        <w:r>
                          <w:rPr>
                            <w:rFonts w:hint="eastAsia"/>
                            <w:color w:val="000000" w:themeColor="text1"/>
                            <w:sz w:val="21"/>
                            <w:szCs w:val="21"/>
                            <w:highlight w:val="none"/>
                            <w:u w:val="none"/>
                            <w:lang w:eastAsia="zh-CN"/>
                          </w:rPr>
                          <w:t>园区污水处理厂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3</w:t>
                        </w:r>
                      </w:p>
                    </w:tc>
                    <w:tc>
                      <w:tcPr>
                        <w:tcW w:w="1605" w:type="dxa"/>
                        <w:gridSpan w:val="2"/>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合计</w:t>
                        </w:r>
                      </w:p>
                    </w:tc>
                    <w:tc>
                      <w:tcPr>
                        <w:tcW w:w="1077"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w:t>
                        </w:r>
                      </w:p>
                    </w:tc>
                    <w:tc>
                      <w:tcPr>
                        <w:tcW w:w="150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1.05</w:t>
                        </w:r>
                      </w:p>
                    </w:tc>
                    <w:tc>
                      <w:tcPr>
                        <w:tcW w:w="159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262.5</w:t>
                        </w:r>
                      </w:p>
                    </w:tc>
                    <w:tc>
                      <w:tcPr>
                        <w:tcW w:w="2100"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w:t>
                        </w:r>
                      </w:p>
                    </w:tc>
                  </w:tr>
                </w:tbl>
                <w:p>
                  <w:pPr>
                    <w:pStyle w:val="2"/>
                    <w:spacing w:line="360" w:lineRule="auto"/>
                    <w:ind w:firstLine="480"/>
                    <w:rPr>
                      <w:rFonts w:hint="eastAsia"/>
                      <w:color w:val="000000" w:themeColor="text1"/>
                      <w:highlight w:val="none"/>
                      <w:u w:val="none"/>
                    </w:rPr>
                  </w:pPr>
                  <w:r>
                    <w:rPr>
                      <w:rFonts w:hint="eastAsia"/>
                      <w:color w:val="000000" w:themeColor="text1"/>
                      <w:highlight w:val="none"/>
                      <w:u w:val="none"/>
                    </w:rPr>
                    <w:t>一般实验溶液废液、含重金属测量的实验废液为危险废物，交由有资质单位进行处置。因此，本项目废水总排放量为1.045</w:t>
                  </w:r>
                  <w:r>
                    <w:rPr>
                      <w:color w:val="000000" w:themeColor="text1"/>
                      <w:highlight w:val="none"/>
                      <w:u w:val="none"/>
                    </w:rPr>
                    <w:t>m</w:t>
                  </w:r>
                  <w:r>
                    <w:rPr>
                      <w:color w:val="000000" w:themeColor="text1"/>
                      <w:highlight w:val="none"/>
                      <w:u w:val="none"/>
                      <w:vertAlign w:val="superscript"/>
                    </w:rPr>
                    <w:t>3</w:t>
                  </w:r>
                  <w:r>
                    <w:rPr>
                      <w:color w:val="000000" w:themeColor="text1"/>
                      <w:highlight w:val="none"/>
                      <w:u w:val="none"/>
                    </w:rPr>
                    <w:t>/d</w:t>
                  </w:r>
                  <w:r>
                    <w:rPr>
                      <w:rFonts w:hint="eastAsia"/>
                      <w:color w:val="000000" w:themeColor="text1"/>
                      <w:highlight w:val="none"/>
                      <w:u w:val="none"/>
                    </w:rPr>
                    <w:t>，261.25m</w:t>
                  </w:r>
                  <w:r>
                    <w:rPr>
                      <w:rFonts w:hint="eastAsia"/>
                      <w:color w:val="000000" w:themeColor="text1"/>
                      <w:highlight w:val="none"/>
                      <w:u w:val="none"/>
                      <w:vertAlign w:val="superscript"/>
                    </w:rPr>
                    <w:t>3</w:t>
                  </w:r>
                  <w:r>
                    <w:rPr>
                      <w:rFonts w:hint="eastAsia"/>
                      <w:color w:val="000000" w:themeColor="text1"/>
                      <w:highlight w:val="none"/>
                      <w:u w:val="none"/>
                    </w:rPr>
                    <w:t>/a。</w:t>
                  </w:r>
                </w:p>
                <w:p>
                  <w:pPr>
                    <w:pStyle w:val="2"/>
                    <w:spacing w:line="360" w:lineRule="auto"/>
                    <w:ind w:firstLine="480"/>
                    <w:rPr>
                      <w:rFonts w:hint="eastAsia"/>
                      <w:color w:val="000000" w:themeColor="text1"/>
                      <w:highlight w:val="none"/>
                      <w:u w:val="none"/>
                    </w:rPr>
                  </w:pPr>
                </w:p>
                <w:p>
                  <w:pPr>
                    <w:pStyle w:val="2"/>
                    <w:spacing w:line="360" w:lineRule="auto"/>
                    <w:ind w:firstLine="480"/>
                    <w:rPr>
                      <w:rFonts w:hint="eastAsia"/>
                      <w:color w:val="000000" w:themeColor="text1"/>
                      <w:highlight w:val="none"/>
                      <w:u w:val="none"/>
                    </w:rPr>
                  </w:pPr>
                </w:p>
                <w:p>
                  <w:pPr>
                    <w:pStyle w:val="2"/>
                    <w:spacing w:line="360" w:lineRule="auto"/>
                    <w:ind w:firstLine="480"/>
                    <w:rPr>
                      <w:rFonts w:hint="eastAsia"/>
                      <w:color w:val="000000" w:themeColor="text1"/>
                      <w:highlight w:val="none"/>
                      <w:u w:val="none"/>
                    </w:rPr>
                  </w:pPr>
                </w:p>
                <w:p>
                  <w:pPr>
                    <w:pStyle w:val="2"/>
                    <w:spacing w:line="360" w:lineRule="auto"/>
                    <w:ind w:firstLine="480"/>
                    <w:rPr>
                      <w:rFonts w:hint="eastAsia"/>
                      <w:color w:val="000000" w:themeColor="text1"/>
                      <w:highlight w:val="none"/>
                      <w:u w:val="none"/>
                    </w:rPr>
                  </w:pPr>
                </w:p>
                <w:p>
                  <w:pPr>
                    <w:pStyle w:val="2"/>
                    <w:spacing w:line="360" w:lineRule="auto"/>
                    <w:ind w:firstLine="0" w:firstLineChars="0"/>
                    <w:rPr>
                      <w:color w:val="000000" w:themeColor="text1"/>
                      <w:highlight w:val="red"/>
                      <w:u w:val="none"/>
                    </w:rPr>
                  </w:pPr>
                  <w:r>
                    <w:rPr>
                      <w:color w:val="000000" w:themeColor="text1"/>
                      <w:highlight w:val="red"/>
                      <w:u w:val="none"/>
                    </w:rPr>
                    <w:pict>
                      <v:shape id="文本框 53" o:spid="_x0000_s1109" o:spt="202" type="#_x0000_t202" style="position:absolute;left:0pt;margin-left:124.8pt;margin-top:2.65pt;height:21pt;width:24.7pt;z-index:252793856;mso-width-relative:page;mso-height-relative:page;" filled="f" stroked="f" coordsize="21600,21600" o:gfxdata="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iIQ9X2wAAAAgBAAAPAAAAAAAAAAEA&#10;IAAAACIAAABkcnMvZG93bnJldi54bWxQSwECFAAUAAAACACHTuJA4vp/+JoBAAAMAwAADgAAAAAA&#10;AAABACAAAAAqAQAAZHJzL2Uyb0RvYy54bWxQSwUGAAAAAAYABgBZAQAANgUAAAAA&#10;">
                        <v:path/>
                        <v:fill on="f" focussize="0,0"/>
                        <v:stroke on="f" weight="1.25pt" joinstyle="miter"/>
                        <v:imagedata o:title=""/>
                        <o:lock v:ext="edit"/>
                        <v:textbox>
                          <w:txbxContent>
                            <w:p>
                              <w:pPr>
                                <w:rPr>
                                  <w:sz w:val="18"/>
                                  <w:szCs w:val="18"/>
                                </w:rPr>
                              </w:pPr>
                              <w:r>
                                <w:rPr>
                                  <w:rFonts w:hint="eastAsia"/>
                                  <w:sz w:val="18"/>
                                  <w:szCs w:val="18"/>
                                </w:rPr>
                                <w:t>10</w:t>
                              </w:r>
                            </w:p>
                          </w:txbxContent>
                        </v:textbox>
                      </v:shape>
                    </w:pict>
                  </w:r>
                  <w:r>
                    <w:rPr>
                      <w:color w:val="000000" w:themeColor="text1"/>
                      <w:highlight w:val="red"/>
                      <w:u w:val="none"/>
                    </w:rPr>
                    <w:pict>
                      <v:line id="直线 49" o:spid="_x0000_s1108" o:spt="20" style="position:absolute;left:0pt;flip:y;margin-left:123.25pt;margin-top:20.8pt;height:17.25pt;width:12.75pt;z-index:252789760;mso-width-relative:page;mso-height-relative:page;" coordsize="21600,21600" o:gfxdata="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aHZl1QAAAAkBAAAPAAAA&#10;AAAAAAEAIAAAACIAAABkcnMvZG93bnJldi54bWxQSwECFAAUAAAACACHTuJA8wAXIt8BAACgAwAA&#10;DgAAAAAAAAABACAAAAAkAQAAZHJzL2Uyb0RvYy54bWxQSwUGAAAAAAYABgBZAQAAdQUAAAAA&#10;">
                        <v:path arrowok="t"/>
                        <v:fill focussize="0,0"/>
                        <v:stroke weight="1.25pt" endarrow="open"/>
                        <v:imagedata o:title=""/>
                        <o:lock v:ext="edit"/>
                      </v:line>
                    </w:pict>
                  </w:r>
                </w:p>
                <w:p>
                  <w:pPr>
                    <w:pStyle w:val="2"/>
                    <w:spacing w:line="360" w:lineRule="auto"/>
                    <w:ind w:firstLine="0" w:firstLineChars="0"/>
                    <w:rPr>
                      <w:color w:val="000000" w:themeColor="text1"/>
                      <w:highlight w:val="red"/>
                      <w:u w:val="none"/>
                    </w:rPr>
                  </w:pPr>
                  <w:r>
                    <w:rPr>
                      <w:color w:val="000000" w:themeColor="text1"/>
                      <w:highlight w:val="red"/>
                      <w:u w:val="none"/>
                    </w:rPr>
                    <w:pict>
                      <v:shape id="文本框 26" o:spid="_x0000_s1107" o:spt="202" type="#_x0000_t202" style="position:absolute;left:0pt;margin-left:199.75pt;margin-top:13.05pt;height:38.95pt;width:141.8pt;z-index:252768256;mso-width-relative:page;mso-height-relative:page;" filled="t" coordsize="21600,21600" o:gfxdata="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BecJcLYAAAACgEAAA8AAAAAAAAAAQAgAAAAIgAAAGRycy9kb3ducmV2LnhtbFBLAQIU&#10;ABQAAAAIAIdO4kD2ECSCLAIAAHMEAAAOAAAAAAAAAAEAIAAAACcBAABkcnMvZTJvRG9jLnhtbFBL&#10;BQYAAAAABgAGAFkBAADFBQAAAAA=&#10;">
                        <v:path/>
                        <v:fill type="gradient" on="t" angle="90" focus="100%" focussize="0f,0f">
                          <o:fill type="gradientUnscaled" v:ext="backwardCompatible"/>
                        </v:fill>
                        <v:stroke weight="1.25pt" joinstyle="miter"/>
                        <v:imagedata o:title=""/>
                        <o:lock v:ext="edit"/>
                        <v:textbox>
                          <w:txbxContent>
                            <w:p>
                              <w:pPr>
                                <w:rPr>
                                  <w:rFonts w:ascii="宋体" w:hAnsi="宋体" w:cs="宋体"/>
                                  <w:sz w:val="21"/>
                                  <w:szCs w:val="21"/>
                                  <w:u w:val="none"/>
                                </w:rPr>
                              </w:pPr>
                              <w:r>
                                <w:rPr>
                                  <w:rFonts w:hint="eastAsia" w:ascii="宋体" w:hAnsi="宋体" w:cs="宋体"/>
                                  <w:sz w:val="21"/>
                                  <w:szCs w:val="21"/>
                                  <w:u w:val="none"/>
                                </w:rPr>
                                <w:t>自建预处理设备</w:t>
                              </w:r>
                              <w:r>
                                <w:rPr>
                                  <w:rFonts w:hint="eastAsia" w:ascii="宋体" w:hAnsi="宋体" w:cs="宋体"/>
                                  <w:color w:val="000000" w:themeColor="text1"/>
                                  <w:sz w:val="21"/>
                                  <w:szCs w:val="21"/>
                                  <w:u w:val="none"/>
                                </w:rPr>
                                <w:t>（</w:t>
                              </w:r>
                              <w:r>
                                <w:rPr>
                                  <w:rFonts w:hint="eastAsia"/>
                                  <w:color w:val="000000" w:themeColor="text1"/>
                                  <w:sz w:val="21"/>
                                  <w:szCs w:val="21"/>
                                  <w:u w:val="none"/>
                                </w:rPr>
                                <w:t>实验室一体化小型废水处理设备</w:t>
                              </w:r>
                              <w:r>
                                <w:rPr>
                                  <w:rFonts w:hint="eastAsia" w:ascii="宋体" w:hAnsi="宋体" w:cs="宋体"/>
                                  <w:color w:val="000000" w:themeColor="text1"/>
                                  <w:sz w:val="21"/>
                                  <w:szCs w:val="21"/>
                                  <w:u w:val="none"/>
                                </w:rPr>
                                <w:t>）</w:t>
                              </w:r>
                            </w:p>
                          </w:txbxContent>
                        </v:textbox>
                      </v:shape>
                    </w:pict>
                  </w:r>
                  <w:r>
                    <w:rPr>
                      <w:color w:val="000000" w:themeColor="text1"/>
                      <w:highlight w:val="red"/>
                      <w:u w:val="none"/>
                    </w:rPr>
                    <w:pict>
                      <v:shape id="文本框 52" o:spid="_x0000_s1106" o:spt="202" type="#_x0000_t202" style="position:absolute;left:0pt;margin-left:172.8pt;margin-top:12.85pt;height:21pt;width:24.7pt;z-index:252792832;mso-width-relative:page;mso-height-relative:page;" filled="f" stroked="f" coordsize="21600,21600" o:gfxdata="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CI+tfp3QAAAAkBAAAPAAAAAAAAAAEA&#10;IAAAACIAAABkcnMvZG93bnJldi54bWxQSwECFAAUAAAACACHTuJAbfrZ0JgBAAAMAwAADgAAAAAA&#10;AAABACAAAAAsAQAAZHJzL2Uyb0RvYy54bWxQSwUGAAAAAAYABgBZAQAANgUAAAAA&#10;">
                        <v:path/>
                        <v:fill on="f" focussize="0,0"/>
                        <v:stroke on="f" weight="1.25pt" joinstyle="miter"/>
                        <v:imagedata o:title=""/>
                        <o:lock v:ext="edit"/>
                        <v:textbox>
                          <w:txbxContent>
                            <w:p>
                              <w:pPr>
                                <w:rPr>
                                  <w:sz w:val="18"/>
                                  <w:szCs w:val="18"/>
                                </w:rPr>
                              </w:pPr>
                              <w:r>
                                <w:rPr>
                                  <w:rFonts w:hint="eastAsia"/>
                                  <w:sz w:val="18"/>
                                  <w:szCs w:val="18"/>
                                </w:rPr>
                                <w:t>40</w:t>
                              </w:r>
                            </w:p>
                          </w:txbxContent>
                        </v:textbox>
                      </v:shape>
                    </w:pict>
                  </w:r>
                  <w:r>
                    <w:rPr>
                      <w:color w:val="000000" w:themeColor="text1"/>
                      <w:highlight w:val="red"/>
                      <w:u w:val="none"/>
                    </w:rPr>
                    <w:pict>
                      <v:shape id="文本框 51" o:spid="_x0000_s1105" o:spt="202" type="#_x0000_t202" style="position:absolute;left:0pt;margin-left:44.55pt;margin-top:11.35pt;height:21pt;width:24.7pt;z-index:252791808;mso-width-relative:page;mso-height-relative:page;" filled="f" stroked="f" coordsize="21600,21600" o:gfxdata="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LRpUa/bAAAACAEAAA8AAAAAAAAAAQAgAAAA&#10;IgAAAGRycy9kb3ducmV2LnhtbFBLAQIUABQAAAAIAIdO4kC1IS0WlgEAAAwDAAAOAAAAAAAAAAEA&#10;IAAAACoBAABkcnMvZTJvRG9jLnhtbFBLBQYAAAAABgAGAFkBAAAyBQAAAAA=&#10;">
                        <v:path/>
                        <v:fill on="f" focussize="0,0"/>
                        <v:stroke on="f" weight="1.25pt" joinstyle="miter"/>
                        <v:imagedata o:title=""/>
                        <o:lock v:ext="edit"/>
                        <v:textbox>
                          <w:txbxContent>
                            <w:p>
                              <w:pPr>
                                <w:rPr>
                                  <w:sz w:val="18"/>
                                  <w:szCs w:val="18"/>
                                </w:rPr>
                              </w:pPr>
                              <w:r>
                                <w:rPr>
                                  <w:rFonts w:hint="eastAsia"/>
                                  <w:sz w:val="18"/>
                                  <w:szCs w:val="18"/>
                                </w:rPr>
                                <w:t>50</w:t>
                              </w:r>
                            </w:p>
                          </w:txbxContent>
                        </v:textbox>
                      </v:shap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shape id="文本框 24" o:spid="_x0000_s1104" o:spt="202" type="#_x0000_t202" style="position:absolute;left:0pt;margin-left:67.75pt;margin-top:-5.8pt;height:36.75pt;width:100.55pt;z-index:252766208;mso-width-relative:page;mso-height-relative:page;" filled="t" coordsize="21600,21600" o:gfxdata="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CdYkGtgAAAAKAQAADwAAAAAAAAABACAAAAAiAAAAZHJzL2Rvd25yZXYueG1sUEsBAhQA&#10;FAAAAAgAh07iQNVulx8rAgAAcwQAAA4AAAAAAAAAAQAgAAAAJwEAAGRycy9lMm9Eb2MueG1sUEsF&#10;BgAAAAAGAAYAWQEAAMQFAAAAAA==&#10;">
                        <v:path/>
                        <v:fill type="gradient" on="t" angle="90" focus="100%" focussize="0f,0f">
                          <o:fill type="gradientUnscaled" v:ext="backwardCompatible"/>
                        </v:fill>
                        <v:stroke weight="1.25pt" joinstyle="miter"/>
                        <v:imagedata o:title=""/>
                        <o:lock v:ext="edit"/>
                        <v:textbox>
                          <w:txbxContent>
                            <w:p>
                              <w:pPr>
                                <w:jc w:val="center"/>
                                <w:rPr>
                                  <w:rFonts w:ascii="宋体" w:hAnsi="宋体" w:cs="宋体"/>
                                  <w:sz w:val="21"/>
                                  <w:szCs w:val="21"/>
                                </w:rPr>
                              </w:pPr>
                              <w:r>
                                <w:rPr>
                                  <w:rFonts w:hint="eastAsia" w:ascii="宋体" w:hAnsi="宋体" w:cs="宋体"/>
                                  <w:sz w:val="21"/>
                                  <w:szCs w:val="21"/>
                                </w:rPr>
                                <w:t>仪器、器皿与实验操作台清洗用水</w:t>
                              </w:r>
                            </w:p>
                          </w:txbxContent>
                        </v:textbox>
                      </v:shape>
                    </w:pict>
                  </w:r>
                  <w:r>
                    <w:rPr>
                      <w:color w:val="000000" w:themeColor="text1"/>
                      <w:highlight w:val="red"/>
                      <w:u w:val="none"/>
                    </w:rPr>
                    <w:pict>
                      <v:line id="直线 25" o:spid="_x0000_s1103" o:spt="20" style="position:absolute;left:0pt;flip:y;margin-left:169.75pt;margin-top:10.25pt;height:0.7pt;width:30.75pt;z-index:252767232;mso-width-relative:page;mso-height-relative:page;" coordsize="21600,21600" o:gfxdata="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FQ3GAvWAAAACQEAAA8AAAAA&#10;AAAAAQAgAAAAIgAAAGRycy9kb3ducmV2LnhtbFBLAQIUABQAAAAIAIdO4kBJEdMd3QEAAJ4DAAAO&#10;AAAAAAAAAAEAIAAAACUBAABkcnMvZTJvRG9jLnhtbFBLBQYAAAAABgAGAFkBAAB0BQAAAAA=&#10;">
                        <v:path arrowok="t"/>
                        <v:fill focussize="0,0"/>
                        <v:stroke weight="1.25pt" endarrow="open"/>
                        <v:imagedata o:title=""/>
                        <o:lock v:ext="edit"/>
                      </v:line>
                    </w:pict>
                  </w:r>
                  <w:r>
                    <w:rPr>
                      <w:color w:val="000000" w:themeColor="text1"/>
                      <w:highlight w:val="red"/>
                      <w:u w:val="none"/>
                    </w:rPr>
                    <w:pict>
                      <v:line id="直线 20" o:spid="_x0000_s1102" o:spt="20" style="position:absolute;left:0pt;flip:y;margin-left:44.5pt;margin-top:9.5pt;height:0.7pt;width:24.75pt;z-index:252763136;mso-width-relative:page;mso-height-relative:page;" coordsize="21600,21600" o:gfxdata="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ri/sR1QAAAAgBAAAPAAAAAAAA&#10;AAEAIAAAACIAAABkcnMvZG93bnJldi54bWxQSwECFAAUAAAACACHTuJAjSeXltwBAACeAwAADgAA&#10;AAAAAAABACAAAAAkAQAAZHJzL2Uyb0RvYy54bWxQSwUGAAAAAAYABgBZAQAAcgUAAAAA&#10;">
                        <v:path arrowok="t"/>
                        <v:fill focussize="0,0"/>
                        <v:stroke weight="1.25pt" endarrow="open"/>
                        <v:imagedata o:title=""/>
                        <o:lock v:ext="edit"/>
                      </v:line>
                    </w:pict>
                  </w:r>
                  <w:r>
                    <w:rPr>
                      <w:color w:val="000000" w:themeColor="text1"/>
                      <w:highlight w:val="red"/>
                      <w:u w:val="none"/>
                    </w:rPr>
                    <w:pict>
                      <v:line id="直线 18" o:spid="_x0000_s1101" o:spt="20" style="position:absolute;left:0pt;flip:x;margin-left:41.75pt;margin-top:9.35pt;height:199.6pt;width:2pt;z-index:252762112;mso-width-relative:page;mso-height-relative:page;" coordsize="21600,21600" o:gfxdata="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ZRRlQ1gAAAAgBAAAPAAAAAAAA&#10;AAEAIAAAACIAAABkcnMvZG93bnJldi54bWxQSwECFAAUAAAACACHTuJAobOLWdsBAACfAwAADgAA&#10;AAAAAAABACAAAAAlAQAAZHJzL2Uyb0RvYy54bWxQSwUGAAAAAAYABgBZAQAAcgUAAAAA&#10;">
                        <v:path arrowok="t"/>
                        <v:fill focussize="0,0"/>
                        <v:stroke weight="1.25pt"/>
                        <v:imagedata o:title=""/>
                        <o:lock v:ext="edit"/>
                      </v:lin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shape id="文本框 70" o:spid="_x0000_s1100" o:spt="202" type="#_x0000_t202" style="position:absolute;left:0pt;margin-left:112.05pt;margin-top:20.8pt;height:21pt;width:24.7pt;z-index:252811264;mso-width-relative:page;mso-height-relative:page;" filled="f" stroked="f" coordsize="21600,21600" o:gfxdata="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CIQrsN3AAAAAkBAAAPAAAAAAAAAAEA&#10;IAAAACIAAABkcnMvZG93bnJldi54bWxQSwECFAAUAAAACACHTuJAw1gpkZkBAAAMAwAADgAAAAAA&#10;AAABACAAAAArAQAAZHJzL2Uyb0RvYy54bWxQSwUGAAAAAAYABgBZAQAANgUAAAAA&#10;">
                        <v:path/>
                        <v:fill on="f" focussize="0,0"/>
                        <v:stroke on="f" weight="1.25pt" joinstyle="miter"/>
                        <v:imagedata o:title=""/>
                        <o:lock v:ext="edit"/>
                        <v:textbox>
                          <w:txbxContent>
                            <w:p>
                              <w:pPr>
                                <w:rPr>
                                  <w:sz w:val="18"/>
                                  <w:szCs w:val="18"/>
                                </w:rPr>
                              </w:pPr>
                              <w:r>
                                <w:rPr>
                                  <w:rFonts w:hint="eastAsia"/>
                                  <w:sz w:val="18"/>
                                  <w:szCs w:val="18"/>
                                </w:rPr>
                                <w:t>55</w:t>
                              </w:r>
                            </w:p>
                          </w:txbxContent>
                        </v:textbox>
                      </v:shape>
                    </w:pict>
                  </w:r>
                  <w:r>
                    <w:rPr>
                      <w:color w:val="000000" w:themeColor="text1"/>
                      <w:highlight w:val="red"/>
                      <w:u w:val="none"/>
                    </w:rPr>
                    <w:pict>
                      <v:line id="直线 46" o:spid="_x0000_s1099" o:spt="20" style="position:absolute;left:0pt;flip:x;margin-left:253.05pt;margin-top:4.05pt;height:24.75pt;width:0.7pt;z-index:252786688;mso-width-relative:page;mso-height-relative:page;" coordsize="21600,21600" o:gfxdata="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HvrVs1gAAAAgBAAAPAAAAAAAAAAEA&#10;IAAAACIAAABkcnMvZG93bnJldi54bWxQSwECFAAUAAAACACHTuJAbXpZzdgBAACdAwAADgAAAAAA&#10;AAABACAAAAAlAQAAZHJzL2Uyb0RvYy54bWxQSwUGAAAAAAYABgBZAQAAbwUAAAAA&#10;">
                        <v:path arrowok="t"/>
                        <v:fill focussize="0,0"/>
                        <v:stroke weight="1.25pt"/>
                        <v:imagedata o:title=""/>
                        <o:lock v:ext="edit"/>
                      </v:lin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line id="直线 68" o:spid="_x0000_s1098" o:spt="20" style="position:absolute;left:0pt;flip:y;margin-left:109pt;margin-top:17.95pt;height:17.25pt;width:12.75pt;z-index:252809216;mso-width-relative:page;mso-height-relative:page;" coordsize="21600,21600" o:gfxdata="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ySHSmtcAAAAJAQAADwAA&#10;AAAAAAABACAAAAAiAAAAZHJzL2Rvd25yZXYueG1sUEsBAhQAFAAAAAgAh07iQJZ9Ur3eAQAAoAMA&#10;AA4AAAAAAAAAAQAgAAAAJgEAAGRycy9lMm9Eb2MueG1sUEsFBgAAAAAGAAYAWQEAAHYFAAAAAA==&#10;">
                        <v:path arrowok="t"/>
                        <v:fill focussize="0,0"/>
                        <v:stroke weight="1.25pt" endarrow="open"/>
                        <v:imagedata o:title=""/>
                        <o:lock v:ext="edit"/>
                      </v:line>
                    </w:pict>
                  </w:r>
                  <w:r>
                    <w:rPr>
                      <w:color w:val="000000" w:themeColor="text1"/>
                      <w:highlight w:val="red"/>
                      <w:u w:val="none"/>
                    </w:rPr>
                    <w:pict>
                      <v:shape id="文本框 57" o:spid="_x0000_s1097" o:spt="202" type="#_x0000_t202" style="position:absolute;left:0pt;margin-left:307.05pt;margin-top:2.65pt;height:21pt;width:29.9pt;z-index:252797952;mso-width-relative:page;mso-height-relative:page;" filled="f" stroked="f" coordsize="21600,21600" o:gfxdata="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IlWQ1nbAAAACAEAAA8AAAAAAAAAAQAg&#10;AAAAIgAAAGRycy9kb3ducmV2LnhtbFBLAQIUABQAAAAIAIdO4kDu2varmQEAAAwDAAAOAAAAAAAA&#10;AAEAIAAAACoBAABkcnMvZTJvRG9jLnhtbFBLBQYAAAAABgAGAFkBAAA1BQAAAAA=&#10;">
                        <v:path/>
                        <v:fill on="f" focussize="0,0"/>
                        <v:stroke on="f" weight="1.25pt" joinstyle="miter"/>
                        <v:imagedata o:title=""/>
                        <o:lock v:ext="edit"/>
                        <v:textbox>
                          <w:txbxContent>
                            <w:p>
                              <w:pPr>
                                <w:rPr>
                                  <w:sz w:val="18"/>
                                  <w:szCs w:val="18"/>
                                </w:rPr>
                              </w:pPr>
                              <w:r>
                                <w:rPr>
                                  <w:rFonts w:hint="eastAsia"/>
                                  <w:sz w:val="18"/>
                                  <w:szCs w:val="18"/>
                                </w:rPr>
                                <w:t>40</w:t>
                              </w:r>
                            </w:p>
                          </w:txbxContent>
                        </v:textbox>
                      </v:shape>
                    </w:pict>
                  </w:r>
                  <w:r>
                    <w:rPr>
                      <w:color w:val="000000" w:themeColor="text1"/>
                      <w:highlight w:val="red"/>
                      <w:u w:val="none"/>
                    </w:rPr>
                    <w:pict>
                      <v:shape id="文本框 45" o:spid="_x0000_s1096" o:spt="202" type="#_x0000_t202" style="position:absolute;left:0pt;margin-left:-2.75pt;margin-top:21.45pt;height:63.75pt;width:21pt;z-index:252785664;mso-width-relative:page;mso-height-relative:page;" filled="f" stroked="f" coordsize="21600,21600" o:gfxdata="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IOlTL2gAAAAgBAAAPAAAAAAAAAAEAIAAA&#10;ACIAAABkcnMvZG93bnJldi54bWxQSwECFAAUAAAACACHTuJA4rqODJgBAAAMAwAADgAAAAAAAAAB&#10;ACAAAAApAQAAZHJzL2Uyb0RvYy54bWxQSwUGAAAAAAYABgBZAQAAMwUAAAAA&#10;">
                        <v:path/>
                        <v:fill on="f" focussize="0,0"/>
                        <v:stroke on="f" weight="1.25pt" joinstyle="miter"/>
                        <v:imagedata o:title=""/>
                        <o:lock v:ext="edit"/>
                        <v:textbox>
                          <w:txbxContent>
                            <w:p>
                              <w:pPr>
                                <w:rPr>
                                  <w:sz w:val="21"/>
                                  <w:szCs w:val="21"/>
                                </w:rPr>
                              </w:pPr>
                              <w:r>
                                <w:rPr>
                                  <w:rFonts w:hint="eastAsia"/>
                                  <w:sz w:val="21"/>
                                  <w:szCs w:val="21"/>
                                </w:rPr>
                                <w:t>新鲜水</w:t>
                              </w:r>
                            </w:p>
                          </w:txbxContent>
                        </v:textbox>
                      </v:shape>
                    </w:pict>
                  </w:r>
                  <w:r>
                    <w:rPr>
                      <w:color w:val="000000" w:themeColor="text1"/>
                      <w:highlight w:val="red"/>
                      <w:u w:val="none"/>
                    </w:rPr>
                    <w:pict>
                      <v:line id="直线 48" o:spid="_x0000_s1095" o:spt="20" style="position:absolute;left:0pt;margin-left:305.5pt;margin-top:4.65pt;height:26.25pt;width:0.05pt;z-index:252788736;mso-width-relative:page;mso-height-relative:page;" coordsize="21600,21600" o:gfxdata="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B/s7FHYAAAACAEAAA8AAAAAAAAAAQAgAAAA&#10;IgAAAGRycy9kb3ducmV2LnhtbFBLAQIUABQAAAAIAIdO4kAFKQGq0gEAAJMDAAAOAAAAAAAAAAEA&#10;IAAAACcBAABkcnMvZTJvRG9jLnhtbFBLBQYAAAAABgAGAFkBAABrBQAAAAA=&#10;">
                        <v:path arrowok="t"/>
                        <v:fill focussize="0,0"/>
                        <v:stroke weight="1.25pt" endarrow="open"/>
                        <v:imagedata o:title=""/>
                        <o:lock v:ext="edit"/>
                      </v:line>
                    </w:pict>
                  </w:r>
                  <w:r>
                    <w:rPr>
                      <w:color w:val="000000" w:themeColor="text1"/>
                      <w:highlight w:val="red"/>
                      <w:u w:val="none"/>
                    </w:rPr>
                    <w:pict>
                      <v:line id="直线 47" o:spid="_x0000_s1094" o:spt="20" style="position:absolute;left:0pt;margin-left:253.85pt;margin-top:4pt;height:0.7pt;width:52.4pt;z-index:252787712;mso-width-relative:page;mso-height-relative:page;" coordsize="21600,21600" o:gfxdata="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uLZWMNcAAAAHAQAADwAAAAAAAAABACAA&#10;AAAiAAAAZHJzL2Rvd25yZXYueG1sUEsBAhQAFAAAAAgAh07iQH86KnjVAQAAkwMAAA4AAAAAAAAA&#10;AQAgAAAAJgEAAGRycy9lMm9Eb2MueG1sUEsFBgAAAAAGAAYAWQEAAG0FAAAAAA==&#10;">
                        <v:path arrowok="t"/>
                        <v:fill focussize="0,0"/>
                        <v:stroke weight="1.25pt"/>
                        <v:imagedata o:title=""/>
                        <o:lock v:ext="edit"/>
                      </v:lin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shape id="文本框 56" o:spid="_x0000_s1093" o:spt="202" type="#_x0000_t202" style="position:absolute;left:0pt;margin-left:232.1pt;margin-top:5.5pt;height:21pt;width:41.05pt;z-index:252796928;mso-width-relative:page;mso-height-relative:page;" filled="f" stroked="f" coordsize="21600,21600" o:gfxdata="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07sXetsAAAAJAQAADwAAAAAAAAAB&#10;ACAAAAAiAAAAZHJzL2Rvd25yZXYueG1sUEsBAhQAFAAAAAgAh07iQBQdkwCbAQAADAMAAA4AAAAA&#10;AAAAAQAgAAAAKgEAAGRycy9lMm9Eb2MueG1sUEsFBgAAAAAGAAYAWQEAADcFAAAAAA==&#10;">
                        <v:path/>
                        <v:fill on="f" focussize="0,0"/>
                        <v:stroke on="f" weight="1.25pt" joinstyle="miter"/>
                        <v:imagedata o:title=""/>
                        <o:lock v:ext="edit"/>
                        <v:textbox>
                          <w:txbxContent>
                            <w:p>
                              <w:pPr>
                                <w:rPr>
                                  <w:sz w:val="18"/>
                                  <w:szCs w:val="18"/>
                                </w:rPr>
                              </w:pPr>
                              <w:r>
                                <w:rPr>
                                  <w:rFonts w:hint="eastAsia"/>
                                  <w:sz w:val="18"/>
                                  <w:szCs w:val="18"/>
                                </w:rPr>
                                <w:t>221.25</w:t>
                              </w:r>
                            </w:p>
                          </w:txbxContent>
                        </v:textbox>
                      </v:shape>
                    </w:pict>
                  </w:r>
                  <w:r>
                    <w:rPr>
                      <w:color w:val="000000" w:themeColor="text1"/>
                      <w:highlight w:val="red"/>
                      <w:u w:val="none"/>
                    </w:rPr>
                    <w:pict>
                      <v:shape id="文本框 55" o:spid="_x0000_s1092" o:spt="202" type="#_x0000_t202" style="position:absolute;left:0pt;margin-left:152.55pt;margin-top:5.5pt;height:21pt;width:29.9pt;z-index:252795904;mso-width-relative:page;mso-height-relative:page;" filled="f" stroked="f" coordsize="21600,21600" o:gfxdata="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IlCf6tsAAAAJAQAADwAAAAAAAAABACAA&#10;AAAiAAAAZHJzL2Rvd25yZXYueG1sUEsBAhQAFAAAAAgAh07iQLpSCfeYAQAADAMAAA4AAAAAAAAA&#10;AQAgAAAAKgEAAGRycy9lMm9Eb2MueG1sUEsFBgAAAAAGAAYAWQEAADQFAAAAAA==&#10;">
                        <v:path/>
                        <v:fill on="f" focussize="0,0"/>
                        <v:stroke on="f" weight="1.25pt" joinstyle="miter"/>
                        <v:imagedata o:title=""/>
                        <o:lock v:ext="edit"/>
                        <v:textbox>
                          <w:txbxContent>
                            <w:p>
                              <w:pPr>
                                <w:rPr>
                                  <w:sz w:val="18"/>
                                  <w:szCs w:val="18"/>
                                </w:rPr>
                              </w:pPr>
                              <w:r>
                                <w:rPr>
                                  <w:rFonts w:hint="eastAsia"/>
                                  <w:sz w:val="18"/>
                                  <w:szCs w:val="18"/>
                                </w:rPr>
                                <w:t>220</w:t>
                              </w:r>
                            </w:p>
                          </w:txbxContent>
                        </v:textbox>
                      </v:shape>
                    </w:pict>
                  </w:r>
                  <w:r>
                    <w:rPr>
                      <w:color w:val="000000" w:themeColor="text1"/>
                      <w:highlight w:val="red"/>
                      <w:u w:val="none"/>
                    </w:rPr>
                    <w:pict>
                      <v:shape id="文本框 54" o:spid="_x0000_s1091" o:spt="202" type="#_x0000_t202" style="position:absolute;left:0pt;margin-left:40.8pt;margin-top:3.25pt;height:21pt;width:32.95pt;z-index:252794880;mso-width-relative:page;mso-height-relative:page;" filled="f" stroked="f" coordsize="21600,21600" o:gfxdata="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Og1gv3YAAAABwEAAA8AAAAAAAAAAQAg&#10;AAAAIgAAAGRycy9kb3ducmV2LnhtbFBLAQIUABQAAAAIAIdO4kDo5ZWAnAEAAAwDAAAOAAAAAAAA&#10;AAEAIAAAACcBAABkcnMvZTJvRG9jLnhtbFBLBQYAAAAABgAGAFkBAAA1BQAAAAA=&#10;">
                        <v:path/>
                        <v:fill on="f" focussize="0,0"/>
                        <v:stroke on="f" weight="1.25pt" joinstyle="miter"/>
                        <v:imagedata o:title=""/>
                        <o:lock v:ext="edit"/>
                        <v:textbox>
                          <w:txbxContent>
                            <w:p>
                              <w:pPr>
                                <w:rPr>
                                  <w:sz w:val="18"/>
                                  <w:szCs w:val="18"/>
                                </w:rPr>
                              </w:pPr>
                              <w:r>
                                <w:rPr>
                                  <w:rFonts w:hint="eastAsia"/>
                                  <w:sz w:val="18"/>
                                  <w:szCs w:val="18"/>
                                </w:rPr>
                                <w:t>275</w:t>
                              </w:r>
                            </w:p>
                          </w:txbxContent>
                        </v:textbox>
                      </v:shape>
                    </w:pict>
                  </w:r>
                  <w:r>
                    <w:rPr>
                      <w:color w:val="000000" w:themeColor="text1"/>
                      <w:highlight w:val="red"/>
                      <w:u w:val="none"/>
                    </w:rPr>
                    <w:pict>
                      <v:shape id="文本框 50" o:spid="_x0000_s1090" o:spt="202" type="#_x0000_t202" style="position:absolute;left:0pt;margin-left:14.5pt;margin-top:2.5pt;height:21pt;width:37.55pt;z-index:252790784;mso-width-relative:page;mso-height-relative:page;" filled="f" stroked="f" coordsize="21600,21600" o:gfxdata="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1oe1P9kAAAAHAQAADwAAAAAAAAABACAA&#10;AAAiAAAAZHJzL2Rvd25yZXYueG1sUEsBAhQAFAAAAAgAh07iQKG7gNKaAQAADAMAAA4AAAAAAAAA&#10;AQAgAAAAKAEAAGRycy9lMm9Eb2MueG1sUEsFBgAAAAAGAAYAWQEAADQFAAAAAA==&#10;">
                        <v:path/>
                        <v:fill on="f" focussize="0,0"/>
                        <v:stroke on="f" weight="1.25pt" joinstyle="miter"/>
                        <v:imagedata o:title=""/>
                        <o:lock v:ext="edit"/>
                        <v:textbox>
                          <w:txbxContent>
                            <w:p>
                              <w:pPr>
                                <w:rPr>
                                  <w:sz w:val="18"/>
                                  <w:szCs w:val="18"/>
                                </w:rPr>
                              </w:pPr>
                              <w:r>
                                <w:rPr>
                                  <w:rFonts w:hint="eastAsia"/>
                                  <w:sz w:val="18"/>
                                  <w:szCs w:val="18"/>
                                </w:rPr>
                                <w:t>327.5</w:t>
                              </w:r>
                            </w:p>
                          </w:txbxContent>
                        </v:textbox>
                      </v:shape>
                    </w:pict>
                  </w:r>
                  <w:r>
                    <w:rPr>
                      <w:color w:val="000000" w:themeColor="text1"/>
                      <w:highlight w:val="red"/>
                      <w:u w:val="none"/>
                    </w:rPr>
                    <w:pict>
                      <v:shape id="文本框 31" o:spid="_x0000_s1089" o:spt="202" type="#_x0000_t202" style="position:absolute;left:0pt;margin-left:271.75pt;margin-top:6.3pt;height:37.5pt;width:72.9pt;z-index:252773376;mso-width-relative:page;mso-height-relative:page;" filled="t" coordsize="21600,21600" o:gfxdata="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lJzWm1wAAAAkBAAAPAAAAAAAAAAEAIAAAACIAAABkcnMvZG93bnJldi54bWxQSwECFAAU&#10;AAAACACHTuJA+fCrAisCAAByBAAADgAAAAAAAAABACAAAAAmAQAAZHJzL2Uyb0RvYy54bWxQSwUG&#10;AAAAAAYABgBZAQAAwwUAAAAA&#10;">
                        <v:path/>
                        <v:fill type="gradient" on="t" angle="90" focus="100%" focussize="0f,0f">
                          <o:fill type="gradientUnscaled" v:ext="backwardCompatible"/>
                        </v:fill>
                        <v:stroke weight="1.25pt" joinstyle="miter"/>
                        <v:imagedata o:title=""/>
                        <o:lock v:ext="edit"/>
                        <v:textbox>
                          <w:txbxContent>
                            <w:p>
                              <w:pPr>
                                <w:jc w:val="center"/>
                                <w:rPr>
                                  <w:rFonts w:ascii="宋体" w:hAnsi="宋体" w:cs="宋体"/>
                                  <w:sz w:val="21"/>
                                  <w:szCs w:val="21"/>
                                </w:rPr>
                              </w:pPr>
                              <w:r>
                                <w:rPr>
                                  <w:rFonts w:hint="eastAsia" w:ascii="宋体" w:hAnsi="宋体" w:cs="宋体"/>
                                  <w:sz w:val="21"/>
                                  <w:szCs w:val="21"/>
                                  <w:lang w:eastAsia="zh-CN"/>
                                </w:rPr>
                                <w:t>工业园区</w:t>
                              </w:r>
                              <w:r>
                                <w:rPr>
                                  <w:rFonts w:hint="eastAsia" w:ascii="宋体" w:hAnsi="宋体" w:cs="宋体"/>
                                  <w:sz w:val="21"/>
                                  <w:szCs w:val="21"/>
                                </w:rPr>
                                <w:t>污水处理厂</w:t>
                              </w:r>
                            </w:p>
                          </w:txbxContent>
                        </v:textbox>
                      </v:shape>
                    </w:pict>
                  </w:r>
                  <w:r>
                    <w:rPr>
                      <w:color w:val="000000" w:themeColor="text1"/>
                      <w:highlight w:val="red"/>
                      <w:u w:val="none"/>
                    </w:rPr>
                    <w:pict>
                      <v:shape id="文本框 27" o:spid="_x0000_s1088" o:spt="202" type="#_x0000_t202" style="position:absolute;left:0pt;margin-left:69.25pt;margin-top:13.95pt;height:24.75pt;width:78.9pt;z-index:252769280;mso-width-relative:page;mso-height-relative:page;" filled="t" coordsize="21600,21600" o:gfxdata="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WvNYc9gAAAAJAQAADwAAAAAAAAABACAAAAAiAAAAZHJzL2Rvd25yZXYueG1sUEsBAhQA&#10;FAAAAAgAh07iQBJTUvcrAgAAcwQAAA4AAAAAAAAAAQAgAAAAJwEAAGRycy9lMm9Eb2MueG1sUEsF&#10;BgAAAAAGAAYAWQEAAMQFAAAAAA==&#10;">
                        <v:path/>
                        <v:fill type="gradient" on="t" angle="90" focus="100%" focussize="0f,0f">
                          <o:fill type="gradientUnscaled" v:ext="backwardCompatible"/>
                        </v:fill>
                        <v:stroke weight="1.25pt" joinstyle="miter"/>
                        <v:imagedata o:title=""/>
                        <o:lock v:ext="edit"/>
                        <v:textbox>
                          <w:txbxContent>
                            <w:p>
                              <w:pPr>
                                <w:spacing w:line="260" w:lineRule="exact"/>
                                <w:rPr>
                                  <w:rFonts w:ascii="宋体" w:hAnsi="宋体" w:cs="宋体"/>
                                  <w:sz w:val="21"/>
                                  <w:szCs w:val="21"/>
                                </w:rPr>
                              </w:pPr>
                              <w:r>
                                <w:rPr>
                                  <w:rFonts w:hint="eastAsia" w:ascii="宋体" w:hAnsi="宋体" w:cs="宋体"/>
                                  <w:sz w:val="21"/>
                                  <w:szCs w:val="21"/>
                                </w:rPr>
                                <w:t>办公生活用水</w:t>
                              </w:r>
                            </w:p>
                          </w:txbxContent>
                        </v:textbox>
                      </v:shape>
                    </w:pict>
                  </w:r>
                  <w:r>
                    <w:rPr>
                      <w:color w:val="000000" w:themeColor="text1"/>
                      <w:highlight w:val="red"/>
                      <w:u w:val="none"/>
                    </w:rPr>
                    <w:pict>
                      <v:shape id="文本框 29" o:spid="_x0000_s1087" o:spt="202" type="#_x0000_t202" style="position:absolute;left:0pt;margin-left:183.25pt;margin-top:13.9pt;height:25.5pt;width:48.15pt;z-index:252771328;mso-width-relative:page;mso-height-relative:page;" filled="t" coordsize="21600,21600" o:gfxdata="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Ch1sy1wAAAAkBAAAPAAAAAAAAAAEAIAAAACIAAABkcnMvZG93bnJldi54bWxQSwECFAAU&#10;AAAACACHTuJAgjP8mSsCAAByBAAADgAAAAAAAAABACAAAAAmAQAAZHJzL2Uyb0RvYy54bWxQSwUG&#10;AAAAAAYABgBZAQAAwwUAAAAA&#10;">
                        <v:path/>
                        <v:fill type="gradient" on="t" angle="90" focus="100%" focussize="0f,0f">
                          <o:fill type="gradientUnscaled" v:ext="backwardCompatible"/>
                        </v:fill>
                        <v:stroke weight="1.25pt" joinstyle="miter"/>
                        <v:imagedata o:title=""/>
                        <o:lock v:ext="edit"/>
                        <v:textbox>
                          <w:txbxContent>
                            <w:p>
                              <w:pPr>
                                <w:spacing w:line="260" w:lineRule="exact"/>
                                <w:rPr>
                                  <w:sz w:val="21"/>
                                  <w:szCs w:val="21"/>
                                </w:rPr>
                              </w:pPr>
                              <w:r>
                                <w:rPr>
                                  <w:rFonts w:hint="eastAsia"/>
                                  <w:sz w:val="21"/>
                                  <w:szCs w:val="21"/>
                                </w:rPr>
                                <w:t>化粪池</w:t>
                              </w:r>
                            </w:p>
                          </w:txbxContent>
                        </v:textbox>
                      </v:shap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line id="_x0000_s1086" o:spid="_x0000_s1086" o:spt="20" style="position:absolute;left:0pt;flip:y;margin-left:206pt;margin-top:15.9pt;height:26.7pt;width:0.2pt;z-index:252913664;mso-width-relative:page;mso-height-relative:page;" coordsize="21600,21600" o:gfxdata="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Odp8ZdUAAAAJAQAADwAA&#10;AAAAAAABACAAAAAiAAAAZHJzL2Rvd25yZXYueG1sUEsBAhQAFAAAAAgAh07iQPz8eXvgAQAAngMA&#10;AA4AAAAAAAAAAQAgAAAAJAEAAGRycy9lMm9Eb2MueG1sUEsFBgAAAAAGAAYAWQEAAHYFAAAAAA==&#10;">
                        <v:path arrowok="t"/>
                        <v:fill focussize="0,0"/>
                        <v:stroke weight="1.25pt" endarrow="open"/>
                        <v:imagedata o:title=""/>
                        <o:lock v:ext="edit"/>
                      </v:line>
                    </w:pict>
                  </w:r>
                  <w:r>
                    <w:rPr>
                      <w:color w:val="000000" w:themeColor="text1"/>
                      <w:highlight w:val="red"/>
                      <w:u w:val="none"/>
                    </w:rPr>
                    <w:pict>
                      <v:shape id="_x0000_s1085" o:spid="_x0000_s1085" o:spt="202" type="#_x0000_t202" style="position:absolute;left:0pt;margin-left:168.75pt;margin-top:18.55pt;height:21pt;width:40.8pt;z-index:252959744;mso-width-relative:page;mso-height-relative:page;" filled="f" stroked="f" coordsize="21600,21600" o:gfxdata="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g6rSVNsAAAAJAQAADwAAAAAAAAAB&#10;ACAAAAAiAAAAZHJzL2Rvd25yZXYueG1sUEsBAhQAFAAAAAgAh07iQHYgprmbAQAADAMAAA4AAAAA&#10;AAAAAQAgAAAAKgEAAGRycy9lMm9Eb2MueG1sUEsFBgAAAAAGAAYAWQEAADcFAAAAAA==&#10;">
                        <v:path/>
                        <v:fill on="f" focussize="0,0"/>
                        <v:stroke on="f" weight="1.25pt" joinstyle="miter"/>
                        <v:imagedata o:title=""/>
                        <o:lock v:ext="edit"/>
                        <v:textbox>
                          <w:txbxContent>
                            <w:p>
                              <w:pPr>
                                <w:rPr>
                                  <w:sz w:val="18"/>
                                  <w:szCs w:val="18"/>
                                </w:rPr>
                              </w:pPr>
                              <w:r>
                                <w:rPr>
                                  <w:rFonts w:hint="eastAsia"/>
                                  <w:sz w:val="18"/>
                                  <w:szCs w:val="18"/>
                                </w:rPr>
                                <w:t>1.25</w:t>
                              </w:r>
                            </w:p>
                          </w:txbxContent>
                        </v:textbox>
                      </v:shape>
                    </w:pict>
                  </w:r>
                  <w:r>
                    <w:rPr>
                      <w:color w:val="000000" w:themeColor="text1"/>
                      <w:highlight w:val="red"/>
                      <w:u w:val="none"/>
                    </w:rPr>
                    <w:pict>
                      <v:line id="直线 17" o:spid="_x0000_s1084" o:spt="20" style="position:absolute;left:0pt;flip:y;margin-left:19.8pt;margin-top:2.45pt;height:0.7pt;width:24.7pt;z-index:252761088;mso-width-relative:page;mso-height-relative:page;" coordsize="21600,21600" o:gfxdata="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tvGmTSAAAABQEAAA8AAAAAAAAAAQAg&#10;AAAAIgAAAGRycy9kb3ducmV2LnhtbFBLAQIUABQAAAAIAIdO4kDk400a2wEAAJ4DAAAOAAAAAAAA&#10;AAEAIAAAACEBAABkcnMvZTJvRG9jLnhtbFBLBQYAAAAABgAGAFkBAABuBQAAAAA=&#10;">
                        <v:path arrowok="t"/>
                        <v:fill focussize="0,0"/>
                        <v:stroke weight="1.25pt" endarrow="open"/>
                        <v:imagedata o:title=""/>
                        <o:lock v:ext="edit"/>
                      </v:line>
                    </w:pict>
                  </w:r>
                  <w:r>
                    <w:rPr>
                      <w:color w:val="000000" w:themeColor="text1"/>
                      <w:highlight w:val="red"/>
                      <w:u w:val="none"/>
                    </w:rPr>
                    <w:pict>
                      <v:line id="直线 28" o:spid="_x0000_s1083" o:spt="20" style="position:absolute;left:0pt;flip:y;margin-left:148.75pt;margin-top:3.65pt;height:0.7pt;width:34.5pt;z-index:252770304;mso-width-relative:page;mso-height-relative:page;" coordsize="21600,21600" o:gfxdata="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EjfYjrTAAAABwEAAA8AAAAA&#10;AAAAAQAgAAAAIgAAAGRycy9kb3ducmV2LnhtbFBLAQIUABQAAAAIAIdO4kBgiHi04AEAAJ4DAAAO&#10;AAAAAAAAAAEAIAAAACIBAABkcnMvZTJvRG9jLnhtbFBLBQYAAAAABgAGAFkBAAB0BQAAAAA=&#10;">
                        <v:path arrowok="t"/>
                        <v:fill focussize="0,0"/>
                        <v:stroke weight="1.25pt" endarrow="open"/>
                        <v:imagedata o:title=""/>
                        <o:lock v:ext="edit"/>
                      </v:line>
                    </w:pict>
                  </w:r>
                  <w:r>
                    <w:rPr>
                      <w:color w:val="000000" w:themeColor="text1"/>
                      <w:highlight w:val="red"/>
                      <w:u w:val="none"/>
                    </w:rPr>
                    <w:pict>
                      <v:line id="直线 30" o:spid="_x0000_s1082" o:spt="20" style="position:absolute;left:0pt;margin-left:232pt;margin-top:4.35pt;height:0.05pt;width:40.5pt;z-index:252772352;mso-width-relative:page;mso-height-relative:page;" coordsize="21600,21600" o:gfxdata="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BFUx/nYAAAABwEAAA8AAAAAAAAAAQAg&#10;AAAAIgAAAGRycy9kb3ducmV2LnhtbFBLAQIUABQAAAAIAIdO4kBdl7fS1QEAAJMDAAAOAAAAAAAA&#10;AAEAIAAAACcBAABkcnMvZTJvRG9jLnhtbFBLBQYAAAAABgAGAFkBAABuBQAAAAA=&#10;">
                        <v:path arrowok="t"/>
                        <v:fill focussize="0,0"/>
                        <v:stroke weight="1.25pt" endarrow="open"/>
                        <v:imagedata o:title=""/>
                        <o:lock v:ext="edit"/>
                      </v:line>
                    </w:pict>
                  </w:r>
                  <w:r>
                    <w:rPr>
                      <w:color w:val="000000" w:themeColor="text1"/>
                      <w:highlight w:val="red"/>
                      <w:u w:val="none"/>
                    </w:rPr>
                    <w:pict>
                      <v:line id="直线 21" o:spid="_x0000_s1081" o:spt="20" style="position:absolute;left:0pt;flip:y;margin-left:43pt;margin-top:2.9pt;height:0.7pt;width:24.85pt;z-index:252764160;mso-width-relative:page;mso-height-relative:page;" coordsize="21600,21600" o:gfxdata="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yyv6M0wAAAAYBAAAPAAAAAAAA&#10;AAEAIAAAACIAAABkcnMvZG93bnJldi54bWxQSwECFAAUAAAACACHTuJAq86E1N4BAACeAwAADgAA&#10;AAAAAAABACAAAAAiAQAAZHJzL2Uyb0RvYy54bWxQSwUGAAAAAAYABgBZAQAAcgUAAAAA&#10;">
                        <v:path arrowok="t"/>
                        <v:fill focussize="0,0"/>
                        <v:stroke weight="1.25pt" endarrow="open"/>
                        <v:imagedata o:title=""/>
                        <o:lock v:ext="edit"/>
                      </v:lin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line id="_x0000_s1080" o:spid="_x0000_s1080" o:spt="20" style="position:absolute;left:0pt;flip:y;margin-left:105.5pt;margin-top:18.05pt;height:60pt;width:0pt;z-index:252818432;mso-width-relative:page;mso-height-relative:page;" stroked="t" coordsize="21600,21600" o:gfxdata="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GrSr/jVAAAACgEAAA8AAAAAAAAAAQAgAAAAIgAA&#10;AGRycy9kb3ducmV2LnhtbFBLAQIUABQAAAAIAIdO4kAbm8ZH0gEAAGYDAAAOAAAAAAAAAAEAIAAA&#10;ACQBAABkcnMvZTJvRG9jLnhtbFBLBQYAAAAABgAGAFkBAABoBQAAAAA=&#10;">
                        <v:path arrowok="t"/>
                        <v:fill focussize="0,0"/>
                        <v:stroke weight="1.5pt" color="#000000"/>
                        <v:imagedata o:title=""/>
                        <o:lock v:ext="edit"/>
                      </v:line>
                    </w:pict>
                  </w:r>
                  <w:r>
                    <w:rPr>
                      <w:color w:val="000000" w:themeColor="text1"/>
                      <w:highlight w:val="red"/>
                      <w:u w:val="none"/>
                    </w:rPr>
                    <w:pict>
                      <v:line id="_x0000_s1079" o:spid="_x0000_s1079" o:spt="20" style="position:absolute;left:0pt;flip:y;margin-left:104.5pt;margin-top:16.95pt;height:0.7pt;width:101.5pt;z-index:252862464;mso-width-relative:page;mso-height-relative:page;" coordsize="21600,21600" o:gfxdata="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lUILnXAAAACQEAAA8AAAAAAAAAAQAg&#10;AAAAIgAAAGRycy9kb3ducmV2LnhtbFBLAQIUABQAAAAIAIdO4kCtzCKw1gEAAJ4DAAAOAAAAAAAA&#10;AAEAIAAAACYBAABkcnMvZTJvRG9jLnhtbFBLBQYAAAAABgAGAFkBAABuBQAAAAA=&#10;">
                        <v:path arrowok="t"/>
                        <v:fill focussize="0,0"/>
                        <v:stroke weight="1.25pt"/>
                        <v:imagedata o:title=""/>
                        <o:lock v:ext="edit"/>
                      </v:lin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shape id="文本框 63" o:spid="_x0000_s1078" o:spt="202" type="#_x0000_t202" style="position:absolute;left:0pt;margin-left:159pt;margin-top:4pt;height:21pt;width:40.8pt;z-index:252804096;mso-width-relative:page;mso-height-relative:page;" filled="f" stroked="f" coordsize="21600,21600" o:gfxdata="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8u74A2gAAAAgBAAAPAAAAAAAAAAEAIAAA&#10;ACIAAABkcnMvZG93bnJldi54bWxQSwECFAAUAAAACACHTuJAC1tb/pgBAAAMAwAADgAAAAAAAAAB&#10;ACAAAAApAQAAZHJzL2Uyb0RvYy54bWxQSwUGAAAAAAYABgBZAQAAMwUAAAAA&#10;">
                        <v:path/>
                        <v:fill on="f" focussize="0,0"/>
                        <v:stroke on="f" weight="1.25pt" joinstyle="miter"/>
                        <v:imagedata o:title=""/>
                        <o:lock v:ext="edit"/>
                        <v:textbox>
                          <w:txbxContent>
                            <w:p>
                              <w:pPr>
                                <w:rPr>
                                  <w:sz w:val="18"/>
                                  <w:szCs w:val="18"/>
                                </w:rPr>
                              </w:pPr>
                              <w:r>
                                <w:rPr>
                                  <w:rFonts w:hint="eastAsia"/>
                                  <w:sz w:val="18"/>
                                  <w:szCs w:val="18"/>
                                </w:rPr>
                                <w:t>1.125</w:t>
                              </w:r>
                            </w:p>
                          </w:txbxContent>
                        </v:textbox>
                      </v:shape>
                    </w:pict>
                  </w:r>
                  <w:r>
                    <w:rPr>
                      <w:color w:val="000000" w:themeColor="text1"/>
                      <w:highlight w:val="red"/>
                      <w:u w:val="none"/>
                    </w:rPr>
                    <w:pict>
                      <v:shape id="文本框 38" o:spid="_x0000_s1077" o:spt="202" type="#_x0000_t202" style="position:absolute;left:0pt;margin-left:189.25pt;margin-top:13.5pt;height:27pt;width:81.1pt;z-index:252779520;mso-width-relative:page;mso-height-relative:page;" filled="t" coordsize="21600,21600" o:gfxdata="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W0UZCtcAAAAJAQAADwAAAAAAAAABACAAAAAiAAAAZHJzL2Rvd25yZXYueG1sUEsBAhQA&#10;FAAAAAgAh07iQExJYbIsAgAAcwQAAA4AAAAAAAAAAQAgAAAAJgEAAGRycy9lMm9Eb2MueG1sUEsF&#10;BgAAAAAGAAYAWQEAAMQFAAAAAA==&#10;">
                        <v:path/>
                        <v:fill type="gradient" on="t" angle="90" focus="100%" focussize="0f,0f">
                          <o:fill type="gradientUnscaled" v:ext="backwardCompatible"/>
                        </v:fill>
                        <v:stroke weight="1.25pt" joinstyle="miter"/>
                        <v:imagedata o:title=""/>
                        <o:lock v:ext="edit"/>
                        <v:textbox>
                          <w:txbxContent>
                            <w:p>
                              <w:pPr>
                                <w:spacing w:line="260" w:lineRule="exact"/>
                                <w:rPr>
                                  <w:rFonts w:ascii="宋体" w:hAnsi="宋体" w:cs="宋体"/>
                                  <w:sz w:val="21"/>
                                  <w:szCs w:val="21"/>
                                </w:rPr>
                              </w:pPr>
                              <w:r>
                                <w:rPr>
                                  <w:rFonts w:hint="eastAsia" w:ascii="宋体" w:hAnsi="宋体" w:cs="宋体"/>
                                  <w:sz w:val="21"/>
                                  <w:szCs w:val="21"/>
                                </w:rPr>
                                <w:t>一般实验用水</w:t>
                              </w:r>
                            </w:p>
                          </w:txbxContent>
                        </v:textbox>
                      </v:shap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shape id="文本框 59" o:spid="_x0000_s1076" o:spt="202" type="#_x0000_t202" style="position:absolute;left:0pt;margin-left:141.85pt;margin-top:22.9pt;height:21pt;width:32.35pt;z-index:252800000;mso-width-relative:page;mso-height-relative:page;" filled="f" stroked="f" coordsize="21600,21600" o:gfxdata="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1nBAb9sAAAAJAQAADwAAAAAAAAABACAA&#10;AAAiAAAAZHJzL2Rvd25yZXYueG1sUEsBAhQAFAAAAAgAh07iQANuI5uYAQAADAMAAA4AAAAAAAAA&#10;AQAgAAAAKgEAAGRycy9lMm9Eb2MueG1sUEsFBgAAAAAGAAYAWQEAADQFAAAAAA==&#10;">
                        <v:path/>
                        <v:fill on="f" focussize="0,0"/>
                        <v:stroke on="f" weight="1.25pt" joinstyle="miter"/>
                        <v:imagedata o:title=""/>
                        <o:lock v:ext="edit"/>
                        <v:textbox>
                          <w:txbxContent>
                            <w:p>
                              <w:pPr>
                                <w:rPr>
                                  <w:sz w:val="18"/>
                                  <w:szCs w:val="18"/>
                                </w:rPr>
                              </w:pPr>
                              <w:r>
                                <w:rPr>
                                  <w:rFonts w:hint="eastAsia"/>
                                  <w:sz w:val="18"/>
                                  <w:szCs w:val="18"/>
                                </w:rPr>
                                <w:t>1.25</w:t>
                              </w:r>
                            </w:p>
                          </w:txbxContent>
                        </v:textbox>
                      </v:shape>
                    </w:pict>
                  </w:r>
                  <w:r>
                    <w:rPr>
                      <w:color w:val="000000" w:themeColor="text1"/>
                      <w:highlight w:val="red"/>
                      <w:u w:val="none"/>
                    </w:rPr>
                    <w:pict>
                      <v:shape id="文本框 65" o:spid="_x0000_s1075" o:spt="202" type="#_x0000_t202" style="position:absolute;left:0pt;margin-left:283.8pt;margin-top:6.4pt;height:21pt;width:36.15pt;z-index:252806144;mso-width-relative:page;mso-height-relative:page;" filled="f" stroked="f" coordsize="21600,21600" o:gfxdata="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5c3a5tsAAAAJAQAADwAAAAAAAAAB&#10;ACAAAAAiAAAAZHJzL2Rvd25yZXYueG1sUEsBAhQAFAAAAAgAh07iQKa3Y+2bAQAADAMAAA4AAAAA&#10;AAAAAQAgAAAAKgEAAGRycy9lMm9Eb2MueG1sUEsFBgAAAAAGAAYAWQEAADcFAAAAAA==&#10;">
                        <v:path/>
                        <v:fill on="f" focussize="0,0"/>
                        <v:stroke on="f" weight="1.25pt" joinstyle="miter"/>
                        <v:imagedata o:title=""/>
                        <o:lock v:ext="edit"/>
                        <v:textbox>
                          <w:txbxContent>
                            <w:p>
                              <w:pPr>
                                <w:rPr>
                                  <w:sz w:val="18"/>
                                  <w:szCs w:val="18"/>
                                </w:rPr>
                              </w:pPr>
                              <w:r>
                                <w:rPr>
                                  <w:rFonts w:hint="eastAsia"/>
                                  <w:sz w:val="18"/>
                                  <w:szCs w:val="18"/>
                                </w:rPr>
                                <w:t>1.125</w:t>
                              </w:r>
                            </w:p>
                          </w:txbxContent>
                        </v:textbox>
                      </v:shape>
                    </w:pict>
                  </w:r>
                  <w:r>
                    <w:rPr>
                      <w:color w:val="000000" w:themeColor="text1"/>
                      <w:highlight w:val="red"/>
                      <w:u w:val="none"/>
                    </w:rPr>
                    <w:pict>
                      <v:line id="直线 60" o:spid="_x0000_s1074" o:spt="20" style="position:absolute;left:0pt;flip:x;margin-left:226.75pt;margin-top:16.6pt;height:15.75pt;width:0.05pt;z-index:252801024;mso-width-relative:page;mso-height-relative:page;" coordsize="21600,21600" o:gfxdata="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dv0Es9cAAAAJAQAADwAAAAAAAAABACAA&#10;AAAiAAAAZHJzL2Rvd25yZXYueG1sUEsBAhQAFAAAAAgAh07iQOhfainVAQAAnAMAAA4AAAAAAAAA&#10;AQAgAAAAJgEAAGRycy9lMm9Eb2MueG1sUEsFBgAAAAAGAAYAWQEAAG0FAAAAAA==&#10;">
                        <v:path arrowok="t"/>
                        <v:fill focussize="0,0"/>
                        <v:stroke weight="1.25pt"/>
                        <v:imagedata o:title=""/>
                        <o:lock v:ext="edit"/>
                      </v:line>
                    </w:pict>
                  </w:r>
                  <w:r>
                    <w:rPr>
                      <w:color w:val="000000" w:themeColor="text1"/>
                      <w:highlight w:val="red"/>
                      <w:u w:val="none"/>
                    </w:rPr>
                    <w:pict>
                      <v:shape id="文本框 58" o:spid="_x0000_s1073" o:spt="202" type="#_x0000_t202" style="position:absolute;left:0pt;margin-left:43.8pt;margin-top:19.15pt;height:21pt;width:28.45pt;z-index:252798976;mso-width-relative:page;mso-height-relative:page;" filled="f" stroked="f" coordsize="21600,21600" o:gfxdata="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Js0Ik2gAAAAgBAAAPAAAAAAAAAAEAIAAA&#10;ACIAAABkcnMvZG93bnJldi54bWxQSwECFAAUAAAACACHTuJAhfcqoJgBAAAMAwAADgAAAAAAAAAB&#10;ACAAAAApAQAAZHJzL2Uyb0RvYy54bWxQSwUGAAAAAAYABgBZAQAAMwUAAAAA&#10;">
                        <v:path/>
                        <v:fill on="f" focussize="0,0"/>
                        <v:stroke on="f" weight="1.25pt" joinstyle="miter"/>
                        <v:imagedata o:title=""/>
                        <o:lock v:ext="edit"/>
                        <v:textbox>
                          <w:txbxContent>
                            <w:p>
                              <w:pPr>
                                <w:rPr>
                                  <w:sz w:val="18"/>
                                  <w:szCs w:val="18"/>
                                </w:rPr>
                              </w:pPr>
                              <w:r>
                                <w:rPr>
                                  <w:rFonts w:hint="eastAsia"/>
                                  <w:sz w:val="18"/>
                                  <w:szCs w:val="18"/>
                                </w:rPr>
                                <w:t>2.5</w:t>
                              </w:r>
                            </w:p>
                          </w:txbxContent>
                        </v:textbox>
                      </v:shape>
                    </w:pict>
                  </w:r>
                  <w:r>
                    <w:rPr>
                      <w:color w:val="000000" w:themeColor="text1"/>
                      <w:highlight w:val="red"/>
                      <w:u w:val="none"/>
                    </w:rPr>
                    <w:pict>
                      <v:line id="直线 34" o:spid="_x0000_s1072" o:spt="20" style="position:absolute;left:0pt;flip:x;margin-left:167.55pt;margin-top:3.3pt;height:79.5pt;width:0.7pt;z-index:252775424;mso-width-relative:page;mso-height-relative:page;" coordsize="21600,21600" o:gfxdata="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6dtp91wAAAAkBAAAPAAAA&#10;AAAAAAEAIAAAACIAAABkcnMvZG93bnJldi54bWxQSwECFAAUAAAACACHTuJAw5VfSd0BAACeAwAA&#10;DgAAAAAAAAABACAAAAAmAQAAZHJzL2Uyb0RvYy54bWxQSwUGAAAAAAYABgBZAQAAdQUAAAAA&#10;">
                        <v:path arrowok="t"/>
                        <v:fill focussize="0,0"/>
                        <v:stroke weight="1.25pt"/>
                        <v:imagedata o:title=""/>
                        <o:lock v:ext="edit"/>
                      </v:line>
                    </w:pict>
                  </w:r>
                  <w:r>
                    <w:rPr>
                      <w:color w:val="000000" w:themeColor="text1"/>
                      <w:highlight w:val="red"/>
                      <w:u w:val="none"/>
                    </w:rPr>
                    <w:pict>
                      <v:line id="直线 36" o:spid="_x0000_s1071" o:spt="20" style="position:absolute;left:0pt;flip:y;margin-left:167.5pt;margin-top:3.2pt;height:0.7pt;width:21pt;z-index:252777472;mso-width-relative:page;mso-height-relative:page;" coordsize="21600,21600" o:gfxdata="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rt2itMAAAAHAQAADwAAAAAAAAAB&#10;ACAAAAAiAAAAZHJzL2Rvd25yZXYueG1sUEsBAhQAFAAAAAgAh07iQJ63uhDcAQAAngMAAA4AAAAA&#10;AAAAAQAgAAAAIgEAAGRycy9lMm9Eb2MueG1sUEsFBgAAAAAGAAYAWQEAAHAFAAAAAA==&#10;">
                        <v:path arrowok="t"/>
                        <v:fill focussize="0,0"/>
                        <v:stroke weight="1.25pt" endarrow="open"/>
                        <v:imagedata o:title=""/>
                        <o:lock v:ext="edit"/>
                      </v:lin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line id="直线 22" o:spid="_x0000_s1070" o:spt="20" style="position:absolute;left:0pt;margin-left:42.25pt;margin-top:20.25pt;height:0.05pt;width:25.6pt;z-index:252765184;mso-width-relative:page;mso-height-relative:page;" coordsize="21600,21600" o:gfxdata="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q9dyk2QAAAAgBAAAPAAAAAAAAAAEA&#10;IAAAACIAAABkcnMvZG93bnJldi54bWxQSwECFAAUAAAACACHTuJAiRMtM9UBAACTAwAADgAAAAAA&#10;AAABACAAAAAoAQAAZHJzL2Uyb0RvYy54bWxQSwUGAAAAAAYABgBZAQAAbwUAAAAA&#10;">
                        <v:path arrowok="t"/>
                        <v:fill focussize="0,0"/>
                        <v:stroke weight="1.25pt" endarrow="open"/>
                        <v:imagedata o:title=""/>
                        <o:lock v:ext="edit"/>
                      </v:line>
                    </w:pict>
                  </w:r>
                  <w:r>
                    <w:rPr>
                      <w:color w:val="000000" w:themeColor="text1"/>
                      <w:highlight w:val="red"/>
                      <w:u w:val="none"/>
                    </w:rPr>
                    <w:pict>
                      <v:line id="直线 61" o:spid="_x0000_s1069" o:spt="20" style="position:absolute;left:0pt;flip:y;margin-left:227.5pt;margin-top:8.25pt;height:0.7pt;width:92.25pt;z-index:252802048;mso-width-relative:page;mso-height-relative:page;" coordsize="21600,21600" o:gfxdata="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msqo62AAAAAkBAAAPAAAAAAAA&#10;AAEAIAAAACIAAABkcnMvZG93bnJldi54bWxQSwECFAAUAAAACACHTuJA7gPc2NkBAACeAwAADgAA&#10;AAAAAAABACAAAAAnAQAAZHJzL2Uyb0RvYy54bWxQSwUGAAAAAAYABgBZAQAAcgUAAAAA&#10;">
                        <v:path arrowok="t"/>
                        <v:fill focussize="0,0"/>
                        <v:stroke weight="1.25pt"/>
                        <v:imagedata o:title=""/>
                        <o:lock v:ext="edit"/>
                      </v:line>
                    </w:pict>
                  </w:r>
                  <w:r>
                    <w:rPr>
                      <w:color w:val="000000" w:themeColor="text1"/>
                      <w:highlight w:val="red"/>
                      <w:u w:val="none"/>
                    </w:rPr>
                    <w:pict>
                      <v:line id="直线 62" o:spid="_x0000_s1068" o:spt="20" style="position:absolute;left:0pt;flip:x;margin-left:319.8pt;margin-top:8.3pt;height:33.65pt;width:0.7pt;z-index:252803072;mso-width-relative:page;mso-height-relative:page;" coordsize="21600,21600" o:gfxdata="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F2AEdvVAAAACQEAAA8AAAAA&#10;AAAAAQAgAAAAIgAAAGRycy9kb3ducmV2LnhtbFBLAQIUABQAAAAIAIdO4kAJ/UMO3gEAAJ4DAAAO&#10;AAAAAAAAAAEAIAAAACQBAABkcnMvZTJvRG9jLnhtbFBLBQYAAAAABgAGAFkBAAB0BQAAAAA=&#10;">
                        <v:path arrowok="t"/>
                        <v:fill focussize="0,0"/>
                        <v:stroke weight="1.25pt" endarrow="open"/>
                        <v:imagedata o:title=""/>
                        <o:lock v:ext="edit"/>
                      </v:line>
                    </w:pict>
                  </w:r>
                  <w:r>
                    <w:rPr>
                      <w:color w:val="000000" w:themeColor="text1"/>
                      <w:highlight w:val="red"/>
                      <w:u w:val="none"/>
                    </w:rPr>
                    <w:pict>
                      <v:shape id="文本框 32" o:spid="_x0000_s1067" o:spt="202" type="#_x0000_t202" style="position:absolute;left:0pt;margin-left:68.5pt;margin-top:7.95pt;height:24pt;width:78.8pt;z-index:252774400;mso-width-relative:page;mso-height-relative:page;" filled="t" coordsize="21600,21600" o:gfxdata="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T1TNgAAAAJAQAADwAAAAAAAAABACAAAAAiAAAAZHJzL2Rvd25yZXYueG1sUEsBAhQA&#10;FAAAAAgAh07iQAO1ED8rAgAAcwQAAA4AAAAAAAAAAQAgAAAAJwEAAGRycy9lMm9Eb2MueG1sUEsF&#10;BgAAAAAGAAYAWQEAAMQFAAAAAA==&#10;">
                        <v:path/>
                        <v:fill type="gradient" on="t" angle="90" focus="100%" focussize="0f,0f">
                          <o:fill type="gradientUnscaled" v:ext="backwardCompatible"/>
                        </v:fill>
                        <v:stroke weight="1.25pt" joinstyle="miter"/>
                        <v:imagedata o:title=""/>
                        <o:lock v:ext="edit"/>
                        <v:textbox>
                          <w:txbxContent>
                            <w:p>
                              <w:pPr>
                                <w:spacing w:line="260" w:lineRule="exact"/>
                                <w:rPr>
                                  <w:rFonts w:ascii="宋体" w:hAnsi="宋体" w:cs="宋体"/>
                                  <w:sz w:val="21"/>
                                  <w:szCs w:val="21"/>
                                </w:rPr>
                              </w:pPr>
                              <w:r>
                                <w:rPr>
                                  <w:rFonts w:hint="eastAsia" w:ascii="宋体" w:hAnsi="宋体" w:cs="宋体"/>
                                  <w:sz w:val="21"/>
                                  <w:szCs w:val="21"/>
                                </w:rPr>
                                <w:t>纯水制备用水</w:t>
                              </w:r>
                            </w:p>
                          </w:txbxContent>
                        </v:textbox>
                      </v:shape>
                    </w:pict>
                  </w:r>
                  <w:r>
                    <w:rPr>
                      <w:color w:val="000000" w:themeColor="text1"/>
                      <w:highlight w:val="red"/>
                      <w:u w:val="none"/>
                    </w:rPr>
                    <w:pict>
                      <v:line id="直线 35" o:spid="_x0000_s1066" o:spt="20" style="position:absolute;left:0pt;flip:y;margin-left:148.75pt;margin-top:18.8pt;height:0.7pt;width:20.3pt;z-index:252776448;mso-width-relative:page;mso-height-relative:page;" coordsize="21600,21600" o:gfxdata="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UpyIxdYAAAAJAQAADwAA&#10;AAAAAAABACAAAAAiAAAAZHJzL2Rvd25yZXYueG1sUEsBAhQAFAAAAAgAh07iQEmHOI/fAQAAngMA&#10;AA4AAAAAAAAAAQAgAAAAJQEAAGRycy9lMm9Eb2MueG1sUEsFBgAAAAAGAAYAWQEAAHYFAAAAAA==&#10;">
                        <v:path arrowok="t"/>
                        <v:fill focussize="0,0"/>
                        <v:stroke weight="1.25pt" endarrow="open"/>
                        <v:imagedata o:title=""/>
                        <o:lock v:ext="edit"/>
                      </v:lin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shape id="文本框 43" o:spid="_x0000_s1065" o:spt="202" type="#_x0000_t202" style="position:absolute;left:0pt;margin-left:373.75pt;margin-top:8.85pt;height:55.4pt;width:50.35pt;z-index:252784640;mso-width-relative:page;mso-height-relative:page;" filled="t" coordsize="21600,21600" o:gfxdata="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H/Z3P9cAAAAKAQAADwAAAAAAAAABACAAAAAiAAAAZHJzL2Rvd25yZXYueG1sUEsBAhQA&#10;FAAAAAgAh07iQANes+csAgAAcgQAAA4AAAAAAAAAAQAgAAAAJgEAAGRycy9lMm9Eb2MueG1sUEsF&#10;BgAAAAAGAAYAWQEAAMQFAAAAAA==&#10;">
                        <v:path/>
                        <v:fill type="gradient" on="t" angle="90" focus="100%" focussize="0f,0f">
                          <o:fill type="gradientUnscaled" v:ext="backwardCompatible"/>
                        </v:fill>
                        <v:stroke weight="1.25pt" joinstyle="miter"/>
                        <v:imagedata o:title=""/>
                        <o:lock v:ext="edit"/>
                        <v:textbox>
                          <w:txbxContent>
                            <w:p>
                              <w:pPr>
                                <w:jc w:val="center"/>
                                <w:rPr>
                                  <w:rFonts w:ascii="宋体" w:hAnsi="宋体" w:cs="宋体"/>
                                  <w:sz w:val="21"/>
                                  <w:szCs w:val="21"/>
                                </w:rPr>
                              </w:pPr>
                              <w:r>
                                <w:rPr>
                                  <w:rFonts w:hint="eastAsia" w:ascii="宋体" w:hAnsi="宋体" w:cs="宋体"/>
                                  <w:sz w:val="21"/>
                                  <w:szCs w:val="21"/>
                                </w:rPr>
                                <w:t>交有资质单位处理</w:t>
                              </w:r>
                            </w:p>
                          </w:txbxContent>
                        </v:textbox>
                      </v:shape>
                    </w:pict>
                  </w:r>
                  <w:r>
                    <w:rPr>
                      <w:color w:val="000000" w:themeColor="text1"/>
                      <w:highlight w:val="red"/>
                      <w:u w:val="none"/>
                    </w:rPr>
                    <w:pict>
                      <v:shape id="文本框 41" o:spid="_x0000_s1064" o:spt="202" type="#_x0000_t202" style="position:absolute;left:0pt;margin-left:289pt;margin-top:17.55pt;height:29.2pt;width:61.6pt;z-index:252782592;mso-width-relative:page;mso-height-relative:page;" filled="t" coordsize="21600,21600" o:gfxdata="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bx1qzYAAAACQEAAA8AAAAAAAAAAQAgAAAAIgAAAGRycy9kb3ducmV2LnhtbFBLAQIU&#10;ABQAAAAIAIdO4kBJdGFvLAIAAHIEAAAOAAAAAAAAAAEAIAAAACcBAABkcnMvZTJvRG9jLnhtbFBL&#10;BQYAAAAABgAGAFkBAADFBQAAAAA=&#10;">
                        <v:path/>
                        <v:fill type="gradient" on="t" angle="90" focus="100%" focussize="0f,0f">
                          <o:fill type="gradientUnscaled" v:ext="backwardCompatible"/>
                        </v:fill>
                        <v:stroke weight="1.25pt" joinstyle="miter"/>
                        <v:imagedata o:title=""/>
                        <o:lock v:ext="edit"/>
                        <v:textbox>
                          <w:txbxContent>
                            <w:p>
                              <w:pPr>
                                <w:rPr>
                                  <w:rFonts w:ascii="宋体" w:hAnsi="宋体" w:cs="宋体"/>
                                  <w:sz w:val="21"/>
                                  <w:szCs w:val="21"/>
                                </w:rPr>
                              </w:pPr>
                              <w:r>
                                <w:rPr>
                                  <w:rFonts w:hint="eastAsia" w:ascii="宋体" w:hAnsi="宋体" w:cs="宋体"/>
                                  <w:sz w:val="21"/>
                                  <w:szCs w:val="21"/>
                                </w:rPr>
                                <w:t>危险废液</w:t>
                              </w:r>
                            </w:p>
                          </w:txbxContent>
                        </v:textbox>
                      </v:shape>
                    </w:pict>
                  </w:r>
                  <w:r>
                    <w:rPr>
                      <w:color w:val="000000" w:themeColor="text1"/>
                      <w:highlight w:val="red"/>
                      <w:u w:val="none"/>
                    </w:rPr>
                    <w:pict>
                      <v:shape id="_x0000_s1063" o:spid="_x0000_s1063" o:spt="202" type="#_x0000_t202" style="position:absolute;left:0pt;margin-left:187.75pt;margin-top:13.8pt;height:36.7pt;width:78.85pt;z-index:252780544;mso-width-relative:page;mso-height-relative:page;" filled="t" coordsize="21600,21600" o:gfxdata="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oPgADYAAAACgEAAA8AAAAAAAAAAQAgAAAAIgAAAGRycy9kb3ducmV2LnhtbFBLAQIU&#10;ABQAAAAIAIdO4kAY/cAMLAIAAHMEAAAOAAAAAAAAAAEAIAAAACcBAABkcnMvZTJvRG9jLnhtbFBL&#10;BQYAAAAABgAGAFkBAADFBQAAAAA=&#10;">
                        <v:path/>
                        <v:fill type="gradient" on="t" angle="90" focus="100%" focussize="0f,0f">
                          <o:fill type="gradientUnscaled" v:ext="backwardCompatible"/>
                        </v:fill>
                        <v:stroke weight="1.25pt" joinstyle="miter"/>
                        <v:imagedata o:title=""/>
                        <o:lock v:ext="edit"/>
                        <v:textbox>
                          <w:txbxContent>
                            <w:p>
                              <w:pPr>
                                <w:jc w:val="center"/>
                                <w:rPr>
                                  <w:rFonts w:ascii="宋体" w:hAnsi="宋体" w:cs="宋体"/>
                                  <w:sz w:val="21"/>
                                  <w:szCs w:val="21"/>
                                </w:rPr>
                              </w:pPr>
                              <w:r>
                                <w:rPr>
                                  <w:rFonts w:hint="eastAsia" w:ascii="宋体" w:hAnsi="宋体" w:cs="宋体"/>
                                  <w:sz w:val="21"/>
                                  <w:szCs w:val="21"/>
                                </w:rPr>
                                <w:t>含重金属测量的实验用水</w:t>
                              </w:r>
                            </w:p>
                          </w:txbxContent>
                        </v:textbox>
                      </v:shape>
                    </w:pict>
                  </w:r>
                </w:p>
                <w:p>
                  <w:pPr>
                    <w:pStyle w:val="2"/>
                    <w:spacing w:line="360" w:lineRule="auto"/>
                    <w:ind w:firstLine="0" w:firstLineChars="0"/>
                    <w:jc w:val="center"/>
                    <w:rPr>
                      <w:color w:val="000000" w:themeColor="text1"/>
                      <w:highlight w:val="red"/>
                      <w:u w:val="none"/>
                    </w:rPr>
                  </w:pPr>
                  <w:r>
                    <w:rPr>
                      <w:color w:val="000000" w:themeColor="text1"/>
                      <w:highlight w:val="red"/>
                      <w:u w:val="none"/>
                    </w:rPr>
                    <w:pict>
                      <v:shape id="文本框 67" o:spid="_x0000_s1062" o:spt="202" type="#_x0000_t202" style="position:absolute;left:0pt;margin-left:346.4pt;margin-top:11.95pt;height:21pt;width:36.15pt;z-index:252808192;mso-width-relative:page;mso-height-relative:page;" filled="f" stroked="f" coordsize="21600,21600" o:gfxdata="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Cxe2/X3AAAAAkBAAAPAAAAAAAA&#10;AAEAIAAAACIAAABkcnMvZG93bnJldi54bWxQSwECFAAUAAAACACHTuJAemgQLJwBAAAMAwAADgAA&#10;AAAAAAABACAAAAArAQAAZHJzL2Uyb0RvYy54bWxQSwUGAAAAAAYABgBZAQAAOQUAAAAA&#10;">
                        <v:path/>
                        <v:fill on="f" focussize="0,0"/>
                        <v:stroke on="f" weight="1.25pt" joinstyle="miter"/>
                        <v:imagedata o:title=""/>
                        <o:lock v:ext="edit"/>
                        <v:textbox>
                          <w:txbxContent>
                            <w:p>
                              <w:pPr>
                                <w:rPr>
                                  <w:sz w:val="18"/>
                                  <w:szCs w:val="18"/>
                                </w:rPr>
                              </w:pPr>
                              <w:r>
                                <w:rPr>
                                  <w:rFonts w:hint="eastAsia"/>
                                  <w:sz w:val="18"/>
                                  <w:szCs w:val="18"/>
                                </w:rPr>
                                <w:t>1.25</w:t>
                              </w:r>
                            </w:p>
                          </w:txbxContent>
                        </v:textbox>
                      </v:shape>
                    </w:pict>
                  </w:r>
                  <w:r>
                    <w:rPr>
                      <w:color w:val="000000" w:themeColor="text1"/>
                      <w:highlight w:val="red"/>
                      <w:u w:val="none"/>
                    </w:rPr>
                    <w:pict>
                      <v:shape id="文本框 66" o:spid="_x0000_s1061" o:spt="202" type="#_x0000_t202" style="position:absolute;left:0pt;margin-left:260.85pt;margin-top:13.45pt;height:21pt;width:38.6pt;z-index:252807168;mso-width-relative:page;mso-height-relative:page;" filled="f" stroked="f" coordsize="21600,21600" o:gfxdata="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UnL1c9sAAAAJAQAADwAAAAAAAAAB&#10;ACAAAAAiAAAAZHJzL2Rvd25yZXYueG1sUEsBAhQAFAAAAAgAh07iQJ5igFCbAQAADAMAAA4AAAAA&#10;AAAAAQAgAAAAKgEAAGRycy9lMm9Eb2MueG1sUEsFBgAAAAAGAAYAWQEAADcFAAAAAA==&#10;">
                        <v:path/>
                        <v:fill on="f" focussize="0,0"/>
                        <v:stroke on="f" weight="1.25pt" joinstyle="miter"/>
                        <v:imagedata o:title=""/>
                        <o:lock v:ext="edit"/>
                        <v:textbox>
                          <w:txbxContent>
                            <w:p>
                              <w:pPr>
                                <w:rPr>
                                  <w:sz w:val="18"/>
                                  <w:szCs w:val="18"/>
                                </w:rPr>
                              </w:pPr>
                              <w:r>
                                <w:rPr>
                                  <w:rFonts w:hint="eastAsia"/>
                                  <w:sz w:val="18"/>
                                  <w:szCs w:val="18"/>
                                </w:rPr>
                                <w:t>0.125</w:t>
                              </w:r>
                            </w:p>
                          </w:txbxContent>
                        </v:textbox>
                      </v:shape>
                    </w:pict>
                  </w:r>
                  <w:r>
                    <w:rPr>
                      <w:color w:val="000000" w:themeColor="text1"/>
                      <w:highlight w:val="red"/>
                      <w:u w:val="none"/>
                    </w:rPr>
                    <w:pict>
                      <v:shape id="文本框 64" o:spid="_x0000_s1060" o:spt="202" type="#_x0000_t202" style="position:absolute;left:0pt;margin-left:155.7pt;margin-top:9.7pt;height:21pt;width:38.7pt;z-index:252805120;mso-width-relative:page;mso-height-relative:page;" filled="f" stroked="f" coordsize="21600,21600" o:gfxdata="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CqnEhLaAAAACQEAAA8AAAAAAAAAAQAgAAAA&#10;IgAAAGRycy9kb3ducmV2LnhtbFBLAQIUABQAAAAIAIdO4kBVxUl1lwEAAAwDAAAOAAAAAAAAAAEA&#10;IAAAACkBAABkcnMvZTJvRG9jLnhtbFBLBQYAAAAABgAGAFkBAAAyBQAAAAA=&#10;">
                        <v:path/>
                        <v:fill on="f" focussize="0,0"/>
                        <v:stroke on="f" weight="1.25pt" joinstyle="miter"/>
                        <v:imagedata o:title=""/>
                        <o:lock v:ext="edit"/>
                        <v:textbox>
                          <w:txbxContent>
                            <w:p>
                              <w:pPr>
                                <w:rPr>
                                  <w:sz w:val="18"/>
                                  <w:szCs w:val="18"/>
                                </w:rPr>
                              </w:pPr>
                              <w:r>
                                <w:rPr>
                                  <w:rFonts w:hint="eastAsia"/>
                                  <w:sz w:val="18"/>
                                  <w:szCs w:val="18"/>
                                </w:rPr>
                                <w:t>0.125</w:t>
                              </w:r>
                            </w:p>
                          </w:txbxContent>
                        </v:textbox>
                      </v:shape>
                    </w:pict>
                  </w:r>
                  <w:r>
                    <w:rPr>
                      <w:color w:val="000000" w:themeColor="text1"/>
                      <w:highlight w:val="red"/>
                      <w:u w:val="none"/>
                    </w:rPr>
                    <w:pict>
                      <v:line id="直线 37" o:spid="_x0000_s1059" o:spt="20" style="position:absolute;left:0pt;flip:y;margin-left:166.75pt;margin-top:11.7pt;height:0.05pt;width:21.1pt;z-index:252778496;mso-width-relative:page;mso-height-relative:page;" coordsize="21600,21600" o:gfxdata="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Q6/z/dUAAAAJAQAADwAAAAAA&#10;AAABACAAAAAiAAAAZHJzL2Rvd25yZXYueG1sUEsBAhQAFAAAAAgAh07iQJLgP0bdAQAAnQMAAA4A&#10;AAAAAAAAAQAgAAAAJAEAAGRycy9lMm9Eb2MueG1sUEsFBgAAAAAGAAYAWQEAAHMFAAAAAA==&#10;">
                        <v:path arrowok="t"/>
                        <v:fill focussize="0,0"/>
                        <v:stroke weight="1.25pt" endarrow="open"/>
                        <v:imagedata o:title=""/>
                        <o:lock v:ext="edit"/>
                      </v:line>
                    </w:pict>
                  </w:r>
                  <w:r>
                    <w:rPr>
                      <w:color w:val="000000" w:themeColor="text1"/>
                      <w:highlight w:val="red"/>
                      <w:u w:val="none"/>
                    </w:rPr>
                    <w:pict>
                      <v:line id="直线 42" o:spid="_x0000_s1058" o:spt="20" style="position:absolute;left:0pt;margin-left:352.75pt;margin-top:10.2pt;height:0.05pt;width:20.25pt;z-index:252783616;mso-width-relative:page;mso-height-relative:page;" coordsize="21600,21600" o:gfxdata="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E+PKe2gAAAAkBAAAPAAAAAAAAAAEA&#10;IAAAACIAAABkcnMvZG93bnJldi54bWxQSwECFAAUAAAACACHTuJANRkTW9QBAACTAwAADgAAAAAA&#10;AAABACAAAAApAQAAZHJzL2Uyb0RvYy54bWxQSwUGAAAAAAYABgBZAQAAbwUAAAAA&#10;">
                        <v:path arrowok="t"/>
                        <v:fill focussize="0,0"/>
                        <v:stroke weight="1.25pt" endarrow="open"/>
                        <v:imagedata o:title=""/>
                        <o:lock v:ext="edit"/>
                      </v:line>
                    </w:pict>
                  </w:r>
                  <w:r>
                    <w:rPr>
                      <w:color w:val="000000" w:themeColor="text1"/>
                      <w:highlight w:val="red"/>
                      <w:u w:val="none"/>
                    </w:rPr>
                    <w:pict>
                      <v:line id="直线 40" o:spid="_x0000_s1057" o:spt="20" style="position:absolute;left:0pt;margin-left:267.25pt;margin-top:8.7pt;height:0.05pt;width:22.5pt;z-index:252781568;mso-width-relative:page;mso-height-relative:page;" coordsize="21600,21600" o:gfxdata="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84e5X2QAAAAkBAAAPAAAAAAAAAAEA&#10;IAAAACIAAABkcnMvZG93bnJldi54bWxQSwECFAAUAAAACACHTuJAfRm/fNUBAACTAwAADgAAAAAA&#10;AAABACAAAAAoAQAAZHJzL2Uyb0RvYy54bWxQSwUGAAAAAAYABgBZAQAAbwUAAAAA&#10;">
                        <v:path arrowok="t"/>
                        <v:fill focussize="0,0"/>
                        <v:stroke weight="1.25pt" endarrow="open"/>
                        <v:imagedata o:title=""/>
                        <o:lock v:ext="edit"/>
                      </v:line>
                    </w:pict>
                  </w:r>
                </w:p>
                <w:p>
                  <w:pPr>
                    <w:pStyle w:val="2"/>
                    <w:spacing w:line="360" w:lineRule="auto"/>
                    <w:ind w:firstLine="0" w:firstLineChars="0"/>
                    <w:jc w:val="center"/>
                    <w:rPr>
                      <w:color w:val="000000" w:themeColor="text1"/>
                      <w:highlight w:val="red"/>
                      <w:u w:val="none"/>
                    </w:rPr>
                  </w:pPr>
                </w:p>
                <w:p>
                  <w:pPr>
                    <w:pStyle w:val="2"/>
                    <w:spacing w:line="360" w:lineRule="auto"/>
                    <w:ind w:firstLine="0" w:firstLineChars="0"/>
                    <w:jc w:val="center"/>
                    <w:rPr>
                      <w:b/>
                      <w:bCs/>
                      <w:color w:val="000000" w:themeColor="text1"/>
                      <w:sz w:val="21"/>
                      <w:szCs w:val="21"/>
                      <w:highlight w:val="none"/>
                      <w:u w:val="none"/>
                    </w:rPr>
                  </w:pPr>
                  <w:r>
                    <w:rPr>
                      <w:b/>
                      <w:bCs/>
                      <w:color w:val="000000" w:themeColor="text1"/>
                      <w:sz w:val="21"/>
                      <w:szCs w:val="21"/>
                      <w:highlight w:val="none"/>
                      <w:u w:val="none"/>
                    </w:rPr>
                    <w:t>图1-1  项目水平衡图（m</w:t>
                  </w:r>
                  <w:r>
                    <w:rPr>
                      <w:b/>
                      <w:bCs/>
                      <w:color w:val="000000" w:themeColor="text1"/>
                      <w:sz w:val="21"/>
                      <w:szCs w:val="21"/>
                      <w:highlight w:val="none"/>
                      <w:u w:val="none"/>
                      <w:vertAlign w:val="superscript"/>
                    </w:rPr>
                    <w:t>3</w:t>
                  </w:r>
                  <w:r>
                    <w:rPr>
                      <w:b/>
                      <w:bCs/>
                      <w:color w:val="000000" w:themeColor="text1"/>
                      <w:sz w:val="21"/>
                      <w:szCs w:val="21"/>
                      <w:highlight w:val="none"/>
                      <w:u w:val="none"/>
                    </w:rPr>
                    <w:t>/a）</w:t>
                  </w:r>
                </w:p>
                <w:p>
                  <w:pPr>
                    <w:pStyle w:val="2"/>
                    <w:spacing w:line="360" w:lineRule="auto"/>
                    <w:ind w:firstLine="480"/>
                    <w:rPr>
                      <w:color w:val="000000" w:themeColor="text1"/>
                      <w:highlight w:val="none"/>
                      <w:u w:val="none"/>
                    </w:rPr>
                  </w:pPr>
                  <w:r>
                    <w:rPr>
                      <w:color w:val="000000" w:themeColor="text1"/>
                      <w:highlight w:val="none"/>
                      <w:u w:val="none"/>
                    </w:rPr>
                    <w:t>（3）供电</w:t>
                  </w:r>
                </w:p>
                <w:p>
                  <w:pPr>
                    <w:pStyle w:val="2"/>
                    <w:spacing w:line="360" w:lineRule="auto"/>
                    <w:ind w:firstLine="480" w:firstLineChars="0"/>
                    <w:rPr>
                      <w:color w:val="000000" w:themeColor="text1"/>
                      <w:highlight w:val="none"/>
                      <w:u w:val="none"/>
                    </w:rPr>
                  </w:pPr>
                  <w:r>
                    <w:rPr>
                      <w:color w:val="000000" w:themeColor="text1"/>
                      <w:highlight w:val="none"/>
                      <w:u w:val="none"/>
                    </w:rPr>
                    <w:t>本项目租赁位于</w:t>
                  </w:r>
                  <w:r>
                    <w:rPr>
                      <w:rFonts w:hint="eastAsia"/>
                      <w:color w:val="000000" w:themeColor="text1"/>
                      <w:highlight w:val="none"/>
                      <w:u w:val="none"/>
                      <w:lang w:eastAsia="zh-CN"/>
                    </w:rPr>
                    <w:t>湖南省岳阳市湘阴县金龙新区湖南奇思环保设备制造有限公司</w:t>
                  </w:r>
                  <w:r>
                    <w:rPr>
                      <w:color w:val="000000" w:themeColor="text1"/>
                      <w:highlight w:val="none"/>
                      <w:u w:val="none"/>
                    </w:rPr>
                    <w:t>相关场地</w:t>
                  </w:r>
                  <w:r>
                    <w:rPr>
                      <w:rFonts w:hint="eastAsia"/>
                      <w:color w:val="000000" w:themeColor="text1"/>
                      <w:highlight w:val="none"/>
                      <w:u w:val="none"/>
                      <w:lang w:val="en-US" w:eastAsia="zh-CN"/>
                    </w:rPr>
                    <w:t>用</w:t>
                  </w:r>
                  <w:r>
                    <w:rPr>
                      <w:color w:val="000000" w:themeColor="text1"/>
                      <w:highlight w:val="none"/>
                      <w:u w:val="none"/>
                    </w:rPr>
                    <w:t>做办公和实验室场所，因此本项目供电由</w:t>
                  </w:r>
                  <w:r>
                    <w:rPr>
                      <w:rFonts w:hint="eastAsia"/>
                      <w:color w:val="000000" w:themeColor="text1"/>
                      <w:highlight w:val="none"/>
                      <w:u w:val="none"/>
                      <w:lang w:eastAsia="zh-CN"/>
                    </w:rPr>
                    <w:t>金龙镇</w:t>
                  </w:r>
                  <w:r>
                    <w:rPr>
                      <w:color w:val="000000" w:themeColor="text1"/>
                      <w:highlight w:val="none"/>
                      <w:u w:val="none"/>
                    </w:rPr>
                    <w:t>供电所供电，配电系统依托</w:t>
                  </w:r>
                  <w:r>
                    <w:rPr>
                      <w:rFonts w:hint="eastAsia"/>
                      <w:color w:val="000000" w:themeColor="text1"/>
                      <w:highlight w:val="none"/>
                      <w:u w:val="none"/>
                      <w:lang w:eastAsia="zh-CN"/>
                    </w:rPr>
                    <w:t>湖南奇思环保设备制造有限公司</w:t>
                  </w:r>
                  <w:r>
                    <w:rPr>
                      <w:color w:val="000000" w:themeColor="text1"/>
                      <w:highlight w:val="none"/>
                      <w:u w:val="none"/>
                    </w:rPr>
                    <w:t>已有的配电系统。</w:t>
                  </w:r>
                </w:p>
                <w:p>
                  <w:pPr>
                    <w:pStyle w:val="2"/>
                    <w:numPr>
                      <w:ilvl w:val="0"/>
                      <w:numId w:val="6"/>
                    </w:numPr>
                    <w:spacing w:line="360" w:lineRule="auto"/>
                    <w:ind w:firstLine="480" w:firstLineChars="0"/>
                    <w:rPr>
                      <w:color w:val="000000" w:themeColor="text1"/>
                      <w:highlight w:val="none"/>
                      <w:u w:val="none"/>
                    </w:rPr>
                  </w:pPr>
                  <w:r>
                    <w:rPr>
                      <w:rFonts w:hint="eastAsia"/>
                      <w:color w:val="000000" w:themeColor="text1"/>
                      <w:highlight w:val="none"/>
                      <w:u w:val="none"/>
                    </w:rPr>
                    <w:t>依托工程</w:t>
                  </w:r>
                </w:p>
                <w:p>
                  <w:pPr>
                    <w:pStyle w:val="2"/>
                    <w:spacing w:line="360" w:lineRule="auto"/>
                    <w:ind w:firstLine="480"/>
                    <w:jc w:val="left"/>
                    <w:rPr>
                      <w:color w:val="000000" w:themeColor="text1"/>
                      <w:highlight w:val="none"/>
                      <w:u w:val="none"/>
                    </w:rPr>
                  </w:pPr>
                  <w:r>
                    <w:rPr>
                      <w:rFonts w:hint="eastAsia"/>
                      <w:color w:val="000000" w:themeColor="text1"/>
                      <w:highlight w:val="none"/>
                      <w:u w:val="none"/>
                    </w:rPr>
                    <w:t>本项目租赁位于</w:t>
                  </w:r>
                  <w:r>
                    <w:rPr>
                      <w:rFonts w:hint="eastAsia"/>
                      <w:color w:val="000000" w:themeColor="text1"/>
                      <w:sz w:val="24"/>
                      <w:highlight w:val="none"/>
                    </w:rPr>
                    <w:t>湖南省岳阳市湘阴县</w:t>
                  </w:r>
                  <w:r>
                    <w:rPr>
                      <w:rFonts w:hint="eastAsia"/>
                      <w:color w:val="000000" w:themeColor="text1"/>
                      <w:sz w:val="24"/>
                      <w:highlight w:val="none"/>
                      <w:lang w:eastAsia="zh-CN"/>
                    </w:rPr>
                    <w:t>金龙新区</w:t>
                  </w:r>
                  <w:r>
                    <w:rPr>
                      <w:rFonts w:hint="eastAsia"/>
                      <w:color w:val="000000" w:themeColor="text1"/>
                      <w:highlight w:val="none"/>
                      <w:u w:val="none"/>
                      <w:lang w:eastAsia="zh-CN"/>
                    </w:rPr>
                    <w:t>湖南奇思环保设备制造有限公司</w:t>
                  </w:r>
                  <w:r>
                    <w:rPr>
                      <w:rFonts w:hint="eastAsia"/>
                      <w:color w:val="000000" w:themeColor="text1"/>
                      <w:highlight w:val="none"/>
                      <w:u w:val="none"/>
                    </w:rPr>
                    <w:t>相关场地做办公和实验室场所，本项目与</w:t>
                  </w:r>
                  <w:r>
                    <w:rPr>
                      <w:rFonts w:hint="eastAsia"/>
                      <w:color w:val="000000" w:themeColor="text1"/>
                      <w:highlight w:val="none"/>
                      <w:u w:val="none"/>
                      <w:lang w:eastAsia="zh-CN"/>
                    </w:rPr>
                    <w:t>湖南奇思环保设备制造有限公司</w:t>
                  </w:r>
                  <w:r>
                    <w:rPr>
                      <w:rFonts w:hint="eastAsia"/>
                      <w:color w:val="000000" w:themeColor="text1"/>
                      <w:highlight w:val="none"/>
                      <w:u w:val="none"/>
                    </w:rPr>
                    <w:t>的依托关系见表1-8所示。</w:t>
                  </w:r>
                </w:p>
                <w:p>
                  <w:pPr>
                    <w:pStyle w:val="2"/>
                    <w:spacing w:line="240" w:lineRule="auto"/>
                    <w:ind w:firstLine="0" w:firstLineChars="0"/>
                    <w:jc w:val="center"/>
                    <w:rPr>
                      <w:color w:val="000000" w:themeColor="text1"/>
                      <w:highlight w:val="none"/>
                      <w:u w:val="none"/>
                    </w:rPr>
                  </w:pPr>
                  <w:r>
                    <w:rPr>
                      <w:rFonts w:hint="eastAsia"/>
                      <w:b/>
                      <w:bCs/>
                      <w:color w:val="000000" w:themeColor="text1"/>
                      <w:sz w:val="21"/>
                      <w:szCs w:val="21"/>
                      <w:highlight w:val="none"/>
                      <w:u w:val="none"/>
                    </w:rPr>
                    <w:t>表1-8 项目与</w:t>
                  </w:r>
                  <w:r>
                    <w:rPr>
                      <w:rFonts w:hint="eastAsia"/>
                      <w:b/>
                      <w:bCs/>
                      <w:color w:val="000000" w:themeColor="text1"/>
                      <w:sz w:val="21"/>
                      <w:szCs w:val="21"/>
                      <w:highlight w:val="none"/>
                      <w:u w:val="none"/>
                      <w:lang w:eastAsia="zh-CN"/>
                    </w:rPr>
                    <w:t>湖南奇思环保设备制造有限公司</w:t>
                  </w:r>
                  <w:r>
                    <w:rPr>
                      <w:rFonts w:hint="eastAsia"/>
                      <w:b/>
                      <w:bCs/>
                      <w:color w:val="000000" w:themeColor="text1"/>
                      <w:sz w:val="21"/>
                      <w:szCs w:val="21"/>
                      <w:highlight w:val="none"/>
                      <w:u w:val="none"/>
                    </w:rPr>
                    <w:t>依托关系一览表</w:t>
                  </w:r>
                </w:p>
                <w:tbl>
                  <w:tblPr>
                    <w:tblStyle w:val="35"/>
                    <w:tblpPr w:leftFromText="180" w:rightFromText="180" w:vertAnchor="text" w:horzAnchor="page" w:tblpX="94" w:tblpY="194"/>
                    <w:tblOverlap w:val="never"/>
                    <w:tblW w:w="84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8"/>
                    <w:gridCol w:w="2949"/>
                    <w:gridCol w:w="3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8"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名称</w:t>
                        </w:r>
                      </w:p>
                    </w:tc>
                    <w:tc>
                      <w:tcPr>
                        <w:tcW w:w="2949" w:type="dxa"/>
                        <w:tcBorders>
                          <w:tl2br w:val="nil"/>
                          <w:tr2bl w:val="nil"/>
                        </w:tcBorders>
                        <w:vAlign w:val="center"/>
                      </w:tcPr>
                      <w:p>
                        <w:pPr>
                          <w:pStyle w:val="2"/>
                          <w:spacing w:line="240" w:lineRule="auto"/>
                          <w:ind w:firstLine="0" w:firstLineChars="0"/>
                          <w:jc w:val="center"/>
                          <w:rPr>
                            <w:rFonts w:hint="eastAsia" w:eastAsia="宋体"/>
                            <w:color w:val="000000" w:themeColor="text1"/>
                            <w:sz w:val="21"/>
                            <w:szCs w:val="21"/>
                            <w:highlight w:val="none"/>
                            <w:u w:val="none"/>
                            <w:lang w:eastAsia="zh-CN"/>
                          </w:rPr>
                        </w:pPr>
                        <w:r>
                          <w:rPr>
                            <w:rFonts w:hint="eastAsia"/>
                            <w:color w:val="000000" w:themeColor="text1"/>
                            <w:sz w:val="21"/>
                            <w:szCs w:val="21"/>
                            <w:highlight w:val="none"/>
                            <w:u w:val="none"/>
                            <w:lang w:eastAsia="zh-CN"/>
                          </w:rPr>
                          <w:t>湖南奇思环保设备制造有限公司</w:t>
                        </w:r>
                      </w:p>
                    </w:tc>
                    <w:tc>
                      <w:tcPr>
                        <w:tcW w:w="3456"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依托关系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8"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供电设施</w:t>
                        </w:r>
                      </w:p>
                    </w:tc>
                    <w:tc>
                      <w:tcPr>
                        <w:tcW w:w="294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变压器和供电系统</w:t>
                        </w:r>
                      </w:p>
                    </w:tc>
                    <w:tc>
                      <w:tcPr>
                        <w:tcW w:w="3456"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依托</w:t>
                        </w:r>
                        <w:r>
                          <w:rPr>
                            <w:rFonts w:hint="eastAsia"/>
                            <w:color w:val="000000" w:themeColor="text1"/>
                            <w:sz w:val="21"/>
                            <w:szCs w:val="21"/>
                            <w:highlight w:val="none"/>
                            <w:u w:val="none"/>
                            <w:lang w:eastAsia="zh-CN"/>
                          </w:rPr>
                          <w:t>湖南奇思环保设备制造有限公司</w:t>
                        </w:r>
                        <w:r>
                          <w:rPr>
                            <w:rFonts w:hint="eastAsia"/>
                            <w:color w:val="000000" w:themeColor="text1"/>
                            <w:sz w:val="21"/>
                            <w:szCs w:val="21"/>
                            <w:highlight w:val="none"/>
                            <w:u w:val="none"/>
                          </w:rPr>
                          <w:t>已有变压器和相关供电系统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8"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供水设施</w:t>
                        </w:r>
                      </w:p>
                    </w:tc>
                    <w:tc>
                      <w:tcPr>
                        <w:tcW w:w="294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供水管网</w:t>
                        </w:r>
                      </w:p>
                    </w:tc>
                    <w:tc>
                      <w:tcPr>
                        <w:tcW w:w="3456"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依托</w:t>
                        </w:r>
                        <w:r>
                          <w:rPr>
                            <w:rFonts w:hint="eastAsia"/>
                            <w:color w:val="000000" w:themeColor="text1"/>
                            <w:sz w:val="21"/>
                            <w:szCs w:val="21"/>
                            <w:highlight w:val="none"/>
                            <w:u w:val="none"/>
                            <w:lang w:eastAsia="zh-CN"/>
                          </w:rPr>
                          <w:t>湖南奇思环保设备制造有限公司</w:t>
                        </w:r>
                        <w:r>
                          <w:rPr>
                            <w:rFonts w:hint="eastAsia"/>
                            <w:color w:val="000000" w:themeColor="text1"/>
                            <w:sz w:val="21"/>
                            <w:szCs w:val="21"/>
                            <w:highlight w:val="none"/>
                            <w:u w:val="none"/>
                          </w:rPr>
                          <w:t>已有供水管网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8"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污水处理和排水设施</w:t>
                        </w:r>
                      </w:p>
                    </w:tc>
                    <w:tc>
                      <w:tcPr>
                        <w:tcW w:w="294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化粪池、排污管网</w:t>
                        </w:r>
                      </w:p>
                    </w:tc>
                    <w:tc>
                      <w:tcPr>
                        <w:tcW w:w="3456"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依托</w:t>
                        </w:r>
                        <w:r>
                          <w:rPr>
                            <w:rFonts w:hint="eastAsia"/>
                            <w:color w:val="000000" w:themeColor="text1"/>
                            <w:sz w:val="21"/>
                            <w:szCs w:val="21"/>
                            <w:highlight w:val="none"/>
                            <w:u w:val="none"/>
                            <w:lang w:eastAsia="zh-CN"/>
                          </w:rPr>
                          <w:t>湖南奇思环保设备制造有限公司</w:t>
                        </w:r>
                        <w:r>
                          <w:rPr>
                            <w:rFonts w:hint="eastAsia"/>
                            <w:color w:val="000000" w:themeColor="text1"/>
                            <w:sz w:val="21"/>
                            <w:szCs w:val="21"/>
                            <w:highlight w:val="none"/>
                            <w:u w:val="none"/>
                          </w:rPr>
                          <w:t>已有化粪池和排污管网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8"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实验室、办公室</w:t>
                        </w:r>
                      </w:p>
                    </w:tc>
                    <w:tc>
                      <w:tcPr>
                        <w:tcW w:w="2949" w:type="dxa"/>
                        <w:tcBorders>
                          <w:tl2br w:val="nil"/>
                          <w:tr2bl w:val="nil"/>
                        </w:tcBorders>
                        <w:vAlign w:val="center"/>
                      </w:tcPr>
                      <w:p>
                        <w:pPr>
                          <w:pStyle w:val="2"/>
                          <w:spacing w:line="240" w:lineRule="auto"/>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1、2层</w:t>
                        </w:r>
                      </w:p>
                    </w:tc>
                    <w:tc>
                      <w:tcPr>
                        <w:tcW w:w="3456" w:type="dxa"/>
                        <w:tcBorders>
                          <w:tl2br w:val="nil"/>
                          <w:tr2bl w:val="nil"/>
                        </w:tcBorders>
                        <w:vAlign w:val="center"/>
                      </w:tcPr>
                      <w:p>
                        <w:pPr>
                          <w:pStyle w:val="2"/>
                          <w:spacing w:line="240" w:lineRule="auto"/>
                          <w:ind w:firstLine="0" w:firstLineChars="0"/>
                          <w:jc w:val="center"/>
                          <w:rPr>
                            <w:rFonts w:hint="eastAsia" w:eastAsia="宋体"/>
                            <w:color w:val="000000" w:themeColor="text1"/>
                            <w:sz w:val="21"/>
                            <w:szCs w:val="21"/>
                            <w:highlight w:val="none"/>
                            <w:u w:val="none"/>
                            <w:lang w:val="en-US" w:eastAsia="zh-CN"/>
                          </w:rPr>
                        </w:pPr>
                        <w:r>
                          <w:rPr>
                            <w:rFonts w:hint="eastAsia"/>
                            <w:color w:val="000000" w:themeColor="text1"/>
                            <w:sz w:val="21"/>
                            <w:szCs w:val="21"/>
                            <w:highlight w:val="none"/>
                            <w:u w:val="none"/>
                          </w:rPr>
                          <w:t>1</w:t>
                        </w:r>
                        <w:r>
                          <w:rPr>
                            <w:rFonts w:hint="eastAsia"/>
                            <w:color w:val="000000" w:themeColor="text1"/>
                            <w:sz w:val="21"/>
                            <w:szCs w:val="21"/>
                            <w:highlight w:val="none"/>
                            <w:u w:val="none"/>
                            <w:lang w:val="en-US" w:eastAsia="zh-CN"/>
                          </w:rPr>
                          <w:t>楼办公及仓储</w:t>
                        </w:r>
                        <w:r>
                          <w:rPr>
                            <w:rFonts w:hint="eastAsia"/>
                            <w:color w:val="000000" w:themeColor="text1"/>
                            <w:sz w:val="21"/>
                            <w:szCs w:val="21"/>
                            <w:highlight w:val="none"/>
                            <w:u w:val="none"/>
                          </w:rPr>
                          <w:t>、2</w:t>
                        </w:r>
                        <w:r>
                          <w:rPr>
                            <w:rFonts w:hint="eastAsia"/>
                            <w:color w:val="000000" w:themeColor="text1"/>
                            <w:sz w:val="21"/>
                            <w:szCs w:val="21"/>
                            <w:highlight w:val="none"/>
                            <w:u w:val="none"/>
                            <w:lang w:val="en-US" w:eastAsia="zh-CN"/>
                          </w:rPr>
                          <w:t>楼实验室</w:t>
                        </w:r>
                      </w:p>
                    </w:tc>
                  </w:tr>
                </w:tbl>
                <w:p>
                  <w:pPr>
                    <w:pStyle w:val="2"/>
                    <w:spacing w:line="360" w:lineRule="auto"/>
                    <w:ind w:firstLine="480"/>
                    <w:rPr>
                      <w:color w:val="000000" w:themeColor="text1"/>
                      <w:highlight w:val="none"/>
                      <w:u w:val="none"/>
                    </w:rPr>
                  </w:pPr>
                  <w:r>
                    <w:rPr>
                      <w:rFonts w:hint="eastAsia"/>
                      <w:color w:val="000000" w:themeColor="text1"/>
                      <w:highlight w:val="none"/>
                      <w:u w:val="none"/>
                    </w:rPr>
                    <w:t>依托工程</w:t>
                  </w:r>
                  <w:r>
                    <w:rPr>
                      <w:rFonts w:hint="eastAsia"/>
                      <w:color w:val="000000" w:themeColor="text1"/>
                      <w:highlight w:val="none"/>
                      <w:u w:val="none"/>
                      <w:lang w:eastAsia="zh-CN"/>
                    </w:rPr>
                    <w:t>湖南奇思环保设备制造有限公司</w:t>
                  </w:r>
                  <w:r>
                    <w:rPr>
                      <w:rFonts w:hint="eastAsia"/>
                      <w:color w:val="000000" w:themeColor="text1"/>
                      <w:highlight w:val="none"/>
                      <w:u w:val="none"/>
                    </w:rPr>
                    <w:t>为已有建筑，本项目所产生的生活废水以及仪器、器皿及实验操作台清洗废水产生量较小，在已有化粪池处理能力范围内，</w:t>
                  </w:r>
                  <w:r>
                    <w:rPr>
                      <w:rFonts w:hint="eastAsia"/>
                      <w:color w:val="000000" w:themeColor="text1"/>
                      <w:highlight w:val="none"/>
                      <w:u w:val="none"/>
                      <w:lang w:eastAsia="zh-CN"/>
                    </w:rPr>
                    <w:t>湖南奇思环保设备制造有限公司</w:t>
                  </w:r>
                  <w:r>
                    <w:rPr>
                      <w:rFonts w:hint="eastAsia"/>
                      <w:color w:val="000000" w:themeColor="text1"/>
                      <w:highlight w:val="none"/>
                      <w:u w:val="none"/>
                    </w:rPr>
                    <w:t>具有完善的供电系统、供水管网以及排污管网，所以本项目的依托工程是可行的。</w:t>
                  </w:r>
                </w:p>
                <w:p>
                  <w:pPr>
                    <w:rPr>
                      <w:b/>
                      <w:bCs/>
                      <w:color w:val="000000" w:themeColor="text1"/>
                      <w:sz w:val="28"/>
                      <w:szCs w:val="28"/>
                      <w:highlight w:val="none"/>
                      <w:u w:val="none"/>
                    </w:rPr>
                  </w:pPr>
                  <w:r>
                    <w:rPr>
                      <w:b/>
                      <w:bCs/>
                      <w:color w:val="000000" w:themeColor="text1"/>
                      <w:sz w:val="28"/>
                      <w:szCs w:val="28"/>
                      <w:highlight w:val="none"/>
                      <w:u w:val="none"/>
                    </w:rPr>
                    <w:t>与本项目有关的原有污染情况及主要环境问题</w:t>
                  </w:r>
                </w:p>
                <w:p>
                  <w:pPr>
                    <w:spacing w:after="160" w:line="500" w:lineRule="exact"/>
                    <w:ind w:firstLine="480" w:firstLineChars="200"/>
                    <w:rPr>
                      <w:rFonts w:hAnsi="宋体"/>
                      <w:b/>
                      <w:bCs/>
                      <w:color w:val="000000" w:themeColor="text1"/>
                      <w:sz w:val="24"/>
                      <w:highlight w:val="none"/>
                      <w:u w:val="none"/>
                    </w:rPr>
                  </w:pPr>
                  <w:r>
                    <w:rPr>
                      <w:rFonts w:hint="eastAsia"/>
                      <w:b/>
                      <w:color w:val="000000" w:themeColor="text1"/>
                      <w:sz w:val="24"/>
                      <w:szCs w:val="22"/>
                      <w:highlight w:val="none"/>
                      <w:u w:val="none"/>
                    </w:rPr>
                    <w:t>依托工程“</w:t>
                  </w:r>
                  <w:r>
                    <w:rPr>
                      <w:rFonts w:hint="eastAsia"/>
                      <w:b/>
                      <w:color w:val="000000" w:themeColor="text1"/>
                      <w:sz w:val="24"/>
                      <w:szCs w:val="22"/>
                      <w:highlight w:val="none"/>
                      <w:u w:val="none"/>
                      <w:lang w:eastAsia="zh-CN"/>
                    </w:rPr>
                    <w:t>湖南奇思环保设备制造有限公司</w:t>
                  </w:r>
                  <w:r>
                    <w:rPr>
                      <w:rFonts w:hint="eastAsia"/>
                      <w:b/>
                      <w:color w:val="000000" w:themeColor="text1"/>
                      <w:sz w:val="24"/>
                      <w:szCs w:val="22"/>
                      <w:highlight w:val="none"/>
                      <w:u w:val="none"/>
                    </w:rPr>
                    <w:t>”主要污染情况介绍</w:t>
                  </w:r>
                </w:p>
                <w:p>
                  <w:pPr>
                    <w:pStyle w:val="2"/>
                    <w:spacing w:line="360" w:lineRule="auto"/>
                    <w:ind w:firstLine="480"/>
                    <w:rPr>
                      <w:color w:val="000000" w:themeColor="text1"/>
                      <w:highlight w:val="none"/>
                      <w:u w:val="none"/>
                    </w:rPr>
                  </w:pPr>
                  <w:r>
                    <w:rPr>
                      <w:rFonts w:hint="eastAsia"/>
                      <w:color w:val="000000" w:themeColor="text1"/>
                      <w:highlight w:val="none"/>
                      <w:u w:val="none"/>
                    </w:rPr>
                    <w:t>湖南奇思环保设备制造有限公司在湖南省湘阴县金龙镇金龙新区安嘉路以西、文襄路以南建设年产1000台环卫专用车生产建设项目，年产吸污车600台、挖掏式管道疏通车100台、抓斗式清淤车300辆、专用车产品配件11500件。于2015年3月获得了岳阳市环境保护局环评批复（批文号：岳环评[2015]32号）。并于2017年2月通过岳阳市环境保护局环保验收（批文号：岳环评验[2017]1号）。</w:t>
                  </w:r>
                  <w:r>
                    <w:rPr>
                      <w:rFonts w:hint="eastAsia"/>
                      <w:color w:val="000000" w:themeColor="text1"/>
                      <w:highlight w:val="none"/>
                      <w:u w:val="none"/>
                      <w:lang w:val="en-US" w:eastAsia="zh-CN"/>
                    </w:rPr>
                    <w:t>2019年</w:t>
                  </w:r>
                  <w:r>
                    <w:rPr>
                      <w:rFonts w:hint="eastAsia"/>
                      <w:color w:val="000000" w:themeColor="text1"/>
                      <w:highlight w:val="none"/>
                      <w:u w:val="none"/>
                    </w:rPr>
                    <w:t>利用原有1号厂房（联合厂房）的南端改建2000平方米车间，新增100台/年垃圾热解汽化炉。</w:t>
                  </w:r>
                </w:p>
                <w:p>
                  <w:pPr>
                    <w:pStyle w:val="2"/>
                    <w:spacing w:line="360" w:lineRule="auto"/>
                    <w:ind w:firstLine="480"/>
                    <w:rPr>
                      <w:color w:val="000000" w:themeColor="text1"/>
                      <w:highlight w:val="none"/>
                      <w:u w:val="none"/>
                    </w:rPr>
                  </w:pPr>
                  <w:r>
                    <w:rPr>
                      <w:rFonts w:hint="eastAsia"/>
                      <w:color w:val="000000" w:themeColor="text1"/>
                      <w:highlight w:val="none"/>
                      <w:u w:val="none"/>
                      <w:lang w:val="en-US" w:eastAsia="zh-CN"/>
                    </w:rPr>
                    <w:t>本项目</w:t>
                  </w:r>
                  <w:r>
                    <w:rPr>
                      <w:rFonts w:hint="eastAsia"/>
                      <w:color w:val="000000" w:themeColor="text1"/>
                      <w:highlight w:val="none"/>
                      <w:u w:val="none"/>
                    </w:rPr>
                    <w:t>建筑共有</w:t>
                  </w:r>
                  <w:r>
                    <w:rPr>
                      <w:rFonts w:hint="eastAsia"/>
                      <w:color w:val="000000" w:themeColor="text1"/>
                      <w:highlight w:val="none"/>
                      <w:u w:val="none"/>
                      <w:lang w:val="en-US" w:eastAsia="zh-CN"/>
                    </w:rPr>
                    <w:t>2</w:t>
                  </w:r>
                  <w:r>
                    <w:rPr>
                      <w:rFonts w:hint="eastAsia"/>
                      <w:color w:val="000000" w:themeColor="text1"/>
                      <w:highlight w:val="none"/>
                      <w:u w:val="none"/>
                    </w:rPr>
                    <w:t>层。根据企业的发展情况等原因，将</w:t>
                  </w:r>
                  <w:r>
                    <w:rPr>
                      <w:rFonts w:hint="eastAsia"/>
                      <w:color w:val="000000" w:themeColor="text1"/>
                      <w:highlight w:val="none"/>
                      <w:u w:val="none"/>
                      <w:lang w:val="en-US" w:eastAsia="zh-CN"/>
                    </w:rPr>
                    <w:t>本建筑物</w:t>
                  </w:r>
                  <w:r>
                    <w:rPr>
                      <w:rFonts w:hint="eastAsia"/>
                      <w:color w:val="000000" w:themeColor="text1"/>
                      <w:highlight w:val="none"/>
                      <w:u w:val="none"/>
                    </w:rPr>
                    <w:t>租赁于</w:t>
                  </w:r>
                  <w:r>
                    <w:rPr>
                      <w:rFonts w:hint="eastAsia"/>
                      <w:color w:val="000000" w:themeColor="text1"/>
                      <w:highlight w:val="none"/>
                      <w:u w:val="none"/>
                      <w:lang w:eastAsia="zh-CN"/>
                    </w:rPr>
                    <w:t>湖南乐思检测有限公司</w:t>
                  </w:r>
                  <w:r>
                    <w:rPr>
                      <w:rFonts w:hint="eastAsia"/>
                      <w:color w:val="000000" w:themeColor="text1"/>
                      <w:highlight w:val="none"/>
                      <w:u w:val="none"/>
                    </w:rPr>
                    <w:t>。</w:t>
                  </w:r>
                </w:p>
                <w:p>
                  <w:pPr>
                    <w:pStyle w:val="2"/>
                    <w:spacing w:line="360" w:lineRule="auto"/>
                    <w:ind w:firstLine="480"/>
                    <w:rPr>
                      <w:rFonts w:hint="eastAsia" w:eastAsia="宋体"/>
                      <w:color w:val="000000" w:themeColor="text1"/>
                      <w:highlight w:val="none"/>
                      <w:u w:val="none"/>
                      <w:lang w:eastAsia="zh-CN"/>
                    </w:rPr>
                  </w:pPr>
                  <w:r>
                    <w:rPr>
                      <w:rFonts w:hint="eastAsia"/>
                      <w:color w:val="000000" w:themeColor="text1"/>
                      <w:highlight w:val="none"/>
                      <w:u w:val="none"/>
                      <w:lang w:eastAsia="zh-CN"/>
                    </w:rPr>
                    <w:t>湖南奇思环保设备制造有限公司主要大气污染源为切割、焊接、砂光产生的金属粉尘、喷漆废气</w:t>
                  </w:r>
                  <w:r>
                    <w:rPr>
                      <w:rFonts w:hint="eastAsia"/>
                      <w:color w:val="000000" w:themeColor="text1"/>
                      <w:highlight w:val="none"/>
                      <w:u w:val="none"/>
                    </w:rPr>
                    <w:t>。噪声主要来自生产设备等运行时产生的噪声</w:t>
                  </w:r>
                  <w:r>
                    <w:rPr>
                      <w:rFonts w:hint="eastAsia"/>
                      <w:color w:val="000000" w:themeColor="text1"/>
                      <w:highlight w:val="none"/>
                      <w:u w:val="none"/>
                      <w:lang w:eastAsia="zh-CN"/>
                    </w:rPr>
                    <w:t>。固体废弃物主要为一般工业固废以及危险废物，一般固废主要有金属边角料、废屑、废焊料和焊渣；</w:t>
                  </w:r>
                  <w:r>
                    <w:rPr>
                      <w:rFonts w:hint="eastAsia"/>
                      <w:color w:val="000000" w:themeColor="text1"/>
                      <w:highlight w:val="none"/>
                      <w:u w:val="none"/>
                      <w:lang w:val="en-US" w:eastAsia="zh-CN"/>
                    </w:rPr>
                    <w:t>危险废物主要有废油漆桶、废活性炭、含漆渣废水</w:t>
                  </w:r>
                  <w:r>
                    <w:rPr>
                      <w:rFonts w:hint="eastAsia"/>
                      <w:color w:val="000000" w:themeColor="text1"/>
                      <w:highlight w:val="none"/>
                      <w:u w:val="none"/>
                      <w:lang w:eastAsia="zh-CN"/>
                    </w:rPr>
                    <w:t>。废水主要有生活废水、生产废水，</w:t>
                  </w:r>
                  <w:r>
                    <w:rPr>
                      <w:rFonts w:hint="eastAsia"/>
                      <w:color w:val="000000" w:themeColor="text1"/>
                      <w:highlight w:val="none"/>
                      <w:u w:val="none"/>
                      <w:lang w:val="en-US" w:eastAsia="zh-CN"/>
                    </w:rPr>
                    <w:t>其中生产废水主要为喷漆循环水池，定期补充新鲜水，循环使用，不外排</w:t>
                  </w:r>
                  <w:r>
                    <w:rPr>
                      <w:rFonts w:hint="eastAsia"/>
                      <w:color w:val="000000" w:themeColor="text1"/>
                      <w:highlight w:val="none"/>
                      <w:u w:val="none"/>
                      <w:lang w:eastAsia="zh-CN"/>
                    </w:rPr>
                    <w:t>。</w:t>
                  </w:r>
                </w:p>
                <w:p>
                  <w:pPr>
                    <w:pStyle w:val="2"/>
                    <w:ind w:firstLine="0" w:firstLineChars="0"/>
                    <w:rPr>
                      <w:color w:val="000000" w:themeColor="text1"/>
                      <w:sz w:val="21"/>
                      <w:szCs w:val="21"/>
                      <w:highlight w:val="red"/>
                      <w:u w:val="none"/>
                      <w:shd w:val="clear" w:color="auto" w:fill="FFFFFF"/>
                    </w:rPr>
                  </w:pPr>
                </w:p>
              </w:tc>
            </w:tr>
          </w:tbl>
          <w:p>
            <w:pPr>
              <w:spacing w:line="300" w:lineRule="exact"/>
              <w:rPr>
                <w:color w:val="000000" w:themeColor="text1"/>
                <w:sz w:val="24"/>
                <w:highlight w:val="red"/>
              </w:rPr>
            </w:pPr>
          </w:p>
        </w:tc>
      </w:tr>
    </w:tbl>
    <w:p>
      <w:pPr>
        <w:spacing w:line="600" w:lineRule="exact"/>
        <w:jc w:val="left"/>
        <w:rPr>
          <w:b/>
          <w:bCs/>
          <w:color w:val="000000" w:themeColor="text1"/>
          <w:sz w:val="30"/>
          <w:szCs w:val="30"/>
          <w:highlight w:val="red"/>
        </w:rPr>
        <w:sectPr>
          <w:pgSz w:w="11907" w:h="16840"/>
          <w:pgMar w:top="1418" w:right="1418" w:bottom="1134" w:left="1418" w:header="1134" w:footer="1134" w:gutter="0"/>
          <w:pgNumType w:fmt="decimal" w:start="1"/>
          <w:cols w:space="720" w:num="1"/>
          <w:docGrid w:type="linesAndChars" w:linePitch="312" w:charSpace="0"/>
        </w:sectPr>
      </w:pPr>
    </w:p>
    <w:p>
      <w:pPr>
        <w:spacing w:line="360" w:lineRule="exact"/>
        <w:jc w:val="left"/>
        <w:outlineLvl w:val="0"/>
        <w:rPr>
          <w:b/>
          <w:bCs/>
          <w:color w:val="000000" w:themeColor="text1"/>
          <w:sz w:val="30"/>
          <w:szCs w:val="30"/>
          <w:highlight w:val="none"/>
        </w:rPr>
      </w:pPr>
      <w:bookmarkStart w:id="14" w:name="_Toc2743"/>
      <w:r>
        <w:rPr>
          <w:b/>
          <w:bCs/>
          <w:color w:val="000000" w:themeColor="text1"/>
          <w:sz w:val="30"/>
          <w:szCs w:val="30"/>
          <w:highlight w:val="none"/>
        </w:rPr>
        <w:t>建设项目所在地自然社会环境简况</w:t>
      </w:r>
      <w:bookmarkEnd w:id="14"/>
    </w:p>
    <w:tbl>
      <w:tblPr>
        <w:tblStyle w:val="34"/>
        <w:tblW w:w="9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43" w:type="dxa"/>
            <w:vAlign w:val="top"/>
          </w:tcPr>
          <w:p>
            <w:pPr>
              <w:spacing w:line="560" w:lineRule="exact"/>
              <w:jc w:val="left"/>
              <w:outlineLvl w:val="9"/>
              <w:rPr>
                <w:color w:val="000000" w:themeColor="text1"/>
                <w:sz w:val="24"/>
                <w:highlight w:val="none"/>
              </w:rPr>
            </w:pPr>
            <w:r>
              <w:rPr>
                <w:color w:val="000000" w:themeColor="text1"/>
                <w:sz w:val="24"/>
                <w:highlight w:val="none"/>
              </w:rPr>
              <w:t>自然环境简况（地形、地貌、地质、气候、气象、水文、植被、生物多样性等）：</w:t>
            </w:r>
          </w:p>
          <w:p>
            <w:pPr>
              <w:spacing w:line="360" w:lineRule="auto"/>
              <w:ind w:firstLine="480" w:firstLineChars="200"/>
              <w:outlineLvl w:val="9"/>
              <w:rPr>
                <w:color w:val="000000" w:themeColor="text1"/>
                <w:sz w:val="24"/>
                <w:highlight w:val="none"/>
              </w:rPr>
            </w:pPr>
            <w:r>
              <w:rPr>
                <w:color w:val="000000" w:themeColor="text1"/>
                <w:sz w:val="24"/>
                <w:highlight w:val="none"/>
              </w:rPr>
              <w:t>1、地理位置</w:t>
            </w:r>
          </w:p>
          <w:p>
            <w:pPr>
              <w:spacing w:line="360" w:lineRule="auto"/>
              <w:ind w:firstLine="480" w:firstLineChars="200"/>
              <w:outlineLvl w:val="9"/>
              <w:rPr>
                <w:color w:val="000000" w:themeColor="text1"/>
                <w:sz w:val="24"/>
                <w:highlight w:val="none"/>
              </w:rPr>
            </w:pPr>
            <w:r>
              <w:rPr>
                <w:rFonts w:hint="eastAsia"/>
                <w:color w:val="000000" w:themeColor="text1"/>
                <w:sz w:val="24"/>
                <w:highlight w:val="none"/>
              </w:rPr>
              <w:t>位于湖南省东北部，居湘资两水尾闾、南洞庭湖滨，湘江自南向北贯穿全境，把全县分为东西两部，东部为丘陵岗地，西部为滨湖平原，湘阴县地处长沙、岳阳、益阳三市五县中心，紧邻湖南省省会长沙，县城距长沙中心城区38公里，处于“长株潭”半小时经济圈内，湘阴县是“长株潭”地区沿湘江、过洞庭湖、经长江出海的必经通道，既是“长株潭”城市群沿江北上在洞庭湖的“大码头”，也是岳阳和武汉城市圈对接“长株潭”城市群的“桥头堡”</w:t>
            </w:r>
            <w:r>
              <w:rPr>
                <w:color w:val="000000" w:themeColor="text1"/>
                <w:sz w:val="24"/>
                <w:highlight w:val="none"/>
              </w:rPr>
              <w:t>。</w:t>
            </w:r>
          </w:p>
          <w:p>
            <w:pPr>
              <w:spacing w:line="360" w:lineRule="auto"/>
              <w:ind w:firstLine="480" w:firstLineChars="200"/>
              <w:outlineLvl w:val="9"/>
              <w:rPr>
                <w:color w:val="000000" w:themeColor="text1"/>
                <w:sz w:val="24"/>
                <w:highlight w:val="none"/>
              </w:rPr>
            </w:pPr>
            <w:r>
              <w:rPr>
                <w:color w:val="000000" w:themeColor="text1"/>
                <w:sz w:val="24"/>
                <w:highlight w:val="none"/>
              </w:rPr>
              <w:t>本项目位于</w:t>
            </w:r>
            <w:r>
              <w:rPr>
                <w:rFonts w:hint="eastAsia"/>
                <w:color w:val="000000" w:themeColor="text1"/>
                <w:sz w:val="24"/>
                <w:highlight w:val="none"/>
              </w:rPr>
              <w:t>湖南省岳阳市湘阴县</w:t>
            </w:r>
            <w:r>
              <w:rPr>
                <w:rFonts w:hint="eastAsia"/>
                <w:color w:val="000000" w:themeColor="text1"/>
                <w:sz w:val="24"/>
                <w:highlight w:val="none"/>
                <w:lang w:eastAsia="zh-CN"/>
              </w:rPr>
              <w:t>金龙新区</w:t>
            </w:r>
            <w:r>
              <w:rPr>
                <w:color w:val="000000" w:themeColor="text1"/>
                <w:sz w:val="24"/>
                <w:highlight w:val="none"/>
              </w:rPr>
              <w:t>，项目中心地理坐标为</w:t>
            </w:r>
            <w:r>
              <w:rPr>
                <w:rFonts w:hint="eastAsia"/>
                <w:color w:val="000000" w:themeColor="text1"/>
                <w:sz w:val="24"/>
                <w:highlight w:val="none"/>
              </w:rPr>
              <w:t>112°55′33.45583″,28°31′42.20361″</w:t>
            </w:r>
            <w:r>
              <w:rPr>
                <w:color w:val="000000" w:themeColor="text1"/>
                <w:sz w:val="24"/>
                <w:highlight w:val="none"/>
              </w:rPr>
              <w:t>，详见附图1。</w:t>
            </w:r>
          </w:p>
          <w:p>
            <w:pPr>
              <w:spacing w:line="360" w:lineRule="auto"/>
              <w:ind w:firstLine="480" w:firstLineChars="200"/>
              <w:outlineLvl w:val="9"/>
              <w:rPr>
                <w:rFonts w:hint="eastAsia"/>
                <w:color w:val="000000" w:themeColor="text1"/>
                <w:sz w:val="24"/>
                <w:highlight w:val="none"/>
              </w:rPr>
            </w:pPr>
            <w:r>
              <w:rPr>
                <w:color w:val="000000" w:themeColor="text1"/>
                <w:sz w:val="24"/>
                <w:highlight w:val="none"/>
              </w:rPr>
              <w:t>2、</w:t>
            </w:r>
            <w:r>
              <w:rPr>
                <w:rFonts w:hint="eastAsia"/>
                <w:color w:val="000000" w:themeColor="text1"/>
                <w:sz w:val="24"/>
                <w:highlight w:val="none"/>
              </w:rPr>
              <w:t>地形、地貌、地质</w:t>
            </w:r>
          </w:p>
          <w:p>
            <w:pPr>
              <w:spacing w:line="360" w:lineRule="auto"/>
              <w:ind w:firstLine="480" w:firstLineChars="200"/>
              <w:outlineLvl w:val="9"/>
              <w:rPr>
                <w:color w:val="000000" w:themeColor="text1"/>
                <w:sz w:val="24"/>
                <w:highlight w:val="none"/>
              </w:rPr>
            </w:pPr>
            <w:r>
              <w:rPr>
                <w:rFonts w:hint="eastAsia"/>
                <w:color w:val="000000" w:themeColor="text1"/>
                <w:sz w:val="24"/>
                <w:highlight w:val="none"/>
              </w:rPr>
              <w:t>湘阴县地块属新华夏构造体系的第二隆地带，地貌呈低山、岗地、平原三种形态，具有三大特征：地势东南高，西北低；湘阴县位居幕阜山余脉走向洞庭湖凹陷处的过渡带上，地势自东南向西北递降，形成一个微向洞庭湖盆中心的倾斜面。最高处青山庵，海拔552.4米，最低处濠河口河底，低于黄海水平面4.3米；以滨湖平原为主体，呈块状分布，湘阴县地处湘江大断裂带，构成低山、岗地；西盘下切，形成滨湖平原。除去江河湖泊及其它水面，滨湖、江河、溪谷3种平原共702.11平方公里，占湘阴县总面积的44.4%，岗地占13.59%，低山占1.51%。河湖交汇，水域广阔，湘阴县的山岗地区水系发育不良，北部平原、湖洲地区河湖交汇</w:t>
            </w:r>
            <w:r>
              <w:rPr>
                <w:color w:val="000000" w:themeColor="text1"/>
                <w:sz w:val="24"/>
                <w:highlight w:val="none"/>
              </w:rPr>
              <w:t>。</w:t>
            </w:r>
          </w:p>
          <w:p>
            <w:pPr>
              <w:spacing w:line="360" w:lineRule="auto"/>
              <w:ind w:firstLine="480" w:firstLineChars="200"/>
              <w:outlineLvl w:val="9"/>
              <w:rPr>
                <w:color w:val="000000" w:themeColor="text1"/>
                <w:sz w:val="24"/>
                <w:highlight w:val="none"/>
              </w:rPr>
            </w:pPr>
            <w:r>
              <w:rPr>
                <w:rFonts w:hint="eastAsia"/>
                <w:color w:val="000000" w:themeColor="text1"/>
                <w:sz w:val="24"/>
                <w:highlight w:val="none"/>
                <w:lang w:val="en-US" w:eastAsia="zh-CN"/>
              </w:rPr>
              <w:t>3</w:t>
            </w:r>
            <w:r>
              <w:rPr>
                <w:color w:val="000000" w:themeColor="text1"/>
                <w:sz w:val="24"/>
                <w:highlight w:val="none"/>
              </w:rPr>
              <w:t>、气候和气象</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湘阴县地处中亚热带向北亚热带过渡的季风气候区，县域内地貌类型简单，东西两部分气候差异不显著，气候温和，雨量充沛，光照充足，四季分明。主要灾害性天气有暴雨、干旱、大风、雷雹、低温、冰冻。县气象站记载，1959～1985年的27年间，共发生此类天气141次，年均 5.2次。各种灾害性天气发生次数及占此类天气总数的百分比为：暴雨25次，占17.85%；干旱23次，占16.42%，低温31次，占22.17%；大风26次，占 18.57%；雷雹13次，占9.28%，冰冻23次，占15.71%。</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湘阴县主要气象数据：</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年平均气温16.9℃</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最热月平均气温29.0℃</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最冷月平均气温4.4℃</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极端最高气温38.4℃</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极端最低气温-12.0℃</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年降水量1410.8 mm</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年日照1610.5 h</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年辐射量1410.4 千卡/平方厘米</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年主导风向为西北风</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年平均风速2.5 m/s</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年相对湿度81%</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年平均降雨量1383毫米</w:t>
            </w:r>
          </w:p>
          <w:p>
            <w:pPr>
              <w:spacing w:line="360" w:lineRule="auto"/>
              <w:ind w:firstLine="470" w:firstLineChars="196"/>
              <w:outlineLvl w:val="9"/>
              <w:rPr>
                <w:rFonts w:hint="default" w:ascii="Times New Roman" w:hAnsi="Times New Roman" w:cs="Times New Roman"/>
                <w:sz w:val="24"/>
              </w:rPr>
            </w:pPr>
            <w:r>
              <w:rPr>
                <w:rFonts w:hint="default" w:ascii="Times New Roman" w:hAnsi="Times New Roman" w:cs="Times New Roman"/>
                <w:sz w:val="24"/>
              </w:rPr>
              <w:t>年蒸发量1329.4 mm</w:t>
            </w:r>
          </w:p>
          <w:p>
            <w:pPr>
              <w:spacing w:line="360" w:lineRule="auto"/>
              <w:ind w:firstLine="480" w:firstLineChars="200"/>
              <w:outlineLvl w:val="9"/>
              <w:rPr>
                <w:color w:val="000000" w:themeColor="text1"/>
                <w:sz w:val="24"/>
                <w:highlight w:val="none"/>
              </w:rPr>
            </w:pPr>
            <w:r>
              <w:rPr>
                <w:rFonts w:hint="default" w:ascii="Times New Roman" w:hAnsi="Times New Roman" w:cs="Times New Roman"/>
                <w:sz w:val="24"/>
              </w:rPr>
              <w:t>全年无霜期274天</w:t>
            </w:r>
            <w:r>
              <w:rPr>
                <w:color w:val="000000" w:themeColor="text1"/>
                <w:sz w:val="24"/>
                <w:highlight w:val="none"/>
              </w:rPr>
              <w:t>。</w:t>
            </w:r>
          </w:p>
          <w:p>
            <w:pPr>
              <w:pStyle w:val="2"/>
              <w:spacing w:line="360" w:lineRule="auto"/>
              <w:ind w:firstLine="480"/>
              <w:outlineLvl w:val="9"/>
              <w:rPr>
                <w:color w:val="000000" w:themeColor="text1"/>
                <w:highlight w:val="none"/>
              </w:rPr>
            </w:pPr>
            <w:r>
              <w:rPr>
                <w:rFonts w:hint="eastAsia"/>
                <w:color w:val="000000" w:themeColor="text1"/>
                <w:highlight w:val="none"/>
                <w:lang w:val="en-US" w:eastAsia="zh-CN"/>
              </w:rPr>
              <w:t>4</w:t>
            </w:r>
            <w:r>
              <w:rPr>
                <w:color w:val="000000" w:themeColor="text1"/>
                <w:highlight w:val="none"/>
              </w:rPr>
              <w:t>、水文</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地表水：湘阴江湖甚多，水域面积98.56万亩，占全县总面积的41.56%。其中，江河面积14.55万亩，占水域面积的14.76%；湖泊面积约33.2万亩，占水域面积的33.69%。余为洪水季节为水，枯水季节为洲的湖洲，约占水域的15.55%。</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①湘江是我省的最大河流，其发源于广西省临桂县海洋坪龙门界，经金沙入湖南省东安县，流经零陵、湘阴、株洲、湘潭、岳阳，然后自岳阳入洞庭湖，于城陵矶入长江，全长856 km，是岳阳市的主要供水源。湘江岳阳段全长95 km，江面宽500～1500 m，一般水深6～15 m，河床多砂砾石且坡度平缓，河水流速慢。其流量分平、洪、丰、枯四个水期，有明显的季节变化，洪水期多出现在5～7月，枯水期多出现在12～翌年2月。湘江是岳阳市的一条景观河流，既是岳阳市的主要供水水源，又是岳阳市的污水最终受纳水体。其主要水文参数如下：</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年平均水位27.31 m</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平均最高水位36.65 m</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平均最低水位23.25 m</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历史最高洪峰水位37.37 m</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平均径流深7.76 m</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年平均流量2131 m3/s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平均最大流量12900 m3/s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历史最大洪峰流量23000 m3/s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平均最小流量248 m3/s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枯水期流量（90%保证率）410 m3/s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历史最小流量120 m3/s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最大流速2.6 m/s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年平均流速0.45 m/s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枯水期平均流速0.18 m/s</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平均含砂量0.1-0.2 kg/m3</w:t>
            </w:r>
          </w:p>
          <w:p>
            <w:pPr>
              <w:pStyle w:val="2"/>
              <w:ind w:firstLine="480"/>
              <w:outlineLvl w:val="9"/>
              <w:rPr>
                <w:rFonts w:hint="default" w:ascii="Times New Roman" w:hAnsi="Times New Roman" w:cs="Times New Roman"/>
                <w:b w:val="0"/>
                <w:bCs w:val="0"/>
                <w:snapToGrid w:val="0"/>
                <w:spacing w:val="4"/>
                <w:sz w:val="24"/>
              </w:rPr>
            </w:pPr>
            <w:r>
              <w:rPr>
                <w:rFonts w:hint="default" w:ascii="Times New Roman" w:hAnsi="Times New Roman" w:cs="Times New Roman"/>
                <w:b w:val="0"/>
                <w:bCs w:val="0"/>
                <w:snapToGrid w:val="0"/>
                <w:spacing w:val="4"/>
                <w:sz w:val="24"/>
              </w:rPr>
              <w:t>②燎原水库是由旧河道筑拦水而成的，全长约6公里左右，总库容2940万立方米，正常水面面积121．2万平方米，库区弯弯曲曲，宽窄不一。</w:t>
            </w:r>
          </w:p>
          <w:p>
            <w:pPr>
              <w:pStyle w:val="2"/>
              <w:spacing w:beforeLines="50" w:line="360" w:lineRule="auto"/>
              <w:ind w:firstLine="480"/>
              <w:outlineLvl w:val="9"/>
              <w:rPr>
                <w:color w:val="000000" w:themeColor="text1"/>
                <w:highlight w:val="none"/>
              </w:rPr>
            </w:pPr>
            <w:r>
              <w:rPr>
                <w:rFonts w:hint="default" w:ascii="Times New Roman" w:hAnsi="Times New Roman" w:cs="Times New Roman"/>
                <w:b w:val="0"/>
                <w:bCs w:val="0"/>
                <w:snapToGrid w:val="0"/>
                <w:spacing w:val="4"/>
                <w:sz w:val="24"/>
              </w:rPr>
              <w:t>地下水：地下水以沙卵石层含量为最丰富。据湖南地质局勘测，湘阴年平补给地下水的总量为14.03亿立方米。其中，降水补给1.64亿立方米，江湖补给2.39亿立方米。枯水年地下水径流量为0.78亿立方米，孔隙水总储量为131.67亿立方米。年可开采量为3.29亿立方米。县域地下水水质良好</w:t>
            </w:r>
            <w:r>
              <w:rPr>
                <w:color w:val="000000" w:themeColor="text1"/>
                <w:highlight w:val="none"/>
              </w:rPr>
              <w:t>。</w:t>
            </w:r>
          </w:p>
          <w:p>
            <w:pPr>
              <w:pStyle w:val="2"/>
              <w:spacing w:beforeLines="50" w:line="360" w:lineRule="auto"/>
              <w:ind w:firstLine="480"/>
              <w:outlineLvl w:val="9"/>
              <w:rPr>
                <w:color w:val="000000" w:themeColor="text1"/>
                <w:highlight w:val="none"/>
              </w:rPr>
            </w:pPr>
            <w:r>
              <w:rPr>
                <w:rFonts w:hint="eastAsia"/>
                <w:color w:val="000000" w:themeColor="text1"/>
                <w:highlight w:val="none"/>
                <w:lang w:val="en-US" w:eastAsia="zh-CN"/>
              </w:rPr>
              <w:t>5</w:t>
            </w:r>
            <w:r>
              <w:rPr>
                <w:color w:val="000000" w:themeColor="text1"/>
                <w:highlight w:val="none"/>
              </w:rPr>
              <w:t>、土壤、植被与生物</w:t>
            </w:r>
          </w:p>
          <w:p>
            <w:pPr>
              <w:pStyle w:val="2"/>
              <w:spacing w:line="360" w:lineRule="auto"/>
              <w:ind w:firstLine="480"/>
              <w:outlineLvl w:val="9"/>
              <w:rPr>
                <w:rFonts w:hint="eastAsia"/>
                <w:color w:val="000000" w:themeColor="text1"/>
                <w:highlight w:val="none"/>
              </w:rPr>
            </w:pPr>
            <w:r>
              <w:rPr>
                <w:rFonts w:hint="eastAsia"/>
                <w:color w:val="000000" w:themeColor="text1"/>
                <w:highlight w:val="none"/>
              </w:rPr>
              <w:t>湘阴有以水稻、红薯为主的11种粮食作物，有以茶叶、棉花、荞头为主的15种经济作物，有以芦苇、湘莲为主的10多余种水生经济作物，有以松、杉、樟、柳为主的228个树种，有以青、草、鲢、鳙、鲤和湘云鲫（鲤）为主的114个鱼类品种，有以猪、牛、山羊、鸡、鸭、鹅为主的9个畜禽种类。</w:t>
            </w:r>
          </w:p>
          <w:p>
            <w:pPr>
              <w:pStyle w:val="2"/>
              <w:spacing w:line="360" w:lineRule="auto"/>
              <w:ind w:firstLine="480"/>
              <w:outlineLvl w:val="9"/>
              <w:rPr>
                <w:rFonts w:hint="eastAsia"/>
                <w:color w:val="000000" w:themeColor="text1"/>
                <w:highlight w:val="none"/>
              </w:rPr>
            </w:pPr>
            <w:r>
              <w:rPr>
                <w:rFonts w:hint="eastAsia"/>
                <w:color w:val="000000" w:themeColor="text1"/>
                <w:highlight w:val="none"/>
              </w:rPr>
              <w:t>湘阴县山林24万多亩，林业用地占陆地面积的16%，森林覆盖率为12.5%，主要分布在东部低山岗地。</w:t>
            </w:r>
          </w:p>
          <w:p>
            <w:pPr>
              <w:pStyle w:val="2"/>
              <w:spacing w:line="360" w:lineRule="auto"/>
              <w:ind w:firstLine="480"/>
              <w:outlineLvl w:val="9"/>
              <w:rPr>
                <w:rFonts w:hint="eastAsia"/>
                <w:color w:val="000000" w:themeColor="text1"/>
                <w:highlight w:val="none"/>
              </w:rPr>
            </w:pPr>
            <w:r>
              <w:rPr>
                <w:rFonts w:hint="eastAsia"/>
                <w:color w:val="000000" w:themeColor="text1"/>
                <w:highlight w:val="none"/>
              </w:rPr>
              <w:t xml:space="preserve">湘阴县境内多珍奇生物，珍稀树种有银杏、枫香、杜仲等30余种，珍禽异兽有麂、獐、獾、锦鸡、鸳鸯等，珍贵鱼类有中华鲟、白鲟、银鱼、胭脂鱼、非洲鲫等，还有特种水产甲鱼、乌龟、泥蛙、龙虾、河蟹、贝类以及世界珍稀的白鳍豚。 </w:t>
            </w:r>
          </w:p>
          <w:p>
            <w:pPr>
              <w:pStyle w:val="2"/>
              <w:spacing w:line="360" w:lineRule="auto"/>
              <w:ind w:firstLine="480"/>
              <w:outlineLvl w:val="9"/>
              <w:rPr>
                <w:color w:val="000000" w:themeColor="text1"/>
                <w:highlight w:val="none"/>
              </w:rPr>
            </w:pPr>
            <w:r>
              <w:rPr>
                <w:rFonts w:hint="eastAsia"/>
                <w:color w:val="000000" w:themeColor="text1"/>
                <w:highlight w:val="none"/>
              </w:rPr>
              <w:t>综上，本项目选址及周边未见其他原生珍贵保护植被和大型野生动物，现存植被主要是在人类干扰和控制下，主要为满足人类的需求而被保留和发展的物种及少量当地常见物种，生物多样性比较单一</w:t>
            </w:r>
            <w:r>
              <w:rPr>
                <w:color w:val="000000" w:themeColor="text1"/>
                <w:highlight w:val="none"/>
              </w:rPr>
              <w:t>。</w:t>
            </w:r>
          </w:p>
          <w:p>
            <w:pPr>
              <w:spacing w:line="360" w:lineRule="auto"/>
              <w:ind w:firstLine="640" w:firstLineChars="200"/>
              <w:outlineLvl w:val="9"/>
              <w:rPr>
                <w:color w:val="000000" w:themeColor="text1"/>
                <w:highlight w:val="red"/>
              </w:rPr>
            </w:pPr>
          </w:p>
          <w:p>
            <w:pPr>
              <w:spacing w:line="360" w:lineRule="auto"/>
              <w:ind w:firstLine="640" w:firstLineChars="200"/>
              <w:rPr>
                <w:color w:val="000000" w:themeColor="text1"/>
                <w:highlight w:val="red"/>
              </w:rPr>
            </w:pPr>
          </w:p>
          <w:p>
            <w:pPr>
              <w:pStyle w:val="2"/>
              <w:ind w:firstLine="480"/>
              <w:rPr>
                <w:color w:val="000000" w:themeColor="text1"/>
                <w:highlight w:val="red"/>
              </w:rPr>
            </w:pPr>
          </w:p>
        </w:tc>
      </w:tr>
    </w:tbl>
    <w:p>
      <w:pPr>
        <w:spacing w:line="600" w:lineRule="exact"/>
        <w:jc w:val="left"/>
        <w:rPr>
          <w:b/>
          <w:bCs/>
          <w:color w:val="000000" w:themeColor="text1"/>
          <w:sz w:val="30"/>
          <w:szCs w:val="30"/>
          <w:highlight w:val="red"/>
        </w:rPr>
        <w:sectPr>
          <w:pgSz w:w="11907" w:h="16840"/>
          <w:pgMar w:top="1418" w:right="1418" w:bottom="1134" w:left="1418" w:header="1134" w:footer="1134" w:gutter="0"/>
          <w:pgNumType w:fmt="decimal"/>
          <w:cols w:space="720" w:num="1"/>
          <w:docGrid w:type="linesAndChars" w:linePitch="312" w:charSpace="0"/>
        </w:sectPr>
      </w:pPr>
    </w:p>
    <w:p>
      <w:pPr>
        <w:spacing w:line="600" w:lineRule="exact"/>
        <w:jc w:val="left"/>
        <w:outlineLvl w:val="0"/>
        <w:rPr>
          <w:b/>
          <w:bCs/>
          <w:color w:val="000000" w:themeColor="text1"/>
          <w:sz w:val="30"/>
          <w:szCs w:val="30"/>
          <w:highlight w:val="none"/>
        </w:rPr>
      </w:pPr>
      <w:bookmarkStart w:id="15" w:name="_Toc16020"/>
      <w:r>
        <w:rPr>
          <w:b/>
          <w:bCs/>
          <w:color w:val="000000" w:themeColor="text1"/>
          <w:sz w:val="30"/>
          <w:szCs w:val="30"/>
          <w:highlight w:val="none"/>
        </w:rPr>
        <w:t>环境质量状况</w:t>
      </w:r>
      <w:bookmarkEnd w:id="15"/>
    </w:p>
    <w:tbl>
      <w:tblPr>
        <w:tblStyle w:val="34"/>
        <w:tblW w:w="9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43" w:type="dxa"/>
            <w:vAlign w:val="top"/>
          </w:tcPr>
          <w:p>
            <w:pPr>
              <w:pStyle w:val="17"/>
              <w:spacing w:line="440" w:lineRule="exact"/>
              <w:ind w:firstLine="548" w:firstLineChars="196"/>
              <w:rPr>
                <w:color w:val="000000" w:themeColor="text1"/>
                <w:szCs w:val="28"/>
                <w:highlight w:val="none"/>
              </w:rPr>
            </w:pPr>
            <w:r>
              <w:rPr>
                <w:color w:val="000000" w:themeColor="text1"/>
                <w:szCs w:val="28"/>
                <w:highlight w:val="none"/>
              </w:rPr>
              <w:t>建设项目所在地区环境质量现状及主要环境问题（环境空气、地面水、地下水、声环境、生态环境等）</w:t>
            </w:r>
          </w:p>
          <w:p>
            <w:pPr>
              <w:pStyle w:val="2"/>
              <w:numPr>
                <w:ilvl w:val="0"/>
                <w:numId w:val="7"/>
              </w:numPr>
              <w:spacing w:line="360" w:lineRule="auto"/>
              <w:ind w:firstLine="482"/>
              <w:rPr>
                <w:b/>
                <w:bCs/>
                <w:color w:val="000000" w:themeColor="text1"/>
                <w:highlight w:val="none"/>
              </w:rPr>
            </w:pPr>
            <w:r>
              <w:rPr>
                <w:b/>
                <w:bCs/>
                <w:color w:val="000000" w:themeColor="text1"/>
                <w:highlight w:val="none"/>
              </w:rPr>
              <w:t>环境空气质量现状</w:t>
            </w:r>
          </w:p>
          <w:p>
            <w:pPr>
              <w:spacing w:line="360" w:lineRule="auto"/>
              <w:ind w:firstLine="480" w:firstLineChars="200"/>
              <w:rPr>
                <w:color w:val="000000" w:themeColor="text1"/>
                <w:highlight w:val="none"/>
              </w:rPr>
            </w:pPr>
            <w:r>
              <w:rPr>
                <w:color w:val="000000" w:themeColor="text1"/>
                <w:sz w:val="24"/>
                <w:highlight w:val="none"/>
              </w:rPr>
              <w:t>本项目大气环境影响评价工作等级为三级B，不需要进行补充检测，只需判定项目所在地区域环境空气质量达标性。</w:t>
            </w:r>
          </w:p>
          <w:p>
            <w:pPr>
              <w:spacing w:line="360" w:lineRule="auto"/>
              <w:ind w:firstLine="480" w:firstLineChars="200"/>
              <w:rPr>
                <w:color w:val="000000" w:themeColor="text1"/>
                <w:sz w:val="24"/>
                <w:highlight w:val="none"/>
              </w:rPr>
            </w:pPr>
            <w:r>
              <w:rPr>
                <w:rFonts w:hint="default" w:ascii="Times New Roman" w:hAnsi="Times New Roman" w:cs="Times New Roman"/>
                <w:sz w:val="24"/>
                <w:highlight w:val="none"/>
              </w:rPr>
              <w:t>根据2018年湘阴县环境保护局发布的环境空气质量公告中湘阴县环境空气质量数据（如表3-3所示）。湘阴县PM10、SO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、NO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年平均质量浓度和 CO 95百分位数日平均质量浓度、O</w:t>
            </w:r>
            <w:r>
              <w:rPr>
                <w:rFonts w:hint="default" w:ascii="Times New Roman" w:hAnsi="Times New Roman" w:cs="Times New Roman"/>
                <w:sz w:val="24"/>
                <w:highlight w:val="none"/>
                <w:vertAlign w:val="subscript"/>
              </w:rPr>
              <w:t xml:space="preserve">3 </w:t>
            </w:r>
            <w:r>
              <w:rPr>
                <w:rFonts w:hint="default" w:ascii="Times New Roman" w:hAnsi="Times New Roman" w:cs="Times New Roman"/>
                <w:sz w:val="24"/>
                <w:highlight w:val="none"/>
              </w:rPr>
              <w:t>90百分位数最大8小时平均质量浓度可达到《环境空气质量标准》（GB3095-2012）中二级标准。PM</w:t>
            </w:r>
            <w:r>
              <w:rPr>
                <w:rFonts w:hint="default" w:ascii="Times New Roman" w:hAnsi="Times New Roman" w:cs="Times New Roman"/>
                <w:sz w:val="24"/>
                <w:highlight w:val="none"/>
                <w:vertAlign w:val="subscript"/>
              </w:rPr>
              <w:t>2.5</w:t>
            </w:r>
            <w:r>
              <w:rPr>
                <w:rFonts w:hint="default" w:ascii="Times New Roman" w:hAnsi="Times New Roman" w:cs="Times New Roman"/>
                <w:sz w:val="24"/>
                <w:highlight w:val="none"/>
              </w:rPr>
              <w:t>年平均质量浓度尚未达到《环境空气质量标准》（GB3095-2012）中二级标准</w:t>
            </w:r>
            <w:r>
              <w:rPr>
                <w:color w:val="000000" w:themeColor="text1"/>
                <w:sz w:val="24"/>
                <w:highlight w:val="none"/>
              </w:rPr>
              <w:t>。</w:t>
            </w:r>
          </w:p>
          <w:p>
            <w:pPr>
              <w:keepNext/>
              <w:keepLines/>
              <w:autoSpaceDN w:val="0"/>
              <w:jc w:val="center"/>
              <w:rPr>
                <w:b/>
                <w:color w:val="000000" w:themeColor="text1"/>
                <w:sz w:val="21"/>
                <w:szCs w:val="21"/>
                <w:highlight w:val="none"/>
              </w:rPr>
            </w:pPr>
            <w:r>
              <w:rPr>
                <w:b/>
                <w:color w:val="000000" w:themeColor="text1"/>
                <w:sz w:val="21"/>
                <w:szCs w:val="21"/>
                <w:highlight w:val="none"/>
              </w:rPr>
              <w:t>表3-1  环境空气现状监测及评价结果</w:t>
            </w:r>
          </w:p>
          <w:tbl>
            <w:tblPr>
              <w:tblStyle w:val="34"/>
              <w:tblW w:w="8296"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43"/>
              <w:gridCol w:w="837"/>
              <w:gridCol w:w="2060"/>
              <w:gridCol w:w="1197"/>
              <w:gridCol w:w="1197"/>
              <w:gridCol w:w="1181"/>
              <w:gridCol w:w="1181"/>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所在区域</w:t>
                  </w:r>
                </w:p>
              </w:tc>
              <w:tc>
                <w:tcPr>
                  <w:tcW w:w="83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监测项目</w:t>
                  </w:r>
                </w:p>
              </w:tc>
              <w:tc>
                <w:tcPr>
                  <w:tcW w:w="2060"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年评价指标</w:t>
                  </w:r>
                </w:p>
              </w:tc>
              <w:tc>
                <w:tcPr>
                  <w:tcW w:w="119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现状浓度</w:t>
                  </w:r>
                </w:p>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w:t>
                  </w:r>
                  <w:r>
                    <w:rPr>
                      <w:rFonts w:hint="eastAsia" w:asciiTheme="minorEastAsia" w:hAnsiTheme="minorEastAsia" w:eastAsiaTheme="minorEastAsia" w:cstheme="minorEastAsia"/>
                      <w:sz w:val="21"/>
                      <w:szCs w:val="21"/>
                      <w:highlight w:val="none"/>
                      <w:lang w:val="en-US" w:eastAsia="zh-CN"/>
                    </w:rPr>
                    <w:t>u</w:t>
                  </w:r>
                  <w:r>
                    <w:rPr>
                      <w:rFonts w:hint="eastAsia" w:asciiTheme="minorEastAsia" w:hAnsiTheme="minorEastAsia" w:eastAsiaTheme="minorEastAsia" w:cstheme="minorEastAsia"/>
                      <w:sz w:val="21"/>
                      <w:szCs w:val="21"/>
                      <w:highlight w:val="none"/>
                    </w:rPr>
                    <w:t>g/m</w:t>
                  </w:r>
                  <w:r>
                    <w:rPr>
                      <w:rFonts w:hint="eastAsia" w:asciiTheme="minorEastAsia" w:hAnsiTheme="minorEastAsia" w:eastAsiaTheme="minorEastAsia" w:cstheme="minorEastAsia"/>
                      <w:sz w:val="21"/>
                      <w:szCs w:val="21"/>
                      <w:highlight w:val="none"/>
                      <w:vertAlign w:val="superscript"/>
                    </w:rPr>
                    <w:t>3</w:t>
                  </w:r>
                  <w:r>
                    <w:rPr>
                      <w:rFonts w:hint="eastAsia" w:asciiTheme="minorEastAsia" w:hAnsiTheme="minorEastAsia" w:eastAsiaTheme="minorEastAsia" w:cstheme="minorEastAsia"/>
                      <w:sz w:val="21"/>
                      <w:szCs w:val="21"/>
                      <w:highlight w:val="none"/>
                    </w:rPr>
                    <w:t>）</w:t>
                  </w:r>
                </w:p>
              </w:tc>
              <w:tc>
                <w:tcPr>
                  <w:tcW w:w="119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标准值</w:t>
                  </w:r>
                </w:p>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w:t>
                  </w:r>
                  <w:r>
                    <w:rPr>
                      <w:rFonts w:hint="eastAsia" w:asciiTheme="minorEastAsia" w:hAnsiTheme="minorEastAsia" w:eastAsiaTheme="minorEastAsia" w:cstheme="minorEastAsia"/>
                      <w:sz w:val="21"/>
                      <w:szCs w:val="21"/>
                      <w:highlight w:val="none"/>
                      <w:lang w:val="en-US" w:eastAsia="zh-CN"/>
                    </w:rPr>
                    <w:t>u</w:t>
                  </w:r>
                  <w:r>
                    <w:rPr>
                      <w:rFonts w:hint="eastAsia" w:asciiTheme="minorEastAsia" w:hAnsiTheme="minorEastAsia" w:eastAsiaTheme="minorEastAsia" w:cstheme="minorEastAsia"/>
                      <w:sz w:val="21"/>
                      <w:szCs w:val="21"/>
                      <w:highlight w:val="none"/>
                    </w:rPr>
                    <w:t>g/m</w:t>
                  </w:r>
                  <w:r>
                    <w:rPr>
                      <w:rFonts w:hint="eastAsia" w:asciiTheme="minorEastAsia" w:hAnsiTheme="minorEastAsia" w:eastAsiaTheme="minorEastAsia" w:cstheme="minorEastAsia"/>
                      <w:sz w:val="21"/>
                      <w:szCs w:val="21"/>
                      <w:highlight w:val="none"/>
                      <w:vertAlign w:val="superscript"/>
                    </w:rPr>
                    <w:t>3</w:t>
                  </w:r>
                  <w:r>
                    <w:rPr>
                      <w:rFonts w:hint="eastAsia" w:asciiTheme="minorEastAsia" w:hAnsiTheme="minorEastAsia" w:eastAsiaTheme="minorEastAsia" w:cstheme="minorEastAsia"/>
                      <w:sz w:val="21"/>
                      <w:szCs w:val="21"/>
                      <w:highlight w:val="none"/>
                    </w:rPr>
                    <w:t>）</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超标倍数</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是否达标</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vMerge w:val="restart"/>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湘阴县</w:t>
                  </w:r>
                </w:p>
              </w:tc>
              <w:tc>
                <w:tcPr>
                  <w:tcW w:w="83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SO</w:t>
                  </w:r>
                  <w:r>
                    <w:rPr>
                      <w:rFonts w:hint="eastAsia" w:asciiTheme="minorEastAsia" w:hAnsiTheme="minorEastAsia" w:eastAsiaTheme="minorEastAsia" w:cstheme="minorEastAsia"/>
                      <w:sz w:val="21"/>
                      <w:szCs w:val="21"/>
                      <w:highlight w:val="none"/>
                      <w:vertAlign w:val="subscript"/>
                    </w:rPr>
                    <w:t>2</w:t>
                  </w:r>
                </w:p>
              </w:tc>
              <w:tc>
                <w:tcPr>
                  <w:tcW w:w="2060"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年平均质量浓度</w:t>
                  </w:r>
                </w:p>
              </w:tc>
              <w:tc>
                <w:tcPr>
                  <w:tcW w:w="1197" w:type="dxa"/>
                  <w:vAlign w:val="center"/>
                </w:tcPr>
                <w:p>
                  <w:pPr>
                    <w:jc w:val="center"/>
                    <w:rPr>
                      <w:rFonts w:hint="eastAsia" w:asciiTheme="minorEastAsia" w:hAnsiTheme="minorEastAsia" w:eastAsiaTheme="minorEastAsia" w:cstheme="minorEastAsia"/>
                      <w:sz w:val="21"/>
                      <w:szCs w:val="21"/>
                      <w:highlight w:val="none"/>
                      <w:lang w:eastAsia="zh-CN"/>
                    </w:rPr>
                  </w:pPr>
                  <w:r>
                    <w:rPr>
                      <w:rFonts w:hint="eastAsia" w:asciiTheme="minorEastAsia" w:hAnsiTheme="minorEastAsia" w:eastAsiaTheme="minorEastAsia" w:cstheme="minorEastAsia"/>
                      <w:sz w:val="21"/>
                      <w:szCs w:val="21"/>
                      <w:highlight w:val="none"/>
                      <w:lang w:val="en-US" w:eastAsia="zh-CN"/>
                    </w:rPr>
                    <w:t>8</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60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达标</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vMerge w:val="continue"/>
                  <w:vAlign w:val="center"/>
                </w:tcPr>
                <w:p>
                  <w:pPr>
                    <w:jc w:val="center"/>
                    <w:rPr>
                      <w:rFonts w:hint="eastAsia" w:asciiTheme="minorEastAsia" w:hAnsiTheme="minorEastAsia" w:eastAsiaTheme="minorEastAsia" w:cstheme="minorEastAsia"/>
                      <w:sz w:val="21"/>
                      <w:szCs w:val="21"/>
                      <w:highlight w:val="none"/>
                    </w:rPr>
                  </w:pPr>
                </w:p>
              </w:tc>
              <w:tc>
                <w:tcPr>
                  <w:tcW w:w="83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NO</w:t>
                  </w:r>
                  <w:r>
                    <w:rPr>
                      <w:rFonts w:hint="eastAsia" w:asciiTheme="minorEastAsia" w:hAnsiTheme="minorEastAsia" w:eastAsiaTheme="minorEastAsia" w:cstheme="minorEastAsia"/>
                      <w:sz w:val="21"/>
                      <w:szCs w:val="21"/>
                      <w:highlight w:val="none"/>
                      <w:vertAlign w:val="subscript"/>
                    </w:rPr>
                    <w:t>2</w:t>
                  </w:r>
                </w:p>
              </w:tc>
              <w:tc>
                <w:tcPr>
                  <w:tcW w:w="2060"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年平均质量浓度</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18</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40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达标</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vMerge w:val="continue"/>
                  <w:vAlign w:val="center"/>
                </w:tcPr>
                <w:p>
                  <w:pPr>
                    <w:jc w:val="center"/>
                    <w:rPr>
                      <w:rFonts w:hint="eastAsia" w:asciiTheme="minorEastAsia" w:hAnsiTheme="minorEastAsia" w:eastAsiaTheme="minorEastAsia" w:cstheme="minorEastAsia"/>
                      <w:sz w:val="21"/>
                      <w:szCs w:val="21"/>
                      <w:highlight w:val="none"/>
                    </w:rPr>
                  </w:pPr>
                </w:p>
              </w:tc>
              <w:tc>
                <w:tcPr>
                  <w:tcW w:w="83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PM</w:t>
                  </w:r>
                  <w:r>
                    <w:rPr>
                      <w:rFonts w:hint="eastAsia" w:asciiTheme="minorEastAsia" w:hAnsiTheme="minorEastAsia" w:eastAsiaTheme="minorEastAsia" w:cstheme="minorEastAsia"/>
                      <w:sz w:val="21"/>
                      <w:szCs w:val="21"/>
                      <w:highlight w:val="none"/>
                      <w:vertAlign w:val="subscript"/>
                    </w:rPr>
                    <w:t>10</w:t>
                  </w:r>
                </w:p>
              </w:tc>
              <w:tc>
                <w:tcPr>
                  <w:tcW w:w="2060"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年平均质量浓度</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54</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70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达标</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vMerge w:val="continue"/>
                  <w:vAlign w:val="center"/>
                </w:tcPr>
                <w:p>
                  <w:pPr>
                    <w:jc w:val="center"/>
                    <w:rPr>
                      <w:rFonts w:hint="eastAsia" w:asciiTheme="minorEastAsia" w:hAnsiTheme="minorEastAsia" w:eastAsiaTheme="minorEastAsia" w:cstheme="minorEastAsia"/>
                      <w:sz w:val="21"/>
                      <w:szCs w:val="21"/>
                      <w:highlight w:val="none"/>
                    </w:rPr>
                  </w:pPr>
                </w:p>
              </w:tc>
              <w:tc>
                <w:tcPr>
                  <w:tcW w:w="83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PM</w:t>
                  </w:r>
                  <w:r>
                    <w:rPr>
                      <w:rFonts w:hint="eastAsia" w:asciiTheme="minorEastAsia" w:hAnsiTheme="minorEastAsia" w:eastAsiaTheme="minorEastAsia" w:cstheme="minorEastAsia"/>
                      <w:sz w:val="21"/>
                      <w:szCs w:val="21"/>
                      <w:highlight w:val="none"/>
                      <w:vertAlign w:val="subscript"/>
                    </w:rPr>
                    <w:t>2.5</w:t>
                  </w:r>
                </w:p>
              </w:tc>
              <w:tc>
                <w:tcPr>
                  <w:tcW w:w="2060"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年平均质量浓度</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39</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35</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0.286</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不达标</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vMerge w:val="continue"/>
                  <w:vAlign w:val="center"/>
                </w:tcPr>
                <w:p>
                  <w:pPr>
                    <w:jc w:val="center"/>
                    <w:rPr>
                      <w:rFonts w:hint="eastAsia" w:asciiTheme="minorEastAsia" w:hAnsiTheme="minorEastAsia" w:eastAsiaTheme="minorEastAsia" w:cstheme="minorEastAsia"/>
                      <w:sz w:val="21"/>
                      <w:szCs w:val="21"/>
                      <w:highlight w:val="none"/>
                    </w:rPr>
                  </w:pPr>
                </w:p>
              </w:tc>
              <w:tc>
                <w:tcPr>
                  <w:tcW w:w="83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CO</w:t>
                  </w:r>
                </w:p>
              </w:tc>
              <w:tc>
                <w:tcPr>
                  <w:tcW w:w="2060"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95百分位数日平均</w:t>
                  </w:r>
                </w:p>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质量浓度</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800</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rPr>
                    <w:t>4</w:t>
                  </w:r>
                  <w:r>
                    <w:rPr>
                      <w:rFonts w:hint="eastAsia" w:asciiTheme="minorEastAsia" w:hAnsiTheme="minorEastAsia" w:eastAsiaTheme="minorEastAsia" w:cstheme="minorEastAsia"/>
                      <w:sz w:val="21"/>
                      <w:szCs w:val="21"/>
                      <w:highlight w:val="none"/>
                      <w:lang w:val="en-US" w:eastAsia="zh-CN"/>
                    </w:rPr>
                    <w:t>000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达标</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vMerge w:val="continue"/>
                  <w:vAlign w:val="center"/>
                </w:tcPr>
                <w:p>
                  <w:pPr>
                    <w:jc w:val="center"/>
                    <w:rPr>
                      <w:rFonts w:hint="eastAsia" w:asciiTheme="minorEastAsia" w:hAnsiTheme="minorEastAsia" w:eastAsiaTheme="minorEastAsia" w:cstheme="minorEastAsia"/>
                      <w:sz w:val="21"/>
                      <w:szCs w:val="21"/>
                      <w:highlight w:val="none"/>
                    </w:rPr>
                  </w:pPr>
                </w:p>
              </w:tc>
              <w:tc>
                <w:tcPr>
                  <w:tcW w:w="837"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O</w:t>
                  </w:r>
                  <w:r>
                    <w:rPr>
                      <w:rFonts w:hint="eastAsia" w:asciiTheme="minorEastAsia" w:hAnsiTheme="minorEastAsia" w:eastAsiaTheme="minorEastAsia" w:cstheme="minorEastAsia"/>
                      <w:sz w:val="21"/>
                      <w:szCs w:val="21"/>
                      <w:highlight w:val="none"/>
                      <w:vertAlign w:val="subscript"/>
                    </w:rPr>
                    <w:t>3</w:t>
                  </w:r>
                </w:p>
              </w:tc>
              <w:tc>
                <w:tcPr>
                  <w:tcW w:w="2060"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90 百分位数最大8</w:t>
                  </w:r>
                </w:p>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小时平均质量浓度</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91</w:t>
                  </w:r>
                </w:p>
              </w:tc>
              <w:tc>
                <w:tcPr>
                  <w:tcW w:w="1197" w:type="dxa"/>
                  <w:vAlign w:val="center"/>
                </w:tcPr>
                <w:p>
                  <w:pPr>
                    <w:jc w:val="center"/>
                    <w:rPr>
                      <w:rFonts w:hint="eastAsia" w:asciiTheme="minorEastAsia" w:hAnsiTheme="minorEastAsia" w:eastAsiaTheme="minorEastAsia" w:cstheme="minorEastAsia"/>
                      <w:sz w:val="21"/>
                      <w:szCs w:val="21"/>
                      <w:highlight w:val="none"/>
                      <w:lang w:val="en-US" w:eastAsia="zh-CN"/>
                    </w:rPr>
                  </w:pPr>
                  <w:r>
                    <w:rPr>
                      <w:rFonts w:hint="eastAsia" w:asciiTheme="minorEastAsia" w:hAnsiTheme="minorEastAsia" w:eastAsiaTheme="minorEastAsia" w:cstheme="minorEastAsia"/>
                      <w:sz w:val="21"/>
                      <w:szCs w:val="21"/>
                      <w:highlight w:val="none"/>
                      <w:lang w:val="en-US" w:eastAsia="zh-CN"/>
                    </w:rPr>
                    <w:t>160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0</w:t>
                  </w:r>
                </w:p>
              </w:tc>
              <w:tc>
                <w:tcPr>
                  <w:tcW w:w="1181" w:type="dxa"/>
                  <w:vAlign w:val="center"/>
                </w:tcPr>
                <w:p>
                  <w:pPr>
                    <w:jc w:val="center"/>
                    <w:rPr>
                      <w:rFonts w:hint="eastAsia" w:asciiTheme="minorEastAsia" w:hAnsiTheme="minorEastAsia" w:eastAsiaTheme="minorEastAsia" w:cstheme="minorEastAsia"/>
                      <w:sz w:val="21"/>
                      <w:szCs w:val="21"/>
                      <w:highlight w:val="none"/>
                    </w:rPr>
                  </w:pPr>
                  <w:r>
                    <w:rPr>
                      <w:rFonts w:hint="eastAsia" w:asciiTheme="minorEastAsia" w:hAnsiTheme="minorEastAsia" w:eastAsiaTheme="minorEastAsia" w:cstheme="minorEastAsia"/>
                      <w:sz w:val="21"/>
                      <w:szCs w:val="21"/>
                      <w:highlight w:val="none"/>
                    </w:rPr>
                    <w:t>达标</w:t>
                  </w:r>
                </w:p>
              </w:tc>
            </w:tr>
          </w:tbl>
          <w:p>
            <w:pPr>
              <w:spacing w:line="360" w:lineRule="auto"/>
              <w:ind w:firstLine="480" w:firstLineChars="200"/>
              <w:rPr>
                <w:rFonts w:hint="eastAsia"/>
                <w:color w:val="000000" w:themeColor="text1"/>
                <w:sz w:val="24"/>
                <w:highlight w:val="none"/>
              </w:rPr>
            </w:pPr>
            <w:r>
              <w:rPr>
                <w:rFonts w:hint="eastAsia"/>
                <w:color w:val="000000" w:themeColor="text1"/>
                <w:sz w:val="24"/>
                <w:highlight w:val="none"/>
              </w:rPr>
              <w:t>由上表可知，湘阴县PM2.5 年平均质量浓度出现超标，超标倍数为0.286倍，项目所在区域为环境空气质量不达标区。</w:t>
            </w:r>
          </w:p>
          <w:p>
            <w:pPr>
              <w:spacing w:line="360" w:lineRule="auto"/>
              <w:ind w:firstLine="480" w:firstLineChars="200"/>
              <w:rPr>
                <w:color w:val="000000" w:themeColor="text1"/>
                <w:sz w:val="24"/>
                <w:highlight w:val="none"/>
              </w:rPr>
            </w:pPr>
            <w:r>
              <w:rPr>
                <w:rFonts w:hint="eastAsia"/>
                <w:color w:val="000000" w:themeColor="text1"/>
                <w:sz w:val="24"/>
                <w:highlight w:val="none"/>
              </w:rPr>
              <w:t>根据</w:t>
            </w:r>
            <w:r>
              <w:rPr>
                <w:color w:val="000000" w:themeColor="text1"/>
                <w:sz w:val="24"/>
                <w:highlight w:val="none"/>
              </w:rPr>
              <w:t>《湖南省污染防治攻坚战三年行动计划（2018-2020年）》、《湖南省</w:t>
            </w:r>
            <w:r>
              <w:rPr>
                <w:rFonts w:hint="eastAsia"/>
                <w:color w:val="000000" w:themeColor="text1"/>
                <w:sz w:val="24"/>
                <w:highlight w:val="none"/>
              </w:rPr>
              <w:t>“</w:t>
            </w:r>
            <w:r>
              <w:rPr>
                <w:color w:val="000000" w:themeColor="text1"/>
                <w:sz w:val="24"/>
                <w:highlight w:val="none"/>
              </w:rPr>
              <w:t>蓝天保卫战</w:t>
            </w:r>
            <w:r>
              <w:rPr>
                <w:rFonts w:hint="eastAsia"/>
                <w:color w:val="000000" w:themeColor="text1"/>
                <w:sz w:val="24"/>
                <w:highlight w:val="none"/>
              </w:rPr>
              <w:t>”</w:t>
            </w:r>
            <w:r>
              <w:rPr>
                <w:color w:val="000000" w:themeColor="text1"/>
                <w:sz w:val="24"/>
                <w:highlight w:val="none"/>
              </w:rPr>
              <w:t>实施方案》（2018-2020年）文件内容要求</w:t>
            </w:r>
            <w:r>
              <w:rPr>
                <w:rFonts w:hint="eastAsia"/>
                <w:color w:val="000000" w:themeColor="text1"/>
                <w:sz w:val="24"/>
                <w:highlight w:val="none"/>
                <w:lang w:eastAsia="zh-CN"/>
              </w:rPr>
              <w:t>，</w:t>
            </w:r>
            <w:r>
              <w:rPr>
                <w:rFonts w:hint="eastAsia"/>
                <w:color w:val="000000" w:themeColor="text1"/>
                <w:sz w:val="24"/>
                <w:highlight w:val="none"/>
                <w:lang w:val="en-US" w:eastAsia="zh-CN"/>
              </w:rPr>
              <w:t>以及</w:t>
            </w:r>
            <w:r>
              <w:rPr>
                <w:rFonts w:hint="eastAsia"/>
                <w:color w:val="000000" w:themeColor="text1"/>
                <w:sz w:val="24"/>
                <w:highlight w:val="none"/>
              </w:rPr>
              <w:t>湘阴县生态环境保护委员会发布的《湘阴县污染防治攻坚战2018年工作方案》（湘阴环委发〔2018〕12号），湘阴县将采取推进“散乱污”涉气企业整治、完成重点工业企业无组织排放治理改造、推进工业园区大气污染综合防治、加快能源结构调整、深入开展扬尘污染整治等措施。在采取以上措施后，湘阴县环境空气质量有望持续向好改善</w:t>
            </w:r>
            <w:r>
              <w:rPr>
                <w:color w:val="000000" w:themeColor="text1"/>
                <w:sz w:val="24"/>
                <w:highlight w:val="none"/>
              </w:rPr>
              <w:t>。</w:t>
            </w:r>
          </w:p>
          <w:p>
            <w:pPr>
              <w:spacing w:line="360" w:lineRule="auto"/>
              <w:ind w:firstLine="480" w:firstLineChars="200"/>
              <w:rPr>
                <w:b/>
                <w:bCs/>
                <w:color w:val="000000" w:themeColor="text1"/>
                <w:sz w:val="24"/>
                <w:highlight w:val="none"/>
              </w:rPr>
            </w:pPr>
            <w:r>
              <w:rPr>
                <w:b/>
                <w:bCs/>
                <w:color w:val="000000" w:themeColor="text1"/>
                <w:sz w:val="24"/>
                <w:highlight w:val="none"/>
              </w:rPr>
              <w:t>2、地表水环境质量现状</w:t>
            </w:r>
          </w:p>
          <w:p>
            <w:pPr>
              <w:spacing w:line="360" w:lineRule="auto"/>
              <w:ind w:firstLine="480" w:firstLineChars="200"/>
              <w:rPr>
                <w:rFonts w:hint="eastAsia"/>
                <w:color w:val="000000" w:themeColor="text1"/>
                <w:sz w:val="24"/>
                <w:highlight w:val="none"/>
              </w:rPr>
            </w:pPr>
            <w:r>
              <w:rPr>
                <w:rFonts w:hint="eastAsia"/>
                <w:color w:val="000000" w:themeColor="text1"/>
                <w:sz w:val="24"/>
                <w:highlight w:val="none"/>
              </w:rPr>
              <w:t>本项目区排水经管网进入园区污水处理厂处理，处理达标后排入湘江，为了了解项目纳污水体水质现状，本项目引用其湘阴县环境监测站对湘江设置的乌龙嘴W1断面的监测数据。</w:t>
            </w:r>
          </w:p>
          <w:p>
            <w:pPr>
              <w:spacing w:line="360" w:lineRule="auto"/>
              <w:ind w:firstLine="480" w:firstLineChars="200"/>
              <w:rPr>
                <w:rFonts w:hint="eastAsia"/>
                <w:color w:val="000000" w:themeColor="text1"/>
                <w:sz w:val="24"/>
                <w:highlight w:val="none"/>
              </w:rPr>
            </w:pPr>
            <w:r>
              <w:rPr>
                <w:rFonts w:hint="eastAsia"/>
                <w:color w:val="000000" w:themeColor="text1"/>
                <w:sz w:val="24"/>
                <w:highlight w:val="none"/>
              </w:rPr>
              <w:t>（1）监测布点：乌龙嘴W1断面。</w:t>
            </w:r>
          </w:p>
          <w:p>
            <w:pPr>
              <w:spacing w:line="360" w:lineRule="auto"/>
              <w:ind w:firstLine="480" w:firstLineChars="200"/>
              <w:rPr>
                <w:rFonts w:hint="eastAsia"/>
                <w:color w:val="000000" w:themeColor="text1"/>
                <w:sz w:val="24"/>
                <w:highlight w:val="none"/>
              </w:rPr>
            </w:pPr>
            <w:r>
              <w:rPr>
                <w:rFonts w:hint="eastAsia"/>
                <w:color w:val="000000" w:themeColor="text1"/>
                <w:sz w:val="24"/>
                <w:highlight w:val="none"/>
              </w:rPr>
              <w:t>（2）监测因子：选定为pH、DO、CODCr、BOD5、氨氮、石油类、总磷、粪大肠菌群等。</w:t>
            </w:r>
          </w:p>
          <w:p>
            <w:pPr>
              <w:spacing w:line="360" w:lineRule="auto"/>
              <w:ind w:firstLine="480" w:firstLineChars="200"/>
              <w:rPr>
                <w:rFonts w:hint="eastAsia"/>
                <w:color w:val="000000" w:themeColor="text1"/>
                <w:sz w:val="24"/>
                <w:highlight w:val="none"/>
              </w:rPr>
            </w:pPr>
            <w:r>
              <w:rPr>
                <w:rFonts w:hint="eastAsia"/>
                <w:color w:val="000000" w:themeColor="text1"/>
                <w:sz w:val="24"/>
                <w:highlight w:val="none"/>
              </w:rPr>
              <w:t>（3）监测时间：乌龙嘴断面（2019年5月、6月）；监测频率：每个断面分别于左、中、右各点采样1次。</w:t>
            </w:r>
          </w:p>
          <w:p>
            <w:pPr>
              <w:spacing w:line="360" w:lineRule="auto"/>
              <w:ind w:firstLine="480" w:firstLineChars="200"/>
              <w:rPr>
                <w:color w:val="000000" w:themeColor="text1"/>
                <w:sz w:val="24"/>
                <w:highlight w:val="none"/>
              </w:rPr>
            </w:pPr>
            <w:r>
              <w:rPr>
                <w:rFonts w:hint="eastAsia"/>
                <w:color w:val="000000" w:themeColor="text1"/>
                <w:sz w:val="24"/>
                <w:highlight w:val="none"/>
              </w:rPr>
              <w:t>（4）监测结果统计与评价：监测结果统计见表3-1、3-2</w:t>
            </w:r>
            <w:r>
              <w:rPr>
                <w:color w:val="000000" w:themeColor="text1"/>
                <w:sz w:val="24"/>
                <w:highlight w:val="none"/>
              </w:rPr>
              <w:t>。</w:t>
            </w:r>
          </w:p>
          <w:p>
            <w:pPr>
              <w:pStyle w:val="125"/>
              <w:adjustRightInd w:val="0"/>
              <w:snapToGrid w:val="0"/>
              <w:spacing w:line="240" w:lineRule="auto"/>
              <w:ind w:firstLine="0" w:firstLineChars="0"/>
              <w:jc w:val="center"/>
              <w:rPr>
                <w:rFonts w:hint="eastAsia" w:asciiTheme="minorEastAsia" w:hAnsiTheme="minorEastAsia" w:eastAsiaTheme="minorEastAsia" w:cstheme="minorEastAsia"/>
                <w:b/>
                <w:bCs w:val="0"/>
                <w:sz w:val="21"/>
                <w:szCs w:val="21"/>
                <w:highlight w:val="none"/>
                <w:u w:val="none"/>
              </w:rPr>
            </w:pPr>
            <w:r>
              <w:rPr>
                <w:rFonts w:hint="eastAsia" w:asciiTheme="minorEastAsia" w:hAnsiTheme="minorEastAsia" w:eastAsiaTheme="minorEastAsia" w:cstheme="minorEastAsia"/>
                <w:b/>
                <w:bCs w:val="0"/>
                <w:color w:val="000000" w:themeColor="text1"/>
                <w:sz w:val="21"/>
                <w:szCs w:val="21"/>
                <w:highlight w:val="none"/>
                <w:u w:val="none"/>
              </w:rPr>
              <w:t xml:space="preserve">表3-2 </w:t>
            </w:r>
            <w:r>
              <w:rPr>
                <w:rFonts w:hint="eastAsia" w:asciiTheme="minorEastAsia" w:hAnsiTheme="minorEastAsia" w:eastAsiaTheme="minorEastAsia" w:cstheme="minorEastAsia"/>
                <w:b/>
                <w:bCs w:val="0"/>
                <w:sz w:val="21"/>
                <w:szCs w:val="21"/>
                <w:highlight w:val="none"/>
                <w:u w:val="none"/>
              </w:rPr>
              <w:t>湘江乌龙嘴断面监测数据统计 单位：mg/L（pH无量纲）</w:t>
            </w:r>
          </w:p>
          <w:tbl>
            <w:tblPr>
              <w:tblStyle w:val="34"/>
              <w:tblW w:w="8880"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028"/>
              <w:gridCol w:w="1264"/>
              <w:gridCol w:w="1046"/>
              <w:gridCol w:w="959"/>
              <w:gridCol w:w="1062"/>
              <w:gridCol w:w="1072"/>
              <w:gridCol w:w="1104"/>
              <w:gridCol w:w="1345"/>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27" w:hRule="atLeast"/>
                <w:jc w:val="center"/>
              </w:trPr>
              <w:tc>
                <w:tcPr>
                  <w:tcW w:w="1028"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监测时间</w:t>
                  </w:r>
                </w:p>
              </w:tc>
              <w:tc>
                <w:tcPr>
                  <w:tcW w:w="1264"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监测因子</w:t>
                  </w:r>
                </w:p>
              </w:tc>
              <w:tc>
                <w:tcPr>
                  <w:tcW w:w="3067" w:type="dxa"/>
                  <w:gridSpan w:val="3"/>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分析或测试结果</w:t>
                  </w:r>
                </w:p>
              </w:tc>
              <w:tc>
                <w:tcPr>
                  <w:tcW w:w="1072"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平均值</w:t>
                  </w:r>
                </w:p>
              </w:tc>
              <w:tc>
                <w:tcPr>
                  <w:tcW w:w="1104"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超标（%）</w:t>
                  </w:r>
                </w:p>
              </w:tc>
              <w:tc>
                <w:tcPr>
                  <w:tcW w:w="1345"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执行标准</w:t>
                  </w:r>
                </w:p>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（Ⅲ类）</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左</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中</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右</w:t>
                  </w:r>
                </w:p>
              </w:tc>
              <w:tc>
                <w:tcPr>
                  <w:tcW w:w="1072"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104"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345"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28" w:hRule="atLeast"/>
                <w:jc w:val="center"/>
              </w:trPr>
              <w:tc>
                <w:tcPr>
                  <w:tcW w:w="1028"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2019.6.3</w:t>
                  </w: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pH</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7.28</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7.14</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7.19</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7.19~7.28</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6~9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DO</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7.2</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7.4</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7.8</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7.5</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≥5</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CODcr</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13</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15</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14</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14</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≤20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BOD</w:t>
                  </w:r>
                  <w:r>
                    <w:rPr>
                      <w:rFonts w:hint="eastAsia" w:asciiTheme="minorEastAsia" w:hAnsiTheme="minorEastAsia" w:eastAsiaTheme="minorEastAsia" w:cstheme="minorEastAsia"/>
                      <w:color w:val="000000"/>
                      <w:sz w:val="21"/>
                      <w:szCs w:val="21"/>
                      <w:highlight w:val="none"/>
                      <w:u w:val="none"/>
                      <w:vertAlign w:val="subscript"/>
                    </w:rPr>
                    <w:t>5</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1.4</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1.7</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1.9</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1.7</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NH</w:t>
                  </w:r>
                  <w:r>
                    <w:rPr>
                      <w:rFonts w:hint="eastAsia" w:asciiTheme="minorEastAsia" w:hAnsiTheme="minorEastAsia" w:eastAsiaTheme="minorEastAsia" w:cstheme="minorEastAsia"/>
                      <w:color w:val="000000"/>
                      <w:sz w:val="21"/>
                      <w:szCs w:val="21"/>
                      <w:highlight w:val="none"/>
                      <w:u w:val="none"/>
                      <w:vertAlign w:val="subscript"/>
                    </w:rPr>
                    <w:t>3</w:t>
                  </w:r>
                  <w:r>
                    <w:rPr>
                      <w:rFonts w:hint="eastAsia" w:asciiTheme="minorEastAsia" w:hAnsiTheme="minorEastAsia" w:eastAsiaTheme="minorEastAsia" w:cstheme="minorEastAsia"/>
                      <w:color w:val="000000"/>
                      <w:sz w:val="21"/>
                      <w:szCs w:val="21"/>
                      <w:highlight w:val="none"/>
                      <w:u w:val="none"/>
                    </w:rPr>
                    <w:t>-N</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0.14</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0.13</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0.13</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0.13</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总磷</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0.04</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0.03</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0.04</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0.04</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石油类</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≤0.05</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28"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粪大肠菌群</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9200</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9200</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9200</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9200</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≤10000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监测时间</w:t>
                  </w:r>
                </w:p>
              </w:tc>
              <w:tc>
                <w:tcPr>
                  <w:tcW w:w="1264"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监测因子</w:t>
                  </w:r>
                </w:p>
              </w:tc>
              <w:tc>
                <w:tcPr>
                  <w:tcW w:w="3067" w:type="dxa"/>
                  <w:gridSpan w:val="3"/>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分析或测试结果</w:t>
                  </w:r>
                </w:p>
              </w:tc>
              <w:tc>
                <w:tcPr>
                  <w:tcW w:w="1072"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平均值</w:t>
                  </w:r>
                </w:p>
              </w:tc>
              <w:tc>
                <w:tcPr>
                  <w:tcW w:w="1104"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超标（%）</w:t>
                  </w:r>
                </w:p>
              </w:tc>
              <w:tc>
                <w:tcPr>
                  <w:tcW w:w="1345"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执行标准</w:t>
                  </w:r>
                </w:p>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（Ⅲ类）</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左</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中</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右</w:t>
                  </w:r>
                </w:p>
              </w:tc>
              <w:tc>
                <w:tcPr>
                  <w:tcW w:w="1072"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104"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345"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28" w:hRule="atLeast"/>
                <w:jc w:val="center"/>
              </w:trPr>
              <w:tc>
                <w:tcPr>
                  <w:tcW w:w="1028" w:type="dxa"/>
                  <w:vMerge w:val="restart"/>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2019.5.5</w:t>
                  </w: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pH</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7.77</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7.64</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7.59</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7.59~7.77</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6~9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DO</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6.4</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6.5</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6.7</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6.5</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≥5</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CODcr</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8</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9</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10</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9</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≤20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BOD</w:t>
                  </w:r>
                  <w:r>
                    <w:rPr>
                      <w:rFonts w:hint="eastAsia" w:asciiTheme="minorEastAsia" w:hAnsiTheme="minorEastAsia" w:eastAsiaTheme="minorEastAsia" w:cstheme="minorEastAsia"/>
                      <w:color w:val="000000"/>
                      <w:sz w:val="21"/>
                      <w:szCs w:val="21"/>
                      <w:highlight w:val="none"/>
                      <w:u w:val="none"/>
                      <w:vertAlign w:val="subscript"/>
                    </w:rPr>
                    <w:t>5</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1.2</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1.4</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1.6</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1.4</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NH</w:t>
                  </w:r>
                  <w:r>
                    <w:rPr>
                      <w:rFonts w:hint="eastAsia" w:asciiTheme="minorEastAsia" w:hAnsiTheme="minorEastAsia" w:eastAsiaTheme="minorEastAsia" w:cstheme="minorEastAsia"/>
                      <w:color w:val="000000"/>
                      <w:sz w:val="21"/>
                      <w:szCs w:val="21"/>
                      <w:highlight w:val="none"/>
                      <w:u w:val="none"/>
                      <w:vertAlign w:val="subscript"/>
                    </w:rPr>
                    <w:t>3</w:t>
                  </w:r>
                  <w:r>
                    <w:rPr>
                      <w:rFonts w:hint="eastAsia" w:asciiTheme="minorEastAsia" w:hAnsiTheme="minorEastAsia" w:eastAsiaTheme="minorEastAsia" w:cstheme="minorEastAsia"/>
                      <w:color w:val="000000"/>
                      <w:sz w:val="21"/>
                      <w:szCs w:val="21"/>
                      <w:highlight w:val="none"/>
                      <w:u w:val="none"/>
                    </w:rPr>
                    <w:t>-N</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0.07</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0.07</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0.06</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0.07</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总磷</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0.02</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0.02</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0.02</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2"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石油类</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0.01</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≤0.05</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58" w:hRule="atLeast"/>
                <w:jc w:val="center"/>
              </w:trPr>
              <w:tc>
                <w:tcPr>
                  <w:tcW w:w="1028" w:type="dxa"/>
                  <w:vMerge w:val="continue"/>
                  <w:vAlign w:val="center"/>
                </w:tcPr>
                <w:p>
                  <w:pPr>
                    <w:pStyle w:val="126"/>
                    <w:rPr>
                      <w:rFonts w:hint="eastAsia" w:asciiTheme="minorEastAsia" w:hAnsiTheme="minorEastAsia" w:eastAsiaTheme="minorEastAsia" w:cstheme="minorEastAsia"/>
                      <w:color w:val="000000"/>
                      <w:sz w:val="21"/>
                      <w:szCs w:val="21"/>
                      <w:highlight w:val="none"/>
                      <w:u w:val="none"/>
                    </w:rPr>
                  </w:pPr>
                </w:p>
              </w:tc>
              <w:tc>
                <w:tcPr>
                  <w:tcW w:w="126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粪大肠菌群</w:t>
                  </w:r>
                </w:p>
              </w:tc>
              <w:tc>
                <w:tcPr>
                  <w:tcW w:w="1046"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9200</w:t>
                  </w:r>
                </w:p>
              </w:tc>
              <w:tc>
                <w:tcPr>
                  <w:tcW w:w="959"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5400</w:t>
                  </w:r>
                </w:p>
              </w:tc>
              <w:tc>
                <w:tcPr>
                  <w:tcW w:w="106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9200</w:t>
                  </w:r>
                </w:p>
              </w:tc>
              <w:tc>
                <w:tcPr>
                  <w:tcW w:w="1072"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7933</w:t>
                  </w:r>
                </w:p>
              </w:tc>
              <w:tc>
                <w:tcPr>
                  <w:tcW w:w="1104"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0.00</w:t>
                  </w:r>
                </w:p>
              </w:tc>
              <w:tc>
                <w:tcPr>
                  <w:tcW w:w="1345" w:type="dxa"/>
                  <w:vAlign w:val="center"/>
                </w:tcPr>
                <w:p>
                  <w:pPr>
                    <w:pStyle w:val="126"/>
                    <w:rPr>
                      <w:rFonts w:hint="eastAsia" w:asciiTheme="minorEastAsia" w:hAnsiTheme="minorEastAsia" w:eastAsiaTheme="minorEastAsia" w:cstheme="minorEastAsia"/>
                      <w:color w:val="000000"/>
                      <w:sz w:val="21"/>
                      <w:szCs w:val="21"/>
                      <w:highlight w:val="none"/>
                      <w:u w:val="none"/>
                    </w:rPr>
                  </w:pPr>
                  <w:r>
                    <w:rPr>
                      <w:rFonts w:hint="eastAsia" w:asciiTheme="minorEastAsia" w:hAnsiTheme="minorEastAsia" w:eastAsiaTheme="minorEastAsia" w:cstheme="minorEastAsia"/>
                      <w:color w:val="000000"/>
                      <w:sz w:val="21"/>
                      <w:szCs w:val="21"/>
                      <w:highlight w:val="none"/>
                      <w:u w:val="none"/>
                    </w:rPr>
                    <w:t>≤10000</w:t>
                  </w:r>
                </w:p>
              </w:tc>
            </w:tr>
          </w:tbl>
          <w:p>
            <w:pPr>
              <w:spacing w:line="360" w:lineRule="auto"/>
              <w:ind w:firstLine="480" w:firstLineChars="200"/>
              <w:rPr>
                <w:color w:val="000000" w:themeColor="text1"/>
                <w:sz w:val="24"/>
                <w:highlight w:val="none"/>
                <w:u w:val="none"/>
              </w:rPr>
            </w:pPr>
            <w:r>
              <w:rPr>
                <w:rFonts w:hint="default"/>
                <w:color w:val="000000" w:themeColor="text1"/>
                <w:sz w:val="24"/>
                <w:highlight w:val="none"/>
              </w:rPr>
              <w:t>监测结果表明，湘江水质较好，湘江乌龙嘴断面水质各项指标均达到《地表水环境质量标准》（GB3838-2002）中Ⅲ类标准</w:t>
            </w:r>
            <w:r>
              <w:rPr>
                <w:color w:val="000000" w:themeColor="text1"/>
                <w:sz w:val="24"/>
                <w:highlight w:val="none"/>
              </w:rPr>
              <w:t>。</w:t>
            </w:r>
          </w:p>
          <w:p>
            <w:pPr>
              <w:spacing w:line="360" w:lineRule="auto"/>
              <w:ind w:firstLine="480" w:firstLineChars="200"/>
              <w:rPr>
                <w:b/>
                <w:bCs/>
                <w:color w:val="000000" w:themeColor="text1"/>
                <w:sz w:val="24"/>
                <w:highlight w:val="none"/>
              </w:rPr>
            </w:pPr>
            <w:r>
              <w:rPr>
                <w:b/>
                <w:bCs/>
                <w:color w:val="000000" w:themeColor="text1"/>
                <w:sz w:val="24"/>
                <w:highlight w:val="none"/>
              </w:rPr>
              <w:t>3、声环境质量现状</w:t>
            </w:r>
          </w:p>
          <w:p>
            <w:pPr>
              <w:spacing w:line="360" w:lineRule="auto"/>
              <w:ind w:firstLine="480" w:firstLineChars="200"/>
              <w:rPr>
                <w:color w:val="000000" w:themeColor="text1"/>
                <w:sz w:val="24"/>
                <w:highlight w:val="none"/>
              </w:rPr>
            </w:pPr>
            <w:r>
              <w:rPr>
                <w:color w:val="000000" w:themeColor="text1"/>
                <w:sz w:val="24"/>
                <w:highlight w:val="none"/>
              </w:rPr>
              <w:t>监测布点：在项目场界东南西北四个方位设置声环境质量监测点4个；</w:t>
            </w:r>
          </w:p>
          <w:p>
            <w:pPr>
              <w:spacing w:line="360" w:lineRule="auto"/>
              <w:ind w:firstLine="480" w:firstLineChars="200"/>
              <w:rPr>
                <w:color w:val="000000" w:themeColor="text1"/>
                <w:sz w:val="24"/>
                <w:highlight w:val="none"/>
              </w:rPr>
            </w:pPr>
            <w:r>
              <w:rPr>
                <w:color w:val="000000" w:themeColor="text1"/>
                <w:sz w:val="24"/>
                <w:highlight w:val="none"/>
              </w:rPr>
              <w:t>监测项目：等效连续A声级，Leq；</w:t>
            </w:r>
          </w:p>
          <w:p>
            <w:pPr>
              <w:spacing w:line="360" w:lineRule="auto"/>
              <w:ind w:firstLine="480" w:firstLineChars="200"/>
              <w:rPr>
                <w:color w:val="000000" w:themeColor="text1"/>
                <w:sz w:val="24"/>
                <w:highlight w:val="none"/>
              </w:rPr>
            </w:pPr>
            <w:r>
              <w:rPr>
                <w:color w:val="000000" w:themeColor="text1"/>
                <w:sz w:val="24"/>
                <w:highlight w:val="none"/>
              </w:rPr>
              <w:t>监测时间及频次：本次环评于</w:t>
            </w:r>
            <w:r>
              <w:rPr>
                <w:rFonts w:hint="eastAsia"/>
                <w:color w:val="000000" w:themeColor="text1"/>
                <w:sz w:val="24"/>
                <w:highlight w:val="none"/>
                <w:lang w:val="en-US" w:eastAsia="zh-CN"/>
              </w:rPr>
              <w:t>2019年10月30日</w:t>
            </w:r>
            <w:r>
              <w:rPr>
                <w:color w:val="000000" w:themeColor="text1"/>
                <w:sz w:val="24"/>
                <w:highlight w:val="none"/>
              </w:rPr>
              <w:t>进行了监测，昼、夜间各测一次，昼间为06:00~22:00，夜间为22:00~06:00；</w:t>
            </w:r>
          </w:p>
          <w:p>
            <w:pPr>
              <w:spacing w:line="360" w:lineRule="auto"/>
              <w:ind w:firstLine="480" w:firstLineChars="200"/>
              <w:rPr>
                <w:color w:val="000000" w:themeColor="text1"/>
                <w:sz w:val="24"/>
                <w:highlight w:val="none"/>
              </w:rPr>
            </w:pPr>
            <w:r>
              <w:rPr>
                <w:color w:val="000000" w:themeColor="text1"/>
                <w:sz w:val="24"/>
                <w:highlight w:val="none"/>
              </w:rPr>
              <w:t>执行标准：项目场界四周均执行《声环境质量标准》（GB3096-2008）</w:t>
            </w:r>
            <w:r>
              <w:rPr>
                <w:rFonts w:hint="eastAsia"/>
                <w:color w:val="000000" w:themeColor="text1"/>
                <w:sz w:val="24"/>
                <w:highlight w:val="none"/>
                <w:lang w:val="en-US" w:eastAsia="zh-CN"/>
              </w:rPr>
              <w:t>3</w:t>
            </w:r>
            <w:r>
              <w:rPr>
                <w:color w:val="000000" w:themeColor="text1"/>
                <w:sz w:val="24"/>
                <w:highlight w:val="none"/>
              </w:rPr>
              <w:t>类标准；</w:t>
            </w:r>
          </w:p>
          <w:p>
            <w:pPr>
              <w:spacing w:line="360" w:lineRule="auto"/>
              <w:ind w:firstLine="480" w:firstLineChars="200"/>
              <w:rPr>
                <w:color w:val="000000" w:themeColor="text1"/>
                <w:sz w:val="24"/>
                <w:highlight w:val="none"/>
              </w:rPr>
            </w:pPr>
            <w:r>
              <w:rPr>
                <w:color w:val="000000" w:themeColor="text1"/>
                <w:sz w:val="24"/>
                <w:highlight w:val="none"/>
              </w:rPr>
              <w:t>监测方法：按照《声环境质量标准》（GB3096-2008）的要求进行监测；</w:t>
            </w:r>
          </w:p>
          <w:p>
            <w:pPr>
              <w:spacing w:line="360" w:lineRule="auto"/>
              <w:ind w:firstLine="480" w:firstLineChars="200"/>
              <w:rPr>
                <w:color w:val="000000" w:themeColor="text1"/>
                <w:sz w:val="24"/>
                <w:highlight w:val="none"/>
              </w:rPr>
            </w:pPr>
            <w:r>
              <w:rPr>
                <w:color w:val="000000" w:themeColor="text1"/>
                <w:sz w:val="24"/>
                <w:highlight w:val="none"/>
              </w:rPr>
              <w:t>监测结果：见表3-3。</w:t>
            </w:r>
          </w:p>
          <w:p>
            <w:pPr>
              <w:jc w:val="center"/>
              <w:rPr>
                <w:b/>
                <w:color w:val="000000" w:themeColor="text1"/>
                <w:sz w:val="21"/>
                <w:szCs w:val="21"/>
                <w:highlight w:val="none"/>
              </w:rPr>
            </w:pPr>
            <w:r>
              <w:rPr>
                <w:b/>
                <w:color w:val="000000" w:themeColor="text1"/>
                <w:sz w:val="21"/>
                <w:szCs w:val="21"/>
                <w:highlight w:val="none"/>
              </w:rPr>
              <w:t>表3-3 项目场界噪声现状监测结果    单位：dB(A)</w:t>
            </w:r>
          </w:p>
          <w:tbl>
            <w:tblPr>
              <w:tblStyle w:val="34"/>
              <w:tblW w:w="899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75"/>
              <w:gridCol w:w="3020"/>
              <w:gridCol w:w="2359"/>
              <w:gridCol w:w="857"/>
              <w:gridCol w:w="7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975" w:type="dxa"/>
                  <w:vMerge w:val="restart"/>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监测点位</w:t>
                  </w:r>
                </w:p>
              </w:tc>
              <w:tc>
                <w:tcPr>
                  <w:tcW w:w="5379" w:type="dxa"/>
                  <w:gridSpan w:val="2"/>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监测结果  dB(A)</w:t>
                  </w:r>
                </w:p>
              </w:tc>
              <w:tc>
                <w:tcPr>
                  <w:tcW w:w="1643" w:type="dxa"/>
                  <w:gridSpan w:val="2"/>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标准值dB(A)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975"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c>
                <w:tcPr>
                  <w:tcW w:w="3020" w:type="dxa"/>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昼间</w:t>
                  </w:r>
                </w:p>
              </w:tc>
              <w:tc>
                <w:tcPr>
                  <w:tcW w:w="2359" w:type="dxa"/>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夜间</w:t>
                  </w:r>
                </w:p>
              </w:tc>
              <w:tc>
                <w:tcPr>
                  <w:tcW w:w="857" w:type="dxa"/>
                  <w:vMerge w:val="restart"/>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昼间</w:t>
                  </w:r>
                </w:p>
              </w:tc>
              <w:tc>
                <w:tcPr>
                  <w:tcW w:w="786" w:type="dxa"/>
                  <w:vMerge w:val="restart"/>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夜间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975"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c>
                <w:tcPr>
                  <w:tcW w:w="5379" w:type="dxa"/>
                  <w:gridSpan w:val="2"/>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hint="eastAsia" w:eastAsia="宋体"/>
                      <w:bCs/>
                      <w:color w:val="000000" w:themeColor="text1"/>
                      <w:sz w:val="21"/>
                      <w:szCs w:val="21"/>
                      <w:highlight w:val="none"/>
                      <w:lang w:val="en-US" w:eastAsia="zh-CN"/>
                    </w:rPr>
                    <w:t>10</w:t>
                  </w:r>
                  <w:r>
                    <w:rPr>
                      <w:rFonts w:eastAsia="宋体"/>
                      <w:bCs/>
                      <w:color w:val="000000" w:themeColor="text1"/>
                      <w:sz w:val="21"/>
                      <w:szCs w:val="21"/>
                      <w:highlight w:val="none"/>
                    </w:rPr>
                    <w:t>月</w:t>
                  </w:r>
                  <w:r>
                    <w:rPr>
                      <w:rFonts w:hint="eastAsia" w:eastAsia="宋体"/>
                      <w:bCs/>
                      <w:color w:val="000000" w:themeColor="text1"/>
                      <w:sz w:val="21"/>
                      <w:szCs w:val="21"/>
                      <w:highlight w:val="none"/>
                      <w:lang w:val="en-US" w:eastAsia="zh-CN"/>
                    </w:rPr>
                    <w:t>30</w:t>
                  </w:r>
                  <w:r>
                    <w:rPr>
                      <w:rFonts w:eastAsia="宋体"/>
                      <w:bCs/>
                      <w:color w:val="000000" w:themeColor="text1"/>
                      <w:sz w:val="21"/>
                      <w:szCs w:val="21"/>
                      <w:highlight w:val="none"/>
                    </w:rPr>
                    <w:t>日</w:t>
                  </w:r>
                </w:p>
              </w:tc>
              <w:tc>
                <w:tcPr>
                  <w:tcW w:w="857"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c>
                <w:tcPr>
                  <w:tcW w:w="786"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975" w:type="dxa"/>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bookmarkStart w:id="16" w:name="OLE_LINK8" w:colFirst="1" w:colLast="1"/>
                  <w:bookmarkStart w:id="17" w:name="_Hlk421824629"/>
                  <w:r>
                    <w:rPr>
                      <w:rFonts w:eastAsia="宋体"/>
                      <w:bCs/>
                      <w:color w:val="000000" w:themeColor="text1"/>
                      <w:sz w:val="21"/>
                      <w:szCs w:val="21"/>
                      <w:highlight w:val="none"/>
                    </w:rPr>
                    <w:t>北侧监测点</w:t>
                  </w:r>
                </w:p>
              </w:tc>
              <w:tc>
                <w:tcPr>
                  <w:tcW w:w="3020" w:type="dxa"/>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62.0</w:t>
                  </w:r>
                </w:p>
              </w:tc>
              <w:tc>
                <w:tcPr>
                  <w:tcW w:w="2359" w:type="dxa"/>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52.2</w:t>
                  </w:r>
                </w:p>
              </w:tc>
              <w:tc>
                <w:tcPr>
                  <w:tcW w:w="857" w:type="dxa"/>
                  <w:vMerge w:val="restart"/>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65</w:t>
                  </w:r>
                </w:p>
              </w:tc>
              <w:tc>
                <w:tcPr>
                  <w:tcW w:w="786" w:type="dxa"/>
                  <w:vMerge w:val="restart"/>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975" w:type="dxa"/>
                  <w:tcBorders>
                    <w:tl2br w:val="nil"/>
                    <w:tr2bl w:val="nil"/>
                  </w:tcBorders>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东侧监测点</w:t>
                  </w:r>
                </w:p>
              </w:tc>
              <w:tc>
                <w:tcPr>
                  <w:tcW w:w="3020" w:type="dxa"/>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61.2</w:t>
                  </w:r>
                </w:p>
              </w:tc>
              <w:tc>
                <w:tcPr>
                  <w:tcW w:w="2359" w:type="dxa"/>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51.9</w:t>
                  </w:r>
                </w:p>
              </w:tc>
              <w:tc>
                <w:tcPr>
                  <w:tcW w:w="857"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c>
                <w:tcPr>
                  <w:tcW w:w="786"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975" w:type="dxa"/>
                  <w:tcBorders>
                    <w:tl2br w:val="nil"/>
                    <w:tr2bl w:val="nil"/>
                  </w:tcBorders>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西侧监测点</w:t>
                  </w:r>
                </w:p>
              </w:tc>
              <w:tc>
                <w:tcPr>
                  <w:tcW w:w="3020" w:type="dxa"/>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62.1</w:t>
                  </w:r>
                </w:p>
              </w:tc>
              <w:tc>
                <w:tcPr>
                  <w:tcW w:w="2359" w:type="dxa"/>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51.6</w:t>
                  </w:r>
                </w:p>
              </w:tc>
              <w:tc>
                <w:tcPr>
                  <w:tcW w:w="857"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c>
                <w:tcPr>
                  <w:tcW w:w="786"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975" w:type="dxa"/>
                  <w:tcBorders>
                    <w:tl2br w:val="nil"/>
                    <w:tr2bl w:val="nil"/>
                  </w:tcBorders>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eastAsia="宋体"/>
                      <w:bCs/>
                      <w:color w:val="000000" w:themeColor="text1"/>
                      <w:sz w:val="21"/>
                      <w:szCs w:val="21"/>
                      <w:highlight w:val="none"/>
                    </w:rPr>
                    <w:t>南侧监测点</w:t>
                  </w:r>
                </w:p>
              </w:tc>
              <w:tc>
                <w:tcPr>
                  <w:tcW w:w="3020" w:type="dxa"/>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61.0</w:t>
                  </w:r>
                </w:p>
              </w:tc>
              <w:tc>
                <w:tcPr>
                  <w:tcW w:w="2359" w:type="dxa"/>
                  <w:tcBorders>
                    <w:tl2br w:val="nil"/>
                    <w:tr2bl w:val="nil"/>
                  </w:tcBorders>
                  <w:vAlign w:val="center"/>
                </w:tcPr>
                <w:p>
                  <w:pPr>
                    <w:pStyle w:val="78"/>
                    <w:keepNext/>
                    <w:keepLines/>
                    <w:autoSpaceDN w:val="0"/>
                    <w:spacing w:line="240" w:lineRule="auto"/>
                    <w:ind w:firstLine="0" w:firstLineChars="0"/>
                    <w:jc w:val="center"/>
                    <w:rPr>
                      <w:rFonts w:hint="eastAsia" w:eastAsia="宋体"/>
                      <w:bCs/>
                      <w:color w:val="000000" w:themeColor="text1"/>
                      <w:sz w:val="21"/>
                      <w:szCs w:val="21"/>
                      <w:highlight w:val="none"/>
                      <w:lang w:val="en-US" w:eastAsia="zh-CN"/>
                    </w:rPr>
                  </w:pPr>
                  <w:r>
                    <w:rPr>
                      <w:rFonts w:hint="eastAsia" w:eastAsia="宋体"/>
                      <w:bCs/>
                      <w:color w:val="000000" w:themeColor="text1"/>
                      <w:sz w:val="21"/>
                      <w:szCs w:val="21"/>
                      <w:highlight w:val="none"/>
                      <w:lang w:val="en-US" w:eastAsia="zh-CN"/>
                    </w:rPr>
                    <w:t>49.5</w:t>
                  </w:r>
                </w:p>
              </w:tc>
              <w:tc>
                <w:tcPr>
                  <w:tcW w:w="857"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c>
                <w:tcPr>
                  <w:tcW w:w="786"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975" w:type="dxa"/>
                  <w:tcBorders>
                    <w:tl2br w:val="nil"/>
                    <w:tr2bl w:val="nil"/>
                  </w:tcBorders>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hint="eastAsia" w:eastAsia="宋体"/>
                      <w:bCs/>
                      <w:color w:val="000000" w:themeColor="text1"/>
                      <w:sz w:val="21"/>
                      <w:szCs w:val="21"/>
                      <w:highlight w:val="none"/>
                    </w:rPr>
                    <w:t>是否达标</w:t>
                  </w:r>
                </w:p>
              </w:tc>
              <w:tc>
                <w:tcPr>
                  <w:tcW w:w="3020" w:type="dxa"/>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hint="eastAsia" w:eastAsia="宋体"/>
                      <w:bCs/>
                      <w:color w:val="000000" w:themeColor="text1"/>
                      <w:sz w:val="21"/>
                      <w:szCs w:val="21"/>
                      <w:highlight w:val="none"/>
                    </w:rPr>
                    <w:t>是</w:t>
                  </w:r>
                </w:p>
              </w:tc>
              <w:tc>
                <w:tcPr>
                  <w:tcW w:w="2359" w:type="dxa"/>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r>
                    <w:rPr>
                      <w:rFonts w:hint="eastAsia" w:eastAsia="宋体"/>
                      <w:bCs/>
                      <w:color w:val="000000" w:themeColor="text1"/>
                      <w:sz w:val="21"/>
                      <w:szCs w:val="21"/>
                      <w:highlight w:val="none"/>
                    </w:rPr>
                    <w:t>是</w:t>
                  </w:r>
                </w:p>
              </w:tc>
              <w:tc>
                <w:tcPr>
                  <w:tcW w:w="857"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c>
                <w:tcPr>
                  <w:tcW w:w="786" w:type="dxa"/>
                  <w:vMerge w:val="continue"/>
                  <w:tcBorders>
                    <w:tl2br w:val="nil"/>
                    <w:tr2bl w:val="nil"/>
                  </w:tcBorders>
                  <w:vAlign w:val="center"/>
                </w:tcPr>
                <w:p>
                  <w:pPr>
                    <w:pStyle w:val="78"/>
                    <w:keepNext/>
                    <w:keepLines/>
                    <w:autoSpaceDN w:val="0"/>
                    <w:spacing w:line="240" w:lineRule="auto"/>
                    <w:ind w:firstLine="0" w:firstLineChars="0"/>
                    <w:jc w:val="center"/>
                    <w:rPr>
                      <w:rFonts w:eastAsia="宋体"/>
                      <w:bCs/>
                      <w:color w:val="000000" w:themeColor="text1"/>
                      <w:sz w:val="21"/>
                      <w:szCs w:val="21"/>
                      <w:highlight w:val="none"/>
                    </w:rPr>
                  </w:pPr>
                </w:p>
              </w:tc>
            </w:tr>
            <w:bookmarkEnd w:id="16"/>
            <w:bookmarkEnd w:id="17"/>
          </w:tbl>
          <w:p>
            <w:pPr>
              <w:keepNext/>
              <w:keepLines/>
              <w:autoSpaceDN w:val="0"/>
              <w:spacing w:line="360" w:lineRule="auto"/>
              <w:ind w:firstLine="480" w:firstLineChars="200"/>
              <w:rPr>
                <w:color w:val="000000" w:themeColor="text1"/>
                <w:sz w:val="24"/>
                <w:highlight w:val="red"/>
              </w:rPr>
            </w:pPr>
            <w:r>
              <w:rPr>
                <w:color w:val="000000" w:themeColor="text1"/>
                <w:sz w:val="24"/>
                <w:highlight w:val="none"/>
              </w:rPr>
              <w:t>监测结果表明，项目东、南、西、北四侧声环境质量现状均符合《声环境质量标准》（GB3096-2008）中的</w:t>
            </w:r>
            <w:r>
              <w:rPr>
                <w:rFonts w:hint="eastAsia"/>
                <w:color w:val="000000" w:themeColor="text1"/>
                <w:sz w:val="24"/>
                <w:highlight w:val="none"/>
                <w:lang w:val="en-US" w:eastAsia="zh-CN"/>
              </w:rPr>
              <w:t>3</w:t>
            </w:r>
            <w:r>
              <w:rPr>
                <w:color w:val="000000" w:themeColor="text1"/>
                <w:sz w:val="24"/>
                <w:highlight w:val="none"/>
              </w:rPr>
              <w:t>类标准。项目区域周边声环境质量较好。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43" w:type="dxa"/>
            <w:tcBorders>
              <w:bottom w:val="single" w:color="auto" w:sz="4" w:space="0"/>
            </w:tcBorders>
            <w:vAlign w:val="top"/>
          </w:tcPr>
          <w:p>
            <w:pPr>
              <w:pStyle w:val="2"/>
              <w:ind w:firstLine="0" w:firstLineChars="0"/>
              <w:rPr>
                <w:b/>
                <w:bCs/>
                <w:color w:val="000000" w:themeColor="text1"/>
                <w:highlight w:val="none"/>
              </w:rPr>
            </w:pPr>
            <w:r>
              <w:rPr>
                <w:b/>
                <w:bCs/>
                <w:color w:val="000000" w:themeColor="text1"/>
                <w:highlight w:val="none"/>
              </w:rPr>
              <w:t>主要环境保护目标（列出名单及保护级别）：</w:t>
            </w:r>
          </w:p>
          <w:p>
            <w:pPr>
              <w:spacing w:line="560" w:lineRule="exact"/>
              <w:ind w:firstLine="480" w:firstLineChars="200"/>
              <w:rPr>
                <w:color w:val="000000" w:themeColor="text1"/>
                <w:sz w:val="24"/>
                <w:highlight w:val="none"/>
              </w:rPr>
            </w:pPr>
            <w:r>
              <w:rPr>
                <w:color w:val="000000" w:themeColor="text1"/>
                <w:sz w:val="24"/>
                <w:highlight w:val="none"/>
              </w:rPr>
              <w:t>项目主要环境目标见下表3-4</w:t>
            </w:r>
            <w:r>
              <w:rPr>
                <w:rFonts w:hint="eastAsia"/>
                <w:color w:val="000000" w:themeColor="text1"/>
                <w:sz w:val="24"/>
                <w:highlight w:val="none"/>
                <w:lang w:eastAsia="zh-CN"/>
              </w:rPr>
              <w:t>、</w:t>
            </w:r>
            <w:r>
              <w:rPr>
                <w:rFonts w:hint="eastAsia"/>
                <w:color w:val="000000" w:themeColor="text1"/>
                <w:sz w:val="24"/>
                <w:highlight w:val="none"/>
                <w:lang w:val="en-US" w:eastAsia="zh-CN"/>
              </w:rPr>
              <w:t>3-5</w:t>
            </w:r>
            <w:r>
              <w:rPr>
                <w:color w:val="000000" w:themeColor="text1"/>
                <w:sz w:val="24"/>
                <w:highlight w:val="none"/>
              </w:rPr>
              <w:t>。</w:t>
            </w:r>
          </w:p>
          <w:p>
            <w:pPr>
              <w:spacing w:line="360" w:lineRule="auto"/>
              <w:jc w:val="center"/>
              <w:rPr>
                <w:rFonts w:hint="default" w:ascii="Times New Roman" w:hAnsi="Times New Roman" w:cs="Times New Roman"/>
                <w:b/>
                <w:bCs/>
                <w:sz w:val="24"/>
                <w:szCs w:val="21"/>
                <w:u w:val="none"/>
              </w:rPr>
            </w:pPr>
            <w:r>
              <w:rPr>
                <w:rFonts w:hint="default" w:ascii="Times New Roman" w:hAnsi="Times New Roman" w:cs="Times New Roman"/>
                <w:b/>
                <w:bCs/>
                <w:sz w:val="24"/>
                <w:szCs w:val="21"/>
                <w:u w:val="none"/>
              </w:rPr>
              <w:t>表3-</w:t>
            </w:r>
            <w:r>
              <w:rPr>
                <w:rFonts w:hint="eastAsia" w:ascii="Times New Roman" w:hAnsi="Times New Roman" w:cs="Times New Roman"/>
                <w:b/>
                <w:bCs/>
                <w:sz w:val="24"/>
                <w:szCs w:val="21"/>
                <w:u w:val="none"/>
                <w:lang w:val="en-US" w:eastAsia="zh-CN"/>
              </w:rPr>
              <w:t>4</w:t>
            </w:r>
            <w:r>
              <w:rPr>
                <w:rFonts w:hint="default" w:ascii="Times New Roman" w:hAnsi="Times New Roman" w:cs="Times New Roman"/>
                <w:b/>
                <w:bCs/>
                <w:sz w:val="24"/>
                <w:szCs w:val="21"/>
                <w:u w:val="none"/>
              </w:rPr>
              <w:t xml:space="preserve">  环境空气保护目标</w:t>
            </w:r>
          </w:p>
          <w:tbl>
            <w:tblPr>
              <w:tblStyle w:val="34"/>
              <w:tblW w:w="8700"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1179"/>
              <w:gridCol w:w="1102"/>
              <w:gridCol w:w="971"/>
              <w:gridCol w:w="973"/>
              <w:gridCol w:w="972"/>
              <w:gridCol w:w="993"/>
              <w:gridCol w:w="1322"/>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88" w:type="dxa"/>
                  <w:vMerge w:val="restart"/>
                  <w:vAlign w:val="center"/>
                </w:tcPr>
                <w:p>
                  <w:pPr>
                    <w:jc w:val="center"/>
                    <w:rPr>
                      <w:rFonts w:hint="eastAsia" w:asciiTheme="minorEastAsia" w:hAnsiTheme="minorEastAsia" w:eastAsiaTheme="minorEastAsia" w:cstheme="minorEastAsia"/>
                      <w:sz w:val="21"/>
                      <w:szCs w:val="21"/>
                      <w:u w:val="none"/>
                    </w:rPr>
                  </w:pPr>
                  <w:bookmarkStart w:id="18" w:name="_Hlk12456117"/>
                  <w:r>
                    <w:rPr>
                      <w:rFonts w:hint="eastAsia" w:asciiTheme="minorEastAsia" w:hAnsiTheme="minorEastAsia" w:eastAsiaTheme="minorEastAsia" w:cstheme="minorEastAsia"/>
                      <w:sz w:val="21"/>
                      <w:szCs w:val="21"/>
                      <w:u w:val="none"/>
                    </w:rPr>
                    <w:t>名称</w:t>
                  </w:r>
                </w:p>
              </w:tc>
              <w:tc>
                <w:tcPr>
                  <w:tcW w:w="2281" w:type="dxa"/>
                  <w:gridSpan w:val="2"/>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坐标</w:t>
                  </w:r>
                </w:p>
              </w:tc>
              <w:tc>
                <w:tcPr>
                  <w:tcW w:w="971"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保护对象</w:t>
                  </w:r>
                </w:p>
              </w:tc>
              <w:tc>
                <w:tcPr>
                  <w:tcW w:w="973"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保护内容</w:t>
                  </w:r>
                </w:p>
              </w:tc>
              <w:tc>
                <w:tcPr>
                  <w:tcW w:w="972"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环境功能区</w:t>
                  </w:r>
                </w:p>
              </w:tc>
              <w:tc>
                <w:tcPr>
                  <w:tcW w:w="993"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相对厂址方位</w:t>
                  </w:r>
                </w:p>
              </w:tc>
              <w:tc>
                <w:tcPr>
                  <w:tcW w:w="1322"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相对厂址距离/m</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188" w:type="dxa"/>
                  <w:vMerge w:val="continue"/>
                  <w:vAlign w:val="center"/>
                </w:tcPr>
                <w:p>
                  <w:pPr>
                    <w:jc w:val="center"/>
                    <w:rPr>
                      <w:rFonts w:hint="eastAsia" w:asciiTheme="minorEastAsia" w:hAnsiTheme="minorEastAsia" w:eastAsiaTheme="minorEastAsia" w:cstheme="minorEastAsia"/>
                      <w:sz w:val="21"/>
                      <w:szCs w:val="21"/>
                      <w:u w:val="none"/>
                    </w:rPr>
                  </w:pPr>
                </w:p>
              </w:tc>
              <w:tc>
                <w:tcPr>
                  <w:tcW w:w="1179"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X</w:t>
                  </w:r>
                </w:p>
              </w:tc>
              <w:tc>
                <w:tcPr>
                  <w:tcW w:w="110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Y</w:t>
                  </w:r>
                </w:p>
              </w:tc>
              <w:tc>
                <w:tcPr>
                  <w:tcW w:w="971" w:type="dxa"/>
                  <w:vMerge w:val="continue"/>
                  <w:vAlign w:val="center"/>
                </w:tcPr>
                <w:p>
                  <w:pPr>
                    <w:jc w:val="center"/>
                    <w:rPr>
                      <w:rFonts w:hint="eastAsia" w:asciiTheme="minorEastAsia" w:hAnsiTheme="minorEastAsia" w:eastAsiaTheme="minorEastAsia" w:cstheme="minorEastAsia"/>
                      <w:sz w:val="21"/>
                      <w:szCs w:val="21"/>
                      <w:u w:val="none"/>
                    </w:rPr>
                  </w:pPr>
                </w:p>
              </w:tc>
              <w:tc>
                <w:tcPr>
                  <w:tcW w:w="973" w:type="dxa"/>
                  <w:vMerge w:val="continue"/>
                  <w:vAlign w:val="center"/>
                </w:tcPr>
                <w:p>
                  <w:pPr>
                    <w:jc w:val="center"/>
                    <w:rPr>
                      <w:rFonts w:hint="eastAsia" w:asciiTheme="minorEastAsia" w:hAnsiTheme="minorEastAsia" w:eastAsiaTheme="minorEastAsia" w:cstheme="minorEastAsia"/>
                      <w:sz w:val="21"/>
                      <w:szCs w:val="21"/>
                      <w:u w:val="none"/>
                    </w:rPr>
                  </w:pPr>
                </w:p>
              </w:tc>
              <w:tc>
                <w:tcPr>
                  <w:tcW w:w="972" w:type="dxa"/>
                  <w:vMerge w:val="continue"/>
                  <w:vAlign w:val="center"/>
                </w:tcPr>
                <w:p>
                  <w:pPr>
                    <w:jc w:val="center"/>
                    <w:rPr>
                      <w:rFonts w:hint="eastAsia" w:asciiTheme="minorEastAsia" w:hAnsiTheme="minorEastAsia" w:eastAsiaTheme="minorEastAsia" w:cstheme="minorEastAsia"/>
                      <w:sz w:val="21"/>
                      <w:szCs w:val="21"/>
                      <w:u w:val="none"/>
                    </w:rPr>
                  </w:pPr>
                </w:p>
              </w:tc>
              <w:tc>
                <w:tcPr>
                  <w:tcW w:w="993" w:type="dxa"/>
                  <w:vMerge w:val="continue"/>
                  <w:vAlign w:val="center"/>
                </w:tcPr>
                <w:p>
                  <w:pPr>
                    <w:jc w:val="center"/>
                    <w:rPr>
                      <w:rFonts w:hint="eastAsia" w:asciiTheme="minorEastAsia" w:hAnsiTheme="minorEastAsia" w:eastAsiaTheme="minorEastAsia" w:cstheme="minorEastAsia"/>
                      <w:sz w:val="21"/>
                      <w:szCs w:val="21"/>
                      <w:u w:val="none"/>
                    </w:rPr>
                  </w:pPr>
                </w:p>
              </w:tc>
              <w:tc>
                <w:tcPr>
                  <w:tcW w:w="1322" w:type="dxa"/>
                  <w:vMerge w:val="continue"/>
                  <w:vAlign w:val="center"/>
                </w:tcPr>
                <w:p>
                  <w:pPr>
                    <w:jc w:val="center"/>
                    <w:rPr>
                      <w:rFonts w:hint="eastAsia" w:asciiTheme="minorEastAsia" w:hAnsiTheme="minorEastAsia" w:eastAsiaTheme="minorEastAsia" w:cstheme="minorEastAsia"/>
                      <w:sz w:val="21"/>
                      <w:szCs w:val="21"/>
                      <w:u w:val="none"/>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188"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金华村居民</w:t>
                  </w:r>
                </w:p>
              </w:tc>
              <w:tc>
                <w:tcPr>
                  <w:tcW w:w="1179"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112.925613</w:t>
                  </w:r>
                </w:p>
              </w:tc>
              <w:tc>
                <w:tcPr>
                  <w:tcW w:w="110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28.530072</w:t>
                  </w:r>
                </w:p>
              </w:tc>
              <w:tc>
                <w:tcPr>
                  <w:tcW w:w="971"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居民</w:t>
                  </w:r>
                </w:p>
              </w:tc>
              <w:tc>
                <w:tcPr>
                  <w:tcW w:w="973"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约24户</w:t>
                  </w:r>
                </w:p>
              </w:tc>
              <w:tc>
                <w:tcPr>
                  <w:tcW w:w="97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二类区</w:t>
                  </w:r>
                </w:p>
              </w:tc>
              <w:tc>
                <w:tcPr>
                  <w:tcW w:w="993"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西面</w:t>
                  </w:r>
                </w:p>
              </w:tc>
              <w:tc>
                <w:tcPr>
                  <w:tcW w:w="1322"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492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188"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马鞍塘居民</w:t>
                  </w:r>
                </w:p>
              </w:tc>
              <w:tc>
                <w:tcPr>
                  <w:tcW w:w="1179"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112.941685</w:t>
                  </w:r>
                </w:p>
              </w:tc>
              <w:tc>
                <w:tcPr>
                  <w:tcW w:w="110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28.521362</w:t>
                  </w:r>
                </w:p>
              </w:tc>
              <w:tc>
                <w:tcPr>
                  <w:tcW w:w="971"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居民</w:t>
                  </w:r>
                </w:p>
              </w:tc>
              <w:tc>
                <w:tcPr>
                  <w:tcW w:w="973"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约9户</w:t>
                  </w:r>
                </w:p>
              </w:tc>
              <w:tc>
                <w:tcPr>
                  <w:tcW w:w="97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二类区</w:t>
                  </w:r>
                </w:p>
              </w:tc>
              <w:tc>
                <w:tcPr>
                  <w:tcW w:w="993"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东南面</w:t>
                  </w:r>
                </w:p>
              </w:tc>
              <w:tc>
                <w:tcPr>
                  <w:tcW w:w="1322"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970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188"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文家龙居民</w:t>
                  </w:r>
                </w:p>
              </w:tc>
              <w:tc>
                <w:tcPr>
                  <w:tcW w:w="1179"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112.932866</w:t>
                  </w:r>
                </w:p>
              </w:tc>
              <w:tc>
                <w:tcPr>
                  <w:tcW w:w="110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28.521136</w:t>
                  </w:r>
                </w:p>
              </w:tc>
              <w:tc>
                <w:tcPr>
                  <w:tcW w:w="971"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居民</w:t>
                  </w:r>
                </w:p>
              </w:tc>
              <w:tc>
                <w:tcPr>
                  <w:tcW w:w="973"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约10户</w:t>
                  </w:r>
                </w:p>
              </w:tc>
              <w:tc>
                <w:tcPr>
                  <w:tcW w:w="97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二类区</w:t>
                  </w:r>
                </w:p>
              </w:tc>
              <w:tc>
                <w:tcPr>
                  <w:tcW w:w="993"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南面</w:t>
                  </w:r>
                </w:p>
              </w:tc>
              <w:tc>
                <w:tcPr>
                  <w:tcW w:w="1322"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630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188"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金龙新区安置小区</w:t>
                  </w:r>
                </w:p>
              </w:tc>
              <w:tc>
                <w:tcPr>
                  <w:tcW w:w="1179"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112.940032</w:t>
                  </w:r>
                </w:p>
              </w:tc>
              <w:tc>
                <w:tcPr>
                  <w:tcW w:w="110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28.528168</w:t>
                  </w:r>
                </w:p>
              </w:tc>
              <w:tc>
                <w:tcPr>
                  <w:tcW w:w="971"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居民</w:t>
                  </w:r>
                </w:p>
              </w:tc>
              <w:tc>
                <w:tcPr>
                  <w:tcW w:w="973"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约430户</w:t>
                  </w:r>
                </w:p>
              </w:tc>
              <w:tc>
                <w:tcPr>
                  <w:tcW w:w="972"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二类区</w:t>
                  </w:r>
                </w:p>
              </w:tc>
              <w:tc>
                <w:tcPr>
                  <w:tcW w:w="993"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东北面</w:t>
                  </w:r>
                </w:p>
              </w:tc>
              <w:tc>
                <w:tcPr>
                  <w:tcW w:w="1322"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720</w:t>
                  </w:r>
                </w:p>
              </w:tc>
            </w:tr>
            <w:bookmarkEnd w:id="18"/>
          </w:tbl>
          <w:p>
            <w:pPr>
              <w:spacing w:line="360" w:lineRule="auto"/>
              <w:jc w:val="center"/>
              <w:rPr>
                <w:rFonts w:hint="default" w:ascii="Times New Roman" w:hAnsi="Times New Roman" w:cs="Times New Roman"/>
                <w:b/>
                <w:bCs/>
                <w:sz w:val="24"/>
                <w:szCs w:val="21"/>
                <w:u w:val="none"/>
              </w:rPr>
            </w:pPr>
          </w:p>
          <w:p>
            <w:pPr>
              <w:spacing w:line="360" w:lineRule="auto"/>
              <w:ind w:firstLine="2640" w:firstLineChars="1100"/>
              <w:rPr>
                <w:rFonts w:hint="default" w:ascii="Times New Roman" w:hAnsi="Times New Roman" w:cs="Times New Roman"/>
                <w:b/>
                <w:bCs/>
                <w:sz w:val="24"/>
                <w:szCs w:val="21"/>
                <w:u w:val="none"/>
              </w:rPr>
            </w:pPr>
            <w:r>
              <w:rPr>
                <w:rFonts w:hint="default" w:ascii="Times New Roman" w:hAnsi="Times New Roman" w:cs="Times New Roman"/>
                <w:b/>
                <w:bCs/>
                <w:sz w:val="24"/>
                <w:szCs w:val="21"/>
                <w:u w:val="none"/>
              </w:rPr>
              <w:t>表3-</w:t>
            </w:r>
            <w:r>
              <w:rPr>
                <w:rFonts w:hint="eastAsia" w:ascii="Times New Roman" w:hAnsi="Times New Roman" w:cs="Times New Roman"/>
                <w:b/>
                <w:bCs/>
                <w:sz w:val="24"/>
                <w:szCs w:val="21"/>
                <w:u w:val="none"/>
                <w:lang w:val="en-US" w:eastAsia="zh-CN"/>
              </w:rPr>
              <w:t>5</w:t>
            </w:r>
            <w:r>
              <w:rPr>
                <w:rFonts w:hint="default" w:ascii="Times New Roman" w:hAnsi="Times New Roman" w:cs="Times New Roman"/>
                <w:b/>
                <w:bCs/>
                <w:sz w:val="24"/>
                <w:szCs w:val="21"/>
                <w:u w:val="none"/>
              </w:rPr>
              <w:t xml:space="preserve">   其他环境保护目标</w:t>
            </w:r>
          </w:p>
          <w:tbl>
            <w:tblPr>
              <w:tblStyle w:val="34"/>
              <w:tblW w:w="889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598"/>
              <w:gridCol w:w="1877"/>
              <w:gridCol w:w="1616"/>
              <w:gridCol w:w="1331"/>
              <w:gridCol w:w="1929"/>
              <w:gridCol w:w="154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438" w:hRule="atLeast"/>
                <w:jc w:val="center"/>
              </w:trPr>
              <w:tc>
                <w:tcPr>
                  <w:tcW w:w="2475" w:type="dxa"/>
                  <w:gridSpan w:val="2"/>
                  <w:vAlign w:val="center"/>
                </w:tcPr>
                <w:p>
                  <w:pPr>
                    <w:jc w:val="center"/>
                    <w:rPr>
                      <w:rFonts w:hint="eastAsia" w:asciiTheme="minorEastAsia" w:hAnsiTheme="minorEastAsia" w:eastAsiaTheme="minorEastAsia" w:cstheme="minorEastAsia"/>
                      <w:sz w:val="21"/>
                      <w:szCs w:val="21"/>
                      <w:u w:val="none"/>
                    </w:rPr>
                  </w:pPr>
                  <w:bookmarkStart w:id="19" w:name="_Hlk532937741"/>
                  <w:r>
                    <w:rPr>
                      <w:rFonts w:hint="eastAsia" w:asciiTheme="minorEastAsia" w:hAnsiTheme="minorEastAsia" w:eastAsiaTheme="minorEastAsia" w:cstheme="minorEastAsia"/>
                      <w:sz w:val="21"/>
                      <w:szCs w:val="21"/>
                      <w:u w:val="none"/>
                    </w:rPr>
                    <w:t>保护目标</w:t>
                  </w:r>
                </w:p>
              </w:tc>
              <w:tc>
                <w:tcPr>
                  <w:tcW w:w="1616"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性质/规模</w:t>
                  </w:r>
                </w:p>
              </w:tc>
              <w:tc>
                <w:tcPr>
                  <w:tcW w:w="1331"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方位</w:t>
                  </w:r>
                </w:p>
              </w:tc>
              <w:tc>
                <w:tcPr>
                  <w:tcW w:w="1929"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与厂界的距离（m）</w:t>
                  </w:r>
                </w:p>
              </w:tc>
              <w:tc>
                <w:tcPr>
                  <w:tcW w:w="1547"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功能类别</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663" w:hRule="atLeast"/>
                <w:jc w:val="center"/>
              </w:trPr>
              <w:tc>
                <w:tcPr>
                  <w:tcW w:w="598"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要素</w:t>
                  </w:r>
                </w:p>
              </w:tc>
              <w:tc>
                <w:tcPr>
                  <w:tcW w:w="1877"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名称</w:t>
                  </w:r>
                </w:p>
              </w:tc>
              <w:tc>
                <w:tcPr>
                  <w:tcW w:w="1616" w:type="dxa"/>
                  <w:vMerge w:val="continue"/>
                  <w:vAlign w:val="center"/>
                </w:tcPr>
                <w:p>
                  <w:pPr>
                    <w:jc w:val="center"/>
                    <w:rPr>
                      <w:rFonts w:hint="eastAsia" w:asciiTheme="minorEastAsia" w:hAnsiTheme="minorEastAsia" w:eastAsiaTheme="minorEastAsia" w:cstheme="minorEastAsia"/>
                      <w:sz w:val="21"/>
                      <w:szCs w:val="21"/>
                      <w:u w:val="none"/>
                    </w:rPr>
                  </w:pPr>
                </w:p>
              </w:tc>
              <w:tc>
                <w:tcPr>
                  <w:tcW w:w="1331" w:type="dxa"/>
                  <w:vMerge w:val="continue"/>
                  <w:vAlign w:val="center"/>
                </w:tcPr>
                <w:p>
                  <w:pPr>
                    <w:jc w:val="center"/>
                    <w:rPr>
                      <w:rFonts w:hint="eastAsia" w:asciiTheme="minorEastAsia" w:hAnsiTheme="minorEastAsia" w:eastAsiaTheme="minorEastAsia" w:cstheme="minorEastAsia"/>
                      <w:sz w:val="21"/>
                      <w:szCs w:val="21"/>
                      <w:u w:val="none"/>
                    </w:rPr>
                  </w:pPr>
                </w:p>
              </w:tc>
              <w:tc>
                <w:tcPr>
                  <w:tcW w:w="1929" w:type="dxa"/>
                  <w:vMerge w:val="continue"/>
                  <w:vAlign w:val="center"/>
                </w:tcPr>
                <w:p>
                  <w:pPr>
                    <w:jc w:val="center"/>
                    <w:rPr>
                      <w:rFonts w:hint="eastAsia" w:asciiTheme="minorEastAsia" w:hAnsiTheme="minorEastAsia" w:eastAsiaTheme="minorEastAsia" w:cstheme="minorEastAsia"/>
                      <w:sz w:val="21"/>
                      <w:szCs w:val="21"/>
                      <w:u w:val="none"/>
                    </w:rPr>
                  </w:pPr>
                </w:p>
              </w:tc>
              <w:tc>
                <w:tcPr>
                  <w:tcW w:w="1547" w:type="dxa"/>
                  <w:vMerge w:val="continue"/>
                  <w:vAlign w:val="center"/>
                </w:tcPr>
                <w:p>
                  <w:pPr>
                    <w:jc w:val="center"/>
                    <w:rPr>
                      <w:rFonts w:hint="eastAsia" w:asciiTheme="minorEastAsia" w:hAnsiTheme="minorEastAsia" w:eastAsiaTheme="minorEastAsia" w:cstheme="minorEastAsia"/>
                      <w:sz w:val="21"/>
                      <w:szCs w:val="21"/>
                      <w:u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1002" w:hRule="atLeast"/>
                <w:jc w:val="center"/>
              </w:trPr>
              <w:tc>
                <w:tcPr>
                  <w:tcW w:w="598" w:type="dxa"/>
                  <w:vMerge w:val="restart"/>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水环境</w:t>
                  </w:r>
                </w:p>
              </w:tc>
              <w:tc>
                <w:tcPr>
                  <w:tcW w:w="1877" w:type="dxa"/>
                  <w:vAlign w:val="center"/>
                </w:tcPr>
                <w:p>
                  <w:pPr>
                    <w:pStyle w:val="73"/>
                    <w:tabs>
                      <w:tab w:val="left" w:pos="700"/>
                    </w:tabs>
                    <w:spacing w:after="0" w:line="240" w:lineRule="auto"/>
                    <w:jc w:val="center"/>
                    <w:rPr>
                      <w:rFonts w:hint="eastAsia" w:asciiTheme="minorEastAsia" w:hAnsiTheme="minorEastAsia" w:eastAsiaTheme="minorEastAsia" w:cstheme="minorEastAsia"/>
                      <w:sz w:val="21"/>
                      <w:szCs w:val="21"/>
                      <w:u w:val="none"/>
                      <w:lang w:eastAsia="zh-CN"/>
                    </w:rPr>
                  </w:pPr>
                  <w:r>
                    <w:rPr>
                      <w:rFonts w:hint="eastAsia" w:asciiTheme="minorEastAsia" w:hAnsiTheme="minorEastAsia" w:eastAsiaTheme="minorEastAsia" w:cstheme="minorEastAsia"/>
                      <w:sz w:val="21"/>
                      <w:szCs w:val="21"/>
                      <w:u w:val="none"/>
                      <w:lang w:eastAsia="zh-CN"/>
                    </w:rPr>
                    <w:t>湘江</w:t>
                  </w:r>
                </w:p>
              </w:tc>
              <w:tc>
                <w:tcPr>
                  <w:tcW w:w="1616" w:type="dxa"/>
                  <w:vAlign w:val="center"/>
                </w:tcPr>
                <w:p>
                  <w:pPr>
                    <w:pStyle w:val="126"/>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大河，渔业用水区</w:t>
                  </w:r>
                </w:p>
              </w:tc>
              <w:tc>
                <w:tcPr>
                  <w:tcW w:w="1331"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西面</w:t>
                  </w:r>
                </w:p>
              </w:tc>
              <w:tc>
                <w:tcPr>
                  <w:tcW w:w="1929"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约13.29km</w:t>
                  </w:r>
                </w:p>
              </w:tc>
              <w:tc>
                <w:tcPr>
                  <w:tcW w:w="1547"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III 类水体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1017" w:hRule="atLeast"/>
                <w:jc w:val="center"/>
              </w:trPr>
              <w:tc>
                <w:tcPr>
                  <w:tcW w:w="598" w:type="dxa"/>
                  <w:vMerge w:val="continue"/>
                  <w:vAlign w:val="center"/>
                </w:tcPr>
                <w:p>
                  <w:pPr>
                    <w:jc w:val="center"/>
                    <w:rPr>
                      <w:rFonts w:hint="eastAsia" w:asciiTheme="minorEastAsia" w:hAnsiTheme="minorEastAsia" w:eastAsiaTheme="minorEastAsia" w:cstheme="minorEastAsia"/>
                      <w:sz w:val="21"/>
                      <w:szCs w:val="21"/>
                      <w:u w:val="none"/>
                    </w:rPr>
                  </w:pPr>
                </w:p>
              </w:tc>
              <w:tc>
                <w:tcPr>
                  <w:tcW w:w="1877" w:type="dxa"/>
                  <w:vAlign w:val="center"/>
                </w:tcPr>
                <w:p>
                  <w:pPr>
                    <w:pStyle w:val="73"/>
                    <w:tabs>
                      <w:tab w:val="left" w:pos="700"/>
                    </w:tabs>
                    <w:spacing w:after="0" w:line="240" w:lineRule="auto"/>
                    <w:jc w:val="center"/>
                    <w:rPr>
                      <w:rFonts w:hint="default" w:asciiTheme="minorEastAsia" w:hAnsiTheme="minorEastAsia" w:eastAsiaTheme="minorEastAsia" w:cstheme="minorEastAsia"/>
                      <w:sz w:val="21"/>
                      <w:szCs w:val="21"/>
                      <w:u w:val="none"/>
                      <w:lang w:val="en-US" w:eastAsia="zh-CN"/>
                    </w:rPr>
                  </w:pPr>
                  <w:r>
                    <w:rPr>
                      <w:rFonts w:hint="eastAsia" w:asciiTheme="minorEastAsia" w:hAnsiTheme="minorEastAsia" w:eastAsiaTheme="minorEastAsia" w:cstheme="minorEastAsia"/>
                      <w:sz w:val="21"/>
                      <w:szCs w:val="21"/>
                      <w:u w:val="none"/>
                      <w:lang w:val="en-US" w:eastAsia="zh-CN"/>
                    </w:rPr>
                    <w:t>洋沙湖</w:t>
                  </w:r>
                </w:p>
              </w:tc>
              <w:tc>
                <w:tcPr>
                  <w:tcW w:w="1616" w:type="dxa"/>
                  <w:vAlign w:val="center"/>
                </w:tcPr>
                <w:p>
                  <w:pPr>
                    <w:pStyle w:val="126"/>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渔业用水区</w:t>
                  </w:r>
                </w:p>
              </w:tc>
              <w:tc>
                <w:tcPr>
                  <w:tcW w:w="1331" w:type="dxa"/>
                  <w:vAlign w:val="center"/>
                </w:tcPr>
                <w:p>
                  <w:pPr>
                    <w:pStyle w:val="7"/>
                    <w:tabs>
                      <w:tab w:val="left" w:pos="700"/>
                    </w:tabs>
                    <w:spacing w:after="0"/>
                    <w:ind w:firstLine="0" w:firstLineChars="0"/>
                    <w:jc w:val="center"/>
                    <w:rPr>
                      <w:rFonts w:hint="eastAsia" w:asciiTheme="minorEastAsia" w:hAnsiTheme="minorEastAsia" w:eastAsiaTheme="minorEastAsia" w:cstheme="minorEastAsia"/>
                      <w:sz w:val="21"/>
                      <w:szCs w:val="21"/>
                      <w:u w:val="none"/>
                      <w:lang w:val="en-US" w:eastAsia="zh-CN"/>
                    </w:rPr>
                  </w:pPr>
                  <w:r>
                    <w:rPr>
                      <w:rFonts w:hint="eastAsia" w:asciiTheme="minorEastAsia" w:hAnsiTheme="minorEastAsia" w:eastAsiaTheme="minorEastAsia" w:cstheme="minorEastAsia"/>
                      <w:sz w:val="21"/>
                      <w:szCs w:val="21"/>
                      <w:u w:val="none"/>
                      <w:lang w:val="en-US" w:eastAsia="zh-CN"/>
                    </w:rPr>
                    <w:t>西北面</w:t>
                  </w:r>
                </w:p>
              </w:tc>
              <w:tc>
                <w:tcPr>
                  <w:tcW w:w="1929" w:type="dxa"/>
                  <w:vAlign w:val="center"/>
                </w:tcPr>
                <w:p>
                  <w:pPr>
                    <w:pStyle w:val="7"/>
                    <w:tabs>
                      <w:tab w:val="left" w:pos="700"/>
                    </w:tabs>
                    <w:spacing w:after="0"/>
                    <w:ind w:firstLine="0" w:firstLineChars="0"/>
                    <w:jc w:val="center"/>
                    <w:rPr>
                      <w:rFonts w:hint="default" w:asciiTheme="minorEastAsia" w:hAnsiTheme="minorEastAsia" w:eastAsiaTheme="minorEastAsia" w:cstheme="minorEastAsia"/>
                      <w:sz w:val="21"/>
                      <w:szCs w:val="21"/>
                      <w:u w:val="none"/>
                      <w:lang w:val="en-US" w:eastAsia="zh-CN"/>
                    </w:rPr>
                  </w:pPr>
                  <w:r>
                    <w:rPr>
                      <w:rFonts w:hint="eastAsia" w:asciiTheme="minorEastAsia" w:hAnsiTheme="minorEastAsia" w:eastAsiaTheme="minorEastAsia" w:cstheme="minorEastAsia"/>
                      <w:sz w:val="21"/>
                      <w:szCs w:val="21"/>
                      <w:u w:val="none"/>
                      <w:lang w:val="en-US" w:eastAsia="zh-CN"/>
                    </w:rPr>
                    <w:t>9.5km</w:t>
                  </w:r>
                </w:p>
              </w:tc>
              <w:tc>
                <w:tcPr>
                  <w:tcW w:w="1547" w:type="dxa"/>
                  <w:vAlign w:val="center"/>
                </w:tcPr>
                <w:p>
                  <w:pPr>
                    <w:jc w:val="center"/>
                    <w:rPr>
                      <w:rFonts w:hint="eastAsia" w:asciiTheme="minorEastAsia" w:hAnsiTheme="minorEastAsia" w:eastAsiaTheme="minorEastAsia" w:cstheme="minorEastAsia"/>
                      <w:sz w:val="21"/>
                      <w:szCs w:val="21"/>
                      <w:u w:val="none"/>
                    </w:rPr>
                  </w:pPr>
                  <w:r>
                    <w:rPr>
                      <w:rFonts w:hint="eastAsia" w:asciiTheme="minorEastAsia" w:hAnsiTheme="minorEastAsia" w:eastAsiaTheme="minorEastAsia" w:cstheme="minorEastAsia"/>
                      <w:sz w:val="21"/>
                      <w:szCs w:val="21"/>
                      <w:u w:val="none"/>
                    </w:rPr>
                    <w:t>III 类水体</w:t>
                  </w:r>
                </w:p>
              </w:tc>
            </w:tr>
            <w:bookmarkEnd w:id="19"/>
          </w:tbl>
          <w:p>
            <w:pPr>
              <w:jc w:val="center"/>
              <w:rPr>
                <w:b/>
                <w:color w:val="000000" w:themeColor="text1"/>
                <w:sz w:val="21"/>
                <w:szCs w:val="21"/>
                <w:highlight w:val="red"/>
              </w:rPr>
            </w:pPr>
          </w:p>
          <w:p>
            <w:pPr>
              <w:pStyle w:val="2"/>
              <w:ind w:firstLine="0" w:firstLineChars="0"/>
              <w:rPr>
                <w:color w:val="000000" w:themeColor="text1"/>
                <w:szCs w:val="28"/>
                <w:highlight w:val="red"/>
              </w:rPr>
            </w:pPr>
          </w:p>
          <w:p>
            <w:pPr>
              <w:pStyle w:val="2"/>
              <w:ind w:firstLine="0" w:firstLineChars="0"/>
              <w:rPr>
                <w:color w:val="000000" w:themeColor="text1"/>
                <w:szCs w:val="28"/>
                <w:highlight w:val="red"/>
              </w:rPr>
            </w:pPr>
          </w:p>
          <w:p>
            <w:pPr>
              <w:pStyle w:val="2"/>
              <w:ind w:firstLine="0" w:firstLineChars="0"/>
              <w:rPr>
                <w:color w:val="000000" w:themeColor="text1"/>
                <w:szCs w:val="28"/>
                <w:highlight w:val="red"/>
              </w:rPr>
            </w:pPr>
          </w:p>
          <w:p>
            <w:pPr>
              <w:pStyle w:val="2"/>
              <w:ind w:firstLine="0" w:firstLineChars="0"/>
              <w:rPr>
                <w:color w:val="000000" w:themeColor="text1"/>
                <w:szCs w:val="28"/>
                <w:highlight w:val="red"/>
              </w:rPr>
            </w:pPr>
          </w:p>
          <w:p>
            <w:pPr>
              <w:pStyle w:val="2"/>
              <w:ind w:firstLine="0" w:firstLineChars="0"/>
              <w:rPr>
                <w:color w:val="000000" w:themeColor="text1"/>
                <w:szCs w:val="28"/>
                <w:highlight w:val="red"/>
              </w:rPr>
            </w:pPr>
          </w:p>
          <w:p>
            <w:pPr>
              <w:pStyle w:val="2"/>
              <w:ind w:firstLine="0" w:firstLineChars="0"/>
              <w:rPr>
                <w:color w:val="000000" w:themeColor="text1"/>
                <w:szCs w:val="28"/>
                <w:highlight w:val="red"/>
              </w:rPr>
            </w:pPr>
          </w:p>
          <w:p>
            <w:pPr>
              <w:pStyle w:val="2"/>
              <w:ind w:firstLine="0" w:firstLineChars="0"/>
              <w:rPr>
                <w:color w:val="000000" w:themeColor="text1"/>
                <w:szCs w:val="28"/>
                <w:highlight w:val="red"/>
              </w:rPr>
            </w:pPr>
          </w:p>
          <w:p>
            <w:pPr>
              <w:pStyle w:val="2"/>
              <w:ind w:firstLine="0" w:firstLineChars="0"/>
              <w:rPr>
                <w:color w:val="000000" w:themeColor="text1"/>
                <w:szCs w:val="28"/>
                <w:highlight w:val="red"/>
              </w:rPr>
            </w:pPr>
          </w:p>
          <w:p>
            <w:pPr>
              <w:pStyle w:val="2"/>
              <w:ind w:firstLine="0" w:firstLineChars="0"/>
              <w:rPr>
                <w:color w:val="000000" w:themeColor="text1"/>
                <w:szCs w:val="28"/>
                <w:highlight w:val="red"/>
              </w:rPr>
            </w:pPr>
          </w:p>
        </w:tc>
      </w:tr>
    </w:tbl>
    <w:p>
      <w:pPr>
        <w:jc w:val="left"/>
        <w:rPr>
          <w:b/>
          <w:bCs/>
          <w:color w:val="000000" w:themeColor="text1"/>
          <w:sz w:val="30"/>
          <w:szCs w:val="30"/>
          <w:highlight w:val="red"/>
        </w:rPr>
        <w:sectPr>
          <w:pgSz w:w="11907" w:h="16840"/>
          <w:pgMar w:top="1418" w:right="1418" w:bottom="1134" w:left="1418" w:header="1134" w:footer="1134" w:gutter="0"/>
          <w:pgNumType w:fmt="decimal"/>
          <w:cols w:space="720" w:num="1"/>
          <w:docGrid w:type="linesAndChars" w:linePitch="312" w:charSpace="0"/>
        </w:sectPr>
      </w:pPr>
    </w:p>
    <w:p>
      <w:pPr>
        <w:jc w:val="left"/>
        <w:outlineLvl w:val="0"/>
        <w:rPr>
          <w:b/>
          <w:bCs/>
          <w:color w:val="000000" w:themeColor="text1"/>
          <w:sz w:val="30"/>
          <w:szCs w:val="30"/>
          <w:highlight w:val="none"/>
        </w:rPr>
      </w:pPr>
      <w:bookmarkStart w:id="20" w:name="_Toc2606"/>
      <w:r>
        <w:rPr>
          <w:b/>
          <w:bCs/>
          <w:color w:val="000000" w:themeColor="text1"/>
          <w:sz w:val="30"/>
          <w:szCs w:val="30"/>
          <w:highlight w:val="none"/>
        </w:rPr>
        <w:t>评价适用标准</w:t>
      </w:r>
      <w:bookmarkEnd w:id="20"/>
    </w:p>
    <w:tbl>
      <w:tblPr>
        <w:tblStyle w:val="34"/>
        <w:tblW w:w="9240"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4"/>
        <w:gridCol w:w="8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9" w:hRule="atLeast"/>
        </w:trPr>
        <w:tc>
          <w:tcPr>
            <w:tcW w:w="914" w:type="dxa"/>
            <w:vAlign w:val="center"/>
          </w:tcPr>
          <w:p>
            <w:pPr>
              <w:spacing w:line="500" w:lineRule="exact"/>
              <w:jc w:val="center"/>
              <w:rPr>
                <w:color w:val="000000" w:themeColor="text1"/>
                <w:sz w:val="24"/>
                <w:highlight w:val="none"/>
              </w:rPr>
            </w:pPr>
            <w:r>
              <w:rPr>
                <w:color w:val="000000" w:themeColor="text1"/>
                <w:sz w:val="24"/>
                <w:highlight w:val="none"/>
              </w:rPr>
              <w:t>环</w:t>
            </w:r>
          </w:p>
          <w:p>
            <w:pPr>
              <w:spacing w:line="500" w:lineRule="exact"/>
              <w:jc w:val="center"/>
              <w:rPr>
                <w:color w:val="000000" w:themeColor="text1"/>
                <w:sz w:val="24"/>
                <w:highlight w:val="none"/>
              </w:rPr>
            </w:pPr>
            <w:r>
              <w:rPr>
                <w:color w:val="000000" w:themeColor="text1"/>
                <w:sz w:val="24"/>
                <w:highlight w:val="none"/>
              </w:rPr>
              <w:t>境</w:t>
            </w:r>
          </w:p>
          <w:p>
            <w:pPr>
              <w:spacing w:line="500" w:lineRule="exact"/>
              <w:jc w:val="center"/>
              <w:rPr>
                <w:color w:val="000000" w:themeColor="text1"/>
                <w:sz w:val="24"/>
                <w:highlight w:val="none"/>
              </w:rPr>
            </w:pPr>
            <w:r>
              <w:rPr>
                <w:color w:val="000000" w:themeColor="text1"/>
                <w:sz w:val="24"/>
                <w:highlight w:val="none"/>
              </w:rPr>
              <w:t>质</w:t>
            </w:r>
          </w:p>
          <w:p>
            <w:pPr>
              <w:spacing w:line="500" w:lineRule="exact"/>
              <w:jc w:val="center"/>
              <w:rPr>
                <w:color w:val="000000" w:themeColor="text1"/>
                <w:sz w:val="24"/>
                <w:highlight w:val="none"/>
              </w:rPr>
            </w:pPr>
            <w:r>
              <w:rPr>
                <w:color w:val="000000" w:themeColor="text1"/>
                <w:sz w:val="24"/>
                <w:highlight w:val="none"/>
              </w:rPr>
              <w:t>量</w:t>
            </w:r>
          </w:p>
          <w:p>
            <w:pPr>
              <w:spacing w:line="500" w:lineRule="exact"/>
              <w:jc w:val="center"/>
              <w:rPr>
                <w:color w:val="000000" w:themeColor="text1"/>
                <w:sz w:val="24"/>
                <w:highlight w:val="none"/>
              </w:rPr>
            </w:pPr>
            <w:r>
              <w:rPr>
                <w:color w:val="000000" w:themeColor="text1"/>
                <w:sz w:val="24"/>
                <w:highlight w:val="none"/>
              </w:rPr>
              <w:t>标</w:t>
            </w:r>
          </w:p>
          <w:p>
            <w:pPr>
              <w:spacing w:line="500" w:lineRule="exact"/>
              <w:jc w:val="center"/>
              <w:rPr>
                <w:color w:val="000000" w:themeColor="text1"/>
                <w:sz w:val="24"/>
                <w:highlight w:val="none"/>
              </w:rPr>
            </w:pPr>
            <w:r>
              <w:rPr>
                <w:color w:val="000000" w:themeColor="text1"/>
                <w:sz w:val="24"/>
                <w:highlight w:val="none"/>
              </w:rPr>
              <w:t>准</w:t>
            </w:r>
          </w:p>
        </w:tc>
        <w:tc>
          <w:tcPr>
            <w:tcW w:w="8326" w:type="dxa"/>
            <w:vAlign w:val="center"/>
          </w:tcPr>
          <w:p>
            <w:pPr>
              <w:tabs>
                <w:tab w:val="left" w:pos="1110"/>
              </w:tabs>
              <w:autoSpaceDE w:val="0"/>
              <w:autoSpaceDN w:val="0"/>
              <w:adjustRightInd w:val="0"/>
              <w:spacing w:line="360" w:lineRule="auto"/>
              <w:rPr>
                <w:b/>
                <w:bCs/>
                <w:color w:val="000000" w:themeColor="text1"/>
                <w:sz w:val="24"/>
                <w:highlight w:val="none"/>
                <w:lang w:val="zh-CN"/>
              </w:rPr>
            </w:pPr>
            <w:r>
              <w:rPr>
                <w:b/>
                <w:bCs/>
                <w:color w:val="000000" w:themeColor="text1"/>
                <w:sz w:val="24"/>
                <w:highlight w:val="none"/>
                <w:lang w:val="zh-CN"/>
              </w:rPr>
              <w:t>1、环境空气</w:t>
            </w:r>
          </w:p>
          <w:p>
            <w:pPr>
              <w:pStyle w:val="28"/>
              <w:ind w:firstLine="480"/>
              <w:jc w:val="left"/>
              <w:rPr>
                <w:rFonts w:ascii="Times New Roman" w:hAnsi="Times New Roman"/>
                <w:color w:val="000000" w:themeColor="text1"/>
                <w:sz w:val="24"/>
                <w:highlight w:val="none"/>
                <w:lang w:val="zh-CN"/>
              </w:rPr>
            </w:pPr>
            <w:r>
              <w:rPr>
                <w:rFonts w:ascii="Times New Roman" w:hAnsi="Times New Roman"/>
                <w:color w:val="000000" w:themeColor="text1"/>
                <w:sz w:val="24"/>
                <w:highlight w:val="none"/>
              </w:rPr>
              <w:t>执行国家《环境空气质量标准》</w:t>
            </w:r>
            <w:r>
              <w:rPr>
                <w:rFonts w:ascii="Times New Roman" w:hAnsi="Times New Roman"/>
                <w:color w:val="000000" w:themeColor="text1"/>
                <w:sz w:val="24"/>
                <w:highlight w:val="none"/>
                <w:lang w:bidi="en-US"/>
              </w:rPr>
              <w:t>（GB3095-2012)</w:t>
            </w:r>
            <w:r>
              <w:rPr>
                <w:rFonts w:ascii="Times New Roman" w:hAnsi="Times New Roman"/>
                <w:color w:val="000000" w:themeColor="text1"/>
                <w:sz w:val="24"/>
                <w:highlight w:val="none"/>
              </w:rPr>
              <w:t>中的二级</w:t>
            </w:r>
            <w:r>
              <w:rPr>
                <w:rFonts w:ascii="Times New Roman" w:hAnsi="Times New Roman"/>
                <w:color w:val="000000" w:themeColor="text1"/>
                <w:sz w:val="24"/>
                <w:highlight w:val="none"/>
                <w:lang w:bidi="en-US"/>
              </w:rPr>
              <w:t>标准及其</w:t>
            </w:r>
            <w:r>
              <w:rPr>
                <w:rFonts w:hint="eastAsia" w:ascii="Times New Roman" w:hAnsi="Times New Roman"/>
                <w:color w:val="000000" w:themeColor="text1"/>
                <w:sz w:val="24"/>
                <w:highlight w:val="none"/>
              </w:rPr>
              <w:t>2018年修改单</w:t>
            </w:r>
            <w:r>
              <w:rPr>
                <w:rFonts w:ascii="Times New Roman" w:hAnsi="Times New Roman"/>
                <w:color w:val="000000" w:themeColor="text1"/>
                <w:sz w:val="24"/>
                <w:highlight w:val="none"/>
              </w:rPr>
              <w:t>。有关指标见表</w:t>
            </w:r>
            <w:r>
              <w:rPr>
                <w:rFonts w:hint="eastAsia" w:ascii="Times New Roman" w:hAnsi="Times New Roman"/>
                <w:color w:val="000000" w:themeColor="text1"/>
                <w:sz w:val="24"/>
                <w:highlight w:val="none"/>
              </w:rPr>
              <w:t>4-1</w:t>
            </w:r>
            <w:r>
              <w:rPr>
                <w:rFonts w:ascii="Times New Roman" w:hAnsi="Times New Roman"/>
                <w:color w:val="000000" w:themeColor="text1"/>
                <w:sz w:val="24"/>
                <w:highlight w:val="none"/>
                <w:lang w:val="zh-CN"/>
              </w:rPr>
              <w:t>。</w:t>
            </w:r>
          </w:p>
          <w:p>
            <w:pPr>
              <w:pStyle w:val="28"/>
              <w:ind w:firstLine="480"/>
              <w:jc w:val="center"/>
              <w:rPr>
                <w:rFonts w:ascii="Times New Roman" w:hAnsi="Times New Roman"/>
                <w:b/>
                <w:bCs/>
                <w:color w:val="000000" w:themeColor="text1"/>
                <w:sz w:val="21"/>
                <w:szCs w:val="21"/>
                <w:highlight w:val="none"/>
              </w:rPr>
            </w:pPr>
            <w:r>
              <w:rPr>
                <w:rFonts w:ascii="Times New Roman" w:hAnsi="Times New Roman"/>
                <w:b/>
                <w:bCs/>
                <w:color w:val="000000" w:themeColor="text1"/>
                <w:sz w:val="21"/>
                <w:szCs w:val="21"/>
                <w:highlight w:val="none"/>
              </w:rPr>
              <w:t>表4-1  环境空气和其他污染物基本项目浓度限值表</w:t>
            </w:r>
          </w:p>
          <w:tbl>
            <w:tblPr>
              <w:tblStyle w:val="34"/>
              <w:tblW w:w="81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924"/>
              <w:gridCol w:w="2368"/>
              <w:gridCol w:w="1417"/>
              <w:gridCol w:w="1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序号</w:t>
                  </w:r>
                </w:p>
              </w:tc>
              <w:tc>
                <w:tcPr>
                  <w:tcW w:w="1924" w:type="dxa"/>
                  <w:vAlign w:val="center"/>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污染物项目</w:t>
                  </w:r>
                </w:p>
              </w:tc>
              <w:tc>
                <w:tcPr>
                  <w:tcW w:w="2368" w:type="dxa"/>
                  <w:vAlign w:val="bottom"/>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平均时间</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浓度限值</w:t>
                  </w:r>
                </w:p>
              </w:tc>
              <w:tc>
                <w:tcPr>
                  <w:tcW w:w="1621" w:type="dxa"/>
                  <w:vAlign w:val="center"/>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70"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w:t>
                  </w:r>
                </w:p>
              </w:tc>
              <w:tc>
                <w:tcPr>
                  <w:tcW w:w="1924"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二氧化硫</w:t>
                  </w:r>
                </w:p>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（SO</w:t>
                  </w:r>
                  <w:r>
                    <w:rPr>
                      <w:rFonts w:ascii="Times New Roman" w:hAnsi="Times New Roman"/>
                      <w:color w:val="000000" w:themeColor="text1"/>
                      <w:szCs w:val="21"/>
                      <w:highlight w:val="none"/>
                      <w:vertAlign w:val="subscript"/>
                    </w:rPr>
                    <w:t>2</w:t>
                  </w:r>
                  <w:r>
                    <w:rPr>
                      <w:rFonts w:ascii="Times New Roman" w:hAnsi="Times New Roman"/>
                      <w:color w:val="000000" w:themeColor="text1"/>
                      <w:szCs w:val="21"/>
                      <w:highlight w:val="none"/>
                    </w:rPr>
                    <w:t>）</w:t>
                  </w:r>
                </w:p>
              </w:tc>
              <w:tc>
                <w:tcPr>
                  <w:tcW w:w="2368" w:type="dxa"/>
                  <w:vAlign w:val="bottom"/>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年平均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60</w:t>
                  </w:r>
                </w:p>
              </w:tc>
              <w:tc>
                <w:tcPr>
                  <w:tcW w:w="1621"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μg/m³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1924"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2368" w:type="dxa"/>
                  <w:vAlign w:val="bottom"/>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24小时平均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150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1924"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500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w:t>
                  </w:r>
                </w:p>
              </w:tc>
              <w:tc>
                <w:tcPr>
                  <w:tcW w:w="1924"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二氧化氮</w:t>
                  </w:r>
                </w:p>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(NO</w:t>
                  </w:r>
                  <w:r>
                    <w:rPr>
                      <w:rFonts w:ascii="Times New Roman" w:hAnsi="Times New Roman"/>
                      <w:color w:val="000000" w:themeColor="text1"/>
                      <w:szCs w:val="21"/>
                      <w:highlight w:val="none"/>
                      <w:vertAlign w:val="subscript"/>
                    </w:rPr>
                    <w:t>2</w:t>
                  </w:r>
                  <w:r>
                    <w:rPr>
                      <w:rFonts w:ascii="Times New Roman" w:hAnsi="Times New Roman"/>
                      <w:color w:val="000000" w:themeColor="text1"/>
                      <w:szCs w:val="21"/>
                      <w:highlight w:val="none"/>
                    </w:rPr>
                    <w:t>)</w:t>
                  </w: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年平均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40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1924"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24小时平均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80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770"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1924"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200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3</w:t>
                  </w:r>
                </w:p>
              </w:tc>
              <w:tc>
                <w:tcPr>
                  <w:tcW w:w="1924"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一氧化碳</w:t>
                  </w:r>
                </w:p>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（CO）</w:t>
                  </w: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24小时平均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4</w:t>
                  </w:r>
                </w:p>
              </w:tc>
              <w:tc>
                <w:tcPr>
                  <w:tcW w:w="1621"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1924"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4</w:t>
                  </w:r>
                </w:p>
              </w:tc>
              <w:tc>
                <w:tcPr>
                  <w:tcW w:w="1924"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臭氧（O</w:t>
                  </w:r>
                  <w:r>
                    <w:rPr>
                      <w:rFonts w:ascii="Times New Roman" w:hAnsi="Times New Roman"/>
                      <w:color w:val="000000" w:themeColor="text1"/>
                      <w:szCs w:val="21"/>
                      <w:highlight w:val="none"/>
                      <w:vertAlign w:val="subscript"/>
                    </w:rPr>
                    <w:t>3</w:t>
                  </w:r>
                  <w:r>
                    <w:rPr>
                      <w:rFonts w:ascii="Times New Roman" w:hAnsi="Times New Roman"/>
                      <w:color w:val="000000" w:themeColor="text1"/>
                      <w:szCs w:val="21"/>
                      <w:highlight w:val="none"/>
                    </w:rPr>
                    <w:t>）</w:t>
                  </w: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日最大8小时平均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160</w:t>
                  </w:r>
                </w:p>
              </w:tc>
              <w:tc>
                <w:tcPr>
                  <w:tcW w:w="1621"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μg/m³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1924"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200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5</w:t>
                  </w:r>
                </w:p>
              </w:tc>
              <w:tc>
                <w:tcPr>
                  <w:tcW w:w="1924"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颗粒物（粒径小于等于10μm）</w:t>
                  </w: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年平均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70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1924"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24小时平均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150</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6</w:t>
                  </w:r>
                </w:p>
              </w:tc>
              <w:tc>
                <w:tcPr>
                  <w:tcW w:w="1924"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颗粒物（粒径小于等于2.5μm）</w:t>
                  </w: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年平均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35</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1924" w:type="dxa"/>
                  <w:vMerge w:val="continue"/>
                  <w:vAlign w:val="center"/>
                </w:tcPr>
                <w:p>
                  <w:pPr>
                    <w:pStyle w:val="19"/>
                    <w:keepNext/>
                    <w:keepLines/>
                    <w:autoSpaceDN w:val="0"/>
                    <w:jc w:val="center"/>
                    <w:rPr>
                      <w:rFonts w:ascii="Times New Roman" w:hAnsi="Times New Roman"/>
                      <w:color w:val="000000" w:themeColor="text1"/>
                      <w:szCs w:val="21"/>
                      <w:highlight w:val="none"/>
                    </w:rPr>
                  </w:pPr>
                </w:p>
              </w:tc>
              <w:tc>
                <w:tcPr>
                  <w:tcW w:w="2368"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24小时平均</w:t>
                  </w:r>
                </w:p>
              </w:tc>
              <w:tc>
                <w:tcPr>
                  <w:tcW w:w="141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75</w:t>
                  </w:r>
                </w:p>
              </w:tc>
              <w:tc>
                <w:tcPr>
                  <w:tcW w:w="1621"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bl>
          <w:p>
            <w:pPr>
              <w:tabs>
                <w:tab w:val="left" w:pos="1110"/>
              </w:tabs>
              <w:autoSpaceDE w:val="0"/>
              <w:autoSpaceDN w:val="0"/>
              <w:adjustRightInd w:val="0"/>
              <w:spacing w:beforeLines="50" w:line="360" w:lineRule="auto"/>
              <w:rPr>
                <w:b/>
                <w:bCs/>
                <w:color w:val="000000" w:themeColor="text1"/>
                <w:sz w:val="24"/>
                <w:highlight w:val="none"/>
                <w:lang w:val="zh-CN"/>
              </w:rPr>
            </w:pPr>
            <w:r>
              <w:rPr>
                <w:b/>
                <w:bCs/>
                <w:color w:val="000000" w:themeColor="text1"/>
                <w:sz w:val="24"/>
                <w:highlight w:val="none"/>
                <w:lang w:val="zh-CN"/>
              </w:rPr>
              <w:t>2、水环境</w:t>
            </w:r>
          </w:p>
          <w:p>
            <w:pPr>
              <w:tabs>
                <w:tab w:val="left" w:pos="1110"/>
              </w:tabs>
              <w:autoSpaceDE w:val="0"/>
              <w:autoSpaceDN w:val="0"/>
              <w:adjustRightInd w:val="0"/>
              <w:spacing w:line="360" w:lineRule="auto"/>
              <w:ind w:firstLine="480" w:firstLineChars="200"/>
              <w:rPr>
                <w:color w:val="000000" w:themeColor="text1"/>
                <w:sz w:val="24"/>
                <w:highlight w:val="none"/>
                <w:lang w:val="zh-CN"/>
              </w:rPr>
            </w:pPr>
            <w:r>
              <w:rPr>
                <w:color w:val="000000" w:themeColor="text1"/>
                <w:sz w:val="24"/>
                <w:highlight w:val="none"/>
                <w:lang w:val="zh-CN"/>
              </w:rPr>
              <w:t>地表水执行《地表水环境质量标准》（GB3838-2002）中的Ⅲ类标准。</w:t>
            </w:r>
          </w:p>
          <w:p>
            <w:pPr>
              <w:pStyle w:val="28"/>
              <w:jc w:val="center"/>
              <w:rPr>
                <w:rFonts w:ascii="Times New Roman" w:hAnsi="Times New Roman"/>
                <w:b/>
                <w:bCs/>
                <w:color w:val="000000" w:themeColor="text1"/>
                <w:sz w:val="21"/>
                <w:szCs w:val="21"/>
                <w:highlight w:val="none"/>
              </w:rPr>
            </w:pPr>
            <w:r>
              <w:rPr>
                <w:rFonts w:ascii="Times New Roman" w:hAnsi="Times New Roman"/>
                <w:b/>
                <w:bCs/>
                <w:color w:val="000000" w:themeColor="text1"/>
                <w:sz w:val="21"/>
                <w:szCs w:val="21"/>
                <w:highlight w:val="none"/>
              </w:rPr>
              <w:t>表4-2  地表水环境质量评价执行标准</w:t>
            </w:r>
          </w:p>
          <w:tbl>
            <w:tblPr>
              <w:tblStyle w:val="34"/>
              <w:tblW w:w="82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827"/>
              <w:gridCol w:w="2170"/>
              <w:gridCol w:w="1987"/>
              <w:gridCol w:w="323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cantSplit/>
                <w:trHeight w:val="327" w:hRule="atLeast"/>
                <w:jc w:val="center"/>
              </w:trPr>
              <w:tc>
                <w:tcPr>
                  <w:tcW w:w="82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序号</w:t>
                  </w:r>
                </w:p>
              </w:tc>
              <w:tc>
                <w:tcPr>
                  <w:tcW w:w="2170"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项  目</w:t>
                  </w:r>
                </w:p>
              </w:tc>
              <w:tc>
                <w:tcPr>
                  <w:tcW w:w="1987" w:type="dxa"/>
                  <w:vAlign w:val="center"/>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Ⅲ</w:t>
                  </w:r>
                  <w:r>
                    <w:rPr>
                      <w:rFonts w:ascii="Times New Roman" w:hAnsi="Times New Roman"/>
                      <w:color w:val="000000" w:themeColor="text1"/>
                      <w:szCs w:val="21"/>
                      <w:highlight w:val="none"/>
                    </w:rPr>
                    <w:t>类</w:t>
                  </w:r>
                </w:p>
              </w:tc>
              <w:tc>
                <w:tcPr>
                  <w:tcW w:w="3236"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标准来源</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cantSplit/>
                <w:trHeight w:val="327" w:hRule="atLeast"/>
                <w:jc w:val="center"/>
              </w:trPr>
              <w:tc>
                <w:tcPr>
                  <w:tcW w:w="82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w:t>
                  </w:r>
                </w:p>
              </w:tc>
              <w:tc>
                <w:tcPr>
                  <w:tcW w:w="2170"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 xml:space="preserve">pH值 </w:t>
                  </w:r>
                </w:p>
              </w:tc>
              <w:tc>
                <w:tcPr>
                  <w:tcW w:w="198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6～9</w:t>
                  </w:r>
                </w:p>
              </w:tc>
              <w:tc>
                <w:tcPr>
                  <w:tcW w:w="3236" w:type="dxa"/>
                  <w:vMerge w:val="restart"/>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《地表水环境质量标准》（GB3838–2002）</w:t>
                  </w:r>
                  <w:r>
                    <w:rPr>
                      <w:rFonts w:hint="eastAsia" w:ascii="Times New Roman" w:hAnsi="Times New Roman"/>
                      <w:color w:val="000000" w:themeColor="text1"/>
                      <w:szCs w:val="21"/>
                      <w:highlight w:val="none"/>
                    </w:rPr>
                    <w:t>III</w:t>
                  </w:r>
                  <w:r>
                    <w:rPr>
                      <w:rFonts w:ascii="Times New Roman" w:hAnsi="Times New Roman"/>
                      <w:color w:val="000000" w:themeColor="text1"/>
                      <w:szCs w:val="21"/>
                      <w:highlight w:val="none"/>
                    </w:rPr>
                    <w:t>类</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cantSplit/>
                <w:trHeight w:val="327" w:hRule="atLeast"/>
                <w:jc w:val="center"/>
              </w:trPr>
              <w:tc>
                <w:tcPr>
                  <w:tcW w:w="82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2</w:t>
                  </w:r>
                </w:p>
              </w:tc>
              <w:tc>
                <w:tcPr>
                  <w:tcW w:w="2170"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COD</w:t>
                  </w:r>
                  <w:r>
                    <w:rPr>
                      <w:rFonts w:ascii="Times New Roman" w:hAnsi="Times New Roman"/>
                      <w:color w:val="000000" w:themeColor="text1"/>
                      <w:szCs w:val="21"/>
                      <w:highlight w:val="none"/>
                      <w:vertAlign w:val="subscript"/>
                    </w:rPr>
                    <w:t>Cr</w:t>
                  </w:r>
                </w:p>
              </w:tc>
              <w:tc>
                <w:tcPr>
                  <w:tcW w:w="198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w:t>
                  </w:r>
                  <w:r>
                    <w:rPr>
                      <w:rFonts w:hint="eastAsia" w:ascii="Times New Roman" w:hAnsi="Times New Roman"/>
                      <w:color w:val="000000" w:themeColor="text1"/>
                      <w:szCs w:val="21"/>
                      <w:highlight w:val="none"/>
                    </w:rPr>
                    <w:t>6</w:t>
                  </w:r>
                </w:p>
              </w:tc>
              <w:tc>
                <w:tcPr>
                  <w:tcW w:w="3236"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cantSplit/>
                <w:trHeight w:val="327" w:hRule="atLeast"/>
                <w:jc w:val="center"/>
              </w:trPr>
              <w:tc>
                <w:tcPr>
                  <w:tcW w:w="82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3</w:t>
                  </w:r>
                </w:p>
              </w:tc>
              <w:tc>
                <w:tcPr>
                  <w:tcW w:w="2170"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NH</w:t>
                  </w:r>
                  <w:r>
                    <w:rPr>
                      <w:rFonts w:ascii="Times New Roman" w:hAnsi="Times New Roman"/>
                      <w:color w:val="000000" w:themeColor="text1"/>
                      <w:szCs w:val="21"/>
                      <w:highlight w:val="none"/>
                      <w:vertAlign w:val="subscript"/>
                    </w:rPr>
                    <w:t>3</w:t>
                  </w:r>
                  <w:r>
                    <w:rPr>
                      <w:rFonts w:ascii="Times New Roman" w:hAnsi="Times New Roman"/>
                      <w:color w:val="000000" w:themeColor="text1"/>
                      <w:szCs w:val="21"/>
                      <w:highlight w:val="none"/>
                    </w:rPr>
                    <w:t>-N</w:t>
                  </w:r>
                </w:p>
              </w:tc>
              <w:tc>
                <w:tcPr>
                  <w:tcW w:w="198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≤1</w:t>
                  </w:r>
                  <w:r>
                    <w:rPr>
                      <w:rFonts w:hint="eastAsia" w:ascii="Times New Roman" w:hAnsi="Times New Roman"/>
                      <w:color w:val="000000" w:themeColor="text1"/>
                      <w:szCs w:val="21"/>
                      <w:highlight w:val="none"/>
                    </w:rPr>
                    <w:t>.0</w:t>
                  </w:r>
                </w:p>
              </w:tc>
              <w:tc>
                <w:tcPr>
                  <w:tcW w:w="3236"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cantSplit/>
                <w:trHeight w:val="327" w:hRule="atLeast"/>
                <w:jc w:val="center"/>
              </w:trPr>
              <w:tc>
                <w:tcPr>
                  <w:tcW w:w="82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4</w:t>
                  </w:r>
                </w:p>
              </w:tc>
              <w:tc>
                <w:tcPr>
                  <w:tcW w:w="2170"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BOD</w:t>
                  </w:r>
                  <w:r>
                    <w:rPr>
                      <w:rFonts w:ascii="Times New Roman" w:hAnsi="Times New Roman"/>
                      <w:color w:val="000000" w:themeColor="text1"/>
                      <w:szCs w:val="21"/>
                      <w:highlight w:val="none"/>
                      <w:vertAlign w:val="subscript"/>
                    </w:rPr>
                    <w:t>5</w:t>
                  </w:r>
                </w:p>
              </w:tc>
              <w:tc>
                <w:tcPr>
                  <w:tcW w:w="198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w:t>
                  </w:r>
                  <w:r>
                    <w:rPr>
                      <w:rFonts w:hint="eastAsia" w:ascii="Times New Roman" w:hAnsi="Times New Roman"/>
                      <w:color w:val="000000" w:themeColor="text1"/>
                      <w:szCs w:val="21"/>
                      <w:highlight w:val="none"/>
                    </w:rPr>
                    <w:t>4</w:t>
                  </w:r>
                </w:p>
              </w:tc>
              <w:tc>
                <w:tcPr>
                  <w:tcW w:w="3236"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cantSplit/>
                <w:trHeight w:val="327" w:hRule="atLeast"/>
                <w:jc w:val="center"/>
              </w:trPr>
              <w:tc>
                <w:tcPr>
                  <w:tcW w:w="82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5</w:t>
                  </w:r>
                </w:p>
              </w:tc>
              <w:tc>
                <w:tcPr>
                  <w:tcW w:w="2170" w:type="dxa"/>
                  <w:vAlign w:val="center"/>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石油类</w:t>
                  </w:r>
                </w:p>
              </w:tc>
              <w:tc>
                <w:tcPr>
                  <w:tcW w:w="198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w:t>
                  </w:r>
                  <w:r>
                    <w:rPr>
                      <w:rFonts w:hint="eastAsia" w:ascii="Times New Roman" w:hAnsi="Times New Roman"/>
                      <w:color w:val="000000" w:themeColor="text1"/>
                      <w:szCs w:val="21"/>
                      <w:highlight w:val="none"/>
                    </w:rPr>
                    <w:t>0.05</w:t>
                  </w:r>
                </w:p>
              </w:tc>
              <w:tc>
                <w:tcPr>
                  <w:tcW w:w="3236"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cantSplit/>
                <w:trHeight w:val="327" w:hRule="atLeast"/>
                <w:jc w:val="center"/>
              </w:trPr>
              <w:tc>
                <w:tcPr>
                  <w:tcW w:w="827" w:type="dxa"/>
                  <w:vAlign w:val="center"/>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6</w:t>
                  </w:r>
                </w:p>
              </w:tc>
              <w:tc>
                <w:tcPr>
                  <w:tcW w:w="2170" w:type="dxa"/>
                  <w:vAlign w:val="center"/>
                </w:tcPr>
                <w:p>
                  <w:pPr>
                    <w:pStyle w:val="19"/>
                    <w:keepNext/>
                    <w:keepLines/>
                    <w:autoSpaceDN w:val="0"/>
                    <w:jc w:val="center"/>
                    <w:rPr>
                      <w:rFonts w:ascii="Times New Roman" w:hAnsi="Times New Roman"/>
                      <w:color w:val="000000" w:themeColor="text1"/>
                      <w:szCs w:val="21"/>
                      <w:highlight w:val="none"/>
                    </w:rPr>
                  </w:pPr>
                  <w:r>
                    <w:rPr>
                      <w:rFonts w:hint="eastAsia" w:ascii="Times New Roman" w:hAnsi="Times New Roman"/>
                      <w:color w:val="000000" w:themeColor="text1"/>
                      <w:szCs w:val="21"/>
                      <w:highlight w:val="none"/>
                    </w:rPr>
                    <w:t>总磷</w:t>
                  </w:r>
                </w:p>
              </w:tc>
              <w:tc>
                <w:tcPr>
                  <w:tcW w:w="1987" w:type="dxa"/>
                  <w:vAlign w:val="center"/>
                </w:tcPr>
                <w:p>
                  <w:pPr>
                    <w:pStyle w:val="19"/>
                    <w:keepNext/>
                    <w:keepLines/>
                    <w:autoSpaceDN w:val="0"/>
                    <w:jc w:val="center"/>
                    <w:rPr>
                      <w:rFonts w:ascii="Times New Roman" w:hAnsi="Times New Roman"/>
                      <w:color w:val="000000" w:themeColor="text1"/>
                      <w:szCs w:val="21"/>
                      <w:highlight w:val="none"/>
                    </w:rPr>
                  </w:pPr>
                  <w:r>
                    <w:rPr>
                      <w:rFonts w:ascii="Times New Roman" w:hAnsi="Times New Roman"/>
                      <w:color w:val="000000" w:themeColor="text1"/>
                      <w:szCs w:val="21"/>
                      <w:highlight w:val="none"/>
                    </w:rPr>
                    <w:t>≤</w:t>
                  </w:r>
                  <w:r>
                    <w:rPr>
                      <w:rFonts w:hint="eastAsia" w:ascii="Times New Roman" w:hAnsi="Times New Roman"/>
                      <w:color w:val="000000" w:themeColor="text1"/>
                      <w:szCs w:val="21"/>
                      <w:highlight w:val="none"/>
                    </w:rPr>
                    <w:t>.0.2</w:t>
                  </w:r>
                </w:p>
              </w:tc>
              <w:tc>
                <w:tcPr>
                  <w:tcW w:w="3236" w:type="dxa"/>
                  <w:vMerge w:val="continue"/>
                  <w:vAlign w:val="center"/>
                </w:tcPr>
                <w:p>
                  <w:pPr>
                    <w:pStyle w:val="19"/>
                    <w:keepNext/>
                    <w:keepLines/>
                    <w:autoSpaceDN w:val="0"/>
                    <w:jc w:val="center"/>
                    <w:rPr>
                      <w:rFonts w:ascii="Times New Roman" w:hAnsi="Times New Roman"/>
                      <w:color w:val="000000" w:themeColor="text1"/>
                      <w:szCs w:val="21"/>
                      <w:highlight w:val="none"/>
                    </w:rPr>
                  </w:pPr>
                </w:p>
              </w:tc>
            </w:tr>
          </w:tbl>
          <w:p>
            <w:pPr>
              <w:tabs>
                <w:tab w:val="left" w:pos="1110"/>
              </w:tabs>
              <w:autoSpaceDE w:val="0"/>
              <w:autoSpaceDN w:val="0"/>
              <w:adjustRightInd w:val="0"/>
              <w:spacing w:beforeLines="50" w:line="360" w:lineRule="auto"/>
              <w:rPr>
                <w:b/>
                <w:bCs/>
                <w:color w:val="000000" w:themeColor="text1"/>
                <w:sz w:val="24"/>
                <w:highlight w:val="none"/>
                <w:lang w:val="zh-CN"/>
              </w:rPr>
            </w:pPr>
            <w:r>
              <w:rPr>
                <w:b/>
                <w:bCs/>
                <w:color w:val="000000" w:themeColor="text1"/>
                <w:sz w:val="24"/>
                <w:highlight w:val="none"/>
                <w:lang w:val="zh-CN"/>
              </w:rPr>
              <w:t>3、声环境</w:t>
            </w:r>
          </w:p>
          <w:p>
            <w:pPr>
              <w:tabs>
                <w:tab w:val="left" w:pos="1110"/>
              </w:tabs>
              <w:autoSpaceDE w:val="0"/>
              <w:autoSpaceDN w:val="0"/>
              <w:adjustRightInd w:val="0"/>
              <w:spacing w:line="360" w:lineRule="auto"/>
              <w:ind w:firstLine="480" w:firstLineChars="200"/>
              <w:rPr>
                <w:color w:val="000000" w:themeColor="text1"/>
                <w:sz w:val="24"/>
                <w:highlight w:val="none"/>
                <w:lang w:val="zh-CN"/>
              </w:rPr>
            </w:pPr>
            <w:r>
              <w:rPr>
                <w:color w:val="000000" w:themeColor="text1"/>
                <w:sz w:val="24"/>
                <w:highlight w:val="none"/>
                <w:lang w:val="zh-CN"/>
              </w:rPr>
              <w:t>声环境执行《声环境质量标准》（GB3096-2008）中</w:t>
            </w:r>
            <w:r>
              <w:rPr>
                <w:rFonts w:hint="eastAsia"/>
                <w:color w:val="000000" w:themeColor="text1"/>
                <w:sz w:val="24"/>
                <w:highlight w:val="none"/>
                <w:lang w:val="en-US" w:eastAsia="zh-CN"/>
              </w:rPr>
              <w:t>3</w:t>
            </w:r>
            <w:r>
              <w:rPr>
                <w:color w:val="000000" w:themeColor="text1"/>
                <w:sz w:val="24"/>
                <w:highlight w:val="none"/>
                <w:lang w:val="zh-CN"/>
              </w:rPr>
              <w:t>类区标准。</w:t>
            </w:r>
          </w:p>
          <w:p>
            <w:pPr>
              <w:pStyle w:val="28"/>
              <w:jc w:val="center"/>
              <w:rPr>
                <w:rFonts w:ascii="Times New Roman" w:hAnsi="Times New Roman"/>
                <w:b/>
                <w:bCs/>
                <w:color w:val="000000" w:themeColor="text1"/>
                <w:sz w:val="21"/>
                <w:szCs w:val="21"/>
                <w:highlight w:val="none"/>
              </w:rPr>
            </w:pPr>
            <w:r>
              <w:rPr>
                <w:rFonts w:ascii="Times New Roman" w:hAnsi="Times New Roman"/>
                <w:b/>
                <w:bCs/>
                <w:color w:val="000000" w:themeColor="text1"/>
                <w:sz w:val="21"/>
                <w:szCs w:val="21"/>
                <w:highlight w:val="none"/>
              </w:rPr>
              <w:t>表4-3  声环境质量评价执行标准  单位：dB（A）</w:t>
            </w:r>
          </w:p>
          <w:tbl>
            <w:tblPr>
              <w:tblStyle w:val="34"/>
              <w:tblW w:w="8000"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081"/>
              <w:gridCol w:w="2960"/>
              <w:gridCol w:w="2959"/>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081" w:type="dxa"/>
                  <w:vMerge w:val="restart"/>
                  <w:vAlign w:val="center"/>
                </w:tcPr>
                <w:p>
                  <w:pPr>
                    <w:ind w:firstLine="199" w:firstLineChars="95"/>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类别</w:t>
                  </w:r>
                </w:p>
              </w:tc>
              <w:tc>
                <w:tcPr>
                  <w:tcW w:w="5919" w:type="dxa"/>
                  <w:gridSpan w:val="2"/>
                  <w:vAlign w:val="center"/>
                </w:tcPr>
                <w:p>
                  <w:pPr>
                    <w:ind w:firstLine="199" w:firstLineChars="95"/>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标准值（dB(A)）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081" w:type="dxa"/>
                  <w:vMerge w:val="continue"/>
                  <w:vAlign w:val="center"/>
                </w:tcPr>
                <w:p>
                  <w:pPr>
                    <w:ind w:firstLine="199" w:firstLineChars="95"/>
                    <w:jc w:val="center"/>
                    <w:rPr>
                      <w:rFonts w:hint="eastAsia" w:asciiTheme="minorEastAsia" w:hAnsiTheme="minorEastAsia" w:eastAsiaTheme="minorEastAsia" w:cstheme="minorEastAsia"/>
                      <w:sz w:val="21"/>
                      <w:szCs w:val="21"/>
                    </w:rPr>
                  </w:pPr>
                </w:p>
              </w:tc>
              <w:tc>
                <w:tcPr>
                  <w:tcW w:w="2960" w:type="dxa"/>
                  <w:vAlign w:val="center"/>
                </w:tcPr>
                <w:p>
                  <w:pPr>
                    <w:ind w:firstLine="199" w:firstLineChars="95"/>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昼间</w:t>
                  </w:r>
                </w:p>
              </w:tc>
              <w:tc>
                <w:tcPr>
                  <w:tcW w:w="2959" w:type="dxa"/>
                  <w:vAlign w:val="center"/>
                </w:tcPr>
                <w:p>
                  <w:pPr>
                    <w:ind w:firstLine="199" w:firstLineChars="95"/>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夜间</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081" w:type="dxa"/>
                  <w:vAlign w:val="center"/>
                </w:tcPr>
                <w:p>
                  <w:pPr>
                    <w:ind w:firstLine="199" w:firstLineChars="95"/>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w:t>
                  </w:r>
                </w:p>
              </w:tc>
              <w:tc>
                <w:tcPr>
                  <w:tcW w:w="2960" w:type="dxa"/>
                  <w:vAlign w:val="center"/>
                </w:tcPr>
                <w:p>
                  <w:pPr>
                    <w:ind w:firstLine="199" w:firstLineChars="95"/>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65</w:t>
                  </w:r>
                </w:p>
              </w:tc>
              <w:tc>
                <w:tcPr>
                  <w:tcW w:w="2959" w:type="dxa"/>
                  <w:vAlign w:val="center"/>
                </w:tcPr>
                <w:p>
                  <w:pPr>
                    <w:ind w:firstLine="199" w:firstLineChars="95"/>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55</w:t>
                  </w:r>
                </w:p>
              </w:tc>
            </w:tr>
          </w:tbl>
          <w:p>
            <w:pPr>
              <w:pStyle w:val="2"/>
              <w:spacing w:line="500" w:lineRule="exact"/>
              <w:ind w:firstLine="0" w:firstLineChars="0"/>
              <w:rPr>
                <w:color w:val="000000" w:themeColor="text1"/>
                <w:highlight w:val="red"/>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6" w:hRule="atLeast"/>
        </w:trPr>
        <w:tc>
          <w:tcPr>
            <w:tcW w:w="914" w:type="dxa"/>
            <w:tcBorders>
              <w:bottom w:val="single" w:color="auto" w:sz="6" w:space="0"/>
            </w:tcBorders>
            <w:vAlign w:val="center"/>
          </w:tcPr>
          <w:p>
            <w:pPr>
              <w:spacing w:line="500" w:lineRule="exact"/>
              <w:jc w:val="center"/>
              <w:rPr>
                <w:color w:val="000000" w:themeColor="text1"/>
                <w:sz w:val="24"/>
                <w:highlight w:val="none"/>
              </w:rPr>
            </w:pPr>
            <w:r>
              <w:rPr>
                <w:color w:val="000000" w:themeColor="text1"/>
                <w:sz w:val="24"/>
                <w:highlight w:val="none"/>
              </w:rPr>
              <w:t>污</w:t>
            </w:r>
          </w:p>
          <w:p>
            <w:pPr>
              <w:spacing w:line="500" w:lineRule="exact"/>
              <w:jc w:val="center"/>
              <w:rPr>
                <w:color w:val="000000" w:themeColor="text1"/>
                <w:sz w:val="24"/>
                <w:highlight w:val="none"/>
              </w:rPr>
            </w:pPr>
            <w:r>
              <w:rPr>
                <w:color w:val="000000" w:themeColor="text1"/>
                <w:sz w:val="24"/>
                <w:highlight w:val="none"/>
              </w:rPr>
              <w:t>染</w:t>
            </w:r>
          </w:p>
          <w:p>
            <w:pPr>
              <w:spacing w:line="500" w:lineRule="exact"/>
              <w:jc w:val="center"/>
              <w:rPr>
                <w:color w:val="000000" w:themeColor="text1"/>
                <w:sz w:val="24"/>
                <w:highlight w:val="none"/>
              </w:rPr>
            </w:pPr>
            <w:r>
              <w:rPr>
                <w:color w:val="000000" w:themeColor="text1"/>
                <w:sz w:val="24"/>
                <w:highlight w:val="none"/>
              </w:rPr>
              <w:t>物</w:t>
            </w:r>
          </w:p>
          <w:p>
            <w:pPr>
              <w:spacing w:line="500" w:lineRule="exact"/>
              <w:jc w:val="center"/>
              <w:rPr>
                <w:color w:val="000000" w:themeColor="text1"/>
                <w:sz w:val="24"/>
                <w:highlight w:val="none"/>
              </w:rPr>
            </w:pPr>
            <w:r>
              <w:rPr>
                <w:color w:val="000000" w:themeColor="text1"/>
                <w:sz w:val="24"/>
                <w:highlight w:val="none"/>
              </w:rPr>
              <w:t>排</w:t>
            </w:r>
          </w:p>
          <w:p>
            <w:pPr>
              <w:spacing w:line="500" w:lineRule="exact"/>
              <w:jc w:val="center"/>
              <w:rPr>
                <w:color w:val="000000" w:themeColor="text1"/>
                <w:sz w:val="24"/>
                <w:highlight w:val="none"/>
              </w:rPr>
            </w:pPr>
            <w:r>
              <w:rPr>
                <w:color w:val="000000" w:themeColor="text1"/>
                <w:sz w:val="24"/>
                <w:highlight w:val="none"/>
              </w:rPr>
              <w:t>放</w:t>
            </w:r>
          </w:p>
          <w:p>
            <w:pPr>
              <w:spacing w:line="500" w:lineRule="exact"/>
              <w:jc w:val="center"/>
              <w:rPr>
                <w:color w:val="000000" w:themeColor="text1"/>
                <w:sz w:val="24"/>
                <w:highlight w:val="none"/>
              </w:rPr>
            </w:pPr>
            <w:r>
              <w:rPr>
                <w:color w:val="000000" w:themeColor="text1"/>
                <w:sz w:val="24"/>
                <w:highlight w:val="none"/>
              </w:rPr>
              <w:t>标</w:t>
            </w:r>
          </w:p>
          <w:p>
            <w:pPr>
              <w:spacing w:line="500" w:lineRule="exact"/>
              <w:jc w:val="center"/>
              <w:rPr>
                <w:color w:val="000000" w:themeColor="text1"/>
                <w:sz w:val="24"/>
                <w:highlight w:val="none"/>
              </w:rPr>
            </w:pPr>
            <w:r>
              <w:rPr>
                <w:color w:val="000000" w:themeColor="text1"/>
                <w:sz w:val="24"/>
                <w:highlight w:val="none"/>
              </w:rPr>
              <w:t>准</w:t>
            </w:r>
          </w:p>
        </w:tc>
        <w:tc>
          <w:tcPr>
            <w:tcW w:w="8326" w:type="dxa"/>
            <w:tcBorders>
              <w:bottom w:val="single" w:color="auto" w:sz="6" w:space="0"/>
            </w:tcBorders>
            <w:vAlign w:val="center"/>
          </w:tcPr>
          <w:p>
            <w:pPr>
              <w:spacing w:line="360" w:lineRule="auto"/>
              <w:ind w:firstLine="480" w:firstLineChars="200"/>
              <w:rPr>
                <w:color w:val="000000" w:themeColor="text1"/>
                <w:sz w:val="24"/>
                <w:highlight w:val="none"/>
              </w:rPr>
            </w:pPr>
            <w:r>
              <w:rPr>
                <w:color w:val="000000" w:themeColor="text1"/>
                <w:sz w:val="24"/>
                <w:highlight w:val="none"/>
              </w:rPr>
              <w:t>（1）污水排放标准：营运期废水排放执行《污水综合排放标准》（GB8978-1996）表中的三级排放标准。</w:t>
            </w:r>
          </w:p>
          <w:p>
            <w:pPr>
              <w:spacing w:line="360" w:lineRule="auto"/>
              <w:ind w:firstLine="480" w:firstLineChars="200"/>
              <w:rPr>
                <w:color w:val="000000" w:themeColor="text1"/>
                <w:sz w:val="24"/>
                <w:highlight w:val="none"/>
                <w:u w:val="none"/>
              </w:rPr>
            </w:pPr>
            <w:r>
              <w:rPr>
                <w:color w:val="000000" w:themeColor="text1"/>
                <w:sz w:val="24"/>
                <w:highlight w:val="none"/>
                <w:u w:val="none"/>
              </w:rPr>
              <w:t>（2）大气污染物排放标准：营运期产生的酸雾执行《大气污染物综合排放标准》（GB16297-1996）表2二级标准限值。</w:t>
            </w:r>
          </w:p>
          <w:p>
            <w:pPr>
              <w:spacing w:line="360" w:lineRule="auto"/>
              <w:ind w:firstLine="480" w:firstLineChars="200"/>
              <w:rPr>
                <w:color w:val="000000" w:themeColor="text1"/>
                <w:sz w:val="24"/>
                <w:highlight w:val="none"/>
              </w:rPr>
            </w:pPr>
            <w:r>
              <w:rPr>
                <w:color w:val="000000" w:themeColor="text1"/>
                <w:sz w:val="24"/>
                <w:highlight w:val="none"/>
              </w:rPr>
              <w:t>（3）噪声控制标准：营运期厂界噪声执行《工业企业厂界环境噪声排放标准》（GB12348-2008）</w:t>
            </w:r>
            <w:r>
              <w:rPr>
                <w:rFonts w:hint="eastAsia"/>
                <w:color w:val="000000" w:themeColor="text1"/>
                <w:sz w:val="24"/>
                <w:highlight w:val="none"/>
                <w:lang w:val="en-US" w:eastAsia="zh-CN"/>
              </w:rPr>
              <w:t>3</w:t>
            </w:r>
            <w:r>
              <w:rPr>
                <w:color w:val="000000" w:themeColor="text1"/>
                <w:sz w:val="24"/>
                <w:highlight w:val="none"/>
              </w:rPr>
              <w:t>类标准。</w:t>
            </w:r>
          </w:p>
          <w:p>
            <w:pPr>
              <w:spacing w:line="360" w:lineRule="auto"/>
              <w:ind w:firstLine="480" w:firstLineChars="200"/>
              <w:rPr>
                <w:color w:val="000000" w:themeColor="text1"/>
                <w:sz w:val="24"/>
                <w:highlight w:val="red"/>
              </w:rPr>
            </w:pPr>
            <w:r>
              <w:rPr>
                <w:color w:val="000000" w:themeColor="text1"/>
                <w:sz w:val="24"/>
                <w:highlight w:val="none"/>
              </w:rPr>
              <w:t>（4）固废标准：一般工业固体废物执行《一般工业固体废物贮存、处置场污染控制标准》（GB18599-2001）及其2013年修改单要求；生活垃圾执行《生活垃圾填埋场污染控制标准》（GB16889-2008）；危险废物执行《危险固体废物贮存污染控制标准》（GB18597-2001）及其 2013 年修改单要求。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2" w:hRule="atLeast"/>
        </w:trPr>
        <w:tc>
          <w:tcPr>
            <w:tcW w:w="914" w:type="dxa"/>
            <w:tcBorders>
              <w:top w:val="single" w:color="auto" w:sz="6" w:space="0"/>
            </w:tcBorders>
            <w:vAlign w:val="center"/>
          </w:tcPr>
          <w:p>
            <w:pPr>
              <w:spacing w:line="360" w:lineRule="exact"/>
              <w:ind w:firstLine="240" w:firstLineChars="100"/>
              <w:rPr>
                <w:color w:val="000000" w:themeColor="text1"/>
                <w:sz w:val="24"/>
                <w:highlight w:val="none"/>
              </w:rPr>
            </w:pPr>
            <w:r>
              <w:rPr>
                <w:color w:val="000000" w:themeColor="text1"/>
                <w:sz w:val="24"/>
                <w:highlight w:val="none"/>
              </w:rPr>
              <w:t>总</w:t>
            </w:r>
          </w:p>
          <w:p>
            <w:pPr>
              <w:spacing w:line="360" w:lineRule="exact"/>
              <w:jc w:val="center"/>
              <w:rPr>
                <w:color w:val="000000" w:themeColor="text1"/>
                <w:sz w:val="24"/>
                <w:highlight w:val="none"/>
              </w:rPr>
            </w:pPr>
            <w:r>
              <w:rPr>
                <w:color w:val="000000" w:themeColor="text1"/>
                <w:sz w:val="24"/>
                <w:highlight w:val="none"/>
              </w:rPr>
              <w:t>量</w:t>
            </w:r>
          </w:p>
          <w:p>
            <w:pPr>
              <w:spacing w:line="360" w:lineRule="exact"/>
              <w:jc w:val="center"/>
              <w:rPr>
                <w:color w:val="000000" w:themeColor="text1"/>
                <w:sz w:val="24"/>
                <w:highlight w:val="none"/>
              </w:rPr>
            </w:pPr>
            <w:r>
              <w:rPr>
                <w:color w:val="000000" w:themeColor="text1"/>
                <w:sz w:val="24"/>
                <w:highlight w:val="none"/>
              </w:rPr>
              <w:t>控</w:t>
            </w:r>
          </w:p>
          <w:p>
            <w:pPr>
              <w:spacing w:line="360" w:lineRule="exact"/>
              <w:jc w:val="center"/>
              <w:rPr>
                <w:color w:val="000000" w:themeColor="text1"/>
                <w:sz w:val="24"/>
                <w:highlight w:val="none"/>
              </w:rPr>
            </w:pPr>
            <w:r>
              <w:rPr>
                <w:color w:val="000000" w:themeColor="text1"/>
                <w:sz w:val="24"/>
                <w:highlight w:val="none"/>
              </w:rPr>
              <w:t>制</w:t>
            </w:r>
          </w:p>
          <w:p>
            <w:pPr>
              <w:spacing w:line="360" w:lineRule="exact"/>
              <w:jc w:val="center"/>
              <w:rPr>
                <w:color w:val="000000" w:themeColor="text1"/>
                <w:sz w:val="24"/>
                <w:highlight w:val="none"/>
              </w:rPr>
            </w:pPr>
            <w:r>
              <w:rPr>
                <w:color w:val="000000" w:themeColor="text1"/>
                <w:sz w:val="24"/>
                <w:highlight w:val="none"/>
              </w:rPr>
              <w:t>指</w:t>
            </w:r>
          </w:p>
          <w:p>
            <w:pPr>
              <w:spacing w:line="360" w:lineRule="exact"/>
              <w:jc w:val="center"/>
              <w:rPr>
                <w:color w:val="000000" w:themeColor="text1"/>
                <w:sz w:val="24"/>
                <w:highlight w:val="none"/>
              </w:rPr>
            </w:pPr>
            <w:r>
              <w:rPr>
                <w:color w:val="000000" w:themeColor="text1"/>
                <w:sz w:val="24"/>
                <w:highlight w:val="none"/>
              </w:rPr>
              <w:t>标</w:t>
            </w:r>
          </w:p>
        </w:tc>
        <w:tc>
          <w:tcPr>
            <w:tcW w:w="8326" w:type="dxa"/>
            <w:tcBorders>
              <w:top w:val="single" w:color="auto" w:sz="6" w:space="0"/>
            </w:tcBorders>
            <w:vAlign w:val="center"/>
          </w:tcPr>
          <w:p>
            <w:pPr>
              <w:pStyle w:val="2"/>
              <w:spacing w:line="360" w:lineRule="auto"/>
              <w:ind w:firstLine="480"/>
              <w:rPr>
                <w:color w:val="000000" w:themeColor="text1"/>
                <w:szCs w:val="24"/>
                <w:highlight w:val="none"/>
                <w:u w:val="single"/>
              </w:rPr>
            </w:pPr>
            <w:r>
              <w:rPr>
                <w:color w:val="000000" w:themeColor="text1"/>
                <w:szCs w:val="24"/>
                <w:highlight w:val="none"/>
                <w:u w:val="single"/>
              </w:rPr>
              <w:t>根据《湖南省</w:t>
            </w:r>
            <w:r>
              <w:rPr>
                <w:rFonts w:hint="eastAsia"/>
                <w:color w:val="000000" w:themeColor="text1"/>
                <w:szCs w:val="24"/>
                <w:highlight w:val="none"/>
                <w:u w:val="single"/>
              </w:rPr>
              <w:t>“</w:t>
            </w:r>
            <w:r>
              <w:rPr>
                <w:color w:val="000000" w:themeColor="text1"/>
                <w:szCs w:val="24"/>
                <w:highlight w:val="none"/>
                <w:u w:val="single"/>
              </w:rPr>
              <w:t>十三五</w:t>
            </w:r>
            <w:r>
              <w:rPr>
                <w:rFonts w:hint="eastAsia"/>
                <w:color w:val="000000" w:themeColor="text1"/>
                <w:szCs w:val="24"/>
                <w:highlight w:val="none"/>
                <w:u w:val="single"/>
              </w:rPr>
              <w:t>”</w:t>
            </w:r>
            <w:r>
              <w:rPr>
                <w:color w:val="000000" w:themeColor="text1"/>
                <w:szCs w:val="24"/>
                <w:highlight w:val="none"/>
                <w:u w:val="single"/>
              </w:rPr>
              <w:t>主要污染物减排规划》，湖南省约束性总量控制指标为二氧化硫（SO</w:t>
            </w:r>
            <w:r>
              <w:rPr>
                <w:color w:val="000000" w:themeColor="text1"/>
                <w:szCs w:val="24"/>
                <w:highlight w:val="none"/>
                <w:u w:val="single"/>
                <w:vertAlign w:val="subscript"/>
              </w:rPr>
              <w:t>2</w:t>
            </w:r>
            <w:r>
              <w:rPr>
                <w:color w:val="000000" w:themeColor="text1"/>
                <w:szCs w:val="24"/>
                <w:highlight w:val="none"/>
                <w:u w:val="single"/>
              </w:rPr>
              <w:t>）、氮氧化物（NOx）、化学需氧量（COD）和氨氮（NH</w:t>
            </w:r>
            <w:r>
              <w:rPr>
                <w:color w:val="000000" w:themeColor="text1"/>
                <w:szCs w:val="24"/>
                <w:highlight w:val="none"/>
                <w:u w:val="single"/>
                <w:vertAlign w:val="subscript"/>
              </w:rPr>
              <w:t>3</w:t>
            </w:r>
            <w:r>
              <w:rPr>
                <w:color w:val="000000" w:themeColor="text1"/>
                <w:szCs w:val="24"/>
                <w:highlight w:val="none"/>
                <w:u w:val="single"/>
              </w:rPr>
              <w:t>-N）， 推荐性总量控制指标为VOCs。</w:t>
            </w:r>
          </w:p>
          <w:p>
            <w:pPr>
              <w:pStyle w:val="2"/>
              <w:spacing w:line="360" w:lineRule="auto"/>
              <w:ind w:firstLine="480"/>
              <w:rPr>
                <w:color w:val="000000" w:themeColor="text1"/>
                <w:szCs w:val="24"/>
                <w:highlight w:val="none"/>
                <w:u w:val="single"/>
              </w:rPr>
            </w:pPr>
            <w:r>
              <w:rPr>
                <w:color w:val="000000" w:themeColor="text1"/>
                <w:szCs w:val="24"/>
                <w:highlight w:val="none"/>
                <w:u w:val="single"/>
              </w:rPr>
              <w:t>因此，结合本项目污染物排放因子，确定本项目的总量控制因子为：COD、 NH</w:t>
            </w:r>
            <w:r>
              <w:rPr>
                <w:color w:val="000000" w:themeColor="text1"/>
                <w:szCs w:val="24"/>
                <w:highlight w:val="none"/>
                <w:u w:val="single"/>
                <w:vertAlign w:val="subscript"/>
              </w:rPr>
              <w:t>3</w:t>
            </w:r>
            <w:r>
              <w:rPr>
                <w:color w:val="000000" w:themeColor="text1"/>
                <w:szCs w:val="24"/>
                <w:highlight w:val="none"/>
                <w:u w:val="single"/>
              </w:rPr>
              <w:t>-N。</w:t>
            </w:r>
          </w:p>
          <w:p>
            <w:pPr>
              <w:pStyle w:val="2"/>
              <w:spacing w:line="360" w:lineRule="auto"/>
              <w:ind w:firstLine="480"/>
              <w:rPr>
                <w:color w:val="000000" w:themeColor="text1"/>
                <w:szCs w:val="24"/>
                <w:highlight w:val="none"/>
                <w:u w:val="single"/>
              </w:rPr>
            </w:pPr>
            <w:r>
              <w:rPr>
                <w:color w:val="000000" w:themeColor="text1"/>
                <w:szCs w:val="24"/>
                <w:highlight w:val="none"/>
                <w:u w:val="single"/>
              </w:rPr>
              <w:t>本项目外排废水排入</w:t>
            </w:r>
            <w:r>
              <w:rPr>
                <w:rFonts w:hint="eastAsia"/>
                <w:color w:val="000000" w:themeColor="text1"/>
                <w:szCs w:val="24"/>
                <w:highlight w:val="none"/>
                <w:u w:val="single"/>
                <w:lang w:eastAsia="zh-CN"/>
              </w:rPr>
              <w:t>园区污水处理厂</w:t>
            </w:r>
            <w:r>
              <w:rPr>
                <w:color w:val="000000" w:themeColor="text1"/>
                <w:szCs w:val="24"/>
                <w:highlight w:val="none"/>
                <w:u w:val="single"/>
              </w:rPr>
              <w:t>，经污水厂处理后水质达到执行《城镇污水处理厂污染物排放标准》（GB18918-2002）中的一级A标准条件下，外排废水的 COD为</w:t>
            </w:r>
            <w:r>
              <w:rPr>
                <w:rFonts w:hint="eastAsia"/>
                <w:color w:val="000000" w:themeColor="text1"/>
                <w:szCs w:val="24"/>
                <w:highlight w:val="none"/>
                <w:u w:val="single"/>
              </w:rPr>
              <w:t>0.013</w:t>
            </w:r>
            <w:r>
              <w:rPr>
                <w:color w:val="000000" w:themeColor="text1"/>
                <w:szCs w:val="24"/>
                <w:highlight w:val="none"/>
                <w:u w:val="single"/>
              </w:rPr>
              <w:t>t/a、NH</w:t>
            </w:r>
            <w:r>
              <w:rPr>
                <w:color w:val="000000" w:themeColor="text1"/>
                <w:szCs w:val="24"/>
                <w:highlight w:val="none"/>
                <w:u w:val="single"/>
                <w:vertAlign w:val="subscript"/>
              </w:rPr>
              <w:t>3</w:t>
            </w:r>
            <w:r>
              <w:rPr>
                <w:color w:val="000000" w:themeColor="text1"/>
                <w:szCs w:val="24"/>
                <w:highlight w:val="none"/>
                <w:u w:val="single"/>
              </w:rPr>
              <w:t>-N为0.0</w:t>
            </w:r>
            <w:r>
              <w:rPr>
                <w:rFonts w:hint="eastAsia"/>
                <w:color w:val="000000" w:themeColor="text1"/>
                <w:szCs w:val="24"/>
                <w:highlight w:val="none"/>
                <w:u w:val="single"/>
              </w:rPr>
              <w:t>11</w:t>
            </w:r>
            <w:r>
              <w:rPr>
                <w:color w:val="000000" w:themeColor="text1"/>
                <w:szCs w:val="24"/>
                <w:highlight w:val="none"/>
                <w:u w:val="single"/>
              </w:rPr>
              <w:t>t/a。 本项目废水排入污水处理厂，COD</w:t>
            </w:r>
            <w:r>
              <w:rPr>
                <w:rFonts w:hint="eastAsia"/>
                <w:color w:val="000000" w:themeColor="text1"/>
                <w:szCs w:val="24"/>
                <w:highlight w:val="none"/>
                <w:u w:val="single"/>
              </w:rPr>
              <w:t>、</w:t>
            </w:r>
            <w:r>
              <w:rPr>
                <w:color w:val="000000" w:themeColor="text1"/>
                <w:szCs w:val="24"/>
                <w:highlight w:val="none"/>
                <w:u w:val="single"/>
              </w:rPr>
              <w:t>NH</w:t>
            </w:r>
            <w:r>
              <w:rPr>
                <w:color w:val="000000" w:themeColor="text1"/>
                <w:szCs w:val="24"/>
                <w:highlight w:val="none"/>
                <w:u w:val="single"/>
                <w:vertAlign w:val="subscript"/>
              </w:rPr>
              <w:t>3</w:t>
            </w:r>
            <w:r>
              <w:rPr>
                <w:color w:val="000000" w:themeColor="text1"/>
                <w:szCs w:val="24"/>
                <w:highlight w:val="none"/>
                <w:u w:val="single"/>
              </w:rPr>
              <w:t>-N</w:t>
            </w:r>
            <w:r>
              <w:rPr>
                <w:color w:val="000000" w:themeColor="text1"/>
                <w:highlight w:val="none"/>
                <w:u w:val="single"/>
              </w:rPr>
              <w:t>总量指标</w:t>
            </w:r>
            <w:r>
              <w:rPr>
                <w:rFonts w:hint="eastAsia"/>
                <w:color w:val="000000" w:themeColor="text1"/>
                <w:highlight w:val="none"/>
                <w:u w:val="single"/>
                <w:lang w:val="en-US" w:eastAsia="zh-CN"/>
              </w:rPr>
              <w:t>依托湖南奇思环保设备制造有限公司进行调配</w:t>
            </w:r>
            <w:r>
              <w:rPr>
                <w:color w:val="000000" w:themeColor="text1"/>
                <w:szCs w:val="24"/>
                <w:highlight w:val="none"/>
                <w:u w:val="single"/>
              </w:rPr>
              <w:t>。</w:t>
            </w:r>
          </w:p>
          <w:p>
            <w:pPr>
              <w:pStyle w:val="2"/>
              <w:spacing w:line="360" w:lineRule="auto"/>
              <w:ind w:firstLine="480"/>
              <w:rPr>
                <w:color w:val="000000" w:themeColor="text1"/>
                <w:szCs w:val="24"/>
                <w:highlight w:val="red"/>
              </w:rPr>
            </w:pPr>
          </w:p>
          <w:p>
            <w:pPr>
              <w:pStyle w:val="2"/>
              <w:spacing w:line="360" w:lineRule="auto"/>
              <w:ind w:firstLine="0" w:firstLineChars="0"/>
              <w:rPr>
                <w:color w:val="000000" w:themeColor="text1"/>
                <w:szCs w:val="24"/>
                <w:highlight w:val="red"/>
              </w:rPr>
            </w:pPr>
          </w:p>
        </w:tc>
      </w:tr>
    </w:tbl>
    <w:p>
      <w:pPr>
        <w:spacing w:line="360" w:lineRule="auto"/>
        <w:jc w:val="left"/>
        <w:rPr>
          <w:b/>
          <w:bCs/>
          <w:color w:val="000000" w:themeColor="text1"/>
          <w:sz w:val="30"/>
          <w:szCs w:val="30"/>
          <w:highlight w:val="red"/>
        </w:rPr>
        <w:sectPr>
          <w:pgSz w:w="11907" w:h="16840"/>
          <w:pgMar w:top="1418" w:right="1418" w:bottom="1134" w:left="1418" w:header="1134" w:footer="1134" w:gutter="0"/>
          <w:pgNumType w:fmt="decimal"/>
          <w:cols w:space="720" w:num="1"/>
          <w:docGrid w:type="linesAndChars" w:linePitch="312" w:charSpace="0"/>
        </w:sectPr>
      </w:pPr>
    </w:p>
    <w:p>
      <w:pPr>
        <w:spacing w:line="400" w:lineRule="exact"/>
        <w:jc w:val="left"/>
        <w:outlineLvl w:val="0"/>
        <w:rPr>
          <w:b/>
          <w:bCs/>
          <w:color w:val="000000" w:themeColor="text1"/>
          <w:sz w:val="30"/>
          <w:szCs w:val="30"/>
          <w:highlight w:val="none"/>
        </w:rPr>
      </w:pPr>
      <w:bookmarkStart w:id="21" w:name="_Toc4035"/>
      <w:r>
        <w:rPr>
          <w:b/>
          <w:bCs/>
          <w:color w:val="000000" w:themeColor="text1"/>
          <w:sz w:val="30"/>
          <w:szCs w:val="30"/>
          <w:highlight w:val="none"/>
        </w:rPr>
        <w:t>建设项目工程分析</w:t>
      </w:r>
      <w:bookmarkEnd w:id="21"/>
    </w:p>
    <w:tbl>
      <w:tblPr>
        <w:tblStyle w:val="34"/>
        <w:tblW w:w="9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43" w:type="dxa"/>
            <w:tcBorders>
              <w:top w:val="single" w:color="auto" w:sz="4" w:space="0"/>
              <w:bottom w:val="single" w:color="auto" w:sz="4" w:space="0"/>
            </w:tcBorders>
            <w:vAlign w:val="top"/>
          </w:tcPr>
          <w:p>
            <w:pPr>
              <w:spacing w:line="520" w:lineRule="exact"/>
              <w:rPr>
                <w:color w:val="000000" w:themeColor="text1"/>
                <w:highlight w:val="none"/>
                <w:u w:val="none"/>
              </w:rPr>
            </w:pPr>
            <w:r>
              <w:rPr>
                <w:color w:val="000000" w:themeColor="text1"/>
                <w:highlight w:val="none"/>
                <w:u w:val="none"/>
              </w:rPr>
              <w:t>工艺流程：</w:t>
            </w:r>
          </w:p>
          <w:p>
            <w:pPr>
              <w:pStyle w:val="2"/>
              <w:spacing w:line="360" w:lineRule="auto"/>
              <w:ind w:firstLine="480"/>
              <w:rPr>
                <w:color w:val="000000" w:themeColor="text1"/>
                <w:highlight w:val="none"/>
                <w:u w:val="none"/>
              </w:rPr>
            </w:pPr>
            <w:r>
              <w:rPr>
                <w:color w:val="000000" w:themeColor="text1"/>
                <w:highlight w:val="none"/>
                <w:u w:val="none"/>
              </w:rPr>
              <w:t>一、施工期</w:t>
            </w:r>
          </w:p>
          <w:p>
            <w:pPr>
              <w:spacing w:afterLines="50" w:line="360" w:lineRule="auto"/>
              <w:ind w:firstLine="480" w:firstLineChars="200"/>
              <w:rPr>
                <w:b/>
                <w:bCs/>
                <w:color w:val="000000" w:themeColor="text1"/>
                <w:sz w:val="28"/>
                <w:szCs w:val="28"/>
                <w:highlight w:val="none"/>
                <w:u w:val="none"/>
              </w:rPr>
            </w:pPr>
            <w:r>
              <w:rPr>
                <w:color w:val="000000" w:themeColor="text1"/>
                <w:sz w:val="24"/>
                <w:highlight w:val="none"/>
                <w:u w:val="none"/>
              </w:rPr>
              <w:t>本项目租赁</w:t>
            </w:r>
            <w:r>
              <w:rPr>
                <w:rFonts w:hint="eastAsia"/>
                <w:color w:val="000000" w:themeColor="text1"/>
                <w:sz w:val="24"/>
                <w:highlight w:val="none"/>
                <w:u w:val="none"/>
                <w:lang w:eastAsia="zh-CN"/>
              </w:rPr>
              <w:t>湖南省岳阳市湘阴县金龙新区</w:t>
            </w:r>
            <w:r>
              <w:rPr>
                <w:rFonts w:hint="eastAsia"/>
                <w:color w:val="000000" w:themeColor="text1"/>
                <w:sz w:val="24"/>
                <w:highlight w:val="none"/>
                <w:u w:val="none"/>
              </w:rPr>
              <w:t>已建经营场所，故不涉及厂房土建施工工期，项目施工期仅为房间内部简单装修及设备安装，施工过程产生的污染物主要为施工噪声、室内装修废气、废弃装修材料等。内装修采用符合相关环保质量标准要求的漆料等，经大气扩散不会对周围大气环境产生影响；施工期产生的施工机械采用低噪声设备，控制施工时间，对周围声环境影响不大；施工期产生的废弃装修材料交由相关单位拉运处理处置。本项目施工期较短，施工过程产生的污染物采取相应措施后，对周围环境影响较小。</w:t>
            </w:r>
          </w:p>
          <w:p>
            <w:pPr>
              <w:pStyle w:val="2"/>
              <w:spacing w:line="360" w:lineRule="auto"/>
              <w:ind w:firstLine="480"/>
              <w:rPr>
                <w:color w:val="000000" w:themeColor="text1"/>
                <w:highlight w:val="none"/>
                <w:u w:val="none"/>
              </w:rPr>
            </w:pPr>
            <w:r>
              <w:rPr>
                <w:color w:val="000000" w:themeColor="text1"/>
                <w:highlight w:val="none"/>
                <w:u w:val="none"/>
              </w:rPr>
              <w:t>二、营运期</w:t>
            </w:r>
          </w:p>
          <w:p>
            <w:pPr>
              <w:pStyle w:val="2"/>
              <w:spacing w:line="360" w:lineRule="auto"/>
              <w:ind w:firstLine="480"/>
              <w:rPr>
                <w:color w:val="000000" w:themeColor="text1"/>
                <w:highlight w:val="none"/>
                <w:u w:val="none"/>
              </w:rPr>
            </w:pPr>
            <w:r>
              <w:rPr>
                <w:color w:val="000000" w:themeColor="text1"/>
                <w:highlight w:val="none"/>
                <w:u w:val="none"/>
              </w:rPr>
              <w:t>本项目检测类别：主要包括①环境检测：环境空气与废气检测、水源地水质和生</w:t>
            </w:r>
          </w:p>
          <w:p>
            <w:pPr>
              <w:pStyle w:val="2"/>
              <w:spacing w:line="360" w:lineRule="auto"/>
              <w:ind w:firstLine="0" w:firstLineChars="0"/>
              <w:rPr>
                <w:rFonts w:hint="eastAsia" w:eastAsia="宋体"/>
                <w:color w:val="000000" w:themeColor="text1"/>
                <w:highlight w:val="none"/>
                <w:u w:val="none"/>
                <w:lang w:eastAsia="zh-CN"/>
              </w:rPr>
            </w:pPr>
            <w:r>
              <w:rPr>
                <w:color w:val="000000" w:themeColor="text1"/>
                <w:highlight w:val="none"/>
                <w:u w:val="none"/>
              </w:rPr>
              <w:t>活饮用水检测、噪声与振动检测、土壤检测、固体废弃物、室内空气质量检测、工业废水检测、生活污水检测、地下水质量检测、地表水质量检测</w:t>
            </w:r>
            <w:r>
              <w:rPr>
                <w:rFonts w:hint="eastAsia"/>
                <w:color w:val="000000" w:themeColor="text1"/>
                <w:highlight w:val="none"/>
                <w:u w:val="none"/>
              </w:rPr>
              <w:t>、公共场所微生物检测、公共场所进出风系统检测、公共场所物理指标检测</w:t>
            </w:r>
            <w:r>
              <w:rPr>
                <w:rFonts w:hint="eastAsia"/>
                <w:color w:val="000000" w:themeColor="text1"/>
                <w:highlight w:val="none"/>
                <w:u w:val="none"/>
                <w:lang w:eastAsia="zh-CN"/>
              </w:rPr>
              <w:t>。</w:t>
            </w:r>
          </w:p>
          <w:p>
            <w:pPr>
              <w:pStyle w:val="2"/>
              <w:spacing w:line="360" w:lineRule="auto"/>
              <w:ind w:firstLine="480"/>
              <w:rPr>
                <w:color w:val="000000" w:themeColor="text1"/>
                <w:highlight w:val="none"/>
                <w:u w:val="none"/>
              </w:rPr>
            </w:pPr>
            <w:r>
              <w:rPr>
                <w:color w:val="000000" w:themeColor="text1"/>
                <w:highlight w:val="none"/>
                <w:u w:val="none"/>
              </w:rPr>
              <w:t>项目运营期间工艺流程及产污环节见图5-1所示。</w:t>
            </w:r>
          </w:p>
          <w:p>
            <w:pPr>
              <w:pStyle w:val="2"/>
              <w:spacing w:line="360" w:lineRule="auto"/>
              <w:ind w:firstLine="0" w:firstLineChars="0"/>
              <w:rPr>
                <w:color w:val="000000" w:themeColor="text1"/>
                <w:highlight w:val="none"/>
                <w:u w:val="none"/>
              </w:rPr>
            </w:pPr>
            <w:r>
              <w:rPr>
                <w:color w:val="000000" w:themeColor="text1"/>
                <w:highlight w:val="none"/>
                <w:u w:val="none"/>
              </w:rPr>
              <w:drawing>
                <wp:anchor distT="0" distB="0" distL="114300" distR="114300" simplePos="0" relativeHeight="251716608" behindDoc="1" locked="0" layoutInCell="1" allowOverlap="1">
                  <wp:simplePos x="0" y="0"/>
                  <wp:positionH relativeFrom="column">
                    <wp:posOffset>266700</wp:posOffset>
                  </wp:positionH>
                  <wp:positionV relativeFrom="paragraph">
                    <wp:posOffset>76200</wp:posOffset>
                  </wp:positionV>
                  <wp:extent cx="5210175" cy="2819400"/>
                  <wp:effectExtent l="0" t="0" r="9525" b="0"/>
                  <wp:wrapTight wrapText="bothSides">
                    <wp:wrapPolygon>
                      <wp:start x="0" y="0"/>
                      <wp:lineTo x="0" y="21454"/>
                      <wp:lineTo x="21561" y="21454"/>
                      <wp:lineTo x="21561" y="0"/>
                      <wp:lineTo x="0" y="0"/>
                    </wp:wrapPolygon>
                  </wp:wrapTight>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2"/>
                          <a:stretch>
                            <a:fillRect/>
                          </a:stretch>
                        </pic:blipFill>
                        <pic:spPr>
                          <a:xfrm>
                            <a:off x="0" y="0"/>
                            <a:ext cx="5210175" cy="2819400"/>
                          </a:xfrm>
                          <a:prstGeom prst="rect">
                            <a:avLst/>
                          </a:prstGeom>
                          <a:noFill/>
                          <a:ln>
                            <a:noFill/>
                          </a:ln>
                        </pic:spPr>
                      </pic:pic>
                    </a:graphicData>
                  </a:graphic>
                </wp:anchor>
              </w:drawing>
            </w:r>
          </w:p>
          <w:p>
            <w:pPr>
              <w:pStyle w:val="2"/>
              <w:spacing w:line="360" w:lineRule="auto"/>
              <w:ind w:firstLine="480"/>
              <w:rPr>
                <w:color w:val="000000" w:themeColor="text1"/>
                <w:highlight w:val="none"/>
                <w:u w:val="none"/>
              </w:rPr>
            </w:pPr>
          </w:p>
          <w:p>
            <w:pPr>
              <w:pStyle w:val="2"/>
              <w:spacing w:line="360" w:lineRule="auto"/>
              <w:ind w:firstLine="480"/>
              <w:rPr>
                <w:color w:val="000000" w:themeColor="text1"/>
                <w:highlight w:val="none"/>
                <w:u w:val="none"/>
              </w:rPr>
            </w:pPr>
          </w:p>
          <w:p>
            <w:pPr>
              <w:pStyle w:val="2"/>
              <w:spacing w:line="360" w:lineRule="auto"/>
              <w:ind w:firstLine="480"/>
              <w:rPr>
                <w:color w:val="000000" w:themeColor="text1"/>
                <w:highlight w:val="none"/>
                <w:u w:val="none"/>
              </w:rPr>
            </w:pPr>
          </w:p>
          <w:p>
            <w:pPr>
              <w:pStyle w:val="2"/>
              <w:spacing w:line="360" w:lineRule="auto"/>
              <w:ind w:firstLine="480"/>
              <w:rPr>
                <w:color w:val="000000" w:themeColor="text1"/>
                <w:highlight w:val="none"/>
                <w:u w:val="none"/>
              </w:rPr>
            </w:pPr>
          </w:p>
          <w:p>
            <w:pPr>
              <w:pStyle w:val="2"/>
              <w:spacing w:line="360" w:lineRule="auto"/>
              <w:ind w:firstLine="480"/>
              <w:rPr>
                <w:color w:val="000000" w:themeColor="text1"/>
                <w:highlight w:val="none"/>
                <w:u w:val="none"/>
              </w:rPr>
            </w:pPr>
          </w:p>
          <w:p>
            <w:pPr>
              <w:pStyle w:val="2"/>
              <w:spacing w:line="360" w:lineRule="auto"/>
              <w:ind w:firstLine="480"/>
              <w:rPr>
                <w:color w:val="000000" w:themeColor="text1"/>
                <w:highlight w:val="none"/>
                <w:u w:val="none"/>
              </w:rPr>
            </w:pPr>
            <w:r>
              <w:rPr>
                <w:color w:val="000000" w:themeColor="text1"/>
                <w:highlight w:val="none"/>
                <w:u w:val="none"/>
              </w:rPr>
              <w:t>生产工艺简要说明如下：</w:t>
            </w:r>
          </w:p>
          <w:p>
            <w:pPr>
              <w:pStyle w:val="2"/>
              <w:spacing w:line="360" w:lineRule="auto"/>
              <w:ind w:firstLine="480"/>
              <w:rPr>
                <w:color w:val="000000" w:themeColor="text1"/>
                <w:highlight w:val="none"/>
                <w:u w:val="none"/>
              </w:rPr>
            </w:pPr>
            <w:r>
              <w:rPr>
                <w:color w:val="000000" w:themeColor="text1"/>
                <w:highlight w:val="none"/>
                <w:u w:val="none"/>
              </w:rPr>
              <w:t>（1）样品采集</w:t>
            </w:r>
          </w:p>
          <w:p>
            <w:pPr>
              <w:pStyle w:val="2"/>
              <w:spacing w:line="360" w:lineRule="auto"/>
              <w:ind w:firstLine="480"/>
              <w:rPr>
                <w:color w:val="000000" w:themeColor="text1"/>
                <w:highlight w:val="none"/>
                <w:u w:val="none"/>
              </w:rPr>
            </w:pPr>
            <w:r>
              <w:rPr>
                <w:color w:val="000000" w:themeColor="text1"/>
                <w:highlight w:val="none"/>
                <w:u w:val="none"/>
              </w:rPr>
              <w:t>严格按照国家技术标准要求进行采样。</w:t>
            </w:r>
          </w:p>
          <w:p>
            <w:pPr>
              <w:pStyle w:val="2"/>
              <w:spacing w:line="360" w:lineRule="auto"/>
              <w:ind w:firstLine="480"/>
              <w:rPr>
                <w:color w:val="000000" w:themeColor="text1"/>
                <w:highlight w:val="none"/>
                <w:u w:val="none"/>
              </w:rPr>
            </w:pPr>
            <w:r>
              <w:rPr>
                <w:color w:val="000000" w:themeColor="text1"/>
                <w:highlight w:val="none"/>
                <w:u w:val="none"/>
              </w:rPr>
              <w:t>（2）样品预处理</w:t>
            </w:r>
          </w:p>
          <w:p>
            <w:pPr>
              <w:pStyle w:val="2"/>
              <w:spacing w:line="360" w:lineRule="auto"/>
              <w:ind w:firstLine="480"/>
              <w:rPr>
                <w:color w:val="000000" w:themeColor="text1"/>
                <w:highlight w:val="none"/>
                <w:u w:val="none"/>
              </w:rPr>
            </w:pPr>
            <w:r>
              <w:rPr>
                <w:color w:val="000000" w:themeColor="text1"/>
                <w:highlight w:val="none"/>
                <w:u w:val="none"/>
              </w:rPr>
              <w:t>采集回来的样品进行登记、交接（需当日测定的如氨氮、总氯、余氯等，当日安排检测，其余不需当日测定的可在4℃以下保存备用）。部分需要添加保存剂保存。</w:t>
            </w:r>
          </w:p>
          <w:p>
            <w:pPr>
              <w:pStyle w:val="2"/>
              <w:spacing w:line="360" w:lineRule="auto"/>
              <w:ind w:firstLine="480"/>
              <w:rPr>
                <w:color w:val="000000" w:themeColor="text1"/>
                <w:highlight w:val="none"/>
                <w:u w:val="none"/>
              </w:rPr>
            </w:pPr>
            <w:r>
              <w:rPr>
                <w:color w:val="000000" w:themeColor="text1"/>
                <w:highlight w:val="none"/>
                <w:u w:val="none"/>
              </w:rPr>
              <w:t>（3）样品检测</w:t>
            </w:r>
          </w:p>
          <w:p>
            <w:pPr>
              <w:pStyle w:val="2"/>
              <w:spacing w:line="360" w:lineRule="auto"/>
              <w:ind w:firstLine="480"/>
              <w:rPr>
                <w:color w:val="000000" w:themeColor="text1"/>
                <w:highlight w:val="none"/>
                <w:u w:val="none"/>
              </w:rPr>
            </w:pPr>
            <w:r>
              <w:rPr>
                <w:color w:val="000000" w:themeColor="text1"/>
                <w:highlight w:val="none"/>
                <w:u w:val="none"/>
              </w:rPr>
              <w:t>根据不同检测项目采用相应检测方法进行样品测定。样品测定过程将可能产生实验废水、废液、废气等污染物。</w:t>
            </w:r>
          </w:p>
          <w:p>
            <w:pPr>
              <w:pStyle w:val="2"/>
              <w:numPr>
                <w:ilvl w:val="0"/>
                <w:numId w:val="8"/>
              </w:numPr>
              <w:spacing w:line="360" w:lineRule="auto"/>
              <w:ind w:firstLine="480"/>
              <w:rPr>
                <w:color w:val="000000" w:themeColor="text1"/>
                <w:highlight w:val="none"/>
                <w:u w:val="none"/>
              </w:rPr>
            </w:pPr>
            <w:r>
              <w:rPr>
                <w:rFonts w:hint="eastAsia"/>
                <w:color w:val="000000" w:themeColor="text1"/>
                <w:highlight w:val="none"/>
                <w:u w:val="none"/>
              </w:rPr>
              <w:t>现场位点确定</w:t>
            </w:r>
          </w:p>
          <w:p>
            <w:pPr>
              <w:pStyle w:val="2"/>
              <w:spacing w:line="360" w:lineRule="auto"/>
              <w:ind w:firstLine="480"/>
              <w:rPr>
                <w:color w:val="000000" w:themeColor="text1"/>
                <w:highlight w:val="none"/>
                <w:u w:val="none"/>
              </w:rPr>
            </w:pPr>
            <w:r>
              <w:rPr>
                <w:rFonts w:hint="eastAsia"/>
                <w:color w:val="000000" w:themeColor="text1"/>
                <w:highlight w:val="none"/>
                <w:u w:val="none"/>
              </w:rPr>
              <w:t>对于公共场所进出风系统检测、公共场所物理指标检测等项目无法取样带回，需携带仪器现场进行现场测定，确定现场采样目标，采样位置。</w:t>
            </w:r>
          </w:p>
          <w:p>
            <w:pPr>
              <w:pStyle w:val="2"/>
              <w:numPr>
                <w:ilvl w:val="0"/>
                <w:numId w:val="8"/>
              </w:numPr>
              <w:spacing w:line="360" w:lineRule="auto"/>
              <w:ind w:firstLine="480"/>
              <w:rPr>
                <w:color w:val="000000" w:themeColor="text1"/>
                <w:highlight w:val="none"/>
                <w:u w:val="none"/>
              </w:rPr>
            </w:pPr>
            <w:r>
              <w:rPr>
                <w:rFonts w:hint="eastAsia"/>
                <w:color w:val="000000" w:themeColor="text1"/>
                <w:highlight w:val="none"/>
                <w:u w:val="none"/>
              </w:rPr>
              <w:t>现场采样测定</w:t>
            </w:r>
          </w:p>
          <w:p>
            <w:pPr>
              <w:pStyle w:val="2"/>
              <w:spacing w:line="360" w:lineRule="auto"/>
              <w:ind w:firstLine="480"/>
              <w:rPr>
                <w:color w:val="000000" w:themeColor="text1"/>
                <w:highlight w:val="none"/>
                <w:u w:val="none"/>
              </w:rPr>
            </w:pPr>
            <w:r>
              <w:rPr>
                <w:rFonts w:hint="eastAsia"/>
                <w:color w:val="000000" w:themeColor="text1"/>
                <w:highlight w:val="none"/>
                <w:u w:val="none"/>
              </w:rPr>
              <w:t>确定采样目标及位置后，利用仪器进行现场测定，例如：照度、噪声、辐射、相对湿度、新风量等。</w:t>
            </w:r>
          </w:p>
          <w:p>
            <w:pPr>
              <w:pStyle w:val="2"/>
              <w:spacing w:line="360" w:lineRule="auto"/>
              <w:ind w:firstLine="480"/>
              <w:rPr>
                <w:color w:val="000000" w:themeColor="text1"/>
                <w:highlight w:val="none"/>
                <w:u w:val="none"/>
              </w:rPr>
            </w:pPr>
            <w:r>
              <w:rPr>
                <w:color w:val="000000" w:themeColor="text1"/>
                <w:highlight w:val="none"/>
                <w:u w:val="none"/>
              </w:rPr>
              <w:t>（</w:t>
            </w:r>
            <w:r>
              <w:rPr>
                <w:rFonts w:hint="eastAsia"/>
                <w:color w:val="000000" w:themeColor="text1"/>
                <w:highlight w:val="none"/>
                <w:u w:val="none"/>
              </w:rPr>
              <w:t>6</w:t>
            </w:r>
            <w:r>
              <w:rPr>
                <w:color w:val="000000" w:themeColor="text1"/>
                <w:highlight w:val="none"/>
                <w:u w:val="none"/>
              </w:rPr>
              <w:t>）分析处理</w:t>
            </w:r>
          </w:p>
          <w:p>
            <w:pPr>
              <w:pStyle w:val="2"/>
              <w:spacing w:line="360" w:lineRule="auto"/>
              <w:ind w:firstLine="480"/>
              <w:rPr>
                <w:color w:val="000000" w:themeColor="text1"/>
                <w:highlight w:val="none"/>
                <w:u w:val="none"/>
              </w:rPr>
            </w:pPr>
            <w:r>
              <w:rPr>
                <w:color w:val="000000" w:themeColor="text1"/>
                <w:highlight w:val="none"/>
                <w:u w:val="none"/>
              </w:rPr>
              <w:t>样品测定后进行数据分析、处理，出检测报告。</w:t>
            </w:r>
          </w:p>
          <w:p>
            <w:pPr>
              <w:pStyle w:val="2"/>
              <w:spacing w:line="360" w:lineRule="auto"/>
              <w:ind w:firstLine="480"/>
              <w:rPr>
                <w:color w:val="000000" w:themeColor="text1"/>
                <w:highlight w:val="none"/>
                <w:u w:val="none"/>
              </w:rPr>
            </w:pPr>
            <w:r>
              <w:rPr>
                <w:color w:val="000000" w:themeColor="text1"/>
                <w:highlight w:val="none"/>
                <w:u w:val="none"/>
              </w:rPr>
              <w:t>以下列出本项目较常检测的类别流程：</w:t>
            </w:r>
          </w:p>
          <w:p>
            <w:pPr>
              <w:pStyle w:val="2"/>
              <w:spacing w:line="360" w:lineRule="auto"/>
              <w:ind w:firstLine="480"/>
              <w:rPr>
                <w:color w:val="000000" w:themeColor="text1"/>
                <w:highlight w:val="none"/>
                <w:u w:val="none"/>
              </w:rPr>
            </w:pPr>
            <w:r>
              <w:rPr>
                <w:color w:val="000000" w:themeColor="text1"/>
                <w:highlight w:val="none"/>
                <w:u w:val="none"/>
              </w:rPr>
              <w:t>水质检测：水样一般为采样人员现场采样或少数企业送样到项目实验室，一般通</w:t>
            </w:r>
          </w:p>
          <w:p>
            <w:pPr>
              <w:pStyle w:val="2"/>
              <w:spacing w:line="360" w:lineRule="auto"/>
              <w:ind w:firstLine="0" w:firstLineChars="0"/>
              <w:rPr>
                <w:color w:val="000000" w:themeColor="text1"/>
                <w:highlight w:val="none"/>
                <w:u w:val="none"/>
              </w:rPr>
            </w:pPr>
            <w:r>
              <w:rPr>
                <w:color w:val="000000" w:themeColor="text1"/>
                <w:highlight w:val="none"/>
                <w:u w:val="none"/>
              </w:rPr>
              <w:t>过化学法、原子吸收分光光度法、离子选择电极法、气相色谱法等方法从而得出水质中某些物质的成分及含量。</w:t>
            </w:r>
          </w:p>
          <w:p>
            <w:pPr>
              <w:pStyle w:val="2"/>
              <w:spacing w:line="360" w:lineRule="auto"/>
              <w:ind w:firstLine="480"/>
              <w:rPr>
                <w:color w:val="000000" w:themeColor="text1"/>
                <w:highlight w:val="none"/>
                <w:u w:val="none"/>
              </w:rPr>
            </w:pPr>
            <w:r>
              <w:rPr>
                <w:color w:val="000000" w:themeColor="text1"/>
                <w:highlight w:val="none"/>
                <w:u w:val="none"/>
              </w:rPr>
              <w:t>空气和废气检测：气体样品为采样人员现场采样到项目实验室，通过分光光度法、非分散红外法、碘量法等方法从而得出大气中某物质的成分及含量。</w:t>
            </w:r>
          </w:p>
          <w:p>
            <w:pPr>
              <w:pStyle w:val="2"/>
              <w:spacing w:line="360" w:lineRule="auto"/>
              <w:ind w:firstLine="480"/>
              <w:rPr>
                <w:color w:val="000000" w:themeColor="text1"/>
                <w:highlight w:val="none"/>
                <w:u w:val="none"/>
              </w:rPr>
            </w:pPr>
            <w:r>
              <w:rPr>
                <w:color w:val="000000" w:themeColor="text1"/>
                <w:highlight w:val="none"/>
                <w:u w:val="none"/>
              </w:rPr>
              <w:t>土壤检测：土壤样品采样一般为采样人员现场采样或少数企业送样到项目实验室，通过原子荧光法、原子吸收分光光度法等方法从而得出土壤中某些物质的成分及含量。</w:t>
            </w:r>
          </w:p>
          <w:p>
            <w:pPr>
              <w:pStyle w:val="2"/>
              <w:spacing w:line="360" w:lineRule="auto"/>
              <w:ind w:firstLine="480"/>
              <w:rPr>
                <w:rFonts w:ascii="宋体" w:hAnsi="宋体" w:cs="宋体"/>
                <w:color w:val="000000" w:themeColor="text1"/>
                <w:szCs w:val="24"/>
                <w:highlight w:val="none"/>
                <w:u w:val="none"/>
              </w:rPr>
            </w:pPr>
            <w:r>
              <w:rPr>
                <w:rFonts w:hint="eastAsia"/>
                <w:color w:val="000000" w:themeColor="text1"/>
                <w:highlight w:val="none"/>
                <w:u w:val="none"/>
              </w:rPr>
              <w:t>固体废弃物检测：</w:t>
            </w:r>
            <w:r>
              <w:rPr>
                <w:rFonts w:ascii="宋体" w:hAnsi="宋体" w:cs="宋体"/>
                <w:color w:val="000000" w:themeColor="text1"/>
                <w:szCs w:val="24"/>
                <w:highlight w:val="none"/>
                <w:u w:val="none"/>
              </w:rPr>
              <w:t>固废样品为采样人员现场采样到项目实验室，采用重量法、滴定法、 分光光度法、紫外可见分光光度法、原子荧光法、原子吸收分光光度法、电感耦合等离 子体发射光谱法、电感耦合等离子体质谱法、离子色谱法、气相色谱法、气相色谱—质 谱法、高效液相色谱法等方法进行检测。</w:t>
            </w:r>
          </w:p>
          <w:p>
            <w:pPr>
              <w:pStyle w:val="2"/>
              <w:spacing w:line="360" w:lineRule="auto"/>
              <w:ind w:firstLine="480"/>
              <w:rPr>
                <w:rFonts w:ascii="宋体" w:hAnsi="宋体" w:cs="宋体"/>
                <w:color w:val="000000" w:themeColor="text1"/>
                <w:szCs w:val="24"/>
                <w:highlight w:val="none"/>
                <w:u w:val="none"/>
              </w:rPr>
            </w:pPr>
            <w:r>
              <w:rPr>
                <w:rFonts w:hint="eastAsia" w:ascii="宋体" w:hAnsi="宋体" w:cs="宋体"/>
                <w:color w:val="000000" w:themeColor="text1"/>
                <w:szCs w:val="24"/>
                <w:highlight w:val="none"/>
                <w:u w:val="none"/>
              </w:rPr>
              <w:t>公共场所检测：检测人员携带检测仪器到达现场，确定位点，</w:t>
            </w:r>
            <w:r>
              <w:rPr>
                <w:rFonts w:hint="eastAsia"/>
                <w:color w:val="000000" w:themeColor="text1"/>
                <w:highlight w:val="none"/>
                <w:u w:val="none"/>
              </w:rPr>
              <w:t>照度、噪声、辐射、相对湿度、新风量等物理指标以及进出风系统需现场测定，记录数据。化学指标、生物指标需采样带回项目实验室测定。</w:t>
            </w:r>
          </w:p>
          <w:p>
            <w:pPr>
              <w:pStyle w:val="2"/>
              <w:spacing w:line="360" w:lineRule="auto"/>
              <w:ind w:firstLine="480"/>
              <w:rPr>
                <w:color w:val="000000" w:themeColor="text1"/>
                <w:highlight w:val="none"/>
                <w:u w:val="none"/>
              </w:rPr>
            </w:pPr>
            <w:r>
              <w:rPr>
                <w:color w:val="000000" w:themeColor="text1"/>
                <w:highlight w:val="none"/>
                <w:u w:val="none"/>
              </w:rPr>
              <w:t>主要污染</w:t>
            </w:r>
            <w:r>
              <w:rPr>
                <w:rFonts w:hint="eastAsia"/>
                <w:color w:val="000000" w:themeColor="text1"/>
                <w:highlight w:val="none"/>
                <w:u w:val="none"/>
              </w:rPr>
              <w:t>物及污染源强</w:t>
            </w:r>
            <w:r>
              <w:rPr>
                <w:color w:val="000000" w:themeColor="text1"/>
                <w:highlight w:val="none"/>
                <w:u w:val="none"/>
              </w:rPr>
              <w:t>：</w:t>
            </w:r>
          </w:p>
          <w:p>
            <w:pPr>
              <w:pStyle w:val="2"/>
              <w:spacing w:line="360" w:lineRule="auto"/>
              <w:ind w:firstLine="480"/>
              <w:rPr>
                <w:color w:val="000000" w:themeColor="text1"/>
                <w:highlight w:val="none"/>
                <w:u w:val="single"/>
              </w:rPr>
            </w:pPr>
            <w:r>
              <w:rPr>
                <w:color w:val="000000" w:themeColor="text1"/>
                <w:highlight w:val="none"/>
                <w:u w:val="single"/>
              </w:rPr>
              <w:t>（1）废气</w:t>
            </w:r>
          </w:p>
          <w:p>
            <w:pPr>
              <w:pStyle w:val="2"/>
              <w:spacing w:line="360" w:lineRule="auto"/>
              <w:ind w:firstLine="480"/>
              <w:rPr>
                <w:color w:val="000000" w:themeColor="text1"/>
                <w:highlight w:val="none"/>
                <w:u w:val="single"/>
              </w:rPr>
            </w:pPr>
            <w:r>
              <w:rPr>
                <w:color w:val="000000" w:themeColor="text1"/>
                <w:highlight w:val="none"/>
                <w:u w:val="single"/>
              </w:rPr>
              <w:t>项目运营期在样品前处理、配制溶液时会产生极少量废气和异味，由于实验类型的不同，根据样品前处理工艺的差别，其中实验废气主要包括</w:t>
            </w:r>
            <w:r>
              <w:rPr>
                <w:rFonts w:hint="eastAsia"/>
                <w:color w:val="000000" w:themeColor="text1"/>
                <w:highlight w:val="none"/>
                <w:u w:val="single"/>
              </w:rPr>
              <w:t>异味、</w:t>
            </w:r>
            <w:r>
              <w:rPr>
                <w:color w:val="000000" w:themeColor="text1"/>
                <w:highlight w:val="none"/>
                <w:u w:val="single"/>
              </w:rPr>
              <w:t>无机废气。</w:t>
            </w:r>
          </w:p>
          <w:p>
            <w:pPr>
              <w:pStyle w:val="2"/>
              <w:spacing w:line="360" w:lineRule="auto"/>
              <w:ind w:firstLine="480"/>
              <w:rPr>
                <w:color w:val="000000" w:themeColor="text1"/>
                <w:highlight w:val="none"/>
                <w:u w:val="single"/>
              </w:rPr>
            </w:pPr>
            <w:r>
              <w:rPr>
                <w:color w:val="000000" w:themeColor="text1"/>
                <w:highlight w:val="none"/>
                <w:u w:val="single"/>
              </w:rPr>
              <w:t>①异味</w:t>
            </w:r>
          </w:p>
          <w:p>
            <w:pPr>
              <w:pStyle w:val="2"/>
              <w:spacing w:line="360" w:lineRule="auto"/>
              <w:ind w:firstLine="480"/>
              <w:rPr>
                <w:color w:val="000000" w:themeColor="text1"/>
                <w:highlight w:val="none"/>
                <w:u w:val="single"/>
              </w:rPr>
            </w:pPr>
            <w:r>
              <w:rPr>
                <w:color w:val="000000" w:themeColor="text1"/>
                <w:highlight w:val="none"/>
                <w:u w:val="single"/>
              </w:rPr>
              <w:t>项目产生的异味主要是使用多种试剂导致，在储存环节，因试剂装在封闭试剂瓶中，储存的试剂基本无挥发，试剂挥发产生臭气一般发生在试剂使用阶段打开瓶塞、加热或搅拌初期，一般产生量极少。</w:t>
            </w:r>
          </w:p>
          <w:p>
            <w:pPr>
              <w:pStyle w:val="2"/>
              <w:spacing w:line="360" w:lineRule="auto"/>
              <w:ind w:firstLine="480"/>
              <w:rPr>
                <w:color w:val="000000" w:themeColor="text1"/>
                <w:highlight w:val="none"/>
                <w:u w:val="single"/>
              </w:rPr>
            </w:pPr>
            <w:r>
              <w:rPr>
                <w:color w:val="000000" w:themeColor="text1"/>
                <w:highlight w:val="none"/>
                <w:u w:val="single"/>
              </w:rPr>
              <w:t>②</w:t>
            </w:r>
            <w:r>
              <w:rPr>
                <w:rFonts w:hint="eastAsia"/>
                <w:color w:val="000000" w:themeColor="text1"/>
                <w:highlight w:val="none"/>
                <w:u w:val="single"/>
              </w:rPr>
              <w:t>实验室产生的</w:t>
            </w:r>
            <w:r>
              <w:rPr>
                <w:color w:val="000000" w:themeColor="text1"/>
                <w:highlight w:val="none"/>
                <w:u w:val="single"/>
              </w:rPr>
              <w:t>无机废气</w:t>
            </w:r>
          </w:p>
          <w:p>
            <w:pPr>
              <w:pStyle w:val="2"/>
              <w:spacing w:line="360" w:lineRule="auto"/>
              <w:ind w:firstLine="480"/>
              <w:rPr>
                <w:color w:val="000000" w:themeColor="text1"/>
                <w:highlight w:val="none"/>
                <w:u w:val="single"/>
              </w:rPr>
            </w:pPr>
            <w:r>
              <w:rPr>
                <w:color w:val="000000" w:themeColor="text1"/>
                <w:highlight w:val="none"/>
                <w:u w:val="single"/>
              </w:rPr>
              <w:t>本项目无机废气主要为酸雾，根据建设单位提供的资料可知，本项目消解阶段用量较大的酸主要为硝酸</w:t>
            </w:r>
            <w:r>
              <w:rPr>
                <w:rFonts w:hint="eastAsia"/>
                <w:color w:val="000000" w:themeColor="text1"/>
                <w:highlight w:val="none"/>
                <w:u w:val="single"/>
              </w:rPr>
              <w:t>、</w:t>
            </w:r>
            <w:r>
              <w:rPr>
                <w:color w:val="000000" w:themeColor="text1"/>
                <w:highlight w:val="none"/>
                <w:u w:val="single"/>
              </w:rPr>
              <w:t>盐酸</w:t>
            </w:r>
            <w:r>
              <w:rPr>
                <w:rFonts w:hint="eastAsia"/>
                <w:color w:val="000000" w:themeColor="text1"/>
                <w:highlight w:val="none"/>
                <w:u w:val="single"/>
              </w:rPr>
              <w:t>和硫酸</w:t>
            </w:r>
            <w:r>
              <w:rPr>
                <w:color w:val="000000" w:themeColor="text1"/>
                <w:highlight w:val="none"/>
                <w:u w:val="single"/>
              </w:rPr>
              <w:t>，</w:t>
            </w:r>
            <w:r>
              <w:rPr>
                <w:rFonts w:hint="eastAsia"/>
                <w:color w:val="000000" w:themeColor="text1"/>
                <w:highlight w:val="none"/>
                <w:u w:val="single"/>
              </w:rPr>
              <w:t>各种</w:t>
            </w:r>
            <w:r>
              <w:rPr>
                <w:color w:val="000000" w:themeColor="text1"/>
                <w:highlight w:val="none"/>
                <w:u w:val="single"/>
              </w:rPr>
              <w:t>年使用量不超过</w:t>
            </w:r>
            <w:r>
              <w:rPr>
                <w:rFonts w:hint="eastAsia"/>
                <w:color w:val="000000" w:themeColor="text1"/>
                <w:highlight w:val="none"/>
                <w:u w:val="single"/>
              </w:rPr>
              <w:t>30</w:t>
            </w:r>
            <w:r>
              <w:rPr>
                <w:color w:val="000000" w:themeColor="text1"/>
                <w:highlight w:val="none"/>
                <w:u w:val="single"/>
              </w:rPr>
              <w:t>kg，且每次检测取用量在几毫升至几十毫升，用量非常少，所以试剂使用过程中产生的酸雾极少。酸雾经实验室的通风橱等收集系统收集后，经风机抽至酸雾净化塔内处理后排放。</w:t>
            </w:r>
          </w:p>
          <w:p>
            <w:pPr>
              <w:pStyle w:val="2"/>
              <w:spacing w:line="360" w:lineRule="auto"/>
              <w:ind w:firstLine="422"/>
              <w:jc w:val="center"/>
              <w:rPr>
                <w:rFonts w:ascii="宋体" w:hAnsi="宋体" w:cs="宋体"/>
                <w:b/>
                <w:bCs/>
                <w:color w:val="000000" w:themeColor="text1"/>
                <w:sz w:val="21"/>
                <w:szCs w:val="21"/>
                <w:highlight w:val="none"/>
                <w:u w:val="single"/>
              </w:rPr>
            </w:pPr>
            <w:r>
              <w:rPr>
                <w:rFonts w:ascii="宋体" w:hAnsi="宋体" w:cs="宋体"/>
                <w:b/>
                <w:bCs/>
                <w:color w:val="000000" w:themeColor="text1"/>
                <w:sz w:val="21"/>
                <w:szCs w:val="21"/>
                <w:highlight w:val="none"/>
                <w:u w:val="single"/>
              </w:rPr>
              <w:t>表</w:t>
            </w:r>
            <w:r>
              <w:rPr>
                <w:b/>
                <w:bCs/>
                <w:color w:val="000000" w:themeColor="text1"/>
                <w:sz w:val="21"/>
                <w:szCs w:val="21"/>
                <w:highlight w:val="none"/>
                <w:u w:val="single"/>
              </w:rPr>
              <w:t>5-</w:t>
            </w:r>
            <w:r>
              <w:rPr>
                <w:rFonts w:hint="eastAsia"/>
                <w:b/>
                <w:bCs/>
                <w:color w:val="000000" w:themeColor="text1"/>
                <w:sz w:val="21"/>
                <w:szCs w:val="21"/>
                <w:highlight w:val="none"/>
                <w:u w:val="single"/>
              </w:rPr>
              <w:t>2</w:t>
            </w:r>
            <w:r>
              <w:rPr>
                <w:rFonts w:ascii="宋体" w:hAnsi="宋体" w:cs="宋体"/>
                <w:b/>
                <w:bCs/>
                <w:color w:val="000000" w:themeColor="text1"/>
                <w:sz w:val="21"/>
                <w:szCs w:val="21"/>
                <w:highlight w:val="none"/>
                <w:u w:val="single"/>
              </w:rPr>
              <w:t xml:space="preserve"> 项目</w:t>
            </w:r>
            <w:r>
              <w:rPr>
                <w:rFonts w:hint="eastAsia" w:ascii="宋体" w:hAnsi="宋体" w:cs="宋体"/>
                <w:b/>
                <w:bCs/>
                <w:color w:val="000000" w:themeColor="text1"/>
                <w:sz w:val="21"/>
                <w:szCs w:val="21"/>
                <w:highlight w:val="none"/>
                <w:u w:val="single"/>
              </w:rPr>
              <w:t>废气</w:t>
            </w:r>
            <w:r>
              <w:rPr>
                <w:rFonts w:ascii="宋体" w:hAnsi="宋体" w:cs="宋体"/>
                <w:b/>
                <w:bCs/>
                <w:color w:val="000000" w:themeColor="text1"/>
                <w:sz w:val="21"/>
                <w:szCs w:val="21"/>
                <w:highlight w:val="none"/>
                <w:u w:val="single"/>
              </w:rPr>
              <w:t>产排情况一览表</w:t>
            </w:r>
          </w:p>
          <w:tbl>
            <w:tblPr>
              <w:tblStyle w:val="35"/>
              <w:tblW w:w="90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875"/>
              <w:gridCol w:w="1131"/>
              <w:gridCol w:w="903"/>
              <w:gridCol w:w="903"/>
              <w:gridCol w:w="903"/>
              <w:gridCol w:w="903"/>
              <w:gridCol w:w="903"/>
              <w:gridCol w:w="903"/>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vMerge w:val="restart"/>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编号</w:t>
                  </w:r>
                </w:p>
              </w:tc>
              <w:tc>
                <w:tcPr>
                  <w:tcW w:w="875" w:type="dxa"/>
                  <w:vMerge w:val="restart"/>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污染源名称</w:t>
                  </w:r>
                </w:p>
              </w:tc>
              <w:tc>
                <w:tcPr>
                  <w:tcW w:w="1131" w:type="dxa"/>
                  <w:vMerge w:val="restart"/>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排气量</w:t>
                  </w:r>
                </w:p>
              </w:tc>
              <w:tc>
                <w:tcPr>
                  <w:tcW w:w="1806" w:type="dxa"/>
                  <w:gridSpan w:val="2"/>
                  <w:vAlign w:val="center"/>
                </w:tcPr>
                <w:p>
                  <w:pPr>
                    <w:pStyle w:val="2"/>
                    <w:spacing w:line="240" w:lineRule="auto"/>
                    <w:ind w:firstLine="420"/>
                    <w:rPr>
                      <w:color w:val="000000" w:themeColor="text1"/>
                      <w:sz w:val="21"/>
                      <w:szCs w:val="21"/>
                      <w:highlight w:val="none"/>
                      <w:u w:val="single"/>
                    </w:rPr>
                  </w:pPr>
                  <w:r>
                    <w:rPr>
                      <w:rFonts w:hint="eastAsia"/>
                      <w:color w:val="000000" w:themeColor="text1"/>
                      <w:sz w:val="21"/>
                      <w:szCs w:val="21"/>
                      <w:highlight w:val="none"/>
                      <w:u w:val="single"/>
                    </w:rPr>
                    <w:t>产生状况</w:t>
                  </w:r>
                </w:p>
              </w:tc>
              <w:tc>
                <w:tcPr>
                  <w:tcW w:w="903" w:type="dxa"/>
                  <w:vMerge w:val="restart"/>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治理措施</w:t>
                  </w:r>
                </w:p>
              </w:tc>
              <w:tc>
                <w:tcPr>
                  <w:tcW w:w="903" w:type="dxa"/>
                  <w:vMerge w:val="restart"/>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去除效率</w:t>
                  </w:r>
                </w:p>
              </w:tc>
              <w:tc>
                <w:tcPr>
                  <w:tcW w:w="1806" w:type="dxa"/>
                  <w:gridSpan w:val="2"/>
                  <w:vAlign w:val="center"/>
                </w:tcPr>
                <w:p>
                  <w:pPr>
                    <w:pStyle w:val="2"/>
                    <w:spacing w:line="240" w:lineRule="auto"/>
                    <w:ind w:firstLine="420"/>
                    <w:jc w:val="center"/>
                    <w:rPr>
                      <w:color w:val="000000" w:themeColor="text1"/>
                      <w:sz w:val="21"/>
                      <w:szCs w:val="21"/>
                      <w:highlight w:val="none"/>
                      <w:u w:val="single"/>
                    </w:rPr>
                  </w:pPr>
                  <w:r>
                    <w:rPr>
                      <w:rFonts w:hint="eastAsia"/>
                      <w:color w:val="000000" w:themeColor="text1"/>
                      <w:sz w:val="21"/>
                      <w:szCs w:val="21"/>
                      <w:highlight w:val="none"/>
                      <w:u w:val="single"/>
                    </w:rPr>
                    <w:t>排放情况</w:t>
                  </w:r>
                </w:p>
              </w:tc>
              <w:tc>
                <w:tcPr>
                  <w:tcW w:w="903" w:type="dxa"/>
                  <w:vMerge w:val="restart"/>
                  <w:vAlign w:val="center"/>
                </w:tcPr>
                <w:p>
                  <w:pPr>
                    <w:pStyle w:val="2"/>
                    <w:spacing w:line="240" w:lineRule="auto"/>
                    <w:ind w:firstLine="0" w:firstLineChars="0"/>
                    <w:jc w:val="center"/>
                    <w:rPr>
                      <w:color w:val="000000" w:themeColor="text1"/>
                      <w:sz w:val="21"/>
                      <w:szCs w:val="21"/>
                      <w:highlight w:val="none"/>
                      <w:u w:val="single"/>
                    </w:rPr>
                  </w:pPr>
                  <w:r>
                    <w:rPr>
                      <w:color w:val="000000" w:themeColor="text1"/>
                      <w:sz w:val="21"/>
                      <w:szCs w:val="21"/>
                      <w:highlight w:val="none"/>
                      <w:u w:val="single"/>
                    </w:rPr>
                    <w:t>年排 放时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700" w:type="dxa"/>
                  <w:vMerge w:val="continue"/>
                  <w:vAlign w:val="center"/>
                </w:tcPr>
                <w:p>
                  <w:pPr>
                    <w:pStyle w:val="2"/>
                    <w:spacing w:line="240" w:lineRule="auto"/>
                    <w:ind w:firstLine="420"/>
                    <w:jc w:val="center"/>
                    <w:rPr>
                      <w:color w:val="000000" w:themeColor="text1"/>
                      <w:sz w:val="21"/>
                      <w:szCs w:val="21"/>
                      <w:highlight w:val="none"/>
                      <w:u w:val="single"/>
                    </w:rPr>
                  </w:pPr>
                </w:p>
              </w:tc>
              <w:tc>
                <w:tcPr>
                  <w:tcW w:w="875" w:type="dxa"/>
                  <w:vMerge w:val="continue"/>
                  <w:vAlign w:val="center"/>
                </w:tcPr>
                <w:p>
                  <w:pPr>
                    <w:pStyle w:val="2"/>
                    <w:spacing w:line="240" w:lineRule="auto"/>
                    <w:ind w:firstLine="420"/>
                    <w:jc w:val="center"/>
                    <w:rPr>
                      <w:color w:val="000000" w:themeColor="text1"/>
                      <w:sz w:val="21"/>
                      <w:szCs w:val="21"/>
                      <w:highlight w:val="none"/>
                      <w:u w:val="single"/>
                    </w:rPr>
                  </w:pPr>
                </w:p>
              </w:tc>
              <w:tc>
                <w:tcPr>
                  <w:tcW w:w="1131" w:type="dxa"/>
                  <w:vMerge w:val="continue"/>
                  <w:vAlign w:val="center"/>
                </w:tcPr>
                <w:p>
                  <w:pPr>
                    <w:pStyle w:val="2"/>
                    <w:spacing w:line="240" w:lineRule="auto"/>
                    <w:ind w:firstLine="420"/>
                    <w:jc w:val="center"/>
                    <w:rPr>
                      <w:color w:val="000000" w:themeColor="text1"/>
                      <w:sz w:val="21"/>
                      <w:szCs w:val="21"/>
                      <w:highlight w:val="none"/>
                      <w:u w:val="single"/>
                    </w:rPr>
                  </w:pPr>
                </w:p>
              </w:tc>
              <w:tc>
                <w:tcPr>
                  <w:tcW w:w="903" w:type="dxa"/>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产生量</w:t>
                  </w:r>
                </w:p>
                <w:p>
                  <w:pPr>
                    <w:pStyle w:val="2"/>
                    <w:spacing w:line="240" w:lineRule="auto"/>
                    <w:ind w:firstLine="0" w:firstLineChars="0"/>
                    <w:jc w:val="center"/>
                    <w:rPr>
                      <w:color w:val="000000" w:themeColor="text1"/>
                      <w:sz w:val="21"/>
                      <w:szCs w:val="21"/>
                      <w:highlight w:val="none"/>
                      <w:u w:val="single"/>
                    </w:rPr>
                  </w:pPr>
                  <w:r>
                    <w:rPr>
                      <w:color w:val="000000" w:themeColor="text1"/>
                      <w:szCs w:val="24"/>
                      <w:highlight w:val="none"/>
                      <w:u w:val="single"/>
                    </w:rPr>
                    <w:t>t/a</w:t>
                  </w:r>
                </w:p>
              </w:tc>
              <w:tc>
                <w:tcPr>
                  <w:tcW w:w="903" w:type="dxa"/>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速率kg/h</w:t>
                  </w:r>
                </w:p>
              </w:tc>
              <w:tc>
                <w:tcPr>
                  <w:tcW w:w="903" w:type="dxa"/>
                  <w:vMerge w:val="continue"/>
                  <w:vAlign w:val="center"/>
                </w:tcPr>
                <w:p>
                  <w:pPr>
                    <w:pStyle w:val="2"/>
                    <w:spacing w:line="240" w:lineRule="auto"/>
                    <w:ind w:firstLine="420"/>
                    <w:jc w:val="center"/>
                    <w:rPr>
                      <w:color w:val="000000" w:themeColor="text1"/>
                      <w:sz w:val="21"/>
                      <w:szCs w:val="21"/>
                      <w:highlight w:val="none"/>
                      <w:u w:val="single"/>
                    </w:rPr>
                  </w:pPr>
                </w:p>
              </w:tc>
              <w:tc>
                <w:tcPr>
                  <w:tcW w:w="903" w:type="dxa"/>
                  <w:vMerge w:val="continue"/>
                  <w:vAlign w:val="center"/>
                </w:tcPr>
                <w:p>
                  <w:pPr>
                    <w:pStyle w:val="2"/>
                    <w:spacing w:line="240" w:lineRule="auto"/>
                    <w:ind w:firstLine="420"/>
                    <w:jc w:val="center"/>
                    <w:rPr>
                      <w:color w:val="000000" w:themeColor="text1"/>
                      <w:sz w:val="21"/>
                      <w:szCs w:val="21"/>
                      <w:highlight w:val="none"/>
                      <w:u w:val="single"/>
                    </w:rPr>
                  </w:pPr>
                </w:p>
              </w:tc>
              <w:tc>
                <w:tcPr>
                  <w:tcW w:w="903" w:type="dxa"/>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排放量</w:t>
                  </w:r>
                  <w:r>
                    <w:rPr>
                      <w:color w:val="000000" w:themeColor="text1"/>
                      <w:szCs w:val="24"/>
                      <w:highlight w:val="none"/>
                      <w:u w:val="single"/>
                    </w:rPr>
                    <w:t>t/a</w:t>
                  </w:r>
                </w:p>
              </w:tc>
              <w:tc>
                <w:tcPr>
                  <w:tcW w:w="903" w:type="dxa"/>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速率kg/h</w:t>
                  </w:r>
                </w:p>
              </w:tc>
              <w:tc>
                <w:tcPr>
                  <w:tcW w:w="903" w:type="dxa"/>
                  <w:vMerge w:val="continue"/>
                  <w:vAlign w:val="center"/>
                </w:tcPr>
                <w:p>
                  <w:pPr>
                    <w:pStyle w:val="2"/>
                    <w:spacing w:line="240" w:lineRule="auto"/>
                    <w:ind w:firstLine="420"/>
                    <w:jc w:val="center"/>
                    <w:rPr>
                      <w:color w:val="000000" w:themeColor="text1"/>
                      <w:sz w:val="21"/>
                      <w:szCs w:val="21"/>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trPr>
              <w:tc>
                <w:tcPr>
                  <w:tcW w:w="700" w:type="dxa"/>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1</w:t>
                  </w:r>
                </w:p>
              </w:tc>
              <w:tc>
                <w:tcPr>
                  <w:tcW w:w="875" w:type="dxa"/>
                  <w:vAlign w:val="center"/>
                </w:tcPr>
                <w:p>
                  <w:pPr>
                    <w:pStyle w:val="2"/>
                    <w:spacing w:line="240" w:lineRule="auto"/>
                    <w:ind w:firstLine="0" w:firstLineChars="0"/>
                    <w:jc w:val="center"/>
                    <w:rPr>
                      <w:color w:val="000000" w:themeColor="text1"/>
                      <w:sz w:val="21"/>
                      <w:szCs w:val="21"/>
                      <w:highlight w:val="none"/>
                      <w:u w:val="single"/>
                    </w:rPr>
                  </w:pPr>
                  <w:r>
                    <w:rPr>
                      <w:color w:val="000000" w:themeColor="text1"/>
                      <w:sz w:val="21"/>
                      <w:szCs w:val="21"/>
                      <w:highlight w:val="none"/>
                      <w:u w:val="single"/>
                    </w:rPr>
                    <w:t>硫酸雾、</w:t>
                  </w:r>
                  <w:r>
                    <w:rPr>
                      <w:rFonts w:hint="eastAsia"/>
                      <w:color w:val="000000" w:themeColor="text1"/>
                      <w:sz w:val="21"/>
                      <w:szCs w:val="21"/>
                      <w:highlight w:val="none"/>
                      <w:u w:val="single"/>
                    </w:rPr>
                    <w:t>盐酸雾、硝酸雾</w:t>
                  </w:r>
                </w:p>
              </w:tc>
              <w:tc>
                <w:tcPr>
                  <w:tcW w:w="1131" w:type="dxa"/>
                  <w:vAlign w:val="center"/>
                </w:tcPr>
                <w:p>
                  <w:pPr>
                    <w:pStyle w:val="2"/>
                    <w:spacing w:line="240" w:lineRule="auto"/>
                    <w:ind w:firstLine="0" w:firstLineChars="0"/>
                    <w:rPr>
                      <w:color w:val="000000" w:themeColor="text1"/>
                      <w:sz w:val="21"/>
                      <w:szCs w:val="21"/>
                      <w:highlight w:val="none"/>
                      <w:u w:val="single"/>
                    </w:rPr>
                  </w:pPr>
                  <w:r>
                    <w:rPr>
                      <w:color w:val="000000" w:themeColor="text1"/>
                      <w:sz w:val="21"/>
                      <w:szCs w:val="21"/>
                      <w:highlight w:val="none"/>
                      <w:u w:val="single"/>
                    </w:rPr>
                    <w:t>5000m</w:t>
                  </w:r>
                  <w:r>
                    <w:rPr>
                      <w:color w:val="000000" w:themeColor="text1"/>
                      <w:sz w:val="21"/>
                      <w:szCs w:val="21"/>
                      <w:highlight w:val="none"/>
                      <w:u w:val="single"/>
                      <w:vertAlign w:val="superscript"/>
                    </w:rPr>
                    <w:t>3</w:t>
                  </w:r>
                  <w:r>
                    <w:rPr>
                      <w:color w:val="000000" w:themeColor="text1"/>
                      <w:sz w:val="21"/>
                      <w:szCs w:val="21"/>
                      <w:highlight w:val="none"/>
                      <w:u w:val="single"/>
                    </w:rPr>
                    <w:t>/ h</w:t>
                  </w:r>
                </w:p>
              </w:tc>
              <w:tc>
                <w:tcPr>
                  <w:tcW w:w="1806" w:type="dxa"/>
                  <w:gridSpan w:val="2"/>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Cs w:val="24"/>
                      <w:highlight w:val="none"/>
                      <w:u w:val="single"/>
                    </w:rPr>
                    <w:t>少量</w:t>
                  </w:r>
                </w:p>
              </w:tc>
              <w:tc>
                <w:tcPr>
                  <w:tcW w:w="903" w:type="dxa"/>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Cs w:val="24"/>
                      <w:highlight w:val="none"/>
                      <w:u w:val="single"/>
                    </w:rPr>
                    <w:t>酸雾</w:t>
                  </w:r>
                  <w:r>
                    <w:rPr>
                      <w:color w:val="000000" w:themeColor="text1"/>
                      <w:highlight w:val="none"/>
                      <w:u w:val="single"/>
                    </w:rPr>
                    <w:t>净化塔</w:t>
                  </w:r>
                </w:p>
              </w:tc>
              <w:tc>
                <w:tcPr>
                  <w:tcW w:w="903" w:type="dxa"/>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80%</w:t>
                  </w:r>
                </w:p>
              </w:tc>
              <w:tc>
                <w:tcPr>
                  <w:tcW w:w="1806" w:type="dxa"/>
                  <w:gridSpan w:val="2"/>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极少量</w:t>
                  </w:r>
                </w:p>
              </w:tc>
              <w:tc>
                <w:tcPr>
                  <w:tcW w:w="903" w:type="dxa"/>
                  <w:vAlign w:val="center"/>
                </w:tcPr>
                <w:p>
                  <w:pPr>
                    <w:pStyle w:val="2"/>
                    <w:spacing w:line="240" w:lineRule="auto"/>
                    <w:ind w:firstLine="0" w:firstLineChars="0"/>
                    <w:jc w:val="center"/>
                    <w:rPr>
                      <w:color w:val="000000" w:themeColor="text1"/>
                      <w:sz w:val="21"/>
                      <w:szCs w:val="21"/>
                      <w:highlight w:val="none"/>
                      <w:u w:val="single"/>
                    </w:rPr>
                  </w:pPr>
                  <w:r>
                    <w:rPr>
                      <w:rFonts w:hint="eastAsia"/>
                      <w:color w:val="000000" w:themeColor="text1"/>
                      <w:sz w:val="21"/>
                      <w:szCs w:val="21"/>
                      <w:highlight w:val="none"/>
                      <w:u w:val="single"/>
                    </w:rPr>
                    <w:t>500</w:t>
                  </w:r>
                </w:p>
              </w:tc>
            </w:tr>
          </w:tbl>
          <w:p>
            <w:pPr>
              <w:pStyle w:val="2"/>
              <w:spacing w:line="360" w:lineRule="auto"/>
              <w:ind w:firstLine="480"/>
              <w:rPr>
                <w:color w:val="000000" w:themeColor="text1"/>
                <w:highlight w:val="red"/>
              </w:rPr>
            </w:pPr>
            <w:r>
              <w:rPr>
                <w:color w:val="000000" w:themeColor="text1"/>
                <w:highlight w:val="none"/>
              </w:rPr>
              <w:t>（2）废水</w:t>
            </w:r>
          </w:p>
          <w:p>
            <w:pPr>
              <w:pStyle w:val="2"/>
              <w:spacing w:line="360" w:lineRule="auto"/>
              <w:ind w:firstLine="480"/>
              <w:rPr>
                <w:color w:val="000000" w:themeColor="text1"/>
                <w:highlight w:val="none"/>
                <w:u w:val="single"/>
              </w:rPr>
            </w:pPr>
            <w:r>
              <w:rPr>
                <w:color w:val="000000" w:themeColor="text1"/>
                <w:highlight w:val="none"/>
                <w:u w:val="single"/>
              </w:rPr>
              <w:t>本项目实验废液主要包括一般实验废液、含重金属测量的实验废液和仪器、器皿</w:t>
            </w:r>
          </w:p>
          <w:p>
            <w:pPr>
              <w:pStyle w:val="2"/>
              <w:spacing w:line="360" w:lineRule="auto"/>
              <w:ind w:firstLine="0" w:firstLineChars="0"/>
              <w:rPr>
                <w:color w:val="000000" w:themeColor="text1"/>
                <w:highlight w:val="none"/>
                <w:u w:val="single"/>
              </w:rPr>
            </w:pPr>
            <w:r>
              <w:rPr>
                <w:color w:val="000000" w:themeColor="text1"/>
                <w:highlight w:val="none"/>
                <w:u w:val="single"/>
              </w:rPr>
              <w:t>与实验操作台清洗废水。根据建设单位提供的资料，一般实验废液产生量约为1.</w:t>
            </w:r>
            <w:r>
              <w:rPr>
                <w:rFonts w:hint="eastAsia"/>
                <w:color w:val="000000" w:themeColor="text1"/>
                <w:highlight w:val="none"/>
                <w:u w:val="single"/>
              </w:rPr>
              <w:t>125</w:t>
            </w:r>
            <w:r>
              <w:rPr>
                <w:color w:val="000000" w:themeColor="text1"/>
                <w:highlight w:val="none"/>
                <w:u w:val="single"/>
              </w:rPr>
              <w:t>m</w:t>
            </w:r>
            <w:r>
              <w:rPr>
                <w:color w:val="000000" w:themeColor="text1"/>
                <w:highlight w:val="none"/>
                <w:u w:val="single"/>
                <w:vertAlign w:val="superscript"/>
              </w:rPr>
              <w:t>3</w:t>
            </w:r>
            <w:r>
              <w:rPr>
                <w:color w:val="000000" w:themeColor="text1"/>
                <w:highlight w:val="none"/>
                <w:u w:val="single"/>
              </w:rPr>
              <w:t>/a、含重金属测量的实验废液约为0.</w:t>
            </w:r>
            <w:r>
              <w:rPr>
                <w:rFonts w:hint="eastAsia"/>
                <w:color w:val="000000" w:themeColor="text1"/>
                <w:highlight w:val="none"/>
                <w:u w:val="single"/>
              </w:rPr>
              <w:t>125</w:t>
            </w:r>
            <w:r>
              <w:rPr>
                <w:color w:val="000000" w:themeColor="text1"/>
                <w:highlight w:val="none"/>
                <w:u w:val="single"/>
              </w:rPr>
              <w:t>m</w:t>
            </w:r>
            <w:r>
              <w:rPr>
                <w:color w:val="000000" w:themeColor="text1"/>
                <w:highlight w:val="none"/>
                <w:u w:val="single"/>
                <w:vertAlign w:val="superscript"/>
              </w:rPr>
              <w:t>3</w:t>
            </w:r>
            <w:r>
              <w:rPr>
                <w:color w:val="000000" w:themeColor="text1"/>
                <w:highlight w:val="none"/>
                <w:u w:val="single"/>
              </w:rPr>
              <w:t>/a，项目实验废液产生量共计约</w:t>
            </w:r>
            <w:r>
              <w:rPr>
                <w:rFonts w:hint="eastAsia"/>
                <w:color w:val="000000" w:themeColor="text1"/>
                <w:highlight w:val="none"/>
                <w:u w:val="single"/>
              </w:rPr>
              <w:t>1.25</w:t>
            </w:r>
            <w:r>
              <w:rPr>
                <w:color w:val="000000" w:themeColor="text1"/>
                <w:highlight w:val="none"/>
                <w:u w:val="single"/>
              </w:rPr>
              <w:t>m</w:t>
            </w:r>
            <w:r>
              <w:rPr>
                <w:color w:val="000000" w:themeColor="text1"/>
                <w:highlight w:val="none"/>
                <w:u w:val="single"/>
                <w:vertAlign w:val="superscript"/>
              </w:rPr>
              <w:t>3</w:t>
            </w:r>
            <w:r>
              <w:rPr>
                <w:color w:val="000000" w:themeColor="text1"/>
                <w:highlight w:val="none"/>
                <w:u w:val="single"/>
              </w:rPr>
              <w:t>/a，这部分废液经废液桶分类收集后暂存在危废暂存间，再委托</w:t>
            </w:r>
            <w:r>
              <w:rPr>
                <w:rFonts w:hint="eastAsia"/>
                <w:color w:val="000000" w:themeColor="text1"/>
                <w:highlight w:val="none"/>
                <w:u w:val="single"/>
              </w:rPr>
              <w:t>有资质单位</w:t>
            </w:r>
            <w:r>
              <w:rPr>
                <w:color w:val="000000" w:themeColor="text1"/>
                <w:highlight w:val="none"/>
                <w:u w:val="single"/>
              </w:rPr>
              <w:t>进行处置。因此本项目废水主要包括员工办公生活污水和实验室废水，其中实验室废水主要包括</w:t>
            </w:r>
            <w:r>
              <w:rPr>
                <w:rFonts w:hint="eastAsia"/>
                <w:color w:val="000000" w:themeColor="text1"/>
                <w:highlight w:val="none"/>
                <w:u w:val="single"/>
              </w:rPr>
              <w:t>纯水制备尾水</w:t>
            </w:r>
            <w:r>
              <w:rPr>
                <w:color w:val="000000" w:themeColor="text1"/>
                <w:highlight w:val="none"/>
                <w:u w:val="single"/>
              </w:rPr>
              <w:t>和仪器、器皿与实验操作台清洗废水等。</w:t>
            </w:r>
          </w:p>
          <w:p>
            <w:pPr>
              <w:pStyle w:val="2"/>
              <w:spacing w:line="360" w:lineRule="auto"/>
              <w:ind w:firstLine="480"/>
              <w:rPr>
                <w:color w:val="000000" w:themeColor="text1"/>
                <w:highlight w:val="none"/>
                <w:u w:val="single"/>
              </w:rPr>
            </w:pPr>
            <w:r>
              <w:rPr>
                <w:color w:val="000000" w:themeColor="text1"/>
                <w:highlight w:val="none"/>
                <w:u w:val="single"/>
              </w:rPr>
              <w:t>①生活污水</w:t>
            </w:r>
          </w:p>
          <w:p>
            <w:pPr>
              <w:pStyle w:val="2"/>
              <w:spacing w:line="360" w:lineRule="auto"/>
              <w:ind w:firstLine="480"/>
              <w:rPr>
                <w:color w:val="000000" w:themeColor="text1"/>
                <w:highlight w:val="none"/>
                <w:u w:val="single"/>
              </w:rPr>
            </w:pPr>
            <w:r>
              <w:rPr>
                <w:color w:val="000000" w:themeColor="text1"/>
                <w:highlight w:val="none"/>
                <w:u w:val="single"/>
              </w:rPr>
              <w:t>根据表1-7中的计算可知，本项目员工办公生活污水产生量为220m</w:t>
            </w:r>
            <w:r>
              <w:rPr>
                <w:color w:val="000000" w:themeColor="text1"/>
                <w:highlight w:val="none"/>
                <w:u w:val="single"/>
                <w:vertAlign w:val="superscript"/>
              </w:rPr>
              <w:t>3</w:t>
            </w:r>
            <w:r>
              <w:rPr>
                <w:color w:val="000000" w:themeColor="text1"/>
                <w:highlight w:val="none"/>
                <w:u w:val="single"/>
              </w:rPr>
              <w:t>/a，主要污</w:t>
            </w:r>
          </w:p>
          <w:p>
            <w:pPr>
              <w:pStyle w:val="2"/>
              <w:spacing w:line="360" w:lineRule="auto"/>
              <w:ind w:firstLine="0" w:firstLineChars="0"/>
              <w:rPr>
                <w:color w:val="000000" w:themeColor="text1"/>
                <w:highlight w:val="none"/>
                <w:u w:val="single"/>
              </w:rPr>
            </w:pPr>
            <w:r>
              <w:rPr>
                <w:color w:val="000000" w:themeColor="text1"/>
                <w:highlight w:val="none"/>
                <w:u w:val="single"/>
              </w:rPr>
              <w:t>染物是pH、COD、BOD、NH</w:t>
            </w:r>
            <w:r>
              <w:rPr>
                <w:color w:val="000000" w:themeColor="text1"/>
                <w:highlight w:val="none"/>
                <w:u w:val="single"/>
                <w:vertAlign w:val="subscript"/>
              </w:rPr>
              <w:t>3</w:t>
            </w:r>
            <w:r>
              <w:rPr>
                <w:color w:val="000000" w:themeColor="text1"/>
                <w:highlight w:val="none"/>
                <w:u w:val="single"/>
              </w:rPr>
              <w:t>-N、SS等，产生浓度分别为6-9、350mg/L、150mg/L、</w:t>
            </w:r>
          </w:p>
          <w:p>
            <w:pPr>
              <w:pStyle w:val="2"/>
              <w:spacing w:line="360" w:lineRule="auto"/>
              <w:ind w:firstLine="0" w:firstLineChars="0"/>
              <w:rPr>
                <w:color w:val="000000" w:themeColor="text1"/>
                <w:highlight w:val="none"/>
                <w:u w:val="single"/>
              </w:rPr>
            </w:pPr>
            <w:r>
              <w:rPr>
                <w:color w:val="000000" w:themeColor="text1"/>
                <w:highlight w:val="none"/>
                <w:u w:val="single"/>
              </w:rPr>
              <w:t>35mg/L、150mg/L。生活污水经化粪池处理后由市政污水管网排至</w:t>
            </w:r>
            <w:r>
              <w:rPr>
                <w:rFonts w:hint="eastAsia"/>
                <w:color w:val="000000" w:themeColor="text1"/>
                <w:highlight w:val="none"/>
                <w:u w:val="single"/>
                <w:lang w:eastAsia="zh-CN"/>
              </w:rPr>
              <w:t>园区污水处理厂</w:t>
            </w:r>
            <w:r>
              <w:rPr>
                <w:color w:val="000000" w:themeColor="text1"/>
                <w:highlight w:val="none"/>
                <w:u w:val="single"/>
              </w:rPr>
              <w:t>进行处理。</w:t>
            </w:r>
          </w:p>
          <w:p>
            <w:pPr>
              <w:pStyle w:val="2"/>
              <w:spacing w:line="360" w:lineRule="auto"/>
              <w:ind w:firstLine="480"/>
              <w:rPr>
                <w:color w:val="000000" w:themeColor="text1"/>
                <w:highlight w:val="none"/>
                <w:u w:val="single"/>
              </w:rPr>
            </w:pPr>
            <w:r>
              <w:rPr>
                <w:color w:val="000000" w:themeColor="text1"/>
                <w:highlight w:val="none"/>
                <w:u w:val="single"/>
              </w:rPr>
              <w:t>②实验室废水</w:t>
            </w:r>
          </w:p>
          <w:p>
            <w:pPr>
              <w:pStyle w:val="2"/>
              <w:spacing w:line="360" w:lineRule="auto"/>
              <w:ind w:firstLine="480"/>
              <w:rPr>
                <w:color w:val="000000" w:themeColor="text1"/>
                <w:highlight w:val="none"/>
                <w:u w:val="single"/>
              </w:rPr>
            </w:pPr>
            <w:r>
              <w:rPr>
                <w:rFonts w:hint="eastAsia"/>
                <w:color w:val="000000" w:themeColor="text1"/>
                <w:highlight w:val="none"/>
                <w:u w:val="single"/>
              </w:rPr>
              <w:t>纯水制备尾水</w:t>
            </w:r>
            <w:r>
              <w:rPr>
                <w:color w:val="000000" w:themeColor="text1"/>
                <w:highlight w:val="none"/>
                <w:u w:val="single"/>
              </w:rPr>
              <w:t>：项目纯水制备过程中会产生废水，根据建设单位提供的资料，项</w:t>
            </w:r>
          </w:p>
          <w:p>
            <w:pPr>
              <w:pStyle w:val="2"/>
              <w:spacing w:line="360" w:lineRule="auto"/>
              <w:ind w:firstLine="0" w:firstLineChars="0"/>
              <w:rPr>
                <w:color w:val="000000" w:themeColor="text1"/>
                <w:highlight w:val="none"/>
                <w:u w:val="single"/>
              </w:rPr>
            </w:pPr>
            <w:r>
              <w:rPr>
                <w:color w:val="000000" w:themeColor="text1"/>
                <w:highlight w:val="none"/>
                <w:u w:val="single"/>
              </w:rPr>
              <w:t>目纯水用水量约为2.5m</w:t>
            </w:r>
            <w:r>
              <w:rPr>
                <w:color w:val="000000" w:themeColor="text1"/>
                <w:highlight w:val="none"/>
                <w:u w:val="single"/>
                <w:vertAlign w:val="superscript"/>
              </w:rPr>
              <w:t>3</w:t>
            </w:r>
            <w:r>
              <w:rPr>
                <w:color w:val="000000" w:themeColor="text1"/>
                <w:highlight w:val="none"/>
                <w:u w:val="single"/>
              </w:rPr>
              <w:t>/a，项目使用自来水进行纯水的制备，纯水的产生比例为</w:t>
            </w:r>
            <w:r>
              <w:rPr>
                <w:rFonts w:hint="eastAsia"/>
                <w:color w:val="000000" w:themeColor="text1"/>
                <w:highlight w:val="none"/>
                <w:u w:val="single"/>
              </w:rPr>
              <w:t>5</w:t>
            </w:r>
            <w:r>
              <w:rPr>
                <w:color w:val="000000" w:themeColor="text1"/>
                <w:highlight w:val="none"/>
                <w:u w:val="single"/>
              </w:rPr>
              <w:t>0%，</w:t>
            </w:r>
          </w:p>
          <w:p>
            <w:pPr>
              <w:pStyle w:val="2"/>
              <w:spacing w:line="360" w:lineRule="auto"/>
              <w:ind w:firstLine="0" w:firstLineChars="0"/>
              <w:rPr>
                <w:color w:val="000000" w:themeColor="text1"/>
                <w:highlight w:val="none"/>
                <w:u w:val="single"/>
              </w:rPr>
            </w:pPr>
            <w:r>
              <w:rPr>
                <w:color w:val="000000" w:themeColor="text1"/>
                <w:highlight w:val="none"/>
                <w:u w:val="single"/>
              </w:rPr>
              <w:t>因此</w:t>
            </w:r>
            <w:r>
              <w:rPr>
                <w:rFonts w:hint="eastAsia"/>
                <w:color w:val="000000" w:themeColor="text1"/>
                <w:highlight w:val="none"/>
                <w:u w:val="single"/>
              </w:rPr>
              <w:t>纯水制备尾水</w:t>
            </w:r>
            <w:r>
              <w:rPr>
                <w:color w:val="000000" w:themeColor="text1"/>
                <w:highlight w:val="none"/>
                <w:u w:val="single"/>
              </w:rPr>
              <w:t>产生量约为</w:t>
            </w:r>
            <w:r>
              <w:rPr>
                <w:rFonts w:hint="eastAsia"/>
                <w:color w:val="000000" w:themeColor="text1"/>
                <w:highlight w:val="none"/>
                <w:u w:val="single"/>
              </w:rPr>
              <w:t>1.25</w:t>
            </w:r>
            <w:r>
              <w:rPr>
                <w:color w:val="000000" w:themeColor="text1"/>
                <w:highlight w:val="none"/>
                <w:u w:val="single"/>
              </w:rPr>
              <w:t>m</w:t>
            </w:r>
            <w:r>
              <w:rPr>
                <w:color w:val="000000" w:themeColor="text1"/>
                <w:highlight w:val="none"/>
                <w:u w:val="single"/>
                <w:vertAlign w:val="superscript"/>
              </w:rPr>
              <w:t>3</w:t>
            </w:r>
            <w:r>
              <w:rPr>
                <w:color w:val="000000" w:themeColor="text1"/>
                <w:highlight w:val="none"/>
                <w:u w:val="single"/>
              </w:rPr>
              <w:t>/a，主要污染物是pH、COD、BOD</w:t>
            </w:r>
            <w:r>
              <w:rPr>
                <w:color w:val="000000" w:themeColor="text1"/>
                <w:highlight w:val="none"/>
                <w:u w:val="single"/>
                <w:vertAlign w:val="subscript"/>
              </w:rPr>
              <w:t>5</w:t>
            </w:r>
            <w:r>
              <w:rPr>
                <w:color w:val="000000" w:themeColor="text1"/>
                <w:highlight w:val="none"/>
                <w:u w:val="single"/>
              </w:rPr>
              <w:t>、SS、NH</w:t>
            </w:r>
            <w:r>
              <w:rPr>
                <w:color w:val="000000" w:themeColor="text1"/>
                <w:highlight w:val="none"/>
                <w:u w:val="single"/>
                <w:vertAlign w:val="subscript"/>
              </w:rPr>
              <w:t>3</w:t>
            </w:r>
            <w:r>
              <w:rPr>
                <w:color w:val="000000" w:themeColor="text1"/>
                <w:highlight w:val="none"/>
                <w:u w:val="single"/>
              </w:rPr>
              <w:t>-N，</w:t>
            </w:r>
          </w:p>
          <w:p>
            <w:pPr>
              <w:pStyle w:val="2"/>
              <w:spacing w:line="360" w:lineRule="auto"/>
              <w:ind w:firstLine="0" w:firstLineChars="0"/>
              <w:rPr>
                <w:color w:val="000000" w:themeColor="text1"/>
                <w:highlight w:val="none"/>
                <w:u w:val="single"/>
              </w:rPr>
            </w:pPr>
            <w:r>
              <w:rPr>
                <w:color w:val="000000" w:themeColor="text1"/>
                <w:highlight w:val="none"/>
                <w:u w:val="single"/>
              </w:rPr>
              <w:t>产生浓度分别为6-9、60mg/L、20mg/L、300mg/L、10mg/L。</w:t>
            </w:r>
            <w:r>
              <w:rPr>
                <w:rFonts w:hint="eastAsia"/>
                <w:color w:val="000000" w:themeColor="text1"/>
                <w:highlight w:val="none"/>
                <w:u w:val="single"/>
              </w:rPr>
              <w:t>纯水制备尾水</w:t>
            </w:r>
            <w:r>
              <w:rPr>
                <w:color w:val="000000" w:themeColor="text1"/>
                <w:highlight w:val="none"/>
                <w:u w:val="single"/>
              </w:rPr>
              <w:t>经化粪池处</w:t>
            </w:r>
          </w:p>
          <w:p>
            <w:pPr>
              <w:pStyle w:val="2"/>
              <w:spacing w:line="360" w:lineRule="auto"/>
              <w:ind w:firstLine="0" w:firstLineChars="0"/>
              <w:rPr>
                <w:color w:val="000000" w:themeColor="text1"/>
                <w:highlight w:val="none"/>
                <w:u w:val="single"/>
              </w:rPr>
            </w:pPr>
            <w:r>
              <w:rPr>
                <w:color w:val="000000" w:themeColor="text1"/>
                <w:highlight w:val="none"/>
                <w:u w:val="single"/>
              </w:rPr>
              <w:t>理后由市政污水管网排至</w:t>
            </w:r>
            <w:r>
              <w:rPr>
                <w:rFonts w:hint="eastAsia"/>
                <w:color w:val="000000" w:themeColor="text1"/>
                <w:highlight w:val="none"/>
                <w:u w:val="single"/>
                <w:lang w:eastAsia="zh-CN"/>
              </w:rPr>
              <w:t>园区污水处理厂</w:t>
            </w:r>
            <w:r>
              <w:rPr>
                <w:color w:val="000000" w:themeColor="text1"/>
                <w:highlight w:val="none"/>
                <w:u w:val="single"/>
              </w:rPr>
              <w:t>进行处理。</w:t>
            </w:r>
          </w:p>
          <w:p>
            <w:pPr>
              <w:pStyle w:val="2"/>
              <w:spacing w:line="360" w:lineRule="auto"/>
              <w:ind w:firstLine="480"/>
              <w:rPr>
                <w:color w:val="000000" w:themeColor="text1"/>
                <w:highlight w:val="none"/>
                <w:u w:val="single"/>
              </w:rPr>
            </w:pPr>
            <w:r>
              <w:rPr>
                <w:color w:val="000000" w:themeColor="text1"/>
                <w:highlight w:val="none"/>
                <w:u w:val="single"/>
              </w:rPr>
              <w:t>仪器、器皿与实验操作台清洗废水：根据建设单位提供的资料，清洗废水产生量</w:t>
            </w:r>
          </w:p>
          <w:p>
            <w:pPr>
              <w:pStyle w:val="2"/>
              <w:spacing w:line="360" w:lineRule="auto"/>
              <w:ind w:firstLine="0" w:firstLineChars="0"/>
              <w:rPr>
                <w:color w:val="000000" w:themeColor="text1"/>
                <w:highlight w:val="none"/>
                <w:u w:val="single"/>
              </w:rPr>
            </w:pPr>
            <w:r>
              <w:rPr>
                <w:color w:val="000000" w:themeColor="text1"/>
                <w:highlight w:val="none"/>
                <w:u w:val="single"/>
              </w:rPr>
              <w:t>约为40m</w:t>
            </w:r>
            <w:r>
              <w:rPr>
                <w:color w:val="000000" w:themeColor="text1"/>
                <w:highlight w:val="none"/>
                <w:u w:val="single"/>
                <w:vertAlign w:val="superscript"/>
              </w:rPr>
              <w:t>3</w:t>
            </w:r>
            <w:r>
              <w:rPr>
                <w:color w:val="000000" w:themeColor="text1"/>
                <w:highlight w:val="none"/>
                <w:u w:val="single"/>
              </w:rPr>
              <w:t>/a，主要污染因子为pH、COD、BOD</w:t>
            </w:r>
            <w:r>
              <w:rPr>
                <w:color w:val="000000" w:themeColor="text1"/>
                <w:highlight w:val="none"/>
                <w:u w:val="single"/>
                <w:vertAlign w:val="subscript"/>
              </w:rPr>
              <w:t>5</w:t>
            </w:r>
            <w:r>
              <w:rPr>
                <w:color w:val="000000" w:themeColor="text1"/>
                <w:highlight w:val="none"/>
                <w:u w:val="single"/>
              </w:rPr>
              <w:t>、SS、NH</w:t>
            </w:r>
            <w:r>
              <w:rPr>
                <w:color w:val="000000" w:themeColor="text1"/>
                <w:highlight w:val="none"/>
                <w:u w:val="single"/>
                <w:vertAlign w:val="subscript"/>
              </w:rPr>
              <w:t>3</w:t>
            </w:r>
            <w:r>
              <w:rPr>
                <w:color w:val="000000" w:themeColor="text1"/>
                <w:highlight w:val="none"/>
                <w:u w:val="single"/>
              </w:rPr>
              <w:t xml:space="preserve"> -N等，经</w:t>
            </w:r>
            <w:r>
              <w:rPr>
                <w:rFonts w:hint="eastAsia"/>
                <w:color w:val="000000" w:themeColor="text1"/>
                <w:highlight w:val="none"/>
                <w:u w:val="single"/>
              </w:rPr>
              <w:t>“实验室一体化小型废水处理设备”</w:t>
            </w:r>
            <w:r>
              <w:rPr>
                <w:color w:val="000000" w:themeColor="text1"/>
                <w:highlight w:val="none"/>
                <w:u w:val="single"/>
              </w:rPr>
              <w:t>处理后由市政污水管网排入</w:t>
            </w:r>
            <w:r>
              <w:rPr>
                <w:rFonts w:hint="eastAsia"/>
                <w:color w:val="000000" w:themeColor="text1"/>
                <w:highlight w:val="none"/>
                <w:u w:val="single"/>
                <w:lang w:eastAsia="zh-CN"/>
              </w:rPr>
              <w:t>园区污水处理厂</w:t>
            </w:r>
            <w:r>
              <w:rPr>
                <w:color w:val="000000" w:themeColor="text1"/>
                <w:highlight w:val="none"/>
                <w:u w:val="single"/>
              </w:rPr>
              <w:t>。</w:t>
            </w:r>
          </w:p>
          <w:p>
            <w:pPr>
              <w:pStyle w:val="2"/>
              <w:spacing w:line="360" w:lineRule="auto"/>
              <w:ind w:firstLine="480"/>
              <w:rPr>
                <w:b/>
                <w:bCs/>
                <w:color w:val="000000" w:themeColor="text1"/>
                <w:sz w:val="21"/>
                <w:szCs w:val="21"/>
                <w:highlight w:val="none"/>
                <w:u w:val="none"/>
              </w:rPr>
            </w:pPr>
            <w:r>
              <w:rPr>
                <w:color w:val="000000" w:themeColor="text1"/>
                <w:highlight w:val="none"/>
                <w:u w:val="none"/>
              </w:rPr>
              <w:t>项目废水产生和排放情况见表5-</w:t>
            </w:r>
            <w:r>
              <w:rPr>
                <w:rFonts w:hint="eastAsia"/>
                <w:color w:val="000000" w:themeColor="text1"/>
                <w:highlight w:val="none"/>
                <w:u w:val="none"/>
              </w:rPr>
              <w:t>3</w:t>
            </w:r>
            <w:r>
              <w:rPr>
                <w:color w:val="000000" w:themeColor="text1"/>
                <w:highlight w:val="none"/>
                <w:u w:val="none"/>
              </w:rPr>
              <w:t>所示。</w:t>
            </w:r>
          </w:p>
          <w:p>
            <w:pPr>
              <w:pStyle w:val="2"/>
              <w:spacing w:line="360" w:lineRule="auto"/>
              <w:ind w:firstLine="422"/>
              <w:jc w:val="center"/>
              <w:rPr>
                <w:b/>
                <w:bCs/>
                <w:color w:val="000000" w:themeColor="text1"/>
                <w:sz w:val="21"/>
                <w:szCs w:val="21"/>
                <w:highlight w:val="none"/>
                <w:u w:val="none"/>
              </w:rPr>
            </w:pPr>
            <w:r>
              <w:rPr>
                <w:b/>
                <w:bCs/>
                <w:color w:val="000000" w:themeColor="text1"/>
                <w:sz w:val="21"/>
                <w:szCs w:val="21"/>
                <w:highlight w:val="none"/>
                <w:u w:val="none"/>
              </w:rPr>
              <w:t>表 5</w:t>
            </w:r>
            <w:r>
              <w:rPr>
                <w:rFonts w:hint="eastAsia"/>
                <w:b/>
                <w:bCs/>
                <w:color w:val="000000" w:themeColor="text1"/>
                <w:sz w:val="21"/>
                <w:szCs w:val="21"/>
                <w:highlight w:val="none"/>
                <w:u w:val="none"/>
              </w:rPr>
              <w:t>-3</w:t>
            </w:r>
            <w:r>
              <w:rPr>
                <w:b/>
                <w:bCs/>
                <w:color w:val="000000" w:themeColor="text1"/>
                <w:sz w:val="21"/>
                <w:szCs w:val="21"/>
                <w:highlight w:val="none"/>
                <w:u w:val="none"/>
              </w:rPr>
              <w:t xml:space="preserve"> 项目废水产生和排放情况一览表</w:t>
            </w:r>
          </w:p>
          <w:tbl>
            <w:tblPr>
              <w:tblStyle w:val="35"/>
              <w:tblW w:w="9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1961"/>
              <w:gridCol w:w="900"/>
              <w:gridCol w:w="1084"/>
              <w:gridCol w:w="1083"/>
              <w:gridCol w:w="1017"/>
              <w:gridCol w:w="1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5" w:type="dxa"/>
                  <w:gridSpan w:val="2"/>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项目</w:t>
                  </w:r>
                </w:p>
              </w:tc>
              <w:tc>
                <w:tcPr>
                  <w:tcW w:w="900"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pH</w:t>
                  </w:r>
                </w:p>
              </w:tc>
              <w:tc>
                <w:tcPr>
                  <w:tcW w:w="1084"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COD</w:t>
                  </w:r>
                </w:p>
              </w:tc>
              <w:tc>
                <w:tcPr>
                  <w:tcW w:w="1083"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BOD</w:t>
                  </w:r>
                  <w:r>
                    <w:rPr>
                      <w:rFonts w:hint="eastAsia"/>
                      <w:color w:val="000000" w:themeColor="text1"/>
                      <w:sz w:val="21"/>
                      <w:szCs w:val="21"/>
                      <w:highlight w:val="none"/>
                      <w:vertAlign w:val="subscript"/>
                    </w:rPr>
                    <w:t>5</w:t>
                  </w:r>
                </w:p>
              </w:tc>
              <w:tc>
                <w:tcPr>
                  <w:tcW w:w="1017"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SS</w:t>
                  </w:r>
                </w:p>
              </w:tc>
              <w:tc>
                <w:tcPr>
                  <w:tcW w:w="1238"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NH</w:t>
                  </w:r>
                  <w:r>
                    <w:rPr>
                      <w:rFonts w:hint="eastAsia"/>
                      <w:color w:val="000000" w:themeColor="text1"/>
                      <w:sz w:val="21"/>
                      <w:szCs w:val="21"/>
                      <w:highlight w:val="none"/>
                      <w:vertAlign w:val="subscript"/>
                    </w:rPr>
                    <w:t>3</w:t>
                  </w:r>
                  <w:r>
                    <w:rPr>
                      <w:rFonts w:hint="eastAsia"/>
                      <w:color w:val="000000" w:themeColor="text1"/>
                      <w:sz w:val="21"/>
                      <w:szCs w:val="21"/>
                      <w:highlight w:val="none"/>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44" w:type="dxa"/>
                  <w:vMerge w:val="restart"/>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生活污水（220m</w:t>
                  </w:r>
                  <w:r>
                    <w:rPr>
                      <w:rFonts w:hint="eastAsia"/>
                      <w:color w:val="000000" w:themeColor="text1"/>
                      <w:sz w:val="21"/>
                      <w:szCs w:val="21"/>
                      <w:highlight w:val="none"/>
                      <w:vertAlign w:val="superscript"/>
                    </w:rPr>
                    <w:t>3</w:t>
                  </w:r>
                  <w:r>
                    <w:rPr>
                      <w:rFonts w:hint="eastAsia"/>
                      <w:color w:val="000000" w:themeColor="text1"/>
                      <w:sz w:val="21"/>
                      <w:szCs w:val="21"/>
                      <w:highlight w:val="none"/>
                    </w:rPr>
                    <w:t>）</w:t>
                  </w: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产生</w:t>
                  </w:r>
                  <w:r>
                    <w:rPr>
                      <w:rFonts w:hint="eastAsia"/>
                      <w:color w:val="000000" w:themeColor="text1"/>
                      <w:sz w:val="21"/>
                      <w:szCs w:val="21"/>
                      <w:highlight w:val="none"/>
                    </w:rPr>
                    <w:t>浓</w:t>
                  </w:r>
                  <w:r>
                    <w:rPr>
                      <w:color w:val="000000" w:themeColor="text1"/>
                      <w:sz w:val="21"/>
                      <w:szCs w:val="21"/>
                      <w:highlight w:val="none"/>
                    </w:rPr>
                    <w:t>度（mg/L）</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6-9</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350</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150</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150</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continue"/>
                  <w:vAlign w:val="center"/>
                </w:tcPr>
                <w:p>
                  <w:pPr>
                    <w:pStyle w:val="2"/>
                    <w:spacing w:line="240" w:lineRule="auto"/>
                    <w:ind w:firstLine="420"/>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产生</w:t>
                  </w:r>
                  <w:r>
                    <w:rPr>
                      <w:rFonts w:hint="eastAsia"/>
                      <w:color w:val="000000" w:themeColor="text1"/>
                      <w:sz w:val="21"/>
                      <w:szCs w:val="21"/>
                      <w:highlight w:val="none"/>
                    </w:rPr>
                    <w:t>量</w:t>
                  </w:r>
                  <w:r>
                    <w:rPr>
                      <w:color w:val="000000" w:themeColor="text1"/>
                      <w:sz w:val="21"/>
                      <w:szCs w:val="21"/>
                      <w:highlight w:val="none"/>
                    </w:rPr>
                    <w:t>（t/a）</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w:t>
                  </w:r>
                </w:p>
              </w:tc>
              <w:tc>
                <w:tcPr>
                  <w:tcW w:w="1084"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0.077</w:t>
                  </w:r>
                </w:p>
              </w:tc>
              <w:tc>
                <w:tcPr>
                  <w:tcW w:w="1083"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0.033</w:t>
                  </w:r>
                </w:p>
              </w:tc>
              <w:tc>
                <w:tcPr>
                  <w:tcW w:w="1017"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0.033</w:t>
                  </w:r>
                </w:p>
              </w:tc>
              <w:tc>
                <w:tcPr>
                  <w:tcW w:w="1238"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continue"/>
                  <w:vAlign w:val="center"/>
                </w:tcPr>
                <w:p>
                  <w:pPr>
                    <w:pStyle w:val="2"/>
                    <w:spacing w:line="240" w:lineRule="auto"/>
                    <w:ind w:firstLine="420"/>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排放浓度（mg/L）</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6-9</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50</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10</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10</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continue"/>
                  <w:vAlign w:val="center"/>
                </w:tcPr>
                <w:p>
                  <w:pPr>
                    <w:pStyle w:val="2"/>
                    <w:spacing w:line="240" w:lineRule="auto"/>
                    <w:ind w:firstLine="420"/>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排放量（t/a）</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w:t>
                  </w:r>
                  <w:r>
                    <w:rPr>
                      <w:rFonts w:hint="eastAsia"/>
                      <w:color w:val="000000" w:themeColor="text1"/>
                      <w:sz w:val="21"/>
                      <w:szCs w:val="21"/>
                      <w:highlight w:val="none"/>
                    </w:rPr>
                    <w:t>11</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w:t>
                  </w:r>
                  <w:r>
                    <w:rPr>
                      <w:rFonts w:hint="eastAsia"/>
                      <w:color w:val="000000" w:themeColor="text1"/>
                      <w:sz w:val="21"/>
                      <w:szCs w:val="21"/>
                      <w:highlight w:val="none"/>
                    </w:rPr>
                    <w:t>2</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w:t>
                  </w:r>
                  <w:r>
                    <w:rPr>
                      <w:rFonts w:hint="eastAsia"/>
                      <w:color w:val="000000" w:themeColor="text1"/>
                      <w:sz w:val="21"/>
                      <w:szCs w:val="21"/>
                      <w:highlight w:val="none"/>
                    </w:rPr>
                    <w:t>2</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w:t>
                  </w:r>
                  <w:r>
                    <w:rPr>
                      <w:rFonts w:hint="eastAsia"/>
                      <w:color w:val="000000" w:themeColor="text1"/>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restart"/>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纯水制备</w:t>
                  </w:r>
                </w:p>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尾水（1.25m</w:t>
                  </w:r>
                  <w:r>
                    <w:rPr>
                      <w:rFonts w:hint="eastAsia"/>
                      <w:color w:val="000000" w:themeColor="text1"/>
                      <w:sz w:val="21"/>
                      <w:szCs w:val="21"/>
                      <w:highlight w:val="none"/>
                      <w:vertAlign w:val="superscript"/>
                    </w:rPr>
                    <w:t>3</w:t>
                  </w:r>
                  <w:r>
                    <w:rPr>
                      <w:color w:val="000000" w:themeColor="text1"/>
                      <w:sz w:val="21"/>
                      <w:szCs w:val="21"/>
                      <w:highlight w:val="none"/>
                    </w:rPr>
                    <w:t>/a</w:t>
                  </w:r>
                  <w:r>
                    <w:rPr>
                      <w:rFonts w:hint="eastAsia"/>
                      <w:color w:val="000000" w:themeColor="text1"/>
                      <w:sz w:val="21"/>
                      <w:szCs w:val="21"/>
                      <w:highlight w:val="none"/>
                    </w:rPr>
                    <w:t>）</w:t>
                  </w: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产生浓度（mg/L）</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6-9</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60</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20</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300</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continue"/>
                  <w:vAlign w:val="center"/>
                </w:tcPr>
                <w:p>
                  <w:pPr>
                    <w:pStyle w:val="2"/>
                    <w:spacing w:line="240" w:lineRule="auto"/>
                    <w:ind w:firstLine="0" w:firstLineChars="0"/>
                    <w:jc w:val="center"/>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产生量（t/a）</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0.0000</w:t>
                  </w:r>
                  <w:r>
                    <w:rPr>
                      <w:rFonts w:hint="eastAsia"/>
                      <w:color w:val="000000" w:themeColor="text1"/>
                      <w:sz w:val="21"/>
                      <w:szCs w:val="21"/>
                      <w:highlight w:val="none"/>
                    </w:rPr>
                    <w:t>75</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0.0000</w:t>
                  </w:r>
                  <w:r>
                    <w:rPr>
                      <w:rFonts w:hint="eastAsia"/>
                      <w:color w:val="000000" w:themeColor="text1"/>
                      <w:sz w:val="21"/>
                      <w:szCs w:val="21"/>
                      <w:highlight w:val="none"/>
                    </w:rPr>
                    <w:t>25</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w:t>
                  </w:r>
                  <w:r>
                    <w:rPr>
                      <w:rFonts w:hint="eastAsia"/>
                      <w:color w:val="000000" w:themeColor="text1"/>
                      <w:sz w:val="21"/>
                      <w:szCs w:val="21"/>
                      <w:highlight w:val="none"/>
                    </w:rPr>
                    <w:t>37</w:t>
                  </w:r>
                  <w:r>
                    <w:rPr>
                      <w:color w:val="000000" w:themeColor="text1"/>
                      <w:sz w:val="21"/>
                      <w:szCs w:val="21"/>
                      <w:highlight w:val="none"/>
                    </w:rPr>
                    <w:t>5</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continue"/>
                  <w:vAlign w:val="center"/>
                </w:tcPr>
                <w:p>
                  <w:pPr>
                    <w:pStyle w:val="2"/>
                    <w:spacing w:line="240" w:lineRule="auto"/>
                    <w:ind w:firstLine="0" w:firstLineChars="0"/>
                    <w:jc w:val="center"/>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排放浓度（mg/L）</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6-9</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50</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10</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10</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744" w:type="dxa"/>
                  <w:vMerge w:val="continue"/>
                  <w:vAlign w:val="center"/>
                </w:tcPr>
                <w:p>
                  <w:pPr>
                    <w:pStyle w:val="2"/>
                    <w:spacing w:line="240" w:lineRule="auto"/>
                    <w:ind w:firstLine="0" w:firstLineChars="0"/>
                    <w:jc w:val="center"/>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rFonts w:hint="eastAsia"/>
                      <w:color w:val="000000" w:themeColor="text1"/>
                      <w:sz w:val="21"/>
                      <w:szCs w:val="21"/>
                      <w:highlight w:val="none"/>
                    </w:rPr>
                    <w:t>排放量（m</w:t>
                  </w:r>
                  <w:r>
                    <w:rPr>
                      <w:rFonts w:hint="eastAsia"/>
                      <w:color w:val="000000" w:themeColor="text1"/>
                      <w:sz w:val="21"/>
                      <w:szCs w:val="21"/>
                      <w:highlight w:val="none"/>
                      <w:vertAlign w:val="superscript"/>
                    </w:rPr>
                    <w:t>3</w:t>
                  </w:r>
                  <w:r>
                    <w:rPr>
                      <w:rFonts w:hint="eastAsia"/>
                      <w:color w:val="000000" w:themeColor="text1"/>
                      <w:sz w:val="21"/>
                      <w:szCs w:val="21"/>
                      <w:highlight w:val="none"/>
                    </w:rPr>
                    <w:t>/a）</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0.0000</w:t>
                  </w:r>
                  <w:r>
                    <w:rPr>
                      <w:rFonts w:hint="eastAsia"/>
                      <w:color w:val="000000" w:themeColor="text1"/>
                      <w:sz w:val="21"/>
                      <w:szCs w:val="21"/>
                      <w:highlight w:val="none"/>
                    </w:rPr>
                    <w:t>63</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0.0000</w:t>
                  </w:r>
                  <w:r>
                    <w:rPr>
                      <w:rFonts w:hint="eastAsia"/>
                      <w:color w:val="000000" w:themeColor="text1"/>
                      <w:sz w:val="21"/>
                      <w:szCs w:val="21"/>
                      <w:highlight w:val="none"/>
                    </w:rPr>
                    <w:t>13</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w:t>
                  </w:r>
                  <w:r>
                    <w:rPr>
                      <w:rFonts w:hint="eastAsia"/>
                      <w:color w:val="000000" w:themeColor="text1"/>
                      <w:sz w:val="21"/>
                      <w:szCs w:val="21"/>
                      <w:highlight w:val="none"/>
                    </w:rPr>
                    <w:t>013</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restart"/>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仪器、器皿与实验操</w:t>
                  </w:r>
                  <w:r>
                    <w:rPr>
                      <w:rFonts w:hint="eastAsia"/>
                      <w:color w:val="000000" w:themeColor="text1"/>
                      <w:sz w:val="21"/>
                      <w:szCs w:val="21"/>
                      <w:highlight w:val="none"/>
                    </w:rPr>
                    <w:t>清洗废水（</w:t>
                  </w:r>
                  <w:r>
                    <w:rPr>
                      <w:color w:val="000000" w:themeColor="text1"/>
                      <w:sz w:val="21"/>
                      <w:szCs w:val="21"/>
                      <w:highlight w:val="none"/>
                    </w:rPr>
                    <w:t>40m</w:t>
                  </w:r>
                  <w:r>
                    <w:rPr>
                      <w:rFonts w:hint="eastAsia"/>
                      <w:color w:val="000000" w:themeColor="text1"/>
                      <w:sz w:val="21"/>
                      <w:szCs w:val="21"/>
                      <w:highlight w:val="none"/>
                      <w:vertAlign w:val="superscript"/>
                    </w:rPr>
                    <w:t>3</w:t>
                  </w:r>
                  <w:r>
                    <w:rPr>
                      <w:color w:val="000000" w:themeColor="text1"/>
                      <w:sz w:val="21"/>
                      <w:szCs w:val="21"/>
                      <w:highlight w:val="none"/>
                    </w:rPr>
                    <w:t>/a</w:t>
                  </w:r>
                  <w:r>
                    <w:rPr>
                      <w:rFonts w:hint="eastAsia"/>
                      <w:color w:val="000000" w:themeColor="text1"/>
                      <w:sz w:val="21"/>
                      <w:szCs w:val="21"/>
                      <w:highlight w:val="none"/>
                    </w:rPr>
                    <w:t>）</w:t>
                  </w: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产生浓度（mg/L）</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2-11</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400</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200</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350</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continue"/>
                  <w:vAlign w:val="center"/>
                </w:tcPr>
                <w:p>
                  <w:pPr>
                    <w:pStyle w:val="2"/>
                    <w:spacing w:line="240" w:lineRule="auto"/>
                    <w:ind w:firstLine="420"/>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产生量（t/a）</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0.016</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0.008</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0.014</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continue"/>
                  <w:vAlign w:val="center"/>
                </w:tcPr>
                <w:p>
                  <w:pPr>
                    <w:pStyle w:val="2"/>
                    <w:spacing w:line="240" w:lineRule="auto"/>
                    <w:ind w:firstLine="420"/>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排放浓度（mg/L）</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6-9</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50</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10</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10</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continue"/>
                  <w:vAlign w:val="center"/>
                </w:tcPr>
                <w:p>
                  <w:pPr>
                    <w:pStyle w:val="2"/>
                    <w:spacing w:line="240" w:lineRule="auto"/>
                    <w:ind w:firstLine="420"/>
                    <w:rPr>
                      <w:color w:val="000000" w:themeColor="text1"/>
                      <w:sz w:val="21"/>
                      <w:szCs w:val="21"/>
                      <w:highlight w:val="none"/>
                    </w:rPr>
                  </w:pPr>
                </w:p>
              </w:tc>
              <w:tc>
                <w:tcPr>
                  <w:tcW w:w="1961"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排放量（t/a）</w:t>
                  </w:r>
                </w:p>
              </w:tc>
              <w:tc>
                <w:tcPr>
                  <w:tcW w:w="900"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w:t>
                  </w:r>
                </w:p>
              </w:tc>
              <w:tc>
                <w:tcPr>
                  <w:tcW w:w="1084"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0.002</w:t>
                  </w:r>
                </w:p>
              </w:tc>
              <w:tc>
                <w:tcPr>
                  <w:tcW w:w="1083"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0.0004</w:t>
                  </w:r>
                </w:p>
              </w:tc>
              <w:tc>
                <w:tcPr>
                  <w:tcW w:w="1017"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0.0004</w:t>
                  </w:r>
                </w:p>
              </w:tc>
              <w:tc>
                <w:tcPr>
                  <w:tcW w:w="1238" w:type="dxa"/>
                  <w:vAlign w:val="center"/>
                </w:tcPr>
                <w:p>
                  <w:pPr>
                    <w:pStyle w:val="2"/>
                    <w:spacing w:line="240" w:lineRule="auto"/>
                    <w:ind w:firstLine="0" w:firstLineChars="0"/>
                    <w:jc w:val="center"/>
                    <w:rPr>
                      <w:color w:val="000000" w:themeColor="text1"/>
                      <w:sz w:val="21"/>
                      <w:szCs w:val="21"/>
                      <w:highlight w:val="none"/>
                    </w:rPr>
                  </w:pPr>
                  <w:r>
                    <w:rPr>
                      <w:color w:val="000000" w:themeColor="text1"/>
                      <w:sz w:val="21"/>
                      <w:szCs w:val="21"/>
                      <w:highlight w:val="none"/>
                    </w:rPr>
                    <w:t>0.0002</w:t>
                  </w:r>
                </w:p>
              </w:tc>
            </w:tr>
          </w:tbl>
          <w:p>
            <w:pPr>
              <w:pStyle w:val="2"/>
              <w:numPr>
                <w:ilvl w:val="0"/>
                <w:numId w:val="9"/>
              </w:numPr>
              <w:ind w:firstLine="480"/>
              <w:rPr>
                <w:color w:val="000000" w:themeColor="text1"/>
                <w:highlight w:val="none"/>
                <w:u w:val="none"/>
              </w:rPr>
            </w:pPr>
            <w:r>
              <w:rPr>
                <w:rFonts w:hint="eastAsia"/>
                <w:color w:val="000000" w:themeColor="text1"/>
                <w:highlight w:val="none"/>
                <w:u w:val="none"/>
              </w:rPr>
              <w:t>噪声</w:t>
            </w:r>
          </w:p>
          <w:p>
            <w:pPr>
              <w:pStyle w:val="2"/>
              <w:numPr>
                <w:ilvl w:val="255"/>
                <w:numId w:val="0"/>
              </w:numPr>
              <w:ind w:firstLine="480" w:firstLineChars="200"/>
              <w:rPr>
                <w:color w:val="000000" w:themeColor="text1"/>
                <w:highlight w:val="none"/>
                <w:u w:val="none"/>
              </w:rPr>
            </w:pPr>
            <w:r>
              <w:rPr>
                <w:rFonts w:hint="eastAsia"/>
                <w:color w:val="000000" w:themeColor="text1"/>
                <w:highlight w:val="none"/>
                <w:u w:val="none"/>
              </w:rPr>
              <w:t>本项目各种检测设备运行时将产生一定的噪声；项目所安装的风机、通风橱等运</w:t>
            </w:r>
          </w:p>
          <w:p>
            <w:pPr>
              <w:pStyle w:val="2"/>
              <w:numPr>
                <w:ilvl w:val="255"/>
                <w:numId w:val="0"/>
              </w:numPr>
              <w:rPr>
                <w:color w:val="000000" w:themeColor="text1"/>
                <w:highlight w:val="none"/>
                <w:u w:val="none"/>
              </w:rPr>
            </w:pPr>
            <w:r>
              <w:rPr>
                <w:rFonts w:hint="eastAsia"/>
                <w:color w:val="000000" w:themeColor="text1"/>
                <w:highlight w:val="none"/>
                <w:u w:val="none"/>
              </w:rPr>
              <w:t>行将产生噪声。根据类比同类项目测定其噪声值约为50～70dB(A)之间，厂界外1m噪</w:t>
            </w:r>
          </w:p>
          <w:p>
            <w:pPr>
              <w:pStyle w:val="2"/>
              <w:numPr>
                <w:ilvl w:val="255"/>
                <w:numId w:val="0"/>
              </w:numPr>
              <w:rPr>
                <w:color w:val="000000" w:themeColor="text1"/>
                <w:highlight w:val="none"/>
                <w:u w:val="none"/>
              </w:rPr>
            </w:pPr>
            <w:r>
              <w:rPr>
                <w:rFonts w:hint="eastAsia"/>
                <w:color w:val="000000" w:themeColor="text1"/>
                <w:highlight w:val="none"/>
                <w:u w:val="none"/>
              </w:rPr>
              <w:t>声源强为50~55dB(A)。详见表5-4。</w:t>
            </w:r>
          </w:p>
          <w:p>
            <w:pPr>
              <w:pStyle w:val="2"/>
              <w:snapToGrid w:val="0"/>
              <w:spacing w:line="360" w:lineRule="auto"/>
              <w:ind w:firstLine="0" w:firstLineChars="0"/>
              <w:jc w:val="center"/>
              <w:rPr>
                <w:b/>
                <w:bCs/>
                <w:color w:val="000000" w:themeColor="text1"/>
                <w:sz w:val="21"/>
                <w:szCs w:val="21"/>
                <w:highlight w:val="none"/>
                <w:u w:val="none"/>
              </w:rPr>
            </w:pPr>
            <w:r>
              <w:rPr>
                <w:b/>
                <w:bCs/>
                <w:color w:val="000000" w:themeColor="text1"/>
                <w:sz w:val="21"/>
                <w:szCs w:val="21"/>
                <w:highlight w:val="none"/>
                <w:u w:val="none"/>
              </w:rPr>
              <w:t>表5-</w:t>
            </w:r>
            <w:r>
              <w:rPr>
                <w:rFonts w:hint="eastAsia"/>
                <w:b/>
                <w:bCs/>
                <w:color w:val="000000" w:themeColor="text1"/>
                <w:sz w:val="21"/>
                <w:szCs w:val="21"/>
                <w:highlight w:val="none"/>
                <w:u w:val="none"/>
              </w:rPr>
              <w:t>4</w:t>
            </w:r>
            <w:r>
              <w:rPr>
                <w:b/>
                <w:bCs/>
                <w:color w:val="000000" w:themeColor="text1"/>
                <w:sz w:val="21"/>
                <w:szCs w:val="21"/>
                <w:highlight w:val="none"/>
                <w:u w:val="none"/>
              </w:rPr>
              <w:t>噪声源分析表  单位：dB（A）</w:t>
            </w:r>
          </w:p>
          <w:tbl>
            <w:tblPr>
              <w:tblStyle w:val="34"/>
              <w:tblW w:w="899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77"/>
              <w:gridCol w:w="1802"/>
              <w:gridCol w:w="1126"/>
              <w:gridCol w:w="2706"/>
              <w:gridCol w:w="268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677" w:type="dxa"/>
                  <w:tcBorders>
                    <w:tl2br w:val="nil"/>
                    <w:tr2bl w:val="nil"/>
                  </w:tcBorders>
                  <w:vAlign w:val="center"/>
                </w:tcPr>
                <w:p>
                  <w:pPr>
                    <w:pStyle w:val="2"/>
                    <w:ind w:firstLine="0" w:firstLineChars="0"/>
                    <w:jc w:val="center"/>
                    <w:rPr>
                      <w:color w:val="000000" w:themeColor="text1"/>
                      <w:sz w:val="21"/>
                      <w:szCs w:val="21"/>
                      <w:highlight w:val="none"/>
                      <w:u w:val="none"/>
                    </w:rPr>
                  </w:pPr>
                  <w:r>
                    <w:rPr>
                      <w:color w:val="000000" w:themeColor="text1"/>
                      <w:sz w:val="21"/>
                      <w:szCs w:val="21"/>
                      <w:highlight w:val="none"/>
                      <w:u w:val="none"/>
                    </w:rPr>
                    <w:t>编号</w:t>
                  </w:r>
                </w:p>
              </w:tc>
              <w:tc>
                <w:tcPr>
                  <w:tcW w:w="1802" w:type="dxa"/>
                  <w:tcBorders>
                    <w:tl2br w:val="nil"/>
                    <w:tr2bl w:val="nil"/>
                  </w:tcBorders>
                  <w:vAlign w:val="center"/>
                </w:tcPr>
                <w:p>
                  <w:pPr>
                    <w:pStyle w:val="2"/>
                    <w:ind w:firstLine="0" w:firstLineChars="0"/>
                    <w:jc w:val="center"/>
                    <w:rPr>
                      <w:color w:val="000000" w:themeColor="text1"/>
                      <w:sz w:val="21"/>
                      <w:szCs w:val="21"/>
                      <w:highlight w:val="none"/>
                      <w:u w:val="none"/>
                    </w:rPr>
                  </w:pPr>
                  <w:r>
                    <w:rPr>
                      <w:color w:val="000000" w:themeColor="text1"/>
                      <w:sz w:val="21"/>
                      <w:szCs w:val="21"/>
                      <w:highlight w:val="none"/>
                      <w:u w:val="none"/>
                    </w:rPr>
                    <w:t>声源</w:t>
                  </w:r>
                </w:p>
              </w:tc>
              <w:tc>
                <w:tcPr>
                  <w:tcW w:w="1126" w:type="dxa"/>
                  <w:tcBorders>
                    <w:tl2br w:val="nil"/>
                    <w:tr2bl w:val="nil"/>
                  </w:tcBorders>
                  <w:vAlign w:val="center"/>
                </w:tcPr>
                <w:p>
                  <w:pPr>
                    <w:pStyle w:val="2"/>
                    <w:ind w:firstLine="0" w:firstLineChars="0"/>
                    <w:jc w:val="center"/>
                    <w:rPr>
                      <w:color w:val="000000" w:themeColor="text1"/>
                      <w:sz w:val="21"/>
                      <w:szCs w:val="21"/>
                      <w:highlight w:val="none"/>
                      <w:u w:val="none"/>
                    </w:rPr>
                  </w:pPr>
                  <w:r>
                    <w:rPr>
                      <w:color w:val="000000" w:themeColor="text1"/>
                      <w:sz w:val="21"/>
                      <w:szCs w:val="21"/>
                      <w:highlight w:val="none"/>
                      <w:u w:val="none"/>
                    </w:rPr>
                    <w:t>声源强度</w:t>
                  </w:r>
                </w:p>
              </w:tc>
              <w:tc>
                <w:tcPr>
                  <w:tcW w:w="2706" w:type="dxa"/>
                  <w:tcBorders>
                    <w:tl2br w:val="nil"/>
                    <w:tr2bl w:val="nil"/>
                  </w:tcBorders>
                  <w:vAlign w:val="center"/>
                </w:tcPr>
                <w:p>
                  <w:pPr>
                    <w:pStyle w:val="2"/>
                    <w:ind w:firstLine="0" w:firstLineChars="0"/>
                    <w:jc w:val="center"/>
                    <w:rPr>
                      <w:color w:val="000000" w:themeColor="text1"/>
                      <w:sz w:val="21"/>
                      <w:szCs w:val="21"/>
                      <w:highlight w:val="none"/>
                      <w:u w:val="none"/>
                    </w:rPr>
                  </w:pPr>
                  <w:r>
                    <w:rPr>
                      <w:color w:val="000000" w:themeColor="text1"/>
                      <w:sz w:val="21"/>
                      <w:szCs w:val="21"/>
                      <w:highlight w:val="none"/>
                      <w:u w:val="none"/>
                    </w:rPr>
                    <w:t>产生位置</w:t>
                  </w:r>
                </w:p>
              </w:tc>
              <w:tc>
                <w:tcPr>
                  <w:tcW w:w="2686" w:type="dxa"/>
                  <w:tcBorders>
                    <w:tl2br w:val="nil"/>
                    <w:tr2bl w:val="nil"/>
                  </w:tcBorders>
                  <w:vAlign w:val="center"/>
                </w:tcPr>
                <w:p>
                  <w:pPr>
                    <w:pStyle w:val="2"/>
                    <w:ind w:firstLine="0" w:firstLineChars="0"/>
                    <w:jc w:val="center"/>
                    <w:rPr>
                      <w:color w:val="000000" w:themeColor="text1"/>
                      <w:sz w:val="21"/>
                      <w:szCs w:val="21"/>
                      <w:highlight w:val="none"/>
                      <w:u w:val="none"/>
                    </w:rPr>
                  </w:pPr>
                  <w:r>
                    <w:rPr>
                      <w:color w:val="000000" w:themeColor="text1"/>
                      <w:sz w:val="21"/>
                      <w:szCs w:val="21"/>
                      <w:highlight w:val="none"/>
                      <w:u w:val="none"/>
                    </w:rPr>
                    <w:t>处理措施</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77" w:type="dxa"/>
                  <w:tcBorders>
                    <w:tl2br w:val="nil"/>
                    <w:tr2bl w:val="nil"/>
                  </w:tcBorders>
                  <w:vAlign w:val="center"/>
                </w:tcPr>
                <w:p>
                  <w:pPr>
                    <w:pStyle w:val="2"/>
                    <w:ind w:firstLine="0" w:firstLineChars="0"/>
                    <w:jc w:val="center"/>
                    <w:rPr>
                      <w:color w:val="000000" w:themeColor="text1"/>
                      <w:sz w:val="21"/>
                      <w:szCs w:val="21"/>
                      <w:highlight w:val="none"/>
                      <w:u w:val="none"/>
                    </w:rPr>
                  </w:pPr>
                  <w:r>
                    <w:rPr>
                      <w:color w:val="000000" w:themeColor="text1"/>
                      <w:sz w:val="21"/>
                      <w:szCs w:val="21"/>
                      <w:highlight w:val="none"/>
                      <w:u w:val="none"/>
                    </w:rPr>
                    <w:t>1</w:t>
                  </w:r>
                </w:p>
              </w:tc>
              <w:tc>
                <w:tcPr>
                  <w:tcW w:w="1802" w:type="dxa"/>
                  <w:tcBorders>
                    <w:tl2br w:val="nil"/>
                    <w:tr2bl w:val="nil"/>
                  </w:tcBorders>
                  <w:vAlign w:val="center"/>
                </w:tcPr>
                <w:p>
                  <w:pPr>
                    <w:pStyle w:val="2"/>
                    <w:widowControl/>
                    <w:ind w:firstLine="0" w:firstLineChars="0"/>
                    <w:jc w:val="center"/>
                    <w:textAlignment w:val="center"/>
                    <w:rPr>
                      <w:color w:val="000000" w:themeColor="text1"/>
                      <w:sz w:val="21"/>
                      <w:szCs w:val="21"/>
                      <w:highlight w:val="none"/>
                      <w:u w:val="none"/>
                    </w:rPr>
                  </w:pPr>
                  <w:r>
                    <w:rPr>
                      <w:rFonts w:hint="eastAsia"/>
                      <w:color w:val="000000" w:themeColor="text1"/>
                      <w:sz w:val="21"/>
                      <w:szCs w:val="21"/>
                      <w:highlight w:val="none"/>
                      <w:u w:val="none"/>
                    </w:rPr>
                    <w:t>风机</w:t>
                  </w:r>
                </w:p>
              </w:tc>
              <w:tc>
                <w:tcPr>
                  <w:tcW w:w="1126" w:type="dxa"/>
                  <w:tcBorders>
                    <w:tl2br w:val="nil"/>
                    <w:tr2bl w:val="nil"/>
                  </w:tcBorders>
                  <w:vAlign w:val="center"/>
                </w:tcPr>
                <w:p>
                  <w:pPr>
                    <w:pStyle w:val="2"/>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55~70</w:t>
                  </w:r>
                </w:p>
              </w:tc>
              <w:tc>
                <w:tcPr>
                  <w:tcW w:w="2706" w:type="dxa"/>
                  <w:tcBorders>
                    <w:tl2br w:val="nil"/>
                    <w:tr2bl w:val="nil"/>
                  </w:tcBorders>
                  <w:vAlign w:val="center"/>
                </w:tcPr>
                <w:p>
                  <w:pPr>
                    <w:pStyle w:val="2"/>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实验室</w:t>
                  </w:r>
                </w:p>
              </w:tc>
              <w:tc>
                <w:tcPr>
                  <w:tcW w:w="2686" w:type="dxa"/>
                  <w:vMerge w:val="restart"/>
                  <w:tcBorders>
                    <w:tl2br w:val="nil"/>
                    <w:tr2bl w:val="nil"/>
                  </w:tcBorders>
                  <w:vAlign w:val="center"/>
                </w:tcPr>
                <w:p>
                  <w:pPr>
                    <w:pStyle w:val="2"/>
                    <w:ind w:firstLine="0" w:firstLineChars="0"/>
                    <w:jc w:val="center"/>
                    <w:rPr>
                      <w:color w:val="000000" w:themeColor="text1"/>
                      <w:sz w:val="21"/>
                      <w:szCs w:val="21"/>
                      <w:highlight w:val="none"/>
                      <w:u w:val="none"/>
                    </w:rPr>
                  </w:pPr>
                  <w:r>
                    <w:rPr>
                      <w:color w:val="000000" w:themeColor="text1"/>
                      <w:sz w:val="21"/>
                      <w:szCs w:val="21"/>
                      <w:highlight w:val="none"/>
                      <w:u w:val="none"/>
                    </w:rPr>
                    <w:t>隔声处理</w:t>
                  </w:r>
                  <w:r>
                    <w:rPr>
                      <w:rFonts w:hint="eastAsia"/>
                      <w:color w:val="000000" w:themeColor="text1"/>
                      <w:sz w:val="21"/>
                      <w:szCs w:val="21"/>
                      <w:highlight w:val="none"/>
                      <w:u w:val="none"/>
                    </w:rPr>
                    <w:t>、基础减震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677" w:type="dxa"/>
                  <w:tcBorders>
                    <w:tl2br w:val="nil"/>
                    <w:tr2bl w:val="nil"/>
                  </w:tcBorders>
                  <w:vAlign w:val="center"/>
                </w:tcPr>
                <w:p>
                  <w:pPr>
                    <w:pStyle w:val="2"/>
                    <w:ind w:firstLine="0" w:firstLineChars="0"/>
                    <w:jc w:val="center"/>
                    <w:rPr>
                      <w:color w:val="000000" w:themeColor="text1"/>
                      <w:sz w:val="21"/>
                      <w:szCs w:val="21"/>
                      <w:highlight w:val="none"/>
                      <w:u w:val="none"/>
                    </w:rPr>
                  </w:pPr>
                  <w:r>
                    <w:rPr>
                      <w:color w:val="000000" w:themeColor="text1"/>
                      <w:sz w:val="21"/>
                      <w:szCs w:val="21"/>
                      <w:highlight w:val="none"/>
                      <w:u w:val="none"/>
                    </w:rPr>
                    <w:t>2</w:t>
                  </w:r>
                </w:p>
              </w:tc>
              <w:tc>
                <w:tcPr>
                  <w:tcW w:w="1802" w:type="dxa"/>
                  <w:tcBorders>
                    <w:tl2br w:val="nil"/>
                    <w:tr2bl w:val="nil"/>
                  </w:tcBorders>
                  <w:vAlign w:val="center"/>
                </w:tcPr>
                <w:p>
                  <w:pPr>
                    <w:pStyle w:val="2"/>
                    <w:widowControl/>
                    <w:ind w:firstLine="0" w:firstLineChars="0"/>
                    <w:jc w:val="center"/>
                    <w:textAlignment w:val="center"/>
                    <w:rPr>
                      <w:color w:val="000000" w:themeColor="text1"/>
                      <w:sz w:val="21"/>
                      <w:szCs w:val="21"/>
                      <w:highlight w:val="none"/>
                      <w:u w:val="none"/>
                    </w:rPr>
                  </w:pPr>
                  <w:r>
                    <w:rPr>
                      <w:rFonts w:hint="eastAsia"/>
                      <w:color w:val="000000" w:themeColor="text1"/>
                      <w:sz w:val="21"/>
                      <w:szCs w:val="21"/>
                      <w:highlight w:val="none"/>
                      <w:u w:val="none"/>
                    </w:rPr>
                    <w:t>通风橱</w:t>
                  </w:r>
                </w:p>
              </w:tc>
              <w:tc>
                <w:tcPr>
                  <w:tcW w:w="1126" w:type="dxa"/>
                  <w:tcBorders>
                    <w:tl2br w:val="nil"/>
                    <w:tr2bl w:val="nil"/>
                  </w:tcBorders>
                  <w:vAlign w:val="center"/>
                </w:tcPr>
                <w:p>
                  <w:pPr>
                    <w:pStyle w:val="2"/>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50~55</w:t>
                  </w:r>
                </w:p>
              </w:tc>
              <w:tc>
                <w:tcPr>
                  <w:tcW w:w="2706" w:type="dxa"/>
                  <w:tcBorders>
                    <w:tl2br w:val="nil"/>
                    <w:tr2bl w:val="nil"/>
                  </w:tcBorders>
                  <w:vAlign w:val="center"/>
                </w:tcPr>
                <w:p>
                  <w:pPr>
                    <w:pStyle w:val="2"/>
                    <w:ind w:firstLine="0" w:firstLineChars="0"/>
                    <w:jc w:val="center"/>
                    <w:rPr>
                      <w:color w:val="000000" w:themeColor="text1"/>
                      <w:sz w:val="21"/>
                      <w:szCs w:val="21"/>
                      <w:highlight w:val="none"/>
                      <w:u w:val="none"/>
                    </w:rPr>
                  </w:pPr>
                  <w:r>
                    <w:rPr>
                      <w:rFonts w:hint="eastAsia"/>
                      <w:color w:val="000000" w:themeColor="text1"/>
                      <w:sz w:val="21"/>
                      <w:szCs w:val="21"/>
                      <w:highlight w:val="none"/>
                      <w:u w:val="none"/>
                    </w:rPr>
                    <w:t>实验室</w:t>
                  </w:r>
                </w:p>
              </w:tc>
              <w:tc>
                <w:tcPr>
                  <w:tcW w:w="2686" w:type="dxa"/>
                  <w:vMerge w:val="continue"/>
                  <w:tcBorders>
                    <w:tl2br w:val="nil"/>
                    <w:tr2bl w:val="nil"/>
                  </w:tcBorders>
                  <w:vAlign w:val="center"/>
                </w:tcPr>
                <w:p>
                  <w:pPr>
                    <w:pStyle w:val="2"/>
                    <w:ind w:firstLine="420"/>
                    <w:rPr>
                      <w:color w:val="000000" w:themeColor="text1"/>
                      <w:sz w:val="21"/>
                      <w:szCs w:val="21"/>
                      <w:highlight w:val="none"/>
                      <w:u w:val="none"/>
                    </w:rPr>
                  </w:pPr>
                </w:p>
              </w:tc>
            </w:tr>
          </w:tbl>
          <w:p>
            <w:pPr>
              <w:pStyle w:val="2"/>
              <w:spacing w:line="360" w:lineRule="auto"/>
              <w:ind w:firstLine="480"/>
              <w:rPr>
                <w:color w:val="000000" w:themeColor="text1"/>
                <w:highlight w:val="none"/>
              </w:rPr>
            </w:pPr>
            <w:r>
              <w:rPr>
                <w:color w:val="000000" w:themeColor="text1"/>
                <w:highlight w:val="none"/>
              </w:rPr>
              <w:t>（4）固体废弃物</w:t>
            </w:r>
          </w:p>
          <w:p>
            <w:pPr>
              <w:pStyle w:val="2"/>
              <w:spacing w:line="360" w:lineRule="auto"/>
              <w:ind w:firstLine="480"/>
              <w:rPr>
                <w:color w:val="000000" w:themeColor="text1"/>
                <w:highlight w:val="none"/>
              </w:rPr>
            </w:pPr>
            <w:r>
              <w:rPr>
                <w:color w:val="000000" w:themeColor="text1"/>
                <w:highlight w:val="none"/>
              </w:rPr>
              <w:t>本项目产生的固体废弃物主要包括员工办公生活垃圾、实验固废，其中实验固废主要为实验过程中产生的各类废液（一般实验废液、含重金属测量的实验废液）、含重金属超标的废土壤样品或鉴别为危险废物的样品等固态物质、装有危险化学品的废包装、过期失效药剂、化学品废弃容器、废培养基和一般固废等。</w:t>
            </w:r>
          </w:p>
          <w:p>
            <w:pPr>
              <w:pStyle w:val="2"/>
              <w:spacing w:line="360" w:lineRule="auto"/>
              <w:ind w:firstLine="480"/>
              <w:rPr>
                <w:color w:val="000000" w:themeColor="text1"/>
                <w:highlight w:val="none"/>
              </w:rPr>
            </w:pPr>
            <w:r>
              <w:rPr>
                <w:color w:val="000000" w:themeColor="text1"/>
                <w:highlight w:val="none"/>
              </w:rPr>
              <w:t>①员工办公生活垃圾</w:t>
            </w:r>
          </w:p>
          <w:p>
            <w:pPr>
              <w:pStyle w:val="2"/>
              <w:spacing w:line="360" w:lineRule="auto"/>
              <w:ind w:firstLine="480"/>
              <w:rPr>
                <w:color w:val="000000" w:themeColor="text1"/>
                <w:highlight w:val="none"/>
              </w:rPr>
            </w:pPr>
            <w:r>
              <w:rPr>
                <w:color w:val="000000" w:themeColor="text1"/>
                <w:highlight w:val="none"/>
              </w:rPr>
              <w:t>本项目职工约为22人，职工的生活垃圾按每人0.5kg/d 计，产生量为2.75t/a，</w:t>
            </w:r>
            <w:r>
              <w:rPr>
                <w:rFonts w:hint="eastAsia"/>
                <w:color w:val="000000" w:themeColor="text1"/>
                <w:highlight w:val="none"/>
              </w:rPr>
              <w:t>生</w:t>
            </w:r>
            <w:r>
              <w:rPr>
                <w:color w:val="000000" w:themeColor="text1"/>
                <w:highlight w:val="none"/>
              </w:rPr>
              <w:t>活垃圾集中收集后由环卫部门统一清运。</w:t>
            </w:r>
          </w:p>
          <w:p>
            <w:pPr>
              <w:pStyle w:val="2"/>
              <w:spacing w:line="360" w:lineRule="auto"/>
              <w:ind w:firstLine="480"/>
              <w:rPr>
                <w:color w:val="000000" w:themeColor="text1"/>
                <w:highlight w:val="none"/>
              </w:rPr>
            </w:pPr>
            <w:r>
              <w:rPr>
                <w:color w:val="000000" w:themeColor="text1"/>
                <w:highlight w:val="none"/>
              </w:rPr>
              <w:t>②实验固废</w:t>
            </w:r>
          </w:p>
          <w:p>
            <w:pPr>
              <w:pStyle w:val="2"/>
              <w:spacing w:line="360" w:lineRule="auto"/>
              <w:ind w:firstLine="480"/>
              <w:rPr>
                <w:color w:val="000000" w:themeColor="text1"/>
                <w:highlight w:val="none"/>
              </w:rPr>
            </w:pPr>
            <w:r>
              <w:rPr>
                <w:color w:val="000000" w:themeColor="text1"/>
                <w:highlight w:val="none"/>
              </w:rPr>
              <w:t>实验废液：主要包括一般实验废液、含重金属测量的实验废液。本项目一般实验废液产生量约为1.125m</w:t>
            </w:r>
            <w:r>
              <w:rPr>
                <w:color w:val="000000" w:themeColor="text1"/>
                <w:highlight w:val="none"/>
                <w:vertAlign w:val="superscript"/>
              </w:rPr>
              <w:t>3</w:t>
            </w:r>
            <w:r>
              <w:rPr>
                <w:color w:val="000000" w:themeColor="text1"/>
                <w:highlight w:val="none"/>
              </w:rPr>
              <w:t>/a、含重金属测量的实验废液约为0.125m</w:t>
            </w:r>
            <w:r>
              <w:rPr>
                <w:color w:val="000000" w:themeColor="text1"/>
                <w:highlight w:val="none"/>
                <w:vertAlign w:val="superscript"/>
              </w:rPr>
              <w:t>3</w:t>
            </w:r>
            <w:r>
              <w:rPr>
                <w:color w:val="000000" w:themeColor="text1"/>
                <w:highlight w:val="none"/>
              </w:rPr>
              <w:t>/a，因此项目实验废液产生量共计约1.25m</w:t>
            </w:r>
            <w:r>
              <w:rPr>
                <w:color w:val="000000" w:themeColor="text1"/>
                <w:highlight w:val="none"/>
                <w:vertAlign w:val="superscript"/>
              </w:rPr>
              <w:t>3</w:t>
            </w:r>
            <w:r>
              <w:rPr>
                <w:color w:val="000000" w:themeColor="text1"/>
                <w:highlight w:val="none"/>
              </w:rPr>
              <w:t>/a。根据《国家危险废物名录》（2016版）可知，含实验废液属于危险废物中的HW49，这部分废液经废液桶分类收集暂存在危废暂存间，再委托有资质公司进行处置。</w:t>
            </w:r>
          </w:p>
          <w:p>
            <w:pPr>
              <w:pStyle w:val="2"/>
              <w:ind w:firstLine="480"/>
              <w:rPr>
                <w:color w:val="000000" w:themeColor="text1"/>
                <w:highlight w:val="none"/>
              </w:rPr>
            </w:pPr>
            <w:r>
              <w:rPr>
                <w:color w:val="000000" w:themeColor="text1"/>
                <w:highlight w:val="none"/>
              </w:rPr>
              <w:t>根据建设单位提供的资料，含重金属超标的废土壤样品或鉴别为危险废物的样品等固态物质产生量约为0.1t/a，装有危险化学品的废包装产生量约为0.4t/a，过期失效药剂产生量约为0.005t/a，化学品废弃容器产生量约为0.03t/a。根据《国家危险废物名录》（2016版）可知，危险化学品的废包装、过期失效药剂、化学品废弃容器属于危险废物中的HW49，这些危险废物经分类暂存在危险废物暂存间后委托有资质单位处置。</w:t>
            </w:r>
          </w:p>
          <w:p>
            <w:pPr>
              <w:pStyle w:val="2"/>
              <w:ind w:firstLine="0" w:firstLineChars="0"/>
              <w:rPr>
                <w:color w:val="000000" w:themeColor="text1"/>
                <w:highlight w:val="none"/>
              </w:rPr>
            </w:pPr>
            <w:r>
              <w:rPr>
                <w:color w:val="000000" w:themeColor="text1"/>
                <w:highlight w:val="none"/>
              </w:rPr>
              <w:t>废生物培养基：微生物实验过程中会产生少量废生物培养基，根据建设单位提供的资料，废生物培养基产生量约为0.02t/a，经高压灭菌锅灭活处理后与生活垃圾一并由当地环卫部门处置。</w:t>
            </w:r>
          </w:p>
          <w:p>
            <w:pPr>
              <w:pStyle w:val="2"/>
              <w:ind w:firstLine="480"/>
              <w:rPr>
                <w:color w:val="000000" w:themeColor="text1"/>
                <w:highlight w:val="none"/>
              </w:rPr>
            </w:pPr>
            <w:r>
              <w:rPr>
                <w:color w:val="000000" w:themeColor="text1"/>
                <w:highlight w:val="none"/>
              </w:rPr>
              <w:t>一般固废：检测过程中产生的不含危险化学品的废纸箱、废塑料、玻璃瓶、不含</w:t>
            </w:r>
          </w:p>
          <w:p>
            <w:pPr>
              <w:pStyle w:val="2"/>
              <w:ind w:firstLine="0" w:firstLineChars="0"/>
              <w:rPr>
                <w:color w:val="000000" w:themeColor="text1"/>
                <w:highlight w:val="none"/>
              </w:rPr>
            </w:pPr>
            <w:r>
              <w:rPr>
                <w:color w:val="000000" w:themeColor="text1"/>
                <w:highlight w:val="none"/>
              </w:rPr>
              <w:t>重金属和或重金属未超标的废土壤样品等固态物质为一般固废，产生量约为0.4t/a。废</w:t>
            </w:r>
          </w:p>
          <w:p>
            <w:pPr>
              <w:pStyle w:val="2"/>
              <w:ind w:firstLine="0" w:firstLineChars="0"/>
              <w:rPr>
                <w:color w:val="000000" w:themeColor="text1"/>
                <w:highlight w:val="none"/>
              </w:rPr>
            </w:pPr>
            <w:r>
              <w:rPr>
                <w:color w:val="000000" w:themeColor="text1"/>
                <w:highlight w:val="none"/>
              </w:rPr>
              <w:t>纸箱、玻璃瓶由废品回收站回收，废塑料、不含重金属或重金属未超标的废土壤样品</w:t>
            </w:r>
          </w:p>
          <w:p>
            <w:pPr>
              <w:pStyle w:val="2"/>
              <w:ind w:firstLine="0" w:firstLineChars="0"/>
              <w:rPr>
                <w:color w:val="000000" w:themeColor="text1"/>
                <w:highlight w:val="none"/>
              </w:rPr>
            </w:pPr>
            <w:r>
              <w:rPr>
                <w:color w:val="000000" w:themeColor="text1"/>
                <w:highlight w:val="none"/>
              </w:rPr>
              <w:t>等固态物质作为生活垃圾由环卫部门统一收集处置。</w:t>
            </w:r>
          </w:p>
          <w:p>
            <w:pPr>
              <w:pStyle w:val="2"/>
              <w:numPr>
                <w:ilvl w:val="255"/>
                <w:numId w:val="0"/>
              </w:numPr>
              <w:jc w:val="center"/>
              <w:rPr>
                <w:b/>
                <w:bCs/>
                <w:color w:val="000000" w:themeColor="text1"/>
                <w:sz w:val="21"/>
                <w:szCs w:val="21"/>
                <w:highlight w:val="none"/>
              </w:rPr>
            </w:pPr>
            <w:r>
              <w:rPr>
                <w:rFonts w:hint="eastAsia"/>
                <w:b/>
                <w:bCs/>
                <w:color w:val="000000" w:themeColor="text1"/>
                <w:sz w:val="21"/>
                <w:szCs w:val="21"/>
                <w:highlight w:val="none"/>
              </w:rPr>
              <w:t>表5-5 项目固体废物产生于处置一览表</w:t>
            </w:r>
          </w:p>
          <w:tbl>
            <w:tblPr>
              <w:tblStyle w:val="34"/>
              <w:tblW w:w="90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4"/>
              <w:gridCol w:w="1570"/>
              <w:gridCol w:w="2355"/>
              <w:gridCol w:w="1280"/>
              <w:gridCol w:w="2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264" w:type="dxa"/>
                  <w:gridSpan w:val="2"/>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固体废物名称</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固体类别</w:t>
                  </w:r>
                </w:p>
              </w:tc>
              <w:tc>
                <w:tcPr>
                  <w:tcW w:w="1280" w:type="dxa"/>
                  <w:tcMar>
                    <w:left w:w="0" w:type="dxa"/>
                    <w:right w:w="0" w:type="dxa"/>
                  </w:tcMar>
                  <w:vAlign w:val="center"/>
                </w:tcPr>
                <w:p>
                  <w:pPr>
                    <w:pStyle w:val="96"/>
                    <w:snapToGrid w:val="0"/>
                    <w:spacing w:line="240" w:lineRule="auto"/>
                    <w:rPr>
                      <w:color w:val="000000" w:themeColor="text1"/>
                      <w:sz w:val="21"/>
                      <w:szCs w:val="21"/>
                      <w:highlight w:val="none"/>
                    </w:rPr>
                  </w:pPr>
                  <w:r>
                    <w:rPr>
                      <w:rFonts w:hint="eastAsia"/>
                      <w:color w:val="000000" w:themeColor="text1"/>
                      <w:sz w:val="21"/>
                      <w:szCs w:val="21"/>
                      <w:highlight w:val="none"/>
                    </w:rPr>
                    <w:t>产生量(t/a)</w:t>
                  </w:r>
                </w:p>
              </w:tc>
              <w:tc>
                <w:tcPr>
                  <w:tcW w:w="2118" w:type="dxa"/>
                  <w:tcMar>
                    <w:left w:w="0" w:type="dxa"/>
                    <w:right w:w="0" w:type="dxa"/>
                  </w:tcMar>
                  <w:vAlign w:val="center"/>
                </w:tcPr>
                <w:p>
                  <w:pPr>
                    <w:jc w:val="center"/>
                    <w:rPr>
                      <w:color w:val="000000" w:themeColor="text1"/>
                      <w:sz w:val="21"/>
                      <w:szCs w:val="21"/>
                      <w:highlight w:val="none"/>
                    </w:rPr>
                  </w:pPr>
                  <w:r>
                    <w:rPr>
                      <w:rFonts w:hint="eastAsia"/>
                      <w:color w:val="000000" w:themeColor="text1"/>
                      <w:sz w:val="21"/>
                      <w:szCs w:val="21"/>
                      <w:highlight w:val="none"/>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264" w:type="dxa"/>
                  <w:gridSpan w:val="2"/>
                  <w:tcMar>
                    <w:left w:w="0" w:type="dxa"/>
                    <w:right w:w="0" w:type="dxa"/>
                  </w:tcMar>
                  <w:vAlign w:val="center"/>
                </w:tcPr>
                <w:p>
                  <w:pPr>
                    <w:pStyle w:val="96"/>
                    <w:snapToGrid w:val="0"/>
                    <w:spacing w:line="400" w:lineRule="exact"/>
                    <w:rPr>
                      <w:color w:val="000000" w:themeColor="text1"/>
                      <w:sz w:val="21"/>
                      <w:szCs w:val="21"/>
                      <w:highlight w:val="none"/>
                      <w:u w:val="single"/>
                    </w:rPr>
                  </w:pPr>
                  <w:r>
                    <w:rPr>
                      <w:rFonts w:hint="eastAsia"/>
                      <w:color w:val="000000" w:themeColor="text1"/>
                      <w:sz w:val="21"/>
                      <w:szCs w:val="21"/>
                      <w:highlight w:val="none"/>
                    </w:rPr>
                    <w:t>生活垃圾</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生活垃圾</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2.75</w:t>
                  </w:r>
                </w:p>
              </w:tc>
              <w:tc>
                <w:tcPr>
                  <w:tcW w:w="2118" w:type="dxa"/>
                  <w:tcMar>
                    <w:left w:w="0" w:type="dxa"/>
                    <w:right w:w="0" w:type="dxa"/>
                  </w:tcMar>
                  <w:vAlign w:val="center"/>
                </w:tcPr>
                <w:p>
                  <w:pPr>
                    <w:spacing w:line="400" w:lineRule="exact"/>
                    <w:jc w:val="center"/>
                    <w:rPr>
                      <w:color w:val="000000" w:themeColor="text1"/>
                      <w:sz w:val="21"/>
                      <w:szCs w:val="21"/>
                      <w:highlight w:val="none"/>
                    </w:rPr>
                  </w:pPr>
                  <w:r>
                    <w:rPr>
                      <w:rFonts w:hint="eastAsia"/>
                      <w:color w:val="000000" w:themeColor="text1"/>
                      <w:sz w:val="21"/>
                      <w:szCs w:val="21"/>
                      <w:highlight w:val="none"/>
                    </w:rPr>
                    <w:t>集中收集后由环卫部门统一清运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94" w:type="dxa"/>
                  <w:vMerge w:val="restart"/>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实验废液</w:t>
                  </w:r>
                </w:p>
              </w:tc>
              <w:tc>
                <w:tcPr>
                  <w:tcW w:w="1570" w:type="dxa"/>
                  <w:tcMar>
                    <w:left w:w="0" w:type="dxa"/>
                    <w:right w:w="0" w:type="dxa"/>
                  </w:tcMar>
                  <w:vAlign w:val="center"/>
                </w:tcPr>
                <w:p>
                  <w:pPr>
                    <w:pStyle w:val="96"/>
                    <w:snapToGrid w:val="0"/>
                    <w:spacing w:line="400" w:lineRule="exact"/>
                    <w:rPr>
                      <w:color w:val="000000" w:themeColor="text1"/>
                      <w:sz w:val="21"/>
                      <w:szCs w:val="21"/>
                      <w:highlight w:val="none"/>
                    </w:rPr>
                  </w:pPr>
                  <w:r>
                    <w:rPr>
                      <w:color w:val="000000" w:themeColor="text1"/>
                      <w:sz w:val="21"/>
                      <w:szCs w:val="21"/>
                      <w:highlight w:val="none"/>
                    </w:rPr>
                    <w:t>含重金属测量的实验废液</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危险废物（HW49）</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0.125</w:t>
                  </w:r>
                </w:p>
              </w:tc>
              <w:tc>
                <w:tcPr>
                  <w:tcW w:w="2118" w:type="dxa"/>
                  <w:vMerge w:val="restart"/>
                  <w:tcMar>
                    <w:left w:w="0" w:type="dxa"/>
                    <w:right w:w="0" w:type="dxa"/>
                  </w:tcMar>
                  <w:vAlign w:val="center"/>
                </w:tcPr>
                <w:p>
                  <w:pPr>
                    <w:spacing w:line="400" w:lineRule="exact"/>
                    <w:jc w:val="center"/>
                    <w:rPr>
                      <w:color w:val="000000" w:themeColor="text1"/>
                      <w:sz w:val="21"/>
                      <w:szCs w:val="21"/>
                      <w:highlight w:val="none"/>
                    </w:rPr>
                  </w:pPr>
                  <w:r>
                    <w:rPr>
                      <w:rFonts w:hint="eastAsia"/>
                      <w:color w:val="000000" w:themeColor="text1"/>
                      <w:sz w:val="21"/>
                      <w:szCs w:val="21"/>
                      <w:highlight w:val="none"/>
                    </w:rPr>
                    <w:t>废液经废液桶分类收集暂存在危废暂存间，再委托有资质进行处置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94" w:type="dxa"/>
                  <w:vMerge w:val="continue"/>
                  <w:tcMar>
                    <w:left w:w="0" w:type="dxa"/>
                    <w:right w:w="0" w:type="dxa"/>
                  </w:tcMar>
                  <w:vAlign w:val="center"/>
                </w:tcPr>
                <w:p>
                  <w:pPr>
                    <w:pStyle w:val="96"/>
                    <w:snapToGrid w:val="0"/>
                    <w:spacing w:line="400" w:lineRule="exact"/>
                    <w:rPr>
                      <w:color w:val="000000" w:themeColor="text1"/>
                      <w:sz w:val="21"/>
                      <w:szCs w:val="21"/>
                      <w:highlight w:val="none"/>
                    </w:rPr>
                  </w:pPr>
                </w:p>
              </w:tc>
              <w:tc>
                <w:tcPr>
                  <w:tcW w:w="1570"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一般实验废液</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危险废物（HW49）</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1.125</w:t>
                  </w:r>
                </w:p>
              </w:tc>
              <w:tc>
                <w:tcPr>
                  <w:tcW w:w="2118" w:type="dxa"/>
                  <w:vMerge w:val="continue"/>
                  <w:tcMar>
                    <w:left w:w="0" w:type="dxa"/>
                    <w:right w:w="0" w:type="dxa"/>
                  </w:tcMar>
                  <w:vAlign w:val="center"/>
                </w:tcPr>
                <w:p>
                  <w:pPr>
                    <w:spacing w:line="400" w:lineRule="exact"/>
                    <w:jc w:val="center"/>
                    <w:rPr>
                      <w:color w:val="000000" w:themeColor="text1"/>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264" w:type="dxa"/>
                  <w:gridSpan w:val="2"/>
                  <w:tcMar>
                    <w:left w:w="0" w:type="dxa"/>
                    <w:right w:w="0" w:type="dxa"/>
                  </w:tcMar>
                  <w:vAlign w:val="center"/>
                </w:tcPr>
                <w:p>
                  <w:pPr>
                    <w:pStyle w:val="96"/>
                    <w:snapToGrid w:val="0"/>
                    <w:spacing w:line="400" w:lineRule="exact"/>
                    <w:rPr>
                      <w:color w:val="000000" w:themeColor="text1"/>
                      <w:sz w:val="21"/>
                      <w:szCs w:val="21"/>
                      <w:highlight w:val="none"/>
                      <w:u w:val="single"/>
                    </w:rPr>
                  </w:pPr>
                  <w:r>
                    <w:rPr>
                      <w:color w:val="000000" w:themeColor="text1"/>
                      <w:sz w:val="21"/>
                      <w:szCs w:val="21"/>
                      <w:highlight w:val="none"/>
                    </w:rPr>
                    <w:t>含重金属超标的废土壤样品或鉴别为危险废物的样品等固态物质</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危险废物（HW49）</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0.1</w:t>
                  </w:r>
                </w:p>
              </w:tc>
              <w:tc>
                <w:tcPr>
                  <w:tcW w:w="2118" w:type="dxa"/>
                  <w:vMerge w:val="restart"/>
                  <w:tcMar>
                    <w:left w:w="0" w:type="dxa"/>
                    <w:right w:w="0" w:type="dxa"/>
                  </w:tcMar>
                  <w:vAlign w:val="center"/>
                </w:tcPr>
                <w:p>
                  <w:pPr>
                    <w:spacing w:line="400" w:lineRule="exact"/>
                    <w:jc w:val="center"/>
                    <w:rPr>
                      <w:color w:val="000000" w:themeColor="text1"/>
                      <w:sz w:val="21"/>
                      <w:szCs w:val="21"/>
                      <w:highlight w:val="none"/>
                    </w:rPr>
                  </w:pPr>
                  <w:r>
                    <w:rPr>
                      <w:rFonts w:hint="eastAsia"/>
                      <w:color w:val="000000" w:themeColor="text1"/>
                      <w:sz w:val="21"/>
                      <w:szCs w:val="21"/>
                      <w:highlight w:val="none"/>
                    </w:rPr>
                    <w:t>经分类暂存在危险废物暂存间后委托有资质公司进行处置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264" w:type="dxa"/>
                  <w:gridSpan w:val="2"/>
                  <w:tcMar>
                    <w:left w:w="0" w:type="dxa"/>
                    <w:right w:w="0" w:type="dxa"/>
                  </w:tcMar>
                  <w:vAlign w:val="center"/>
                </w:tcPr>
                <w:p>
                  <w:pPr>
                    <w:pStyle w:val="96"/>
                    <w:snapToGrid w:val="0"/>
                    <w:spacing w:line="400" w:lineRule="exact"/>
                    <w:rPr>
                      <w:color w:val="000000" w:themeColor="text1"/>
                      <w:sz w:val="21"/>
                      <w:szCs w:val="21"/>
                      <w:highlight w:val="none"/>
                      <w:u w:val="single"/>
                    </w:rPr>
                  </w:pPr>
                  <w:r>
                    <w:rPr>
                      <w:color w:val="000000" w:themeColor="text1"/>
                      <w:sz w:val="21"/>
                      <w:szCs w:val="21"/>
                      <w:highlight w:val="none"/>
                    </w:rPr>
                    <w:t>过期失效药剂</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危险废物（HW49）</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0.005</w:t>
                  </w:r>
                </w:p>
              </w:tc>
              <w:tc>
                <w:tcPr>
                  <w:tcW w:w="2118" w:type="dxa"/>
                  <w:vMerge w:val="continue"/>
                  <w:tcMar>
                    <w:left w:w="0" w:type="dxa"/>
                    <w:right w:w="0" w:type="dxa"/>
                  </w:tcMar>
                  <w:vAlign w:val="center"/>
                </w:tcPr>
                <w:p>
                  <w:pPr>
                    <w:spacing w:line="400" w:lineRule="exact"/>
                    <w:jc w:val="center"/>
                    <w:rPr>
                      <w:color w:val="000000" w:themeColor="text1"/>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264" w:type="dxa"/>
                  <w:gridSpan w:val="2"/>
                  <w:tcMar>
                    <w:left w:w="0" w:type="dxa"/>
                    <w:right w:w="0" w:type="dxa"/>
                  </w:tcMar>
                  <w:vAlign w:val="center"/>
                </w:tcPr>
                <w:p>
                  <w:pPr>
                    <w:pStyle w:val="96"/>
                    <w:snapToGrid w:val="0"/>
                    <w:spacing w:line="400" w:lineRule="exact"/>
                    <w:rPr>
                      <w:color w:val="000000" w:themeColor="text1"/>
                      <w:sz w:val="21"/>
                      <w:szCs w:val="21"/>
                      <w:highlight w:val="none"/>
                    </w:rPr>
                  </w:pPr>
                  <w:r>
                    <w:rPr>
                      <w:color w:val="000000" w:themeColor="text1"/>
                      <w:sz w:val="21"/>
                      <w:szCs w:val="21"/>
                      <w:highlight w:val="none"/>
                    </w:rPr>
                    <w:t>装有危险化学品的废包装</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危险废物（HW49）</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0.4</w:t>
                  </w:r>
                </w:p>
              </w:tc>
              <w:tc>
                <w:tcPr>
                  <w:tcW w:w="2118" w:type="dxa"/>
                  <w:vMerge w:val="continue"/>
                  <w:tcMar>
                    <w:left w:w="0" w:type="dxa"/>
                    <w:right w:w="0" w:type="dxa"/>
                  </w:tcMar>
                  <w:vAlign w:val="center"/>
                </w:tcPr>
                <w:p>
                  <w:pPr>
                    <w:spacing w:line="400" w:lineRule="exact"/>
                    <w:jc w:val="center"/>
                    <w:rPr>
                      <w:color w:val="000000" w:themeColor="text1"/>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264" w:type="dxa"/>
                  <w:gridSpan w:val="2"/>
                  <w:tcMar>
                    <w:left w:w="0" w:type="dxa"/>
                    <w:right w:w="0" w:type="dxa"/>
                  </w:tcMar>
                  <w:vAlign w:val="center"/>
                </w:tcPr>
                <w:p>
                  <w:pPr>
                    <w:pStyle w:val="96"/>
                    <w:snapToGrid w:val="0"/>
                    <w:spacing w:line="400" w:lineRule="exact"/>
                    <w:rPr>
                      <w:color w:val="000000" w:themeColor="text1"/>
                      <w:sz w:val="21"/>
                      <w:szCs w:val="21"/>
                      <w:highlight w:val="none"/>
                      <w:u w:val="single"/>
                    </w:rPr>
                  </w:pPr>
                  <w:r>
                    <w:rPr>
                      <w:color w:val="000000" w:themeColor="text1"/>
                      <w:sz w:val="21"/>
                      <w:szCs w:val="21"/>
                      <w:highlight w:val="none"/>
                    </w:rPr>
                    <w:t>化学品废弃容器</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危险废物（HW49）</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0.03</w:t>
                  </w:r>
                </w:p>
              </w:tc>
              <w:tc>
                <w:tcPr>
                  <w:tcW w:w="2118" w:type="dxa"/>
                  <w:vMerge w:val="continue"/>
                  <w:tcMar>
                    <w:left w:w="0" w:type="dxa"/>
                    <w:right w:w="0" w:type="dxa"/>
                  </w:tcMar>
                  <w:vAlign w:val="center"/>
                </w:tcPr>
                <w:p>
                  <w:pPr>
                    <w:spacing w:line="400" w:lineRule="exact"/>
                    <w:jc w:val="center"/>
                    <w:rPr>
                      <w:color w:val="000000" w:themeColor="text1"/>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264" w:type="dxa"/>
                  <w:gridSpan w:val="2"/>
                  <w:tcMar>
                    <w:left w:w="0" w:type="dxa"/>
                    <w:right w:w="0" w:type="dxa"/>
                  </w:tcMar>
                  <w:vAlign w:val="center"/>
                </w:tcPr>
                <w:p>
                  <w:pPr>
                    <w:pStyle w:val="96"/>
                    <w:snapToGrid w:val="0"/>
                    <w:spacing w:line="400" w:lineRule="exact"/>
                    <w:rPr>
                      <w:color w:val="000000" w:themeColor="text1"/>
                      <w:sz w:val="21"/>
                      <w:szCs w:val="21"/>
                      <w:highlight w:val="none"/>
                      <w:u w:val="single"/>
                    </w:rPr>
                  </w:pPr>
                  <w:r>
                    <w:rPr>
                      <w:color w:val="000000" w:themeColor="text1"/>
                      <w:sz w:val="21"/>
                      <w:szCs w:val="21"/>
                      <w:highlight w:val="none"/>
                    </w:rPr>
                    <w:t>废生物培养基</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一般固废</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0.02</w:t>
                  </w:r>
                </w:p>
              </w:tc>
              <w:tc>
                <w:tcPr>
                  <w:tcW w:w="2118" w:type="dxa"/>
                  <w:tcMar>
                    <w:left w:w="0" w:type="dxa"/>
                    <w:right w:w="0" w:type="dxa"/>
                  </w:tcMar>
                  <w:vAlign w:val="center"/>
                </w:tcPr>
                <w:p>
                  <w:pPr>
                    <w:spacing w:line="400" w:lineRule="exact"/>
                    <w:jc w:val="center"/>
                    <w:rPr>
                      <w:color w:val="000000" w:themeColor="text1"/>
                      <w:sz w:val="21"/>
                      <w:szCs w:val="21"/>
                      <w:highlight w:val="none"/>
                    </w:rPr>
                  </w:pPr>
                  <w:r>
                    <w:rPr>
                      <w:rFonts w:hint="eastAsia"/>
                      <w:color w:val="000000" w:themeColor="text1"/>
                      <w:sz w:val="21"/>
                      <w:szCs w:val="21"/>
                      <w:highlight w:val="none"/>
                    </w:rPr>
                    <w:t>经高压灭菌锅灭活处理后与生活垃圾一并由当地环卫部门处置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264" w:type="dxa"/>
                  <w:gridSpan w:val="2"/>
                  <w:tcMar>
                    <w:left w:w="0" w:type="dxa"/>
                    <w:right w:w="0" w:type="dxa"/>
                  </w:tcMar>
                  <w:vAlign w:val="center"/>
                </w:tcPr>
                <w:p>
                  <w:pPr>
                    <w:pStyle w:val="96"/>
                    <w:snapToGrid w:val="0"/>
                    <w:spacing w:line="400" w:lineRule="exact"/>
                    <w:rPr>
                      <w:color w:val="000000" w:themeColor="text1"/>
                      <w:sz w:val="21"/>
                      <w:szCs w:val="21"/>
                      <w:highlight w:val="none"/>
                      <w:u w:val="single"/>
                    </w:rPr>
                  </w:pPr>
                  <w:r>
                    <w:rPr>
                      <w:color w:val="000000" w:themeColor="text1"/>
                      <w:sz w:val="21"/>
                      <w:szCs w:val="21"/>
                      <w:highlight w:val="none"/>
                    </w:rPr>
                    <w:t>不含危险化学品的废纸箱、废塑料、玻璃瓶、不含重金属或重金属未超标的废土壤样品等固态物质</w:t>
                  </w:r>
                </w:p>
              </w:tc>
              <w:tc>
                <w:tcPr>
                  <w:tcW w:w="2355" w:type="dxa"/>
                  <w:tcMar>
                    <w:left w:w="0" w:type="dxa"/>
                    <w:right w:w="0" w:type="dxa"/>
                  </w:tcMar>
                  <w:vAlign w:val="center"/>
                </w:tcPr>
                <w:p>
                  <w:pPr>
                    <w:pStyle w:val="96"/>
                    <w:snapToGrid w:val="0"/>
                    <w:spacing w:line="400" w:lineRule="exact"/>
                    <w:rPr>
                      <w:color w:val="000000" w:themeColor="text1"/>
                      <w:sz w:val="21"/>
                      <w:szCs w:val="21"/>
                      <w:highlight w:val="none"/>
                    </w:rPr>
                  </w:pPr>
                  <w:r>
                    <w:rPr>
                      <w:rFonts w:hint="eastAsia"/>
                      <w:color w:val="000000" w:themeColor="text1"/>
                      <w:sz w:val="21"/>
                      <w:szCs w:val="21"/>
                      <w:highlight w:val="none"/>
                    </w:rPr>
                    <w:t>一般固废</w:t>
                  </w:r>
                </w:p>
              </w:tc>
              <w:tc>
                <w:tcPr>
                  <w:tcW w:w="1280" w:type="dxa"/>
                  <w:tcMar>
                    <w:left w:w="0" w:type="dxa"/>
                    <w:right w:w="0" w:type="dxa"/>
                  </w:tcMar>
                  <w:vAlign w:val="center"/>
                </w:tcPr>
                <w:p>
                  <w:pPr>
                    <w:pStyle w:val="96"/>
                    <w:snapToGrid w:val="0"/>
                    <w:spacing w:line="360" w:lineRule="exact"/>
                    <w:rPr>
                      <w:color w:val="000000" w:themeColor="text1"/>
                      <w:sz w:val="21"/>
                      <w:szCs w:val="21"/>
                      <w:highlight w:val="none"/>
                    </w:rPr>
                  </w:pPr>
                  <w:r>
                    <w:rPr>
                      <w:rFonts w:hint="eastAsia"/>
                      <w:color w:val="000000" w:themeColor="text1"/>
                      <w:sz w:val="21"/>
                      <w:szCs w:val="21"/>
                      <w:highlight w:val="none"/>
                    </w:rPr>
                    <w:t>0.4</w:t>
                  </w:r>
                </w:p>
              </w:tc>
              <w:tc>
                <w:tcPr>
                  <w:tcW w:w="2118" w:type="dxa"/>
                  <w:tcMar>
                    <w:left w:w="0" w:type="dxa"/>
                    <w:right w:w="0" w:type="dxa"/>
                  </w:tcMar>
                  <w:vAlign w:val="center"/>
                </w:tcPr>
                <w:p>
                  <w:pPr>
                    <w:spacing w:line="400" w:lineRule="exact"/>
                    <w:jc w:val="center"/>
                    <w:rPr>
                      <w:color w:val="000000" w:themeColor="text1"/>
                      <w:sz w:val="21"/>
                      <w:szCs w:val="21"/>
                      <w:highlight w:val="none"/>
                    </w:rPr>
                  </w:pPr>
                  <w:r>
                    <w:rPr>
                      <w:rFonts w:hint="eastAsia"/>
                      <w:color w:val="000000" w:themeColor="text1"/>
                      <w:sz w:val="21"/>
                      <w:szCs w:val="21"/>
                      <w:highlight w:val="none"/>
                    </w:rPr>
                    <w:t>废纸箱、玻璃瓶由废品回收站回收，废塑料、不含重金属或重金属未超标的废土壤样品等固态物质作为生活垃圾由环卫部门统一收集处置</w:t>
                  </w:r>
                </w:p>
              </w:tc>
            </w:tr>
          </w:tbl>
          <w:p>
            <w:pPr>
              <w:pStyle w:val="2"/>
              <w:numPr>
                <w:ilvl w:val="255"/>
                <w:numId w:val="0"/>
              </w:numPr>
              <w:ind w:firstLine="480" w:firstLineChars="200"/>
              <w:rPr>
                <w:color w:val="000000" w:themeColor="text1"/>
                <w:highlight w:val="red"/>
              </w:rPr>
            </w:pPr>
          </w:p>
          <w:p>
            <w:pPr>
              <w:pStyle w:val="2"/>
              <w:numPr>
                <w:ilvl w:val="255"/>
                <w:numId w:val="0"/>
              </w:numPr>
              <w:rPr>
                <w:color w:val="000000" w:themeColor="text1"/>
                <w:highlight w:val="red"/>
              </w:rPr>
            </w:pPr>
          </w:p>
        </w:tc>
      </w:tr>
    </w:tbl>
    <w:p>
      <w:pPr>
        <w:spacing w:line="440" w:lineRule="exact"/>
        <w:jc w:val="left"/>
        <w:rPr>
          <w:b/>
          <w:bCs/>
          <w:color w:val="000000" w:themeColor="text1"/>
          <w:sz w:val="30"/>
          <w:szCs w:val="30"/>
          <w:highlight w:val="red"/>
        </w:rPr>
        <w:sectPr>
          <w:pgSz w:w="11907" w:h="16840"/>
          <w:pgMar w:top="1418" w:right="1418" w:bottom="1134" w:left="1418" w:header="1134" w:footer="1134" w:gutter="0"/>
          <w:pgNumType w:fmt="decimal"/>
          <w:cols w:space="720" w:num="1"/>
          <w:docGrid w:type="linesAndChars" w:linePitch="312" w:charSpace="0"/>
        </w:sectPr>
      </w:pPr>
    </w:p>
    <w:p>
      <w:pPr>
        <w:spacing w:line="440" w:lineRule="exact"/>
        <w:jc w:val="left"/>
        <w:outlineLvl w:val="0"/>
        <w:rPr>
          <w:b/>
          <w:bCs/>
          <w:color w:val="000000" w:themeColor="text1"/>
          <w:sz w:val="30"/>
          <w:szCs w:val="30"/>
          <w:highlight w:val="none"/>
        </w:rPr>
      </w:pPr>
      <w:bookmarkStart w:id="22" w:name="_Toc11273"/>
      <w:r>
        <w:rPr>
          <w:b/>
          <w:bCs/>
          <w:color w:val="000000" w:themeColor="text1"/>
          <w:sz w:val="30"/>
          <w:szCs w:val="30"/>
          <w:highlight w:val="none"/>
        </w:rPr>
        <w:t>项目主要污染物产生及预计排放情况</w:t>
      </w:r>
      <w:bookmarkEnd w:id="22"/>
    </w:p>
    <w:tbl>
      <w:tblPr>
        <w:tblStyle w:val="34"/>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
        <w:gridCol w:w="976"/>
        <w:gridCol w:w="817"/>
        <w:gridCol w:w="525"/>
        <w:gridCol w:w="12"/>
        <w:gridCol w:w="1503"/>
        <w:gridCol w:w="2370"/>
        <w:gridCol w:w="2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1294" w:type="dxa"/>
            <w:gridSpan w:val="2"/>
            <w:tcBorders>
              <w:tl2br w:val="single" w:color="auto" w:sz="4" w:space="0"/>
            </w:tcBorders>
            <w:tcMar>
              <w:left w:w="0" w:type="dxa"/>
              <w:right w:w="0" w:type="dxa"/>
            </w:tcMar>
            <w:vAlign w:val="center"/>
          </w:tcPr>
          <w:p>
            <w:pPr>
              <w:spacing w:line="400" w:lineRule="exact"/>
              <w:ind w:firstLine="630" w:firstLineChars="300"/>
              <w:jc w:val="center"/>
              <w:rPr>
                <w:color w:val="000000" w:themeColor="text1"/>
                <w:sz w:val="21"/>
                <w:szCs w:val="21"/>
                <w:highlight w:val="none"/>
              </w:rPr>
            </w:pPr>
            <w:r>
              <w:rPr>
                <w:color w:val="000000" w:themeColor="text1"/>
                <w:sz w:val="21"/>
                <w:szCs w:val="21"/>
                <w:highlight w:val="none"/>
              </w:rPr>
              <w:t>内容</w:t>
            </w:r>
          </w:p>
          <w:p>
            <w:pPr>
              <w:spacing w:line="400" w:lineRule="exact"/>
              <w:rPr>
                <w:color w:val="000000" w:themeColor="text1"/>
                <w:sz w:val="21"/>
                <w:szCs w:val="21"/>
                <w:highlight w:val="none"/>
              </w:rPr>
            </w:pPr>
            <w:r>
              <w:rPr>
                <w:color w:val="000000" w:themeColor="text1"/>
                <w:sz w:val="21"/>
                <w:szCs w:val="21"/>
                <w:highlight w:val="none"/>
              </w:rPr>
              <w:t>类型</w:t>
            </w:r>
          </w:p>
        </w:tc>
        <w:tc>
          <w:tcPr>
            <w:tcW w:w="1342" w:type="dxa"/>
            <w:gridSpan w:val="2"/>
            <w:tcMar>
              <w:left w:w="0" w:type="dxa"/>
              <w:right w:w="0" w:type="dxa"/>
            </w:tcMar>
            <w:vAlign w:val="center"/>
          </w:tcPr>
          <w:p>
            <w:pPr>
              <w:spacing w:line="400" w:lineRule="exact"/>
              <w:jc w:val="center"/>
              <w:rPr>
                <w:color w:val="000000" w:themeColor="text1"/>
                <w:sz w:val="21"/>
                <w:szCs w:val="21"/>
                <w:highlight w:val="none"/>
              </w:rPr>
            </w:pPr>
            <w:r>
              <w:rPr>
                <w:color w:val="000000" w:themeColor="text1"/>
                <w:sz w:val="21"/>
                <w:szCs w:val="21"/>
                <w:highlight w:val="none"/>
              </w:rPr>
              <w:t>排放源（编号）</w:t>
            </w:r>
          </w:p>
        </w:tc>
        <w:tc>
          <w:tcPr>
            <w:tcW w:w="1515" w:type="dxa"/>
            <w:gridSpan w:val="2"/>
            <w:tcBorders>
              <w:bottom w:val="single" w:color="auto" w:sz="4" w:space="0"/>
            </w:tcBorders>
            <w:tcMar>
              <w:left w:w="0" w:type="dxa"/>
              <w:right w:w="0" w:type="dxa"/>
            </w:tcMar>
            <w:vAlign w:val="center"/>
          </w:tcPr>
          <w:p>
            <w:pPr>
              <w:spacing w:line="400" w:lineRule="exact"/>
              <w:jc w:val="center"/>
              <w:rPr>
                <w:color w:val="000000" w:themeColor="text1"/>
                <w:sz w:val="21"/>
                <w:szCs w:val="21"/>
                <w:highlight w:val="none"/>
              </w:rPr>
            </w:pPr>
            <w:r>
              <w:rPr>
                <w:color w:val="000000" w:themeColor="text1"/>
                <w:sz w:val="21"/>
                <w:szCs w:val="21"/>
                <w:highlight w:val="none"/>
              </w:rPr>
              <w:t>污染物名称</w:t>
            </w:r>
          </w:p>
        </w:tc>
        <w:tc>
          <w:tcPr>
            <w:tcW w:w="2370" w:type="dxa"/>
            <w:tcMar>
              <w:left w:w="0" w:type="dxa"/>
              <w:right w:w="0" w:type="dxa"/>
            </w:tcMar>
            <w:vAlign w:val="center"/>
          </w:tcPr>
          <w:p>
            <w:pPr>
              <w:spacing w:line="400" w:lineRule="exact"/>
              <w:jc w:val="center"/>
              <w:rPr>
                <w:color w:val="000000" w:themeColor="text1"/>
                <w:sz w:val="21"/>
                <w:szCs w:val="21"/>
                <w:highlight w:val="none"/>
              </w:rPr>
            </w:pPr>
            <w:r>
              <w:rPr>
                <w:color w:val="000000" w:themeColor="text1"/>
                <w:sz w:val="21"/>
                <w:szCs w:val="21"/>
                <w:highlight w:val="none"/>
              </w:rPr>
              <w:t>处理前产生浓度及产生量（单位）</w:t>
            </w:r>
          </w:p>
        </w:tc>
        <w:tc>
          <w:tcPr>
            <w:tcW w:w="2716" w:type="dxa"/>
            <w:tcMar>
              <w:left w:w="0" w:type="dxa"/>
              <w:right w:w="0" w:type="dxa"/>
            </w:tcMar>
            <w:vAlign w:val="center"/>
          </w:tcPr>
          <w:p>
            <w:pPr>
              <w:spacing w:line="400" w:lineRule="exact"/>
              <w:jc w:val="center"/>
              <w:rPr>
                <w:color w:val="000000" w:themeColor="text1"/>
                <w:sz w:val="21"/>
                <w:szCs w:val="21"/>
                <w:highlight w:val="none"/>
              </w:rPr>
            </w:pPr>
            <w:r>
              <w:rPr>
                <w:color w:val="000000" w:themeColor="text1"/>
                <w:sz w:val="21"/>
                <w:szCs w:val="21"/>
                <w:highlight w:val="none"/>
              </w:rPr>
              <w:t>排放浓度及排放量</w:t>
            </w:r>
          </w:p>
          <w:p>
            <w:pPr>
              <w:spacing w:line="400" w:lineRule="exact"/>
              <w:jc w:val="center"/>
              <w:rPr>
                <w:color w:val="000000" w:themeColor="text1"/>
                <w:sz w:val="21"/>
                <w:szCs w:val="21"/>
                <w:highlight w:val="none"/>
              </w:rPr>
            </w:pPr>
            <w:r>
              <w:rPr>
                <w:color w:val="000000" w:themeColor="text1"/>
                <w:sz w:val="21"/>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restart"/>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r>
              <w:rPr>
                <w:color w:val="000000" w:themeColor="text1"/>
                <w:sz w:val="21"/>
                <w:szCs w:val="21"/>
                <w:highlight w:val="none"/>
              </w:rPr>
              <w:t>营     运     期</w:t>
            </w:r>
          </w:p>
        </w:tc>
        <w:tc>
          <w:tcPr>
            <w:tcW w:w="976" w:type="dxa"/>
            <w:vMerge w:val="restart"/>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空气污染物</w:t>
            </w:r>
          </w:p>
        </w:tc>
        <w:tc>
          <w:tcPr>
            <w:tcW w:w="1342" w:type="dxa"/>
            <w:gridSpan w:val="2"/>
            <w:vMerge w:val="restart"/>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实验室</w:t>
            </w: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异味</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少量</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酸雾</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少量</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极少量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bookmarkStart w:id="23" w:name="_Hlk258879404"/>
          </w:p>
        </w:tc>
        <w:tc>
          <w:tcPr>
            <w:tcW w:w="976" w:type="dxa"/>
            <w:vMerge w:val="restart"/>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水污染物</w:t>
            </w:r>
          </w:p>
        </w:tc>
        <w:tc>
          <w:tcPr>
            <w:tcW w:w="1342" w:type="dxa"/>
            <w:gridSpan w:val="2"/>
            <w:vMerge w:val="restart"/>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生活废水</w:t>
            </w:r>
          </w:p>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（220m</w:t>
            </w:r>
            <w:r>
              <w:rPr>
                <w:color w:val="000000" w:themeColor="text1"/>
                <w:sz w:val="21"/>
                <w:szCs w:val="21"/>
                <w:highlight w:val="none"/>
                <w:shd w:val="clear" w:color="auto" w:fill="FFFFFF"/>
                <w:vertAlign w:val="superscript"/>
              </w:rPr>
              <w:t>3</w:t>
            </w:r>
            <w:r>
              <w:rPr>
                <w:color w:val="000000" w:themeColor="text1"/>
                <w:sz w:val="21"/>
                <w:szCs w:val="21"/>
                <w:highlight w:val="none"/>
                <w:shd w:val="clear" w:color="auto" w:fill="FFFFFF"/>
              </w:rPr>
              <w:t>/a</w:t>
            </w:r>
            <w:r>
              <w:rPr>
                <w:rFonts w:hint="eastAsia"/>
                <w:color w:val="000000" w:themeColor="text1"/>
                <w:sz w:val="21"/>
                <w:szCs w:val="21"/>
                <w:highlight w:val="none"/>
                <w:shd w:val="clear" w:color="auto" w:fill="FFFFFF"/>
              </w:rPr>
              <w:t>）</w:t>
            </w: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pH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6-9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 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COD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350mg/L，</w:t>
            </w:r>
            <w:r>
              <w:rPr>
                <w:rFonts w:hint="eastAsia"/>
                <w:color w:val="000000" w:themeColor="text1"/>
                <w:sz w:val="21"/>
                <w:szCs w:val="21"/>
                <w:highlight w:val="none"/>
                <w:shd w:val="clear" w:color="auto" w:fill="FFFFFF"/>
              </w:rPr>
              <w:t>0.077</w:t>
            </w:r>
            <w:r>
              <w:rPr>
                <w:color w:val="000000" w:themeColor="text1"/>
                <w:sz w:val="21"/>
                <w:szCs w:val="21"/>
                <w:highlight w:val="none"/>
                <w:shd w:val="clear" w:color="auto" w:fill="FFFFFF"/>
              </w:rPr>
              <w:t>t/a</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50mg/L，0.0</w:t>
            </w:r>
            <w:r>
              <w:rPr>
                <w:rFonts w:hint="eastAsia"/>
                <w:color w:val="000000" w:themeColor="text1"/>
                <w:sz w:val="21"/>
                <w:szCs w:val="21"/>
                <w:highlight w:val="none"/>
                <w:shd w:val="clear" w:color="auto" w:fill="FFFFFF"/>
              </w:rPr>
              <w:t>11</w:t>
            </w:r>
            <w:r>
              <w:rPr>
                <w:color w:val="000000" w:themeColor="text1"/>
                <w:sz w:val="21"/>
                <w:szCs w:val="21"/>
                <w:highlight w:val="none"/>
                <w:shd w:val="clear" w:color="auto" w:fill="FFFFFF"/>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BOD</w:t>
            </w:r>
            <w:r>
              <w:rPr>
                <w:color w:val="000000" w:themeColor="text1"/>
                <w:sz w:val="21"/>
                <w:szCs w:val="21"/>
                <w:highlight w:val="none"/>
                <w:shd w:val="clear" w:color="auto" w:fill="FFFFFF"/>
                <w:vertAlign w:val="subscript"/>
              </w:rPr>
              <w:t>5</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 150mg/L，</w:t>
            </w:r>
            <w:r>
              <w:rPr>
                <w:rFonts w:hint="eastAsia"/>
                <w:color w:val="000000" w:themeColor="text1"/>
                <w:sz w:val="21"/>
                <w:szCs w:val="21"/>
                <w:highlight w:val="none"/>
                <w:shd w:val="clear" w:color="auto" w:fill="FFFFFF"/>
              </w:rPr>
              <w:t>0.033</w:t>
            </w:r>
            <w:r>
              <w:rPr>
                <w:color w:val="000000" w:themeColor="text1"/>
                <w:sz w:val="21"/>
                <w:szCs w:val="21"/>
                <w:highlight w:val="none"/>
                <w:shd w:val="clear" w:color="auto" w:fill="FFFFFF"/>
              </w:rPr>
              <w:t xml:space="preserve">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 10mg/L，0.00</w:t>
            </w:r>
            <w:r>
              <w:rPr>
                <w:rFonts w:hint="eastAsia"/>
                <w:color w:val="000000" w:themeColor="text1"/>
                <w:sz w:val="21"/>
                <w:szCs w:val="21"/>
                <w:highlight w:val="none"/>
                <w:shd w:val="clear" w:color="auto" w:fill="FFFFFF"/>
              </w:rPr>
              <w:t>2</w:t>
            </w:r>
            <w:r>
              <w:rPr>
                <w:color w:val="000000" w:themeColor="text1"/>
                <w:sz w:val="21"/>
                <w:szCs w:val="21"/>
                <w:highlight w:val="none"/>
                <w:shd w:val="clear" w:color="auto" w:fill="FFFFFF"/>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SS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150mg/L，</w:t>
            </w:r>
            <w:r>
              <w:rPr>
                <w:rFonts w:hint="eastAsia"/>
                <w:color w:val="000000" w:themeColor="text1"/>
                <w:sz w:val="21"/>
                <w:szCs w:val="21"/>
                <w:highlight w:val="none"/>
                <w:shd w:val="clear" w:color="auto" w:fill="FFFFFF"/>
              </w:rPr>
              <w:t>0.033</w:t>
            </w:r>
            <w:r>
              <w:rPr>
                <w:color w:val="000000" w:themeColor="text1"/>
                <w:sz w:val="21"/>
                <w:szCs w:val="21"/>
                <w:highlight w:val="none"/>
                <w:shd w:val="clear" w:color="auto" w:fill="FFFFFF"/>
              </w:rPr>
              <w:t xml:space="preserve">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 10mg/L，0.00</w:t>
            </w:r>
            <w:r>
              <w:rPr>
                <w:rFonts w:hint="eastAsia"/>
                <w:color w:val="000000" w:themeColor="text1"/>
                <w:sz w:val="21"/>
                <w:szCs w:val="21"/>
                <w:highlight w:val="none"/>
                <w:shd w:val="clear" w:color="auto" w:fill="FFFFFF"/>
              </w:rPr>
              <w:t>2</w:t>
            </w:r>
            <w:r>
              <w:rPr>
                <w:color w:val="000000" w:themeColor="text1"/>
                <w:sz w:val="21"/>
                <w:szCs w:val="21"/>
                <w:highlight w:val="none"/>
                <w:shd w:val="clear" w:color="auto" w:fill="FFFFFF"/>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NH</w:t>
            </w:r>
            <w:r>
              <w:rPr>
                <w:color w:val="000000" w:themeColor="text1"/>
                <w:sz w:val="21"/>
                <w:szCs w:val="21"/>
                <w:highlight w:val="none"/>
                <w:shd w:val="clear" w:color="auto" w:fill="FFFFFF"/>
                <w:vertAlign w:val="subscript"/>
              </w:rPr>
              <w:t>3</w:t>
            </w:r>
            <w:r>
              <w:rPr>
                <w:color w:val="000000" w:themeColor="text1"/>
                <w:sz w:val="21"/>
                <w:szCs w:val="21"/>
                <w:highlight w:val="none"/>
                <w:shd w:val="clear" w:color="auto" w:fill="FFFFFF"/>
              </w:rPr>
              <w:t xml:space="preserve"> -N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35mg/L，</w:t>
            </w:r>
            <w:r>
              <w:rPr>
                <w:rFonts w:hint="eastAsia"/>
                <w:color w:val="000000" w:themeColor="text1"/>
                <w:sz w:val="21"/>
                <w:szCs w:val="21"/>
                <w:highlight w:val="none"/>
                <w:shd w:val="clear" w:color="auto" w:fill="FFFFFF"/>
              </w:rPr>
              <w:t>0.008</w:t>
            </w:r>
            <w:r>
              <w:rPr>
                <w:color w:val="000000" w:themeColor="text1"/>
                <w:sz w:val="21"/>
                <w:szCs w:val="21"/>
                <w:highlight w:val="none"/>
                <w:shd w:val="clear" w:color="auto" w:fill="FFFFFF"/>
              </w:rPr>
              <w:t>t/a</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5mg/L，0.00</w:t>
            </w:r>
            <w:r>
              <w:rPr>
                <w:rFonts w:hint="eastAsia"/>
                <w:color w:val="000000" w:themeColor="text1"/>
                <w:sz w:val="21"/>
                <w:szCs w:val="21"/>
                <w:highlight w:val="none"/>
                <w:shd w:val="clear" w:color="auto" w:fill="FFFFFF"/>
              </w:rPr>
              <w:t>1</w:t>
            </w:r>
            <w:r>
              <w:rPr>
                <w:color w:val="000000" w:themeColor="text1"/>
                <w:sz w:val="21"/>
                <w:szCs w:val="21"/>
                <w:highlight w:val="none"/>
                <w:shd w:val="clear" w:color="auto" w:fill="FFFFFF"/>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restart"/>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纯水制备尾水</w:t>
            </w:r>
          </w:p>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w:t>
            </w:r>
            <w:r>
              <w:rPr>
                <w:rFonts w:hint="eastAsia"/>
                <w:color w:val="000000" w:themeColor="text1"/>
                <w:sz w:val="21"/>
                <w:szCs w:val="21"/>
                <w:highlight w:val="none"/>
                <w:shd w:val="clear" w:color="auto" w:fill="FFFFFF"/>
              </w:rPr>
              <w:t>1.25</w:t>
            </w:r>
            <w:r>
              <w:rPr>
                <w:color w:val="000000" w:themeColor="text1"/>
                <w:sz w:val="21"/>
                <w:szCs w:val="21"/>
                <w:highlight w:val="none"/>
                <w:shd w:val="clear" w:color="auto" w:fill="FFFFFF"/>
              </w:rPr>
              <w:t>m</w:t>
            </w:r>
            <w:r>
              <w:rPr>
                <w:color w:val="000000" w:themeColor="text1"/>
                <w:sz w:val="21"/>
                <w:szCs w:val="21"/>
                <w:highlight w:val="none"/>
                <w:shd w:val="clear" w:color="auto" w:fill="FFFFFF"/>
                <w:vertAlign w:val="superscript"/>
              </w:rPr>
              <w:t>3</w:t>
            </w:r>
            <w:r>
              <w:rPr>
                <w:color w:val="000000" w:themeColor="text1"/>
                <w:sz w:val="21"/>
                <w:szCs w:val="21"/>
                <w:highlight w:val="none"/>
                <w:shd w:val="clear" w:color="auto" w:fill="FFFFFF"/>
              </w:rPr>
              <w:t>/a）</w:t>
            </w: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pH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6-9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 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COD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60mg/L，0.0000</w:t>
            </w:r>
            <w:r>
              <w:rPr>
                <w:rFonts w:hint="eastAsia"/>
                <w:color w:val="000000" w:themeColor="text1"/>
                <w:sz w:val="21"/>
                <w:szCs w:val="21"/>
                <w:highlight w:val="none"/>
                <w:shd w:val="clear" w:color="auto" w:fill="FFFFFF"/>
              </w:rPr>
              <w:t>75</w:t>
            </w:r>
            <w:r>
              <w:rPr>
                <w:color w:val="000000" w:themeColor="text1"/>
                <w:sz w:val="21"/>
                <w:szCs w:val="21"/>
                <w:highlight w:val="none"/>
                <w:shd w:val="clear" w:color="auto" w:fill="FFFFFF"/>
              </w:rPr>
              <w:t>t/a</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50mg/L，0.0000</w:t>
            </w:r>
            <w:r>
              <w:rPr>
                <w:rFonts w:hint="eastAsia"/>
                <w:color w:val="000000" w:themeColor="text1"/>
                <w:sz w:val="21"/>
                <w:szCs w:val="21"/>
                <w:highlight w:val="none"/>
                <w:shd w:val="clear" w:color="auto" w:fill="FFFFFF"/>
              </w:rPr>
              <w:t>63</w:t>
            </w:r>
            <w:r>
              <w:rPr>
                <w:color w:val="000000" w:themeColor="text1"/>
                <w:sz w:val="21"/>
                <w:szCs w:val="21"/>
                <w:highlight w:val="none"/>
                <w:shd w:val="clear" w:color="auto" w:fill="FFFFFF"/>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BOD</w:t>
            </w:r>
            <w:r>
              <w:rPr>
                <w:color w:val="000000" w:themeColor="text1"/>
                <w:sz w:val="21"/>
                <w:szCs w:val="21"/>
                <w:highlight w:val="none"/>
                <w:shd w:val="clear" w:color="auto" w:fill="FFFFFF"/>
                <w:vertAlign w:val="subscript"/>
              </w:rPr>
              <w:t>5</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20mg/L，0.0000</w:t>
            </w:r>
            <w:r>
              <w:rPr>
                <w:rFonts w:hint="eastAsia"/>
                <w:color w:val="000000" w:themeColor="text1"/>
                <w:sz w:val="21"/>
                <w:szCs w:val="21"/>
                <w:highlight w:val="none"/>
                <w:shd w:val="clear" w:color="auto" w:fill="FFFFFF"/>
              </w:rPr>
              <w:t>25</w:t>
            </w:r>
            <w:r>
              <w:rPr>
                <w:color w:val="000000" w:themeColor="text1"/>
                <w:sz w:val="21"/>
                <w:szCs w:val="21"/>
                <w:highlight w:val="none"/>
                <w:shd w:val="clear" w:color="auto" w:fill="FFFFFF"/>
              </w:rPr>
              <w:t xml:space="preserve">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10mg/L，0.0000</w:t>
            </w:r>
            <w:r>
              <w:rPr>
                <w:rFonts w:hint="eastAsia"/>
                <w:color w:val="000000" w:themeColor="text1"/>
                <w:sz w:val="21"/>
                <w:szCs w:val="21"/>
                <w:highlight w:val="none"/>
                <w:shd w:val="clear" w:color="auto" w:fill="FFFFFF"/>
              </w:rPr>
              <w:t>13</w:t>
            </w:r>
            <w:r>
              <w:rPr>
                <w:color w:val="000000" w:themeColor="text1"/>
                <w:sz w:val="21"/>
                <w:szCs w:val="21"/>
                <w:highlight w:val="none"/>
                <w:shd w:val="clear" w:color="auto" w:fill="FFFFFF"/>
              </w:rPr>
              <w:t>t/a</w:t>
            </w:r>
          </w:p>
        </w:tc>
      </w:tr>
      <w:bookmarkEnd w:id="23"/>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SS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3</w:t>
            </w:r>
            <w:r>
              <w:rPr>
                <w:rFonts w:hint="eastAsia"/>
                <w:color w:val="000000" w:themeColor="text1"/>
                <w:sz w:val="21"/>
                <w:szCs w:val="21"/>
                <w:highlight w:val="none"/>
                <w:shd w:val="clear" w:color="auto" w:fill="FFFFFF"/>
              </w:rPr>
              <w:t>0</w:t>
            </w:r>
            <w:r>
              <w:rPr>
                <w:color w:val="000000" w:themeColor="text1"/>
                <w:sz w:val="21"/>
                <w:szCs w:val="21"/>
                <w:highlight w:val="none"/>
                <w:shd w:val="clear" w:color="auto" w:fill="FFFFFF"/>
              </w:rPr>
              <w:t>0mg/L，0.000</w:t>
            </w:r>
            <w:r>
              <w:rPr>
                <w:rFonts w:hint="eastAsia"/>
                <w:color w:val="000000" w:themeColor="text1"/>
                <w:sz w:val="21"/>
                <w:szCs w:val="21"/>
                <w:highlight w:val="none"/>
                <w:shd w:val="clear" w:color="auto" w:fill="FFFFFF"/>
              </w:rPr>
              <w:t>37</w:t>
            </w:r>
            <w:r>
              <w:rPr>
                <w:color w:val="000000" w:themeColor="text1"/>
                <w:sz w:val="21"/>
                <w:szCs w:val="21"/>
                <w:highlight w:val="none"/>
                <w:shd w:val="clear" w:color="auto" w:fill="FFFFFF"/>
              </w:rPr>
              <w:t xml:space="preserve">5t/a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10mg/L，0.000</w:t>
            </w:r>
            <w:r>
              <w:rPr>
                <w:rFonts w:hint="eastAsia"/>
                <w:color w:val="000000" w:themeColor="text1"/>
                <w:sz w:val="21"/>
                <w:szCs w:val="21"/>
                <w:highlight w:val="none"/>
                <w:shd w:val="clear" w:color="auto" w:fill="FFFFFF"/>
              </w:rPr>
              <w:t>012</w:t>
            </w:r>
            <w:r>
              <w:rPr>
                <w:color w:val="000000" w:themeColor="text1"/>
                <w:sz w:val="21"/>
                <w:szCs w:val="21"/>
                <w:highlight w:val="none"/>
                <w:shd w:val="clear" w:color="auto" w:fill="FFFFFF"/>
              </w:rPr>
              <w:t>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NH</w:t>
            </w:r>
            <w:r>
              <w:rPr>
                <w:color w:val="000000" w:themeColor="text1"/>
                <w:sz w:val="21"/>
                <w:szCs w:val="21"/>
                <w:highlight w:val="none"/>
                <w:shd w:val="clear" w:color="auto" w:fill="FFFFFF"/>
                <w:vertAlign w:val="subscript"/>
              </w:rPr>
              <w:t>3</w:t>
            </w:r>
            <w:r>
              <w:rPr>
                <w:color w:val="000000" w:themeColor="text1"/>
                <w:sz w:val="21"/>
                <w:szCs w:val="21"/>
                <w:highlight w:val="none"/>
                <w:shd w:val="clear" w:color="auto" w:fill="FFFFFF"/>
              </w:rPr>
              <w:t xml:space="preserve"> -N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1</w:t>
            </w:r>
            <w:r>
              <w:rPr>
                <w:color w:val="000000" w:themeColor="text1"/>
                <w:sz w:val="21"/>
                <w:szCs w:val="21"/>
                <w:highlight w:val="none"/>
                <w:shd w:val="clear" w:color="auto" w:fill="FFFFFF"/>
              </w:rPr>
              <w:t xml:space="preserve">0mg/L，0.000005t/a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5mg/L，0.000003t/a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restart"/>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仪器、器皿与实验操作台清洗废水</w:t>
            </w:r>
          </w:p>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（40m</w:t>
            </w:r>
            <w:r>
              <w:rPr>
                <w:color w:val="000000" w:themeColor="text1"/>
                <w:sz w:val="21"/>
                <w:szCs w:val="21"/>
                <w:highlight w:val="none"/>
                <w:shd w:val="clear" w:color="auto" w:fill="FFFFFF"/>
                <w:vertAlign w:val="superscript"/>
              </w:rPr>
              <w:t>3</w:t>
            </w:r>
            <w:r>
              <w:rPr>
                <w:color w:val="000000" w:themeColor="text1"/>
                <w:sz w:val="21"/>
                <w:szCs w:val="21"/>
                <w:highlight w:val="none"/>
                <w:shd w:val="clear" w:color="auto" w:fill="FFFFFF"/>
              </w:rPr>
              <w:t>/a）</w:t>
            </w: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pH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2</w:t>
            </w:r>
            <w:r>
              <w:rPr>
                <w:color w:val="000000" w:themeColor="text1"/>
                <w:sz w:val="21"/>
                <w:szCs w:val="21"/>
                <w:highlight w:val="none"/>
                <w:shd w:val="clear" w:color="auto" w:fill="FFFFFF"/>
              </w:rPr>
              <w:t>-</w:t>
            </w:r>
            <w:r>
              <w:rPr>
                <w:rFonts w:hint="eastAsia"/>
                <w:color w:val="000000" w:themeColor="text1"/>
                <w:sz w:val="21"/>
                <w:szCs w:val="21"/>
                <w:highlight w:val="none"/>
                <w:shd w:val="clear" w:color="auto" w:fill="FFFFFF"/>
              </w:rPr>
              <w:t>11</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 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COD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400mg/L，0.016t/a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50mg/L，0.002t/a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BOD</w:t>
            </w:r>
            <w:r>
              <w:rPr>
                <w:color w:val="000000" w:themeColor="text1"/>
                <w:sz w:val="21"/>
                <w:szCs w:val="21"/>
                <w:highlight w:val="none"/>
                <w:shd w:val="clear" w:color="auto" w:fill="FFFFFF"/>
                <w:vertAlign w:val="subscript"/>
              </w:rPr>
              <w:t>5</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200mg/L，0.008t/a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10mg/L，0.0004t/a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SS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350mg/L，0.014t/a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10mg/L，0.0004t/a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342"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15" w:type="dxa"/>
            <w:gridSpan w:val="2"/>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NH</w:t>
            </w:r>
            <w:r>
              <w:rPr>
                <w:color w:val="000000" w:themeColor="text1"/>
                <w:sz w:val="21"/>
                <w:szCs w:val="21"/>
                <w:highlight w:val="none"/>
                <w:shd w:val="clear" w:color="auto" w:fill="FFFFFF"/>
                <w:vertAlign w:val="subscript"/>
              </w:rPr>
              <w:t>3</w:t>
            </w:r>
            <w:r>
              <w:rPr>
                <w:color w:val="000000" w:themeColor="text1"/>
                <w:sz w:val="21"/>
                <w:szCs w:val="21"/>
                <w:highlight w:val="none"/>
                <w:shd w:val="clear" w:color="auto" w:fill="FFFFFF"/>
              </w:rPr>
              <w:t xml:space="preserve"> -N </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 xml:space="preserve">50mg/L，0.002t/a  </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5mg/L，0.0002t/a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restart"/>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固体废物</w:t>
            </w:r>
          </w:p>
        </w:tc>
        <w:tc>
          <w:tcPr>
            <w:tcW w:w="1354" w:type="dxa"/>
            <w:gridSpan w:val="3"/>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生活垃圾</w:t>
            </w: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生活垃圾</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2.75</w:t>
            </w:r>
            <w:r>
              <w:rPr>
                <w:color w:val="000000" w:themeColor="text1"/>
                <w:sz w:val="21"/>
                <w:szCs w:val="21"/>
                <w:highlight w:val="none"/>
                <w:shd w:val="clear" w:color="auto" w:fill="FFFFFF"/>
              </w:rPr>
              <w:t>t/a</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817" w:type="dxa"/>
            <w:vMerge w:val="restart"/>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实验室固废</w:t>
            </w:r>
          </w:p>
        </w:tc>
        <w:tc>
          <w:tcPr>
            <w:tcW w:w="537" w:type="dxa"/>
            <w:gridSpan w:val="2"/>
            <w:vMerge w:val="restart"/>
            <w:tcMar>
              <w:left w:w="0" w:type="dxa"/>
              <w:right w:w="0" w:type="dxa"/>
            </w:tcMar>
            <w:vAlign w:val="center"/>
          </w:tcPr>
          <w:p>
            <w:pPr>
              <w:jc w:val="center"/>
              <w:rPr>
                <w:color w:val="000000" w:themeColor="text1"/>
                <w:sz w:val="21"/>
                <w:szCs w:val="21"/>
                <w:highlight w:val="none"/>
                <w:shd w:val="clear" w:color="auto" w:fill="FFFFFF"/>
              </w:rPr>
            </w:pPr>
          </w:p>
          <w:p>
            <w:pPr>
              <w:jc w:val="center"/>
              <w:rPr>
                <w:color w:val="000000" w:themeColor="text1"/>
                <w:sz w:val="21"/>
                <w:szCs w:val="21"/>
                <w:highlight w:val="none"/>
                <w:shd w:val="clear" w:color="auto" w:fill="FFFFFF"/>
              </w:rPr>
            </w:pPr>
          </w:p>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危险废物</w:t>
            </w:r>
          </w:p>
          <w:p>
            <w:pPr>
              <w:jc w:val="center"/>
              <w:rPr>
                <w:color w:val="000000" w:themeColor="text1"/>
                <w:sz w:val="21"/>
                <w:szCs w:val="21"/>
                <w:highlight w:val="none"/>
                <w:shd w:val="clear" w:color="auto" w:fill="FFFFFF"/>
              </w:rPr>
            </w:pPr>
          </w:p>
          <w:p>
            <w:pPr>
              <w:jc w:val="center"/>
              <w:rPr>
                <w:color w:val="000000" w:themeColor="text1"/>
                <w:sz w:val="21"/>
                <w:szCs w:val="21"/>
                <w:highlight w:val="none"/>
                <w:shd w:val="clear" w:color="auto" w:fill="FFFFFF"/>
              </w:rPr>
            </w:pPr>
          </w:p>
          <w:p>
            <w:pPr>
              <w:jc w:val="center"/>
              <w:rPr>
                <w:color w:val="000000" w:themeColor="text1"/>
                <w:sz w:val="21"/>
                <w:szCs w:val="21"/>
                <w:highlight w:val="none"/>
                <w:shd w:val="clear" w:color="auto" w:fill="FFFFFF"/>
              </w:rPr>
            </w:pP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一般实验废液</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1.125</w:t>
            </w:r>
            <w:r>
              <w:rPr>
                <w:color w:val="000000" w:themeColor="text1"/>
                <w:sz w:val="21"/>
                <w:szCs w:val="21"/>
                <w:highlight w:val="none"/>
                <w:shd w:val="clear" w:color="auto" w:fill="FFFFFF"/>
              </w:rPr>
              <w:t>t/a</w:t>
            </w:r>
          </w:p>
        </w:tc>
        <w:tc>
          <w:tcPr>
            <w:tcW w:w="2716" w:type="dxa"/>
            <w:vMerge w:val="restart"/>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废液经废液桶分类收集暂存在危废暂存间，再委托</w:t>
            </w:r>
            <w:r>
              <w:rPr>
                <w:rFonts w:hint="eastAsia"/>
                <w:color w:val="000000" w:themeColor="text1"/>
                <w:sz w:val="21"/>
                <w:szCs w:val="21"/>
                <w:highlight w:val="none"/>
                <w:shd w:val="clear" w:color="auto" w:fill="FFFFFF"/>
              </w:rPr>
              <w:t>有资质单位</w:t>
            </w:r>
            <w:r>
              <w:rPr>
                <w:color w:val="000000" w:themeColor="text1"/>
                <w:sz w:val="21"/>
                <w:szCs w:val="21"/>
                <w:highlight w:val="none"/>
                <w:shd w:val="clear" w:color="auto" w:fill="FFFFFF"/>
              </w:rPr>
              <w:t>进行处置委托危废处理机构处置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817"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537"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含重金属测量的实验废液</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0.</w:t>
            </w:r>
            <w:r>
              <w:rPr>
                <w:rFonts w:hint="eastAsia"/>
                <w:color w:val="000000" w:themeColor="text1"/>
                <w:sz w:val="21"/>
                <w:szCs w:val="21"/>
                <w:highlight w:val="none"/>
                <w:shd w:val="clear" w:color="auto" w:fill="FFFFFF"/>
              </w:rPr>
              <w:t>125</w:t>
            </w:r>
            <w:r>
              <w:rPr>
                <w:color w:val="000000" w:themeColor="text1"/>
                <w:sz w:val="21"/>
                <w:szCs w:val="21"/>
                <w:highlight w:val="none"/>
                <w:shd w:val="clear" w:color="auto" w:fill="FFFFFF"/>
              </w:rPr>
              <w:t>t/a</w:t>
            </w:r>
          </w:p>
        </w:tc>
        <w:tc>
          <w:tcPr>
            <w:tcW w:w="2716" w:type="dxa"/>
            <w:vMerge w:val="continue"/>
            <w:tcMar>
              <w:left w:w="0" w:type="dxa"/>
              <w:right w:w="0" w:type="dxa"/>
            </w:tcMar>
            <w:vAlign w:val="center"/>
          </w:tcPr>
          <w:p>
            <w:pPr>
              <w:jc w:val="center"/>
              <w:rPr>
                <w:color w:val="000000" w:themeColor="text1"/>
                <w:sz w:val="21"/>
                <w:szCs w:val="21"/>
                <w:highlight w:val="none"/>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817"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537"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含重金属超标的废土壤样品或鉴别为危险废物的样品等固态物质</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0.</w:t>
            </w:r>
            <w:r>
              <w:rPr>
                <w:rFonts w:hint="eastAsia"/>
                <w:color w:val="000000" w:themeColor="text1"/>
                <w:sz w:val="21"/>
                <w:szCs w:val="21"/>
                <w:highlight w:val="none"/>
                <w:shd w:val="clear" w:color="auto" w:fill="FFFFFF"/>
              </w:rPr>
              <w:t>1</w:t>
            </w:r>
            <w:r>
              <w:rPr>
                <w:color w:val="000000" w:themeColor="text1"/>
                <w:sz w:val="21"/>
                <w:szCs w:val="21"/>
                <w:highlight w:val="none"/>
                <w:shd w:val="clear" w:color="auto" w:fill="FFFFFF"/>
              </w:rPr>
              <w:t>t/a</w:t>
            </w:r>
          </w:p>
        </w:tc>
        <w:tc>
          <w:tcPr>
            <w:tcW w:w="2716" w:type="dxa"/>
            <w:vMerge w:val="restart"/>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经分类暂存在危险废物暂存间后委托</w:t>
            </w:r>
            <w:r>
              <w:rPr>
                <w:rFonts w:hint="eastAsia"/>
                <w:color w:val="000000" w:themeColor="text1"/>
                <w:sz w:val="21"/>
                <w:szCs w:val="21"/>
                <w:highlight w:val="none"/>
                <w:shd w:val="clear" w:color="auto" w:fill="FFFFFF"/>
              </w:rPr>
              <w:t>有资质单位</w:t>
            </w:r>
            <w:r>
              <w:rPr>
                <w:color w:val="000000" w:themeColor="text1"/>
                <w:sz w:val="21"/>
                <w:szCs w:val="21"/>
                <w:highlight w:val="none"/>
                <w:shd w:val="clear" w:color="auto" w:fill="FFFFFF"/>
              </w:rPr>
              <w:t>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817"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537"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装有危险化学品的废包装</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0.</w:t>
            </w:r>
            <w:r>
              <w:rPr>
                <w:rFonts w:hint="eastAsia"/>
                <w:color w:val="000000" w:themeColor="text1"/>
                <w:sz w:val="21"/>
                <w:szCs w:val="21"/>
                <w:highlight w:val="none"/>
                <w:shd w:val="clear" w:color="auto" w:fill="FFFFFF"/>
              </w:rPr>
              <w:t>4</w:t>
            </w:r>
            <w:r>
              <w:rPr>
                <w:color w:val="000000" w:themeColor="text1"/>
                <w:sz w:val="21"/>
                <w:szCs w:val="21"/>
                <w:highlight w:val="none"/>
                <w:shd w:val="clear" w:color="auto" w:fill="FFFFFF"/>
              </w:rPr>
              <w:t>t/a</w:t>
            </w:r>
          </w:p>
        </w:tc>
        <w:tc>
          <w:tcPr>
            <w:tcW w:w="2716" w:type="dxa"/>
            <w:vMerge w:val="continue"/>
            <w:tcMar>
              <w:left w:w="0" w:type="dxa"/>
              <w:right w:w="0" w:type="dxa"/>
            </w:tcMar>
            <w:vAlign w:val="center"/>
          </w:tcPr>
          <w:p>
            <w:pPr>
              <w:jc w:val="center"/>
              <w:rPr>
                <w:color w:val="000000" w:themeColor="text1"/>
                <w:sz w:val="21"/>
                <w:szCs w:val="21"/>
                <w:highlight w:val="none"/>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817"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537"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过期失效药剂</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0.005t/a</w:t>
            </w:r>
          </w:p>
        </w:tc>
        <w:tc>
          <w:tcPr>
            <w:tcW w:w="2716" w:type="dxa"/>
            <w:vMerge w:val="continue"/>
            <w:tcMar>
              <w:left w:w="0" w:type="dxa"/>
              <w:right w:w="0" w:type="dxa"/>
            </w:tcMar>
            <w:vAlign w:val="center"/>
          </w:tcPr>
          <w:p>
            <w:pPr>
              <w:jc w:val="center"/>
              <w:rPr>
                <w:color w:val="000000" w:themeColor="text1"/>
                <w:sz w:val="21"/>
                <w:szCs w:val="21"/>
                <w:highlight w:val="none"/>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817"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537"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化学品废弃容器</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0.0</w:t>
            </w:r>
            <w:r>
              <w:rPr>
                <w:rFonts w:hint="eastAsia"/>
                <w:color w:val="000000" w:themeColor="text1"/>
                <w:sz w:val="21"/>
                <w:szCs w:val="21"/>
                <w:highlight w:val="none"/>
                <w:shd w:val="clear" w:color="auto" w:fill="FFFFFF"/>
              </w:rPr>
              <w:t>3</w:t>
            </w:r>
            <w:r>
              <w:rPr>
                <w:color w:val="000000" w:themeColor="text1"/>
                <w:sz w:val="21"/>
                <w:szCs w:val="21"/>
                <w:highlight w:val="none"/>
                <w:shd w:val="clear" w:color="auto" w:fill="FFFFFF"/>
              </w:rPr>
              <w:t>t/a</w:t>
            </w:r>
          </w:p>
        </w:tc>
        <w:tc>
          <w:tcPr>
            <w:tcW w:w="2716" w:type="dxa"/>
            <w:vMerge w:val="continue"/>
            <w:tcMar>
              <w:left w:w="0" w:type="dxa"/>
              <w:right w:w="0" w:type="dxa"/>
            </w:tcMar>
            <w:vAlign w:val="center"/>
          </w:tcPr>
          <w:p>
            <w:pPr>
              <w:jc w:val="center"/>
              <w:rPr>
                <w:color w:val="000000" w:themeColor="text1"/>
                <w:sz w:val="21"/>
                <w:szCs w:val="21"/>
                <w:highlight w:val="none"/>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817"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537" w:type="dxa"/>
            <w:gridSpan w:val="2"/>
            <w:vMerge w:val="restart"/>
            <w:tcMar>
              <w:left w:w="0" w:type="dxa"/>
              <w:right w:w="0" w:type="dxa"/>
            </w:tcMar>
            <w:vAlign w:val="center"/>
          </w:tcPr>
          <w:p>
            <w:pPr>
              <w:jc w:val="center"/>
              <w:rPr>
                <w:color w:val="000000" w:themeColor="text1"/>
                <w:sz w:val="21"/>
                <w:szCs w:val="21"/>
                <w:highlight w:val="none"/>
                <w:shd w:val="clear" w:color="auto" w:fill="FFFFFF"/>
              </w:rPr>
            </w:pPr>
            <w:r>
              <w:rPr>
                <w:rFonts w:hint="eastAsia"/>
                <w:color w:val="000000" w:themeColor="text1"/>
                <w:sz w:val="21"/>
                <w:szCs w:val="21"/>
                <w:highlight w:val="none"/>
                <w:shd w:val="clear" w:color="auto" w:fill="FFFFFF"/>
              </w:rPr>
              <w:t>一般固废</w:t>
            </w:r>
          </w:p>
          <w:p>
            <w:pPr>
              <w:jc w:val="center"/>
              <w:rPr>
                <w:color w:val="000000" w:themeColor="text1"/>
                <w:sz w:val="21"/>
                <w:szCs w:val="21"/>
                <w:highlight w:val="none"/>
                <w:shd w:val="clear" w:color="auto" w:fill="FFFFFF"/>
              </w:rPr>
            </w:pP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废生物培养基</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0.02t/a</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经高压灭菌锅灭活处理后与生活垃圾一并由当地环卫部</w:t>
            </w:r>
            <w:r>
              <w:rPr>
                <w:rFonts w:hint="eastAsia"/>
                <w:color w:val="000000" w:themeColor="text1"/>
                <w:sz w:val="21"/>
                <w:szCs w:val="21"/>
                <w:highlight w:val="none"/>
                <w:shd w:val="clear" w:color="auto" w:fill="FFFFFF"/>
              </w:rPr>
              <w:t>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817" w:type="dxa"/>
            <w:vMerge w:val="continue"/>
            <w:tcMar>
              <w:left w:w="0" w:type="dxa"/>
              <w:right w:w="0" w:type="dxa"/>
            </w:tcMar>
            <w:vAlign w:val="center"/>
          </w:tcPr>
          <w:p>
            <w:pPr>
              <w:jc w:val="center"/>
              <w:rPr>
                <w:color w:val="000000" w:themeColor="text1"/>
                <w:sz w:val="21"/>
                <w:szCs w:val="21"/>
                <w:highlight w:val="none"/>
                <w:shd w:val="clear" w:color="auto" w:fill="FFFFFF"/>
              </w:rPr>
            </w:pPr>
          </w:p>
        </w:tc>
        <w:tc>
          <w:tcPr>
            <w:tcW w:w="537" w:type="dxa"/>
            <w:gridSpan w:val="2"/>
            <w:vMerge w:val="continue"/>
            <w:tcMar>
              <w:left w:w="0" w:type="dxa"/>
              <w:right w:w="0" w:type="dxa"/>
            </w:tcMar>
            <w:vAlign w:val="center"/>
          </w:tcPr>
          <w:p>
            <w:pPr>
              <w:jc w:val="center"/>
              <w:rPr>
                <w:color w:val="000000" w:themeColor="text1"/>
                <w:sz w:val="21"/>
                <w:szCs w:val="21"/>
                <w:highlight w:val="none"/>
                <w:shd w:val="clear" w:color="auto" w:fill="FFFFFF"/>
              </w:rPr>
            </w:pP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不含危险化学品的废纸箱、废塑料、玻璃瓶、不含重金属或重金属未超标的废土壤样品等固态物质</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0.</w:t>
            </w:r>
            <w:r>
              <w:rPr>
                <w:rFonts w:hint="eastAsia"/>
                <w:color w:val="000000" w:themeColor="text1"/>
                <w:sz w:val="21"/>
                <w:szCs w:val="21"/>
                <w:highlight w:val="none"/>
                <w:shd w:val="clear" w:color="auto" w:fill="FFFFFF"/>
              </w:rPr>
              <w:t>4</w:t>
            </w:r>
            <w:r>
              <w:rPr>
                <w:color w:val="000000" w:themeColor="text1"/>
                <w:sz w:val="21"/>
                <w:szCs w:val="21"/>
                <w:highlight w:val="none"/>
                <w:shd w:val="clear" w:color="auto" w:fill="FFFFFF"/>
              </w:rPr>
              <w:t>t/a</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废纸箱、玻璃瓶由废品回收站回收，废塑料、不含重金属或重金属未超标的废土壤样品等固态物质作为生活垃圾由环卫部门统一收集处置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18"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rPr>
            </w:pPr>
          </w:p>
        </w:tc>
        <w:tc>
          <w:tcPr>
            <w:tcW w:w="97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噪声</w:t>
            </w:r>
          </w:p>
        </w:tc>
        <w:tc>
          <w:tcPr>
            <w:tcW w:w="1354" w:type="dxa"/>
            <w:gridSpan w:val="3"/>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设备噪声</w:t>
            </w:r>
          </w:p>
        </w:tc>
        <w:tc>
          <w:tcPr>
            <w:tcW w:w="1503"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噪声</w:t>
            </w:r>
          </w:p>
        </w:tc>
        <w:tc>
          <w:tcPr>
            <w:tcW w:w="2370"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50～70dB(A)</w:t>
            </w:r>
          </w:p>
        </w:tc>
        <w:tc>
          <w:tcPr>
            <w:tcW w:w="2716" w:type="dxa"/>
            <w:tcMar>
              <w:left w:w="0" w:type="dxa"/>
              <w:right w:w="0" w:type="dxa"/>
            </w:tcMar>
            <w:vAlign w:val="center"/>
          </w:tcPr>
          <w:p>
            <w:pPr>
              <w:jc w:val="center"/>
              <w:rPr>
                <w:color w:val="000000" w:themeColor="text1"/>
                <w:sz w:val="21"/>
                <w:szCs w:val="21"/>
                <w:highlight w:val="none"/>
                <w:shd w:val="clear" w:color="auto" w:fill="FFFFFF"/>
              </w:rPr>
            </w:pPr>
            <w:r>
              <w:rPr>
                <w:color w:val="000000" w:themeColor="text1"/>
                <w:sz w:val="21"/>
                <w:szCs w:val="21"/>
                <w:highlight w:val="none"/>
                <w:shd w:val="clear" w:color="auto" w:fill="FFFFFF"/>
              </w:rPr>
              <w:t>厂界达标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2" w:hRule="atLeast"/>
          <w:jc w:val="center"/>
        </w:trPr>
        <w:tc>
          <w:tcPr>
            <w:tcW w:w="9237" w:type="dxa"/>
            <w:gridSpan w:val="8"/>
            <w:tcBorders>
              <w:bottom w:val="single" w:color="auto" w:sz="4" w:space="0"/>
            </w:tcBorders>
            <w:tcMar>
              <w:left w:w="0" w:type="dxa"/>
              <w:right w:w="0" w:type="dxa"/>
            </w:tcMar>
          </w:tcPr>
          <w:p>
            <w:pPr>
              <w:pStyle w:val="2"/>
              <w:spacing w:line="360" w:lineRule="auto"/>
              <w:ind w:firstLine="0" w:firstLineChars="0"/>
              <w:rPr>
                <w:b/>
                <w:bCs/>
                <w:color w:val="000000" w:themeColor="text1"/>
                <w:highlight w:val="none"/>
              </w:rPr>
            </w:pPr>
            <w:r>
              <w:rPr>
                <w:b/>
                <w:bCs/>
                <w:color w:val="000000" w:themeColor="text1"/>
                <w:highlight w:val="none"/>
              </w:rPr>
              <w:t xml:space="preserve">主要生态影响（不够时可附另页） </w:t>
            </w:r>
          </w:p>
          <w:p>
            <w:pPr>
              <w:pStyle w:val="2"/>
              <w:spacing w:line="360" w:lineRule="auto"/>
              <w:ind w:firstLine="480"/>
              <w:rPr>
                <w:color w:val="000000" w:themeColor="text1"/>
                <w:highlight w:val="none"/>
              </w:rPr>
            </w:pPr>
            <w:r>
              <w:rPr>
                <w:rFonts w:hint="eastAsia"/>
                <w:color w:val="000000" w:themeColor="text1"/>
                <w:highlight w:val="none"/>
              </w:rPr>
              <w:t>本项目租赁</w:t>
            </w:r>
            <w:r>
              <w:rPr>
                <w:rFonts w:hint="eastAsia"/>
                <w:color w:val="000000" w:themeColor="text1"/>
                <w:highlight w:val="none"/>
                <w:lang w:eastAsia="zh-CN"/>
              </w:rPr>
              <w:t>岳阳市湘阴县金龙新区湖南奇思环保设备制造有限公司</w:t>
            </w:r>
            <w:r>
              <w:rPr>
                <w:rFonts w:hint="eastAsia"/>
                <w:color w:val="000000" w:themeColor="text1"/>
                <w:highlight w:val="none"/>
              </w:rPr>
              <w:t>相关场地做办公和实验场所</w:t>
            </w:r>
            <w:r>
              <w:rPr>
                <w:color w:val="000000" w:themeColor="text1"/>
                <w:highlight w:val="none"/>
              </w:rPr>
              <w:t>，不涉及土建施工，对生态环境影响几乎无影响。</w:t>
            </w:r>
          </w:p>
          <w:p>
            <w:pPr>
              <w:spacing w:line="560" w:lineRule="exact"/>
              <w:rPr>
                <w:color w:val="000000" w:themeColor="text1"/>
                <w:highlight w:val="none"/>
              </w:rPr>
            </w:pPr>
          </w:p>
          <w:p>
            <w:pPr>
              <w:spacing w:line="560" w:lineRule="exact"/>
              <w:rPr>
                <w:color w:val="000000" w:themeColor="text1"/>
                <w:highlight w:val="none"/>
              </w:rPr>
            </w:pPr>
          </w:p>
          <w:p>
            <w:pPr>
              <w:spacing w:line="560" w:lineRule="exact"/>
              <w:ind w:firstLine="640" w:firstLineChars="20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p>
            <w:pPr>
              <w:pStyle w:val="2"/>
              <w:ind w:firstLine="0" w:firstLineChars="0"/>
              <w:rPr>
                <w:color w:val="000000" w:themeColor="text1"/>
                <w:highlight w:val="none"/>
              </w:rPr>
            </w:pPr>
          </w:p>
          <w:p>
            <w:pPr>
              <w:pStyle w:val="2"/>
              <w:ind w:firstLine="480"/>
              <w:rPr>
                <w:color w:val="000000" w:themeColor="text1"/>
                <w:highlight w:val="none"/>
              </w:rPr>
            </w:pPr>
          </w:p>
          <w:p>
            <w:pPr>
              <w:pStyle w:val="2"/>
              <w:ind w:firstLine="480"/>
              <w:rPr>
                <w:color w:val="000000" w:themeColor="text1"/>
                <w:highlight w:val="none"/>
              </w:rPr>
            </w:pPr>
          </w:p>
        </w:tc>
      </w:tr>
    </w:tbl>
    <w:p>
      <w:pPr>
        <w:jc w:val="left"/>
        <w:rPr>
          <w:b/>
          <w:bCs/>
          <w:color w:val="000000" w:themeColor="text1"/>
          <w:sz w:val="30"/>
          <w:szCs w:val="30"/>
          <w:highlight w:val="red"/>
        </w:rPr>
        <w:sectPr>
          <w:pgSz w:w="11907" w:h="16840"/>
          <w:pgMar w:top="1418" w:right="1418" w:bottom="1134" w:left="1418" w:header="1134" w:footer="1134" w:gutter="0"/>
          <w:pgNumType w:fmt="decimal"/>
          <w:cols w:space="720" w:num="1"/>
          <w:docGrid w:type="linesAndChars" w:linePitch="312" w:charSpace="0"/>
        </w:sectPr>
      </w:pPr>
    </w:p>
    <w:p>
      <w:pPr>
        <w:spacing w:line="400" w:lineRule="exact"/>
        <w:jc w:val="left"/>
        <w:outlineLvl w:val="0"/>
        <w:rPr>
          <w:b/>
          <w:bCs/>
          <w:color w:val="000000" w:themeColor="text1"/>
          <w:sz w:val="30"/>
          <w:szCs w:val="30"/>
          <w:highlight w:val="none"/>
        </w:rPr>
      </w:pPr>
      <w:bookmarkStart w:id="24" w:name="_Toc23961"/>
      <w:r>
        <w:rPr>
          <w:b/>
          <w:bCs/>
          <w:color w:val="000000" w:themeColor="text1"/>
          <w:sz w:val="30"/>
          <w:szCs w:val="30"/>
          <w:highlight w:val="none"/>
        </w:rPr>
        <w:t>环境影响分析</w:t>
      </w:r>
      <w:bookmarkEnd w:id="24"/>
    </w:p>
    <w:tbl>
      <w:tblPr>
        <w:tblStyle w:val="34"/>
        <w:tblW w:w="9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43" w:type="dxa"/>
            <w:tcBorders>
              <w:top w:val="single" w:color="auto" w:sz="4" w:space="0"/>
            </w:tcBorders>
            <w:vAlign w:val="top"/>
          </w:tcPr>
          <w:p>
            <w:pPr>
              <w:spacing w:line="360" w:lineRule="auto"/>
              <w:jc w:val="left"/>
              <w:rPr>
                <w:b/>
                <w:bCs/>
                <w:color w:val="000000" w:themeColor="text1"/>
                <w:sz w:val="28"/>
                <w:szCs w:val="28"/>
                <w:highlight w:val="none"/>
              </w:rPr>
            </w:pPr>
            <w:r>
              <w:rPr>
                <w:b/>
                <w:bCs/>
                <w:color w:val="000000" w:themeColor="text1"/>
                <w:sz w:val="28"/>
                <w:szCs w:val="28"/>
                <w:highlight w:val="none"/>
              </w:rPr>
              <w:t>施工期环境影响分析：</w:t>
            </w:r>
          </w:p>
          <w:p>
            <w:pPr>
              <w:spacing w:afterLines="50" w:line="360" w:lineRule="auto"/>
              <w:ind w:firstLine="480" w:firstLineChars="200"/>
              <w:rPr>
                <w:color w:val="000000" w:themeColor="text1"/>
                <w:highlight w:val="none"/>
              </w:rPr>
            </w:pPr>
            <w:r>
              <w:rPr>
                <w:rFonts w:hint="eastAsia"/>
                <w:color w:val="000000" w:themeColor="text1"/>
                <w:sz w:val="24"/>
                <w:highlight w:val="none"/>
              </w:rPr>
              <w:t>项目施工期仅为设备安装，不涉及厂房土建施工工期，项目施工期仅为厂房内部简单装修及设备安装，施工过程产生的污染物主要为施工噪声、室内装修废气、废弃装修材料等。内装修采用符合相关环保质量标准要求的漆料等，经大气扩散不会对周围大气环境产生影响；施工期产生的施工机械采用低噪声设备，控制施工时间，对周围声环境影响不大；施工期产生的废弃装修材料交由相关单位拉运处理处置。本项目施工期较短，施工过程产生的污染物采取相应措施后，对周围环境影响较小。</w:t>
            </w:r>
          </w:p>
          <w:p>
            <w:pPr>
              <w:spacing w:line="360" w:lineRule="auto"/>
              <w:rPr>
                <w:b/>
                <w:bCs/>
                <w:color w:val="000000" w:themeColor="text1"/>
                <w:sz w:val="28"/>
                <w:szCs w:val="28"/>
                <w:highlight w:val="none"/>
              </w:rPr>
            </w:pPr>
            <w:r>
              <w:rPr>
                <w:b/>
                <w:bCs/>
                <w:color w:val="000000" w:themeColor="text1"/>
                <w:sz w:val="28"/>
                <w:szCs w:val="28"/>
                <w:highlight w:val="none"/>
              </w:rPr>
              <w:t>营运期环境影响分析：</w:t>
            </w:r>
          </w:p>
          <w:p>
            <w:pPr>
              <w:spacing w:line="360" w:lineRule="auto"/>
              <w:ind w:firstLine="480" w:firstLineChars="200"/>
              <w:rPr>
                <w:b/>
                <w:bCs/>
                <w:color w:val="000000" w:themeColor="text1"/>
                <w:sz w:val="24"/>
                <w:highlight w:val="none"/>
              </w:rPr>
            </w:pPr>
            <w:r>
              <w:rPr>
                <w:b/>
                <w:bCs/>
                <w:color w:val="000000" w:themeColor="text1"/>
                <w:sz w:val="24"/>
                <w:highlight w:val="none"/>
              </w:rPr>
              <w:t>一、水环境影响分析</w:t>
            </w:r>
          </w:p>
          <w:p>
            <w:pPr>
              <w:spacing w:line="360" w:lineRule="auto"/>
              <w:ind w:firstLine="480" w:firstLineChars="200"/>
              <w:rPr>
                <w:bCs/>
                <w:color w:val="000000" w:themeColor="text1"/>
                <w:sz w:val="24"/>
                <w:highlight w:val="none"/>
              </w:rPr>
            </w:pPr>
            <w:r>
              <w:rPr>
                <w:color w:val="000000" w:themeColor="text1"/>
                <w:sz w:val="24"/>
                <w:highlight w:val="none"/>
              </w:rPr>
              <w:t>依据《环境影响评价技术导则-地表水环境》（HJ2.3-2018）中5.2.2节评价等级确定，结合项目工程分析结果，建设项目的生活废水</w:t>
            </w:r>
            <w:r>
              <w:rPr>
                <w:rFonts w:hint="eastAsia"/>
                <w:color w:val="000000" w:themeColor="text1"/>
                <w:sz w:val="24"/>
                <w:highlight w:val="none"/>
              </w:rPr>
              <w:t>、纯水制备尾水以及经预处理后的清洗废水由</w:t>
            </w:r>
            <w:r>
              <w:rPr>
                <w:color w:val="000000" w:themeColor="text1"/>
                <w:sz w:val="24"/>
                <w:highlight w:val="none"/>
              </w:rPr>
              <w:t>化粪池预处理后排入市政污水管网，最后进入</w:t>
            </w:r>
            <w:r>
              <w:rPr>
                <w:rFonts w:hint="eastAsia"/>
                <w:bCs/>
                <w:color w:val="000000" w:themeColor="text1"/>
                <w:sz w:val="24"/>
                <w:highlight w:val="none"/>
                <w:lang w:eastAsia="zh-CN"/>
              </w:rPr>
              <w:t>园区污水处理厂</w:t>
            </w:r>
            <w:r>
              <w:rPr>
                <w:bCs/>
                <w:color w:val="000000" w:themeColor="text1"/>
                <w:sz w:val="24"/>
                <w:highlight w:val="none"/>
              </w:rPr>
              <w:t>处理</w:t>
            </w:r>
            <w:r>
              <w:rPr>
                <w:color w:val="000000" w:themeColor="text1"/>
                <w:sz w:val="24"/>
                <w:highlight w:val="none"/>
              </w:rPr>
              <w:t>，属于间接排放，按三级B评价。</w:t>
            </w:r>
          </w:p>
          <w:p>
            <w:pPr>
              <w:spacing w:line="360" w:lineRule="auto"/>
              <w:ind w:firstLine="480" w:firstLineChars="200"/>
              <w:rPr>
                <w:color w:val="000000" w:themeColor="text1"/>
                <w:sz w:val="24"/>
                <w:highlight w:val="none"/>
              </w:rPr>
            </w:pPr>
            <w:r>
              <w:rPr>
                <w:color w:val="000000" w:themeColor="text1"/>
                <w:sz w:val="24"/>
                <w:highlight w:val="none"/>
              </w:rPr>
              <w:t>本项目废水主要包括员工办公生活污水和实验室废水，其中实验室废水主要包括</w:t>
            </w:r>
          </w:p>
          <w:p>
            <w:pPr>
              <w:spacing w:line="360" w:lineRule="auto"/>
              <w:rPr>
                <w:color w:val="000000" w:themeColor="text1"/>
                <w:sz w:val="24"/>
                <w:highlight w:val="none"/>
              </w:rPr>
            </w:pPr>
            <w:r>
              <w:rPr>
                <w:rFonts w:hint="eastAsia"/>
                <w:color w:val="000000" w:themeColor="text1"/>
                <w:sz w:val="24"/>
                <w:highlight w:val="none"/>
              </w:rPr>
              <w:t>纯水制备尾水</w:t>
            </w:r>
            <w:r>
              <w:rPr>
                <w:color w:val="000000" w:themeColor="text1"/>
                <w:sz w:val="24"/>
                <w:highlight w:val="none"/>
              </w:rPr>
              <w:t>、仪器、器皿与实验操作台清洗废水等。本项目员工办公生活污水产生量为</w:t>
            </w:r>
            <w:r>
              <w:rPr>
                <w:rFonts w:hint="eastAsia"/>
                <w:color w:val="000000" w:themeColor="text1"/>
                <w:sz w:val="24"/>
                <w:highlight w:val="none"/>
              </w:rPr>
              <w:t>220</w:t>
            </w:r>
            <w:r>
              <w:rPr>
                <w:color w:val="000000" w:themeColor="text1"/>
                <w:sz w:val="24"/>
                <w:highlight w:val="none"/>
              </w:rPr>
              <w:t>m</w:t>
            </w:r>
            <w:r>
              <w:rPr>
                <w:color w:val="000000" w:themeColor="text1"/>
                <w:sz w:val="24"/>
                <w:highlight w:val="none"/>
                <w:vertAlign w:val="superscript"/>
              </w:rPr>
              <w:t>3</w:t>
            </w:r>
            <w:r>
              <w:rPr>
                <w:color w:val="000000" w:themeColor="text1"/>
                <w:sz w:val="24"/>
                <w:highlight w:val="none"/>
              </w:rPr>
              <w:t>/a，</w:t>
            </w:r>
            <w:r>
              <w:rPr>
                <w:rFonts w:hint="eastAsia"/>
                <w:color w:val="000000" w:themeColor="text1"/>
                <w:sz w:val="24"/>
                <w:highlight w:val="none"/>
              </w:rPr>
              <w:t>纯水制备尾水</w:t>
            </w:r>
            <w:r>
              <w:rPr>
                <w:color w:val="000000" w:themeColor="text1"/>
                <w:sz w:val="24"/>
                <w:highlight w:val="none"/>
              </w:rPr>
              <w:t>产生量约为</w:t>
            </w:r>
            <w:r>
              <w:rPr>
                <w:rFonts w:hint="eastAsia"/>
                <w:color w:val="000000" w:themeColor="text1"/>
                <w:sz w:val="24"/>
                <w:highlight w:val="none"/>
              </w:rPr>
              <w:t>1.25</w:t>
            </w:r>
            <w:r>
              <w:rPr>
                <w:color w:val="000000" w:themeColor="text1"/>
                <w:sz w:val="24"/>
                <w:highlight w:val="none"/>
              </w:rPr>
              <w:t>m</w:t>
            </w:r>
            <w:r>
              <w:rPr>
                <w:color w:val="000000" w:themeColor="text1"/>
                <w:sz w:val="24"/>
                <w:highlight w:val="none"/>
                <w:vertAlign w:val="superscript"/>
              </w:rPr>
              <w:t>3</w:t>
            </w:r>
            <w:r>
              <w:rPr>
                <w:color w:val="000000" w:themeColor="text1"/>
                <w:sz w:val="24"/>
                <w:highlight w:val="none"/>
              </w:rPr>
              <w:t>/a，仪器、器皿与实验操作台清洗废水产生量约为40m</w:t>
            </w:r>
            <w:r>
              <w:rPr>
                <w:color w:val="000000" w:themeColor="text1"/>
                <w:sz w:val="24"/>
                <w:highlight w:val="none"/>
                <w:vertAlign w:val="superscript"/>
              </w:rPr>
              <w:t>3</w:t>
            </w:r>
            <w:r>
              <w:rPr>
                <w:color w:val="000000" w:themeColor="text1"/>
                <w:sz w:val="24"/>
                <w:highlight w:val="none"/>
              </w:rPr>
              <w:t>/a。</w:t>
            </w:r>
          </w:p>
          <w:p>
            <w:pPr>
              <w:spacing w:line="360" w:lineRule="auto"/>
              <w:ind w:firstLine="480" w:firstLineChars="200"/>
              <w:rPr>
                <w:color w:val="000000" w:themeColor="text1"/>
                <w:sz w:val="24"/>
                <w:highlight w:val="none"/>
                <w:u w:val="none"/>
              </w:rPr>
            </w:pPr>
            <w:r>
              <w:rPr>
                <w:rFonts w:hint="eastAsia"/>
                <w:color w:val="000000" w:themeColor="text1"/>
                <w:sz w:val="24"/>
                <w:highlight w:val="none"/>
                <w:u w:val="none"/>
              </w:rPr>
              <w:t>本项目拟</w:t>
            </w:r>
            <w:r>
              <w:rPr>
                <w:color w:val="000000" w:themeColor="text1"/>
                <w:sz w:val="24"/>
                <w:highlight w:val="none"/>
                <w:u w:val="none"/>
              </w:rPr>
              <w:t>设置1个约</w:t>
            </w:r>
            <w:r>
              <w:rPr>
                <w:rFonts w:hint="eastAsia"/>
                <w:color w:val="000000" w:themeColor="text1"/>
                <w:sz w:val="24"/>
                <w:highlight w:val="none"/>
                <w:u w:val="none"/>
              </w:rPr>
              <w:t>500L的“实验室一体化小型废水处理设备”，</w:t>
            </w:r>
            <w:r>
              <w:rPr>
                <w:color w:val="000000" w:themeColor="text1"/>
                <w:sz w:val="24"/>
                <w:highlight w:val="none"/>
                <w:u w:val="none"/>
              </w:rPr>
              <w:t>清洗废水经实验室排水管道排至污水预处理设备中处理达《污水综合排放标准》（GB8978-1996）中的三级标准后，由市政污水管网排至</w:t>
            </w:r>
            <w:r>
              <w:rPr>
                <w:rFonts w:hint="eastAsia"/>
                <w:color w:val="000000" w:themeColor="text1"/>
                <w:sz w:val="24"/>
                <w:highlight w:val="none"/>
                <w:u w:val="none"/>
                <w:lang w:eastAsia="zh-CN"/>
              </w:rPr>
              <w:t>园区污水处理厂</w:t>
            </w:r>
            <w:r>
              <w:rPr>
                <w:color w:val="000000" w:themeColor="text1"/>
                <w:sz w:val="24"/>
                <w:highlight w:val="none"/>
                <w:u w:val="none"/>
              </w:rPr>
              <w:t>进行处理达《城镇污水处理厂污染物排放标准》（GB18918-2002）中的一级A标准后外排至湘江。</w:t>
            </w:r>
          </w:p>
          <w:p>
            <w:pPr>
              <w:spacing w:line="360" w:lineRule="auto"/>
              <w:ind w:firstLine="480" w:firstLineChars="200"/>
              <w:rPr>
                <w:rFonts w:hint="eastAsia"/>
                <w:color w:val="000000" w:themeColor="text1"/>
                <w:sz w:val="24"/>
                <w:highlight w:val="none"/>
                <w:u w:val="none"/>
                <w:lang w:eastAsia="zh-CN"/>
              </w:rPr>
            </w:pPr>
            <w:r>
              <w:rPr>
                <w:rFonts w:hint="eastAsia"/>
                <w:color w:val="000000" w:themeColor="text1"/>
                <w:sz w:val="24"/>
                <w:highlight w:val="none"/>
                <w:u w:val="none"/>
              </w:rPr>
              <w:t>废水处理工艺说明</w:t>
            </w:r>
            <w:r>
              <w:rPr>
                <w:color w:val="000000" w:themeColor="text1"/>
                <w:sz w:val="24"/>
                <w:highlight w:val="none"/>
                <w:u w:val="none"/>
              </w:rPr>
              <w:t>：该处理设施主要</w:t>
            </w:r>
            <w:r>
              <w:rPr>
                <w:rFonts w:hint="eastAsia"/>
                <w:color w:val="000000" w:themeColor="text1"/>
                <w:sz w:val="24"/>
                <w:highlight w:val="none"/>
                <w:u w:val="none"/>
              </w:rPr>
              <w:t>由废水收集装置、中和调节装置、加药反应装置、液位开关构成。废水通过排水管道收集后经提升泵进入格栅调节槽进行pH调节，设备通过pH控制仪，利用计量泵准确投加一定量NaOH或盐酸水溶液，调节pH值至中性后可排放。</w:t>
            </w:r>
            <w:r>
              <w:rPr>
                <w:color w:val="000000" w:themeColor="text1"/>
                <w:sz w:val="24"/>
                <w:highlight w:val="none"/>
                <w:u w:val="none"/>
              </w:rPr>
              <w:t>整个废水处理流程，通过液位开关与pH控制仪</w:t>
            </w:r>
            <w:r>
              <w:rPr>
                <w:rFonts w:hint="eastAsia"/>
                <w:color w:val="000000" w:themeColor="text1"/>
                <w:sz w:val="24"/>
                <w:highlight w:val="none"/>
                <w:u w:val="none"/>
              </w:rPr>
              <w:t>自动控</w:t>
            </w:r>
            <w:r>
              <w:rPr>
                <w:color w:val="000000" w:themeColor="text1"/>
                <w:sz w:val="24"/>
                <w:highlight w:val="none"/>
                <w:u w:val="none"/>
              </w:rPr>
              <w:t>制，低液位自动停泵，高液位自动启动，可基本实现无人值守</w:t>
            </w:r>
            <w:r>
              <w:rPr>
                <w:rFonts w:hint="eastAsia"/>
                <w:color w:val="000000" w:themeColor="text1"/>
                <w:sz w:val="24"/>
                <w:highlight w:val="none"/>
                <w:u w:val="none"/>
                <w:lang w:eastAsia="zh-CN"/>
              </w:rPr>
              <w:t>。</w:t>
            </w:r>
          </w:p>
          <w:p>
            <w:pPr>
              <w:spacing w:line="360" w:lineRule="auto"/>
              <w:ind w:firstLine="480" w:firstLineChars="200"/>
              <w:rPr>
                <w:color w:val="000000" w:themeColor="text1"/>
                <w:sz w:val="24"/>
                <w:highlight w:val="none"/>
                <w:u w:val="single"/>
              </w:rPr>
            </w:pPr>
            <w:r>
              <w:rPr>
                <w:rFonts w:hint="eastAsia"/>
                <w:color w:val="000000" w:themeColor="text1"/>
                <w:sz w:val="24"/>
                <w:highlight w:val="none"/>
                <w:u w:val="single"/>
                <w:lang w:val="en-US" w:eastAsia="zh-CN"/>
              </w:rPr>
              <w:t>项目依托园区污水处理厂可行性分析：</w:t>
            </w:r>
            <w:r>
              <w:rPr>
                <w:rFonts w:hint="eastAsia"/>
                <w:color w:val="000000" w:themeColor="text1"/>
                <w:sz w:val="24"/>
                <w:highlight w:val="none"/>
                <w:u w:val="single"/>
              </w:rPr>
              <w:t>湘阴县金龙镇污水处理厂(湘阴县第三污水处理厂)建于湘阴县金龙镇金华村。总占地34863.75m2，处理规模为20000m3/d，配套管网59614m（污水箱涵5962m，污水主干管41697m，次干管11355m、尾水压力管600m, 厂外不设提升泵站）。污水处理厂服务范围为金龙镇区域约20Km2的生活污水和金龙工业小区工业污水，采用A2/C氧化沟+高效沉淀池工艺。配套建设生物除臭系统、H2S检测报警系统、紫外消毒设备、污泥低温干化系统、自动加药装置及进出水在线监测装置等</w:t>
            </w:r>
            <w:r>
              <w:rPr>
                <w:rFonts w:hint="eastAsia"/>
                <w:color w:val="000000" w:themeColor="text1"/>
                <w:sz w:val="24"/>
                <w:highlight w:val="none"/>
                <w:u w:val="single"/>
                <w:lang w:eastAsia="zh-CN"/>
              </w:rPr>
              <w:t>。</w:t>
            </w:r>
            <w:r>
              <w:rPr>
                <w:rFonts w:hint="eastAsia"/>
                <w:color w:val="000000" w:themeColor="text1"/>
                <w:sz w:val="24"/>
                <w:highlight w:val="none"/>
                <w:u w:val="single"/>
                <w:lang w:val="en-US" w:eastAsia="zh-CN"/>
              </w:rPr>
              <w:t>本项目</w:t>
            </w:r>
            <w:r>
              <w:rPr>
                <w:color w:val="000000" w:themeColor="text1"/>
                <w:sz w:val="24"/>
                <w:highlight w:val="none"/>
                <w:u w:val="single"/>
              </w:rPr>
              <w:t>本项目员工办公生活污水产生量为</w:t>
            </w:r>
            <w:r>
              <w:rPr>
                <w:rFonts w:hint="eastAsia"/>
                <w:color w:val="000000" w:themeColor="text1"/>
                <w:sz w:val="24"/>
                <w:highlight w:val="none"/>
                <w:u w:val="single"/>
              </w:rPr>
              <w:t>220</w:t>
            </w:r>
            <w:r>
              <w:rPr>
                <w:color w:val="000000" w:themeColor="text1"/>
                <w:sz w:val="24"/>
                <w:highlight w:val="none"/>
                <w:u w:val="single"/>
              </w:rPr>
              <w:t>m</w:t>
            </w:r>
            <w:r>
              <w:rPr>
                <w:color w:val="000000" w:themeColor="text1"/>
                <w:sz w:val="24"/>
                <w:highlight w:val="none"/>
                <w:u w:val="single"/>
                <w:vertAlign w:val="superscript"/>
              </w:rPr>
              <w:t>3</w:t>
            </w:r>
            <w:r>
              <w:rPr>
                <w:color w:val="000000" w:themeColor="text1"/>
                <w:sz w:val="24"/>
                <w:highlight w:val="none"/>
                <w:u w:val="single"/>
              </w:rPr>
              <w:t>/a，</w:t>
            </w:r>
            <w:r>
              <w:rPr>
                <w:rFonts w:hint="eastAsia"/>
                <w:color w:val="000000" w:themeColor="text1"/>
                <w:sz w:val="24"/>
                <w:highlight w:val="none"/>
                <w:u w:val="single"/>
              </w:rPr>
              <w:t>纯水制备尾水</w:t>
            </w:r>
            <w:r>
              <w:rPr>
                <w:color w:val="000000" w:themeColor="text1"/>
                <w:sz w:val="24"/>
                <w:highlight w:val="none"/>
                <w:u w:val="single"/>
              </w:rPr>
              <w:t>产生量约为</w:t>
            </w:r>
            <w:r>
              <w:rPr>
                <w:rFonts w:hint="eastAsia"/>
                <w:color w:val="000000" w:themeColor="text1"/>
                <w:sz w:val="24"/>
                <w:highlight w:val="none"/>
                <w:u w:val="single"/>
              </w:rPr>
              <w:t>1.25</w:t>
            </w:r>
            <w:r>
              <w:rPr>
                <w:color w:val="000000" w:themeColor="text1"/>
                <w:sz w:val="24"/>
                <w:highlight w:val="none"/>
                <w:u w:val="single"/>
              </w:rPr>
              <w:t>m</w:t>
            </w:r>
            <w:r>
              <w:rPr>
                <w:color w:val="000000" w:themeColor="text1"/>
                <w:sz w:val="24"/>
                <w:highlight w:val="none"/>
                <w:u w:val="single"/>
                <w:vertAlign w:val="superscript"/>
              </w:rPr>
              <w:t>3</w:t>
            </w:r>
            <w:r>
              <w:rPr>
                <w:color w:val="000000" w:themeColor="text1"/>
                <w:sz w:val="24"/>
                <w:highlight w:val="none"/>
                <w:u w:val="single"/>
              </w:rPr>
              <w:t>/a，仪器、器皿与实验操作台清洗废水产生量约为40m</w:t>
            </w:r>
            <w:r>
              <w:rPr>
                <w:color w:val="000000" w:themeColor="text1"/>
                <w:sz w:val="24"/>
                <w:highlight w:val="none"/>
                <w:u w:val="single"/>
                <w:vertAlign w:val="superscript"/>
              </w:rPr>
              <w:t>3</w:t>
            </w:r>
            <w:r>
              <w:rPr>
                <w:color w:val="000000" w:themeColor="text1"/>
                <w:sz w:val="24"/>
                <w:highlight w:val="none"/>
                <w:u w:val="single"/>
              </w:rPr>
              <w:t>/a</w:t>
            </w:r>
            <w:r>
              <w:rPr>
                <w:rFonts w:hint="eastAsia"/>
                <w:color w:val="000000" w:themeColor="text1"/>
                <w:sz w:val="24"/>
                <w:highlight w:val="none"/>
                <w:u w:val="single"/>
                <w:lang w:eastAsia="zh-CN"/>
              </w:rPr>
              <w:t>，</w:t>
            </w:r>
            <w:r>
              <w:rPr>
                <w:rFonts w:hint="eastAsia"/>
                <w:color w:val="000000" w:themeColor="text1"/>
                <w:sz w:val="24"/>
                <w:highlight w:val="none"/>
                <w:u w:val="single"/>
                <w:lang w:val="en-US" w:eastAsia="zh-CN"/>
              </w:rPr>
              <w:t>废水产生量极小，符合污水处理厂纳污条件，因此项目依托园区污水处理厂可行</w:t>
            </w:r>
            <w:r>
              <w:rPr>
                <w:color w:val="000000" w:themeColor="text1"/>
                <w:sz w:val="24"/>
                <w:highlight w:val="none"/>
                <w:u w:val="single"/>
              </w:rPr>
              <w:t>。</w:t>
            </w:r>
          </w:p>
          <w:p>
            <w:pPr>
              <w:spacing w:line="360" w:lineRule="auto"/>
              <w:ind w:firstLine="480" w:firstLineChars="200"/>
              <w:rPr>
                <w:color w:val="000000" w:themeColor="text1"/>
                <w:sz w:val="24"/>
                <w:highlight w:val="none"/>
                <w:u w:val="none"/>
              </w:rPr>
            </w:pPr>
            <w:r>
              <w:rPr>
                <w:color w:val="000000" w:themeColor="text1"/>
                <w:sz w:val="24"/>
                <w:highlight w:val="none"/>
                <w:u w:val="none"/>
              </w:rPr>
              <w:t>综上所述，本项目废水预处理后</w:t>
            </w:r>
            <w:r>
              <w:rPr>
                <w:rFonts w:hint="eastAsia"/>
                <w:color w:val="000000" w:themeColor="text1"/>
                <w:sz w:val="24"/>
                <w:highlight w:val="none"/>
                <w:u w:val="none"/>
              </w:rPr>
              <w:t>达《污水综合排放标准》（GB8978-1996）中的三级标准后</w:t>
            </w:r>
            <w:r>
              <w:rPr>
                <w:color w:val="000000" w:themeColor="text1"/>
                <w:sz w:val="24"/>
                <w:highlight w:val="none"/>
                <w:u w:val="none"/>
              </w:rPr>
              <w:t>排入</w:t>
            </w:r>
            <w:r>
              <w:rPr>
                <w:rFonts w:hint="eastAsia"/>
                <w:color w:val="000000" w:themeColor="text1"/>
                <w:sz w:val="24"/>
                <w:highlight w:val="none"/>
                <w:u w:val="none"/>
                <w:lang w:eastAsia="zh-CN"/>
              </w:rPr>
              <w:t>园区污水处理厂</w:t>
            </w:r>
            <w:r>
              <w:rPr>
                <w:color w:val="000000" w:themeColor="text1"/>
                <w:sz w:val="24"/>
                <w:highlight w:val="none"/>
                <w:u w:val="none"/>
              </w:rPr>
              <w:t>集中处理</w:t>
            </w:r>
            <w:r>
              <w:rPr>
                <w:rFonts w:hint="eastAsia"/>
                <w:color w:val="000000" w:themeColor="text1"/>
                <w:sz w:val="24"/>
                <w:highlight w:val="none"/>
                <w:u w:val="none"/>
                <w:lang w:eastAsia="zh-CN"/>
              </w:rPr>
              <w:t>，</w:t>
            </w:r>
            <w:r>
              <w:rPr>
                <w:rFonts w:hint="eastAsia"/>
                <w:color w:val="000000" w:themeColor="text1"/>
                <w:sz w:val="24"/>
                <w:highlight w:val="none"/>
                <w:u w:val="none"/>
                <w:lang w:val="en-US" w:eastAsia="zh-CN"/>
              </w:rPr>
              <w:t>对环境影响较小</w:t>
            </w:r>
            <w:r>
              <w:rPr>
                <w:color w:val="000000" w:themeColor="text1"/>
                <w:sz w:val="24"/>
                <w:highlight w:val="none"/>
                <w:u w:val="none"/>
              </w:rPr>
              <w:t>。</w:t>
            </w:r>
          </w:p>
          <w:p>
            <w:pPr>
              <w:spacing w:line="360" w:lineRule="auto"/>
              <w:ind w:firstLine="480" w:firstLineChars="200"/>
              <w:rPr>
                <w:b/>
                <w:bCs/>
                <w:color w:val="000000" w:themeColor="text1"/>
                <w:sz w:val="24"/>
                <w:highlight w:val="none"/>
                <w:u w:val="none"/>
              </w:rPr>
            </w:pPr>
            <w:r>
              <w:rPr>
                <w:b/>
                <w:bCs/>
                <w:color w:val="000000" w:themeColor="text1"/>
                <w:sz w:val="24"/>
                <w:highlight w:val="none"/>
                <w:u w:val="none"/>
              </w:rPr>
              <w:t>二、空气环境影响分析</w:t>
            </w:r>
          </w:p>
          <w:p>
            <w:pPr>
              <w:numPr>
                <w:ilvl w:val="0"/>
                <w:numId w:val="10"/>
              </w:numPr>
              <w:spacing w:line="360" w:lineRule="auto"/>
              <w:ind w:firstLine="480" w:firstLineChars="200"/>
              <w:rPr>
                <w:color w:val="000000" w:themeColor="text1"/>
                <w:sz w:val="24"/>
                <w:highlight w:val="none"/>
                <w:u w:val="single"/>
              </w:rPr>
            </w:pPr>
            <w:r>
              <w:rPr>
                <w:rFonts w:hint="eastAsia"/>
                <w:color w:val="000000" w:themeColor="text1"/>
                <w:sz w:val="24"/>
                <w:highlight w:val="none"/>
                <w:u w:val="single"/>
              </w:rPr>
              <w:t>评价等级判定</w:t>
            </w:r>
          </w:p>
          <w:p>
            <w:pPr>
              <w:widowControl/>
              <w:spacing w:line="360" w:lineRule="auto"/>
              <w:ind w:firstLine="480" w:firstLineChars="200"/>
              <w:rPr>
                <w:color w:val="000000" w:themeColor="text1"/>
                <w:sz w:val="24"/>
                <w:highlight w:val="none"/>
                <w:u w:val="single"/>
              </w:rPr>
            </w:pPr>
            <w:r>
              <w:rPr>
                <w:color w:val="000000" w:themeColor="text1"/>
                <w:sz w:val="24"/>
                <w:highlight w:val="none"/>
                <w:u w:val="single"/>
              </w:rPr>
              <w:t>按照《环境影响评价技术导则—大气环境》（HJ2.2-2018）规定，采用估算模型AERSCREEN，分别计算每一种污染物的最大地面浓度占标率</w:t>
            </w:r>
            <w:r>
              <w:rPr>
                <w:i/>
                <w:iCs/>
                <w:color w:val="000000" w:themeColor="text1"/>
                <w:sz w:val="24"/>
                <w:highlight w:val="none"/>
                <w:u w:val="single"/>
              </w:rPr>
              <w:t>P</w:t>
            </w:r>
            <w:r>
              <w:rPr>
                <w:color w:val="000000" w:themeColor="text1"/>
                <w:sz w:val="24"/>
                <w:highlight w:val="none"/>
                <w:u w:val="single"/>
                <w:vertAlign w:val="subscript"/>
              </w:rPr>
              <w:t>i</w:t>
            </w:r>
            <w:r>
              <w:rPr>
                <w:color w:val="000000" w:themeColor="text1"/>
                <w:sz w:val="24"/>
                <w:highlight w:val="none"/>
                <w:u w:val="single"/>
              </w:rPr>
              <w:t>（第i个污染物），及第i个污染物的地面浓度达标准限值10%时所对应的最远距离D</w:t>
            </w:r>
            <w:r>
              <w:rPr>
                <w:color w:val="000000" w:themeColor="text1"/>
                <w:sz w:val="24"/>
                <w:highlight w:val="none"/>
                <w:u w:val="single"/>
                <w:vertAlign w:val="subscript"/>
              </w:rPr>
              <w:t>10%</w:t>
            </w:r>
            <w:r>
              <w:rPr>
                <w:color w:val="000000" w:themeColor="text1"/>
                <w:sz w:val="24"/>
                <w:highlight w:val="none"/>
                <w:u w:val="single"/>
              </w:rPr>
              <w:t>，并以此为依据，判定本次大气评价的等级及评价范围。</w:t>
            </w:r>
          </w:p>
          <w:p>
            <w:pPr>
              <w:widowControl/>
              <w:spacing w:line="520" w:lineRule="exact"/>
              <w:ind w:firstLine="480" w:firstLineChars="200"/>
              <w:rPr>
                <w:color w:val="000000" w:themeColor="text1"/>
                <w:sz w:val="24"/>
                <w:highlight w:val="none"/>
                <w:u w:val="single"/>
              </w:rPr>
            </w:pPr>
            <w:r>
              <w:rPr>
                <w:color w:val="000000" w:themeColor="text1"/>
                <w:sz w:val="24"/>
                <w:highlight w:val="none"/>
                <w:u w:val="single"/>
              </w:rPr>
              <w:t>估算模型参数表如下：</w:t>
            </w:r>
          </w:p>
          <w:p>
            <w:pPr>
              <w:pStyle w:val="21"/>
              <w:spacing w:after="0" w:line="240" w:lineRule="auto"/>
              <w:ind w:left="0" w:leftChars="0" w:firstLine="420" w:firstLineChars="200"/>
              <w:jc w:val="center"/>
              <w:rPr>
                <w:rFonts w:eastAsia="新宋体"/>
                <w:b/>
                <w:bCs/>
                <w:color w:val="000000" w:themeColor="text1"/>
                <w:sz w:val="21"/>
                <w:szCs w:val="21"/>
                <w:highlight w:val="none"/>
                <w:u w:val="single"/>
              </w:rPr>
            </w:pPr>
            <w:r>
              <w:rPr>
                <w:rFonts w:eastAsia="新宋体"/>
                <w:b/>
                <w:bCs/>
                <w:color w:val="000000" w:themeColor="text1"/>
                <w:sz w:val="21"/>
                <w:szCs w:val="21"/>
                <w:highlight w:val="none"/>
                <w:u w:val="single"/>
              </w:rPr>
              <w:t>表</w:t>
            </w:r>
            <w:r>
              <w:rPr>
                <w:rFonts w:hint="eastAsia" w:eastAsia="新宋体"/>
                <w:b/>
                <w:bCs/>
                <w:color w:val="000000" w:themeColor="text1"/>
                <w:sz w:val="21"/>
                <w:szCs w:val="21"/>
                <w:highlight w:val="none"/>
                <w:u w:val="single"/>
              </w:rPr>
              <w:t xml:space="preserve">7-1 </w:t>
            </w:r>
            <w:r>
              <w:rPr>
                <w:rFonts w:eastAsia="新宋体"/>
                <w:b/>
                <w:bCs/>
                <w:color w:val="000000" w:themeColor="text1"/>
                <w:sz w:val="21"/>
                <w:szCs w:val="21"/>
                <w:highlight w:val="none"/>
                <w:u w:val="single"/>
              </w:rPr>
              <w:t>估算模型参数表</w:t>
            </w:r>
          </w:p>
          <w:tbl>
            <w:tblPr>
              <w:tblStyle w:val="34"/>
              <w:tblW w:w="900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15" w:type="dxa"/>
                <w:left w:w="15" w:type="dxa"/>
                <w:bottom w:w="15" w:type="dxa"/>
                <w:right w:w="15" w:type="dxa"/>
              </w:tblCellMar>
            </w:tblPr>
            <w:tblGrid>
              <w:gridCol w:w="2500"/>
              <w:gridCol w:w="3339"/>
              <w:gridCol w:w="316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5839" w:type="dxa"/>
                  <w:gridSpan w:val="2"/>
                  <w:tcBorders>
                    <w:tl2br w:val="nil"/>
                    <w:tr2bl w:val="nil"/>
                  </w:tcBorders>
                  <w:vAlign w:val="center"/>
                </w:tcPr>
                <w:p>
                  <w:pPr>
                    <w:overflowPunct w:val="0"/>
                    <w:spacing w:line="240" w:lineRule="atLeast"/>
                    <w:jc w:val="center"/>
                    <w:textAlignment w:val="baseline"/>
                    <w:rPr>
                      <w:b/>
                      <w:bCs/>
                      <w:snapToGrid w:val="0"/>
                      <w:color w:val="000000" w:themeColor="text1"/>
                      <w:kern w:val="0"/>
                      <w:sz w:val="21"/>
                      <w:szCs w:val="21"/>
                      <w:highlight w:val="none"/>
                      <w:u w:val="single"/>
                    </w:rPr>
                  </w:pPr>
                  <w:r>
                    <w:rPr>
                      <w:rFonts w:hint="eastAsia"/>
                      <w:b/>
                      <w:bCs/>
                      <w:snapToGrid w:val="0"/>
                      <w:color w:val="000000" w:themeColor="text1"/>
                      <w:kern w:val="0"/>
                      <w:sz w:val="21"/>
                      <w:szCs w:val="21"/>
                      <w:highlight w:val="none"/>
                      <w:u w:val="single"/>
                    </w:rPr>
                    <w:t>参数</w:t>
                  </w:r>
                </w:p>
              </w:tc>
              <w:tc>
                <w:tcPr>
                  <w:tcW w:w="3168" w:type="dxa"/>
                  <w:tcBorders>
                    <w:tl2br w:val="nil"/>
                    <w:tr2bl w:val="nil"/>
                  </w:tcBorders>
                  <w:vAlign w:val="center"/>
                </w:tcPr>
                <w:p>
                  <w:pPr>
                    <w:overflowPunct w:val="0"/>
                    <w:spacing w:line="240" w:lineRule="atLeast"/>
                    <w:jc w:val="center"/>
                    <w:textAlignment w:val="baseline"/>
                    <w:rPr>
                      <w:b/>
                      <w:bCs/>
                      <w:snapToGrid w:val="0"/>
                      <w:color w:val="000000" w:themeColor="text1"/>
                      <w:kern w:val="0"/>
                      <w:sz w:val="21"/>
                      <w:szCs w:val="21"/>
                      <w:highlight w:val="none"/>
                      <w:u w:val="single"/>
                    </w:rPr>
                  </w:pPr>
                  <w:r>
                    <w:rPr>
                      <w:rFonts w:hint="eastAsia"/>
                      <w:b/>
                      <w:bCs/>
                      <w:snapToGrid w:val="0"/>
                      <w:color w:val="000000" w:themeColor="text1"/>
                      <w:kern w:val="0"/>
                      <w:sz w:val="21"/>
                      <w:szCs w:val="21"/>
                      <w:highlight w:val="none"/>
                      <w:u w:val="single"/>
                    </w:rPr>
                    <w:t>取值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2500" w:type="dxa"/>
                  <w:vMerge w:val="restart"/>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城市/农村选项</w:t>
                  </w:r>
                </w:p>
              </w:tc>
              <w:tc>
                <w:tcPr>
                  <w:tcW w:w="3339"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城市/农村</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default" w:ascii="Times New Roman" w:hAnsi="Times New Roman" w:cs="Times New Roman"/>
                      <w:color w:val="auto"/>
                      <w:sz w:val="21"/>
                      <w:szCs w:val="21"/>
                      <w:u w:val="single"/>
                    </w:rPr>
                    <w:t>农村</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2500" w:type="dxa"/>
                  <w:vMerge w:val="continue"/>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p>
              </w:tc>
              <w:tc>
                <w:tcPr>
                  <w:tcW w:w="3339"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人口数（城市选项时）</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5839" w:type="dxa"/>
                  <w:gridSpan w:val="2"/>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最高环境温度/℃</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43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5839" w:type="dxa"/>
                  <w:gridSpan w:val="2"/>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最低环境温度/℃</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-8.6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5839" w:type="dxa"/>
                  <w:gridSpan w:val="2"/>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土地利用类型</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建设用地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5839" w:type="dxa"/>
                  <w:gridSpan w:val="2"/>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区域湿度条件</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亚热带季风湿润气候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2500" w:type="dxa"/>
                  <w:vMerge w:val="restart"/>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是否考虑地形</w:t>
                  </w:r>
                </w:p>
              </w:tc>
              <w:tc>
                <w:tcPr>
                  <w:tcW w:w="3339"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考虑地形</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2500" w:type="dxa"/>
                  <w:vMerge w:val="continue"/>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p>
              </w:tc>
              <w:tc>
                <w:tcPr>
                  <w:tcW w:w="3339"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地形数据分辨率/m</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2500" w:type="dxa"/>
                  <w:vMerge w:val="restart"/>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是否考虑海岸线熏烟</w:t>
                  </w:r>
                </w:p>
              </w:tc>
              <w:tc>
                <w:tcPr>
                  <w:tcW w:w="3339"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考虑岸线熏烟</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2500" w:type="dxa"/>
                  <w:vMerge w:val="continue"/>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p>
              </w:tc>
              <w:tc>
                <w:tcPr>
                  <w:tcW w:w="3339"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岸线距离/km</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40" w:hRule="atLeast"/>
                <w:jc w:val="center"/>
              </w:trPr>
              <w:tc>
                <w:tcPr>
                  <w:tcW w:w="2500" w:type="dxa"/>
                  <w:vMerge w:val="continue"/>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p>
              </w:tc>
              <w:tc>
                <w:tcPr>
                  <w:tcW w:w="3339"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岸线方向/°</w:t>
                  </w:r>
                </w:p>
              </w:tc>
              <w:tc>
                <w:tcPr>
                  <w:tcW w:w="3168" w:type="dxa"/>
                  <w:tcBorders>
                    <w:tl2br w:val="nil"/>
                    <w:tr2bl w:val="nil"/>
                  </w:tcBorders>
                  <w:vAlign w:val="center"/>
                </w:tcPr>
                <w:p>
                  <w:pPr>
                    <w:overflowPunct w:val="0"/>
                    <w:spacing w:line="240" w:lineRule="atLeast"/>
                    <w:jc w:val="center"/>
                    <w:textAlignment w:val="baseline"/>
                    <w:rPr>
                      <w:snapToGrid w:val="0"/>
                      <w:color w:val="000000" w:themeColor="text1"/>
                      <w:kern w:val="0"/>
                      <w:sz w:val="21"/>
                      <w:szCs w:val="21"/>
                      <w:highlight w:val="none"/>
                      <w:u w:val="single"/>
                    </w:rPr>
                  </w:pPr>
                  <w:r>
                    <w:rPr>
                      <w:rFonts w:hint="eastAsia"/>
                      <w:snapToGrid w:val="0"/>
                      <w:color w:val="000000" w:themeColor="text1"/>
                      <w:kern w:val="0"/>
                      <w:sz w:val="21"/>
                      <w:szCs w:val="21"/>
                      <w:highlight w:val="none"/>
                      <w:u w:val="single"/>
                    </w:rPr>
                    <w:t>/</w:t>
                  </w:r>
                </w:p>
              </w:tc>
            </w:tr>
          </w:tbl>
          <w:p>
            <w:pPr>
              <w:spacing w:line="520" w:lineRule="exact"/>
              <w:ind w:firstLine="566" w:firstLineChars="236"/>
              <w:rPr>
                <w:color w:val="000000" w:themeColor="text1"/>
                <w:sz w:val="24"/>
                <w:highlight w:val="none"/>
                <w:u w:val="single"/>
              </w:rPr>
            </w:pPr>
            <w:r>
              <w:rPr>
                <w:rFonts w:hint="eastAsia"/>
                <w:color w:val="000000" w:themeColor="text1"/>
                <w:sz w:val="24"/>
                <w:highlight w:val="none"/>
                <w:u w:val="single"/>
              </w:rPr>
              <w:t>根据项目特点，选取</w:t>
            </w:r>
            <w:r>
              <w:rPr>
                <w:rFonts w:hint="eastAsia"/>
                <w:color w:val="000000" w:themeColor="text1"/>
                <w:sz w:val="24"/>
                <w:highlight w:val="none"/>
                <w:u w:val="single"/>
                <w:lang w:val="en-US" w:eastAsia="zh-CN"/>
              </w:rPr>
              <w:t>酸雾</w:t>
            </w:r>
            <w:r>
              <w:rPr>
                <w:rFonts w:hint="eastAsia"/>
                <w:color w:val="000000" w:themeColor="text1"/>
                <w:sz w:val="24"/>
                <w:highlight w:val="none"/>
                <w:u w:val="single"/>
              </w:rPr>
              <w:t>作为评价因子。本项目</w:t>
            </w:r>
            <w:r>
              <w:rPr>
                <w:rFonts w:hint="eastAsia"/>
                <w:color w:val="000000" w:themeColor="text1"/>
                <w:sz w:val="24"/>
                <w:highlight w:val="none"/>
                <w:u w:val="single"/>
                <w:lang w:val="en-US" w:eastAsia="zh-CN"/>
              </w:rPr>
              <w:t>酸雾</w:t>
            </w:r>
            <w:r>
              <w:rPr>
                <w:color w:val="000000" w:themeColor="text1"/>
                <w:sz w:val="24"/>
                <w:highlight w:val="none"/>
                <w:u w:val="single"/>
              </w:rPr>
              <w:t>环境空气质量浓度标准</w:t>
            </w:r>
            <w:r>
              <w:rPr>
                <w:rFonts w:hint="eastAsia"/>
                <w:color w:val="000000" w:themeColor="text1"/>
                <w:sz w:val="24"/>
                <w:highlight w:val="none"/>
                <w:u w:val="single"/>
              </w:rPr>
              <w:t>执行</w:t>
            </w:r>
            <w:r>
              <w:rPr>
                <w:color w:val="000000" w:themeColor="text1"/>
                <w:sz w:val="24"/>
                <w:highlight w:val="none"/>
                <w:u w:val="single"/>
              </w:rPr>
              <w:t>《环境影响评价技术导则-大气环境》（HJ 2.2-2018）附录D</w:t>
            </w:r>
            <w:r>
              <w:rPr>
                <w:rFonts w:hint="eastAsia"/>
                <w:color w:val="000000" w:themeColor="text1"/>
                <w:sz w:val="24"/>
                <w:highlight w:val="none"/>
                <w:u w:val="single"/>
                <w:lang w:val="en-US" w:eastAsia="zh-CN"/>
              </w:rPr>
              <w:t>中</w:t>
            </w:r>
            <w:r>
              <w:rPr>
                <w:rFonts w:hint="eastAsia"/>
                <w:color w:val="000000" w:themeColor="text1"/>
                <w:sz w:val="24"/>
                <w:highlight w:val="none"/>
                <w:u w:val="single"/>
              </w:rPr>
              <w:t>1</w:t>
            </w:r>
            <w:r>
              <w:rPr>
                <w:color w:val="000000" w:themeColor="text1"/>
                <w:sz w:val="24"/>
                <w:highlight w:val="none"/>
                <w:u w:val="single"/>
              </w:rPr>
              <w:t>小时均值。</w:t>
            </w:r>
          </w:p>
          <w:p>
            <w:pPr>
              <w:ind w:firstLine="420" w:firstLineChars="200"/>
              <w:jc w:val="center"/>
              <w:rPr>
                <w:color w:val="000000" w:themeColor="text1"/>
                <w:sz w:val="21"/>
                <w:szCs w:val="21"/>
                <w:highlight w:val="none"/>
                <w:u w:val="single"/>
              </w:rPr>
            </w:pPr>
            <w:r>
              <w:rPr>
                <w:rFonts w:hint="eastAsia"/>
                <w:b/>
                <w:bCs/>
                <w:color w:val="000000" w:themeColor="text1"/>
                <w:sz w:val="21"/>
                <w:szCs w:val="21"/>
                <w:highlight w:val="none"/>
                <w:u w:val="single"/>
              </w:rPr>
              <w:t>表7-2 评价因子和评价标准表（ug/m</w:t>
            </w:r>
            <w:r>
              <w:rPr>
                <w:rFonts w:hint="eastAsia"/>
                <w:b/>
                <w:bCs/>
                <w:color w:val="000000" w:themeColor="text1"/>
                <w:sz w:val="21"/>
                <w:szCs w:val="21"/>
                <w:highlight w:val="none"/>
                <w:u w:val="single"/>
                <w:vertAlign w:val="superscript"/>
              </w:rPr>
              <w:t>3</w:t>
            </w:r>
            <w:r>
              <w:rPr>
                <w:rFonts w:hint="eastAsia"/>
                <w:b/>
                <w:bCs/>
                <w:color w:val="000000" w:themeColor="text1"/>
                <w:sz w:val="21"/>
                <w:szCs w:val="21"/>
                <w:highlight w:val="none"/>
                <w:u w:val="single"/>
              </w:rPr>
              <w:t>）</w:t>
            </w:r>
          </w:p>
          <w:tbl>
            <w:tblPr>
              <w:tblStyle w:val="35"/>
              <w:tblW w:w="900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490"/>
              <w:gridCol w:w="1163"/>
              <w:gridCol w:w="1085"/>
              <w:gridCol w:w="526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490" w:type="dxa"/>
                  <w:tcBorders>
                    <w:tl2br w:val="nil"/>
                    <w:tr2bl w:val="nil"/>
                  </w:tcBorders>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评价因子</w:t>
                  </w:r>
                </w:p>
              </w:tc>
              <w:tc>
                <w:tcPr>
                  <w:tcW w:w="1163" w:type="dxa"/>
                  <w:tcBorders>
                    <w:tl2br w:val="nil"/>
                    <w:tr2bl w:val="nil"/>
                  </w:tcBorders>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平均时段</w:t>
                  </w:r>
                </w:p>
              </w:tc>
              <w:tc>
                <w:tcPr>
                  <w:tcW w:w="1085" w:type="dxa"/>
                  <w:tcBorders>
                    <w:tl2br w:val="nil"/>
                    <w:tr2bl w:val="nil"/>
                  </w:tcBorders>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标准值</w:t>
                  </w:r>
                </w:p>
              </w:tc>
              <w:tc>
                <w:tcPr>
                  <w:tcW w:w="5269" w:type="dxa"/>
                  <w:tcBorders>
                    <w:tl2br w:val="nil"/>
                    <w:tr2bl w:val="nil"/>
                  </w:tcBorders>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标准来源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7" w:hRule="atLeast"/>
                <w:jc w:val="center"/>
              </w:trPr>
              <w:tc>
                <w:tcPr>
                  <w:tcW w:w="1490" w:type="dxa"/>
                  <w:tcBorders>
                    <w:tl2br w:val="nil"/>
                    <w:tr2bl w:val="nil"/>
                  </w:tcBorders>
                  <w:vAlign w:val="center"/>
                </w:tcPr>
                <w:p>
                  <w:pPr>
                    <w:jc w:val="center"/>
                    <w:rPr>
                      <w:color w:val="000000" w:themeColor="text1"/>
                      <w:sz w:val="21"/>
                      <w:szCs w:val="21"/>
                      <w:highlight w:val="none"/>
                      <w:u w:val="single"/>
                    </w:rPr>
                  </w:pPr>
                  <w:r>
                    <w:rPr>
                      <w:rFonts w:hint="eastAsia"/>
                      <w:color w:val="000000" w:themeColor="text1"/>
                      <w:spacing w:val="4"/>
                      <w:sz w:val="21"/>
                      <w:szCs w:val="21"/>
                      <w:highlight w:val="none"/>
                      <w:u w:val="single"/>
                      <w:lang w:val="en-US" w:eastAsia="zh-CN"/>
                    </w:rPr>
                    <w:t>酸雾</w:t>
                  </w:r>
                </w:p>
              </w:tc>
              <w:tc>
                <w:tcPr>
                  <w:tcW w:w="1163" w:type="dxa"/>
                  <w:tcBorders>
                    <w:tl2br w:val="nil"/>
                    <w:tr2bl w:val="nil"/>
                  </w:tcBorders>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1小时</w:t>
                  </w:r>
                </w:p>
              </w:tc>
              <w:tc>
                <w:tcPr>
                  <w:tcW w:w="1085" w:type="dxa"/>
                  <w:tcBorders>
                    <w:tl2br w:val="nil"/>
                    <w:tr2bl w:val="nil"/>
                  </w:tcBorders>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1.8</w:t>
                  </w:r>
                </w:p>
              </w:tc>
              <w:tc>
                <w:tcPr>
                  <w:tcW w:w="5269" w:type="dxa"/>
                  <w:tcBorders>
                    <w:tl2br w:val="nil"/>
                    <w:tr2bl w:val="nil"/>
                  </w:tcBorders>
                  <w:vAlign w:val="center"/>
                </w:tcPr>
                <w:p>
                  <w:pPr>
                    <w:jc w:val="center"/>
                    <w:rPr>
                      <w:color w:val="000000" w:themeColor="text1"/>
                      <w:sz w:val="21"/>
                      <w:szCs w:val="21"/>
                      <w:highlight w:val="none"/>
                      <w:u w:val="single"/>
                    </w:rPr>
                  </w:pPr>
                  <w:r>
                    <w:rPr>
                      <w:color w:val="000000" w:themeColor="text1"/>
                      <w:sz w:val="21"/>
                      <w:szCs w:val="21"/>
                      <w:highlight w:val="none"/>
                      <w:u w:val="single"/>
                    </w:rPr>
                    <w:t>《环境影响评价技术导则-大气环境》（HJ 2.2-2018）附录D</w:t>
                  </w:r>
                  <w:r>
                    <w:rPr>
                      <w:rFonts w:hint="eastAsia"/>
                      <w:color w:val="000000" w:themeColor="text1"/>
                      <w:sz w:val="21"/>
                      <w:szCs w:val="21"/>
                      <w:highlight w:val="none"/>
                      <w:u w:val="single"/>
                    </w:rPr>
                    <w:t>.1其他污染物空气质量浓度参考值</w:t>
                  </w:r>
                </w:p>
              </w:tc>
            </w:tr>
          </w:tbl>
          <w:p>
            <w:pPr>
              <w:pStyle w:val="121"/>
              <w:ind w:firstLine="422"/>
              <w:jc w:val="center"/>
              <w:rPr>
                <w:b/>
                <w:bCs/>
                <w:color w:val="000000" w:themeColor="text1"/>
                <w:spacing w:val="0"/>
                <w:sz w:val="21"/>
                <w:szCs w:val="21"/>
                <w:highlight w:val="none"/>
                <w:u w:val="single"/>
              </w:rPr>
            </w:pPr>
            <w:r>
              <w:rPr>
                <w:rFonts w:hint="eastAsia"/>
                <w:b/>
                <w:bCs/>
                <w:color w:val="000000" w:themeColor="text1"/>
                <w:spacing w:val="0"/>
                <w:sz w:val="21"/>
                <w:szCs w:val="21"/>
                <w:highlight w:val="none"/>
                <w:u w:val="single"/>
              </w:rPr>
              <w:t>表7-3有组织点源参数表</w:t>
            </w:r>
          </w:p>
          <w:tbl>
            <w:tblPr>
              <w:tblStyle w:val="35"/>
              <w:tblW w:w="9007"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02"/>
              <w:gridCol w:w="1538"/>
              <w:gridCol w:w="1074"/>
              <w:gridCol w:w="892"/>
              <w:gridCol w:w="699"/>
              <w:gridCol w:w="919"/>
              <w:gridCol w:w="776"/>
              <w:gridCol w:w="698"/>
              <w:gridCol w:w="724"/>
              <w:gridCol w:w="88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02" w:type="dxa"/>
                  <w:tcBorders>
                    <w:tl2br w:val="nil"/>
                    <w:tr2bl w:val="nil"/>
                  </w:tcBorders>
                  <w:vAlign w:val="center"/>
                </w:tcPr>
                <w:p>
                  <w:pPr>
                    <w:autoSpaceDN w:val="0"/>
                    <w:snapToGrid w:val="0"/>
                    <w:jc w:val="center"/>
                    <w:rPr>
                      <w:color w:val="000000" w:themeColor="text1"/>
                      <w:spacing w:val="4"/>
                      <w:sz w:val="24"/>
                      <w:highlight w:val="none"/>
                      <w:u w:val="single"/>
                    </w:rPr>
                  </w:pPr>
                  <w:r>
                    <w:rPr>
                      <w:color w:val="000000" w:themeColor="text1"/>
                      <w:spacing w:val="4"/>
                      <w:sz w:val="24"/>
                      <w:highlight w:val="none"/>
                      <w:u w:val="single"/>
                    </w:rPr>
                    <w:t>名称</w:t>
                  </w:r>
                </w:p>
              </w:tc>
              <w:tc>
                <w:tcPr>
                  <w:tcW w:w="1538"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排气筒坐标</w:t>
                  </w:r>
                </w:p>
              </w:tc>
              <w:tc>
                <w:tcPr>
                  <w:tcW w:w="1074"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排气筒底部海拔</w:t>
                  </w:r>
                </w:p>
              </w:tc>
              <w:tc>
                <w:tcPr>
                  <w:tcW w:w="892"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排气筒高度</w:t>
                  </w:r>
                </w:p>
              </w:tc>
              <w:tc>
                <w:tcPr>
                  <w:tcW w:w="699"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内径</w:t>
                  </w:r>
                </w:p>
              </w:tc>
              <w:tc>
                <w:tcPr>
                  <w:tcW w:w="919"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废气量</w:t>
                  </w:r>
                  <w:r>
                    <w:rPr>
                      <w:color w:val="000000" w:themeColor="text1"/>
                      <w:sz w:val="21"/>
                      <w:szCs w:val="21"/>
                      <w:highlight w:val="none"/>
                      <w:u w:val="single"/>
                    </w:rPr>
                    <w:t>t/a</w:t>
                  </w:r>
                </w:p>
              </w:tc>
              <w:tc>
                <w:tcPr>
                  <w:tcW w:w="776"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烟气温度</w:t>
                  </w:r>
                </w:p>
              </w:tc>
              <w:tc>
                <w:tcPr>
                  <w:tcW w:w="698"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年排放小时</w:t>
                  </w:r>
                </w:p>
              </w:tc>
              <w:tc>
                <w:tcPr>
                  <w:tcW w:w="724"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排放工况</w:t>
                  </w:r>
                </w:p>
              </w:tc>
              <w:tc>
                <w:tcPr>
                  <w:tcW w:w="885"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排放速率</w:t>
                  </w:r>
                  <w:r>
                    <w:rPr>
                      <w:color w:val="000000" w:themeColor="text1"/>
                      <w:sz w:val="21"/>
                      <w:szCs w:val="21"/>
                      <w:highlight w:val="none"/>
                      <w:u w:val="single"/>
                    </w:rPr>
                    <w:t>kg/h</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17" w:hRule="atLeast"/>
              </w:trPr>
              <w:tc>
                <w:tcPr>
                  <w:tcW w:w="802" w:type="dxa"/>
                  <w:tcBorders>
                    <w:tl2br w:val="nil"/>
                    <w:tr2bl w:val="nil"/>
                  </w:tcBorders>
                  <w:vAlign w:val="center"/>
                </w:tcPr>
                <w:p>
                  <w:pPr>
                    <w:jc w:val="center"/>
                    <w:rPr>
                      <w:color w:val="000000" w:themeColor="text1"/>
                      <w:spacing w:val="4"/>
                      <w:sz w:val="24"/>
                      <w:highlight w:val="none"/>
                      <w:u w:val="single"/>
                    </w:rPr>
                  </w:pPr>
                  <w:r>
                    <w:rPr>
                      <w:rFonts w:hint="eastAsia"/>
                      <w:color w:val="000000" w:themeColor="text1"/>
                      <w:spacing w:val="4"/>
                      <w:sz w:val="21"/>
                      <w:szCs w:val="21"/>
                      <w:highlight w:val="none"/>
                      <w:u w:val="single"/>
                      <w:lang w:val="en-US" w:eastAsia="zh-CN"/>
                    </w:rPr>
                    <w:t>酸雾</w:t>
                  </w:r>
                </w:p>
              </w:tc>
              <w:tc>
                <w:tcPr>
                  <w:tcW w:w="1538" w:type="dxa"/>
                  <w:tcBorders>
                    <w:tl2br w:val="nil"/>
                    <w:tr2bl w:val="nil"/>
                  </w:tcBorders>
                  <w:vAlign w:val="center"/>
                </w:tcPr>
                <w:p>
                  <w:pPr>
                    <w:autoSpaceDN w:val="0"/>
                    <w:snapToGrid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112°55′33.45″,28°31′42.20″</w:t>
                  </w:r>
                </w:p>
              </w:tc>
              <w:tc>
                <w:tcPr>
                  <w:tcW w:w="1074" w:type="dxa"/>
                  <w:tcBorders>
                    <w:tl2br w:val="nil"/>
                    <w:tr2bl w:val="nil"/>
                  </w:tcBorders>
                  <w:vAlign w:val="center"/>
                </w:tcPr>
                <w:p>
                  <w:pPr>
                    <w:autoSpaceDN w:val="0"/>
                    <w:snapToGrid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lang w:val="en-US" w:eastAsia="zh-CN"/>
                    </w:rPr>
                    <w:t>50</w:t>
                  </w:r>
                  <w:r>
                    <w:rPr>
                      <w:color w:val="000000" w:themeColor="text1"/>
                      <w:spacing w:val="4"/>
                      <w:sz w:val="21"/>
                      <w:szCs w:val="21"/>
                      <w:highlight w:val="none"/>
                      <w:u w:val="single"/>
                    </w:rPr>
                    <w:t>m</w:t>
                  </w:r>
                </w:p>
              </w:tc>
              <w:tc>
                <w:tcPr>
                  <w:tcW w:w="892"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15</w:t>
                  </w:r>
                  <w:r>
                    <w:rPr>
                      <w:rFonts w:hint="eastAsia"/>
                      <w:color w:val="000000" w:themeColor="text1"/>
                      <w:spacing w:val="4"/>
                      <w:sz w:val="21"/>
                      <w:szCs w:val="21"/>
                      <w:highlight w:val="none"/>
                      <w:u w:val="single"/>
                    </w:rPr>
                    <w:t>m</w:t>
                  </w:r>
                </w:p>
              </w:tc>
              <w:tc>
                <w:tcPr>
                  <w:tcW w:w="699"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0.</w:t>
                  </w:r>
                  <w:r>
                    <w:rPr>
                      <w:rFonts w:hint="eastAsia"/>
                      <w:color w:val="000000" w:themeColor="text1"/>
                      <w:spacing w:val="4"/>
                      <w:sz w:val="21"/>
                      <w:szCs w:val="21"/>
                      <w:highlight w:val="none"/>
                      <w:u w:val="single"/>
                    </w:rPr>
                    <w:t>2m</w:t>
                  </w:r>
                </w:p>
              </w:tc>
              <w:tc>
                <w:tcPr>
                  <w:tcW w:w="919" w:type="dxa"/>
                  <w:tcBorders>
                    <w:tl2br w:val="nil"/>
                    <w:tr2bl w:val="nil"/>
                  </w:tcBorders>
                  <w:vAlign w:val="center"/>
                </w:tcPr>
                <w:p>
                  <w:pPr>
                    <w:autoSpaceDN w:val="0"/>
                    <w:snapToGrid w:val="0"/>
                    <w:jc w:val="center"/>
                    <w:rPr>
                      <w:rFonts w:hint="default" w:eastAsia="宋体"/>
                      <w:color w:val="000000" w:themeColor="text1"/>
                      <w:spacing w:val="4"/>
                      <w:sz w:val="21"/>
                      <w:szCs w:val="21"/>
                      <w:highlight w:val="none"/>
                      <w:u w:val="single"/>
                      <w:lang w:val="en-US" w:eastAsia="zh-CN"/>
                    </w:rPr>
                  </w:pPr>
                  <w:r>
                    <w:rPr>
                      <w:rFonts w:hint="eastAsia"/>
                      <w:color w:val="000000" w:themeColor="text1"/>
                      <w:sz w:val="21"/>
                      <w:szCs w:val="21"/>
                      <w:highlight w:val="none"/>
                      <w:u w:val="single"/>
                      <w:shd w:val="clear" w:color="auto" w:fill="FFFFFF"/>
                    </w:rPr>
                    <w:t>0.00</w:t>
                  </w:r>
                  <w:r>
                    <w:rPr>
                      <w:rFonts w:hint="eastAsia"/>
                      <w:color w:val="000000" w:themeColor="text1"/>
                      <w:sz w:val="21"/>
                      <w:szCs w:val="21"/>
                      <w:highlight w:val="none"/>
                      <w:u w:val="single"/>
                      <w:shd w:val="clear" w:color="auto" w:fill="FFFFFF"/>
                      <w:lang w:val="en-US" w:eastAsia="zh-CN"/>
                    </w:rPr>
                    <w:t>01</w:t>
                  </w:r>
                </w:p>
              </w:tc>
              <w:tc>
                <w:tcPr>
                  <w:tcW w:w="776" w:type="dxa"/>
                  <w:tcBorders>
                    <w:tl2br w:val="nil"/>
                    <w:tr2bl w:val="nil"/>
                  </w:tcBorders>
                  <w:vAlign w:val="center"/>
                </w:tcPr>
                <w:p>
                  <w:pPr>
                    <w:autoSpaceDN w:val="0"/>
                    <w:snapToGrid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25</w:t>
                  </w:r>
                  <w:r>
                    <w:rPr>
                      <w:color w:val="000000" w:themeColor="text1"/>
                      <w:spacing w:val="4"/>
                      <w:sz w:val="21"/>
                      <w:szCs w:val="21"/>
                      <w:highlight w:val="none"/>
                      <w:u w:val="single"/>
                    </w:rPr>
                    <w:t>℃</w:t>
                  </w:r>
                </w:p>
              </w:tc>
              <w:tc>
                <w:tcPr>
                  <w:tcW w:w="698" w:type="dxa"/>
                  <w:tcBorders>
                    <w:tl2br w:val="nil"/>
                    <w:tr2bl w:val="nil"/>
                  </w:tcBorders>
                  <w:vAlign w:val="center"/>
                </w:tcPr>
                <w:p>
                  <w:pPr>
                    <w:autoSpaceDN w:val="0"/>
                    <w:snapToGrid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500h</w:t>
                  </w:r>
                </w:p>
              </w:tc>
              <w:tc>
                <w:tcPr>
                  <w:tcW w:w="724"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pacing w:val="4"/>
                      <w:sz w:val="21"/>
                      <w:szCs w:val="21"/>
                      <w:highlight w:val="none"/>
                      <w:u w:val="single"/>
                    </w:rPr>
                    <w:t>正常工况</w:t>
                  </w:r>
                </w:p>
              </w:tc>
              <w:tc>
                <w:tcPr>
                  <w:tcW w:w="885" w:type="dxa"/>
                  <w:tcBorders>
                    <w:tl2br w:val="nil"/>
                    <w:tr2bl w:val="nil"/>
                  </w:tcBorders>
                  <w:vAlign w:val="center"/>
                </w:tcPr>
                <w:p>
                  <w:pPr>
                    <w:autoSpaceDN w:val="0"/>
                    <w:snapToGrid w:val="0"/>
                    <w:jc w:val="center"/>
                    <w:rPr>
                      <w:color w:val="000000" w:themeColor="text1"/>
                      <w:spacing w:val="4"/>
                      <w:sz w:val="21"/>
                      <w:szCs w:val="21"/>
                      <w:highlight w:val="none"/>
                      <w:u w:val="single"/>
                    </w:rPr>
                  </w:pPr>
                  <w:r>
                    <w:rPr>
                      <w:color w:val="000000" w:themeColor="text1"/>
                      <w:sz w:val="21"/>
                      <w:szCs w:val="21"/>
                      <w:highlight w:val="none"/>
                      <w:u w:val="single"/>
                      <w:shd w:val="clear" w:color="auto" w:fill="FFFFFF"/>
                    </w:rPr>
                    <w:t>0.0</w:t>
                  </w:r>
                  <w:r>
                    <w:rPr>
                      <w:rFonts w:hint="eastAsia"/>
                      <w:color w:val="000000" w:themeColor="text1"/>
                      <w:sz w:val="21"/>
                      <w:szCs w:val="21"/>
                      <w:highlight w:val="none"/>
                      <w:u w:val="single"/>
                      <w:shd w:val="clear" w:color="auto" w:fill="FFFFFF"/>
                    </w:rPr>
                    <w:t>1</w:t>
                  </w:r>
                  <w:r>
                    <w:rPr>
                      <w:color w:val="000000" w:themeColor="text1"/>
                      <w:sz w:val="21"/>
                      <w:szCs w:val="21"/>
                      <w:highlight w:val="none"/>
                      <w:u w:val="single"/>
                      <w:shd w:val="clear" w:color="auto" w:fill="FFFFFF"/>
                    </w:rPr>
                    <w:t>2</w:t>
                  </w:r>
                  <w:r>
                    <w:rPr>
                      <w:rFonts w:hint="eastAsia"/>
                      <w:color w:val="000000" w:themeColor="text1"/>
                      <w:sz w:val="21"/>
                      <w:szCs w:val="21"/>
                      <w:highlight w:val="none"/>
                      <w:u w:val="single"/>
                      <w:shd w:val="clear" w:color="auto" w:fill="FFFFFF"/>
                    </w:rPr>
                    <w:t>8</w:t>
                  </w:r>
                </w:p>
              </w:tc>
            </w:tr>
          </w:tbl>
          <w:p>
            <w:pPr>
              <w:pStyle w:val="121"/>
              <w:ind w:firstLine="0" w:firstLineChars="0"/>
              <w:jc w:val="center"/>
              <w:rPr>
                <w:b/>
                <w:bCs/>
                <w:color w:val="000000" w:themeColor="text1"/>
                <w:spacing w:val="0"/>
                <w:sz w:val="21"/>
                <w:szCs w:val="21"/>
                <w:highlight w:val="red"/>
                <w:u w:val="single"/>
              </w:rPr>
            </w:pPr>
          </w:p>
          <w:p>
            <w:pPr>
              <w:pStyle w:val="121"/>
              <w:ind w:firstLine="0" w:firstLineChars="0"/>
              <w:jc w:val="center"/>
              <w:rPr>
                <w:b/>
                <w:bCs/>
                <w:color w:val="000000" w:themeColor="text1"/>
                <w:spacing w:val="0"/>
                <w:sz w:val="21"/>
                <w:szCs w:val="21"/>
                <w:highlight w:val="none"/>
                <w:u w:val="single"/>
              </w:rPr>
            </w:pPr>
            <w:r>
              <w:rPr>
                <w:rFonts w:hint="eastAsia"/>
                <w:b/>
                <w:bCs/>
                <w:color w:val="000000" w:themeColor="text1"/>
                <w:spacing w:val="0"/>
                <w:sz w:val="21"/>
                <w:szCs w:val="21"/>
                <w:highlight w:val="none"/>
                <w:u w:val="single"/>
              </w:rPr>
              <w:t>表7-4 本项目废气贡献浓度预测结果表</w:t>
            </w:r>
          </w:p>
          <w:tbl>
            <w:tblPr>
              <w:tblStyle w:val="35"/>
              <w:tblW w:w="9007"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539"/>
              <w:gridCol w:w="2139"/>
              <w:gridCol w:w="1892"/>
              <w:gridCol w:w="1482"/>
              <w:gridCol w:w="195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539" w:type="dxa"/>
                  <w:tcBorders>
                    <w:tl2br w:val="nil"/>
                    <w:tr2bl w:val="nil"/>
                  </w:tcBorders>
                  <w:vAlign w:val="center"/>
                </w:tcPr>
                <w:p>
                  <w:pPr>
                    <w:autoSpaceDN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污染物</w:t>
                  </w:r>
                </w:p>
              </w:tc>
              <w:tc>
                <w:tcPr>
                  <w:tcW w:w="2139" w:type="dxa"/>
                  <w:tcBorders>
                    <w:tl2br w:val="nil"/>
                    <w:tr2bl w:val="nil"/>
                  </w:tcBorders>
                  <w:vAlign w:val="center"/>
                </w:tcPr>
                <w:p>
                  <w:pPr>
                    <w:autoSpaceDN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预测点</w:t>
                  </w:r>
                </w:p>
              </w:tc>
              <w:tc>
                <w:tcPr>
                  <w:tcW w:w="1892" w:type="dxa"/>
                  <w:tcBorders>
                    <w:tl2br w:val="nil"/>
                    <w:tr2bl w:val="nil"/>
                  </w:tcBorders>
                  <w:shd w:val="clear" w:color="auto" w:fill="auto"/>
                  <w:vAlign w:val="center"/>
                </w:tcPr>
                <w:p>
                  <w:pPr>
                    <w:autoSpaceDN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最大贡献值µg/m</w:t>
                  </w:r>
                  <w:r>
                    <w:rPr>
                      <w:rFonts w:hint="eastAsia"/>
                      <w:color w:val="000000" w:themeColor="text1"/>
                      <w:spacing w:val="4"/>
                      <w:sz w:val="21"/>
                      <w:szCs w:val="21"/>
                      <w:highlight w:val="none"/>
                      <w:u w:val="single"/>
                      <w:vertAlign w:val="superscript"/>
                    </w:rPr>
                    <w:t>3</w:t>
                  </w:r>
                </w:p>
              </w:tc>
              <w:tc>
                <w:tcPr>
                  <w:tcW w:w="1482" w:type="dxa"/>
                  <w:tcBorders>
                    <w:tl2br w:val="nil"/>
                    <w:tr2bl w:val="nil"/>
                  </w:tcBorders>
                  <w:shd w:val="clear" w:color="auto" w:fill="auto"/>
                  <w:vAlign w:val="center"/>
                </w:tcPr>
                <w:p>
                  <w:pPr>
                    <w:autoSpaceDN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占标率/%</w:t>
                  </w:r>
                </w:p>
              </w:tc>
              <w:tc>
                <w:tcPr>
                  <w:tcW w:w="1955" w:type="dxa"/>
                  <w:tcBorders>
                    <w:tl2br w:val="nil"/>
                    <w:tr2bl w:val="nil"/>
                  </w:tcBorders>
                  <w:shd w:val="clear" w:color="auto" w:fill="auto"/>
                  <w:vAlign w:val="center"/>
                </w:tcPr>
                <w:p>
                  <w:pPr>
                    <w:autoSpaceDN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达标情况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539" w:type="dxa"/>
                  <w:tcBorders>
                    <w:tl2br w:val="nil"/>
                    <w:tr2bl w:val="nil"/>
                  </w:tcBorders>
                </w:tcPr>
                <w:p>
                  <w:pPr>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酸雾</w:t>
                  </w:r>
                </w:p>
              </w:tc>
              <w:tc>
                <w:tcPr>
                  <w:tcW w:w="2139" w:type="dxa"/>
                  <w:tcBorders>
                    <w:tl2br w:val="nil"/>
                    <w:tr2bl w:val="nil"/>
                  </w:tcBorders>
                  <w:vAlign w:val="center"/>
                </w:tcPr>
                <w:p>
                  <w:pPr>
                    <w:autoSpaceDN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区域最大落地浓度</w:t>
                  </w:r>
                </w:p>
              </w:tc>
              <w:tc>
                <w:tcPr>
                  <w:tcW w:w="1892" w:type="dxa"/>
                  <w:tcBorders>
                    <w:tl2br w:val="nil"/>
                    <w:tr2bl w:val="nil"/>
                  </w:tcBorders>
                  <w:shd w:val="clear" w:color="auto" w:fill="auto"/>
                  <w:vAlign w:val="center"/>
                </w:tcPr>
                <w:p>
                  <w:pPr>
                    <w:autoSpaceDN w:val="0"/>
                    <w:jc w:val="center"/>
                    <w:rPr>
                      <w:rFonts w:hint="eastAsia" w:eastAsia="宋体"/>
                      <w:color w:val="000000" w:themeColor="text1"/>
                      <w:spacing w:val="4"/>
                      <w:sz w:val="21"/>
                      <w:szCs w:val="21"/>
                      <w:highlight w:val="none"/>
                      <w:u w:val="single"/>
                      <w:lang w:eastAsia="zh-CN"/>
                    </w:rPr>
                  </w:pPr>
                  <w:r>
                    <w:rPr>
                      <w:rFonts w:hint="eastAsia"/>
                      <w:color w:val="000000" w:themeColor="text1"/>
                      <w:spacing w:val="4"/>
                      <w:sz w:val="21"/>
                      <w:szCs w:val="21"/>
                      <w:highlight w:val="none"/>
                      <w:u w:val="single"/>
                    </w:rPr>
                    <w:t>0.00001</w:t>
                  </w:r>
                  <w:r>
                    <w:rPr>
                      <w:rFonts w:hint="eastAsia"/>
                      <w:color w:val="000000" w:themeColor="text1"/>
                      <w:spacing w:val="4"/>
                      <w:sz w:val="21"/>
                      <w:szCs w:val="21"/>
                      <w:highlight w:val="none"/>
                      <w:u w:val="single"/>
                      <w:lang w:val="en-US" w:eastAsia="zh-CN"/>
                    </w:rPr>
                    <w:t>2</w:t>
                  </w:r>
                </w:p>
              </w:tc>
              <w:tc>
                <w:tcPr>
                  <w:tcW w:w="1482" w:type="dxa"/>
                  <w:tcBorders>
                    <w:tl2br w:val="nil"/>
                    <w:tr2bl w:val="nil"/>
                  </w:tcBorders>
                  <w:shd w:val="clear" w:color="auto" w:fill="auto"/>
                  <w:vAlign w:val="center"/>
                </w:tcPr>
                <w:p>
                  <w:pPr>
                    <w:autoSpaceDN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0.01</w:t>
                  </w:r>
                </w:p>
              </w:tc>
              <w:tc>
                <w:tcPr>
                  <w:tcW w:w="1955" w:type="dxa"/>
                  <w:tcBorders>
                    <w:tl2br w:val="nil"/>
                    <w:tr2bl w:val="nil"/>
                  </w:tcBorders>
                  <w:shd w:val="clear" w:color="auto" w:fill="auto"/>
                  <w:vAlign w:val="center"/>
                </w:tcPr>
                <w:p>
                  <w:pPr>
                    <w:autoSpaceDN w:val="0"/>
                    <w:jc w:val="center"/>
                    <w:rPr>
                      <w:color w:val="000000" w:themeColor="text1"/>
                      <w:spacing w:val="4"/>
                      <w:sz w:val="21"/>
                      <w:szCs w:val="21"/>
                      <w:highlight w:val="none"/>
                      <w:u w:val="single"/>
                    </w:rPr>
                  </w:pPr>
                  <w:r>
                    <w:rPr>
                      <w:rFonts w:hint="eastAsia"/>
                      <w:color w:val="000000" w:themeColor="text1"/>
                      <w:spacing w:val="4"/>
                      <w:sz w:val="21"/>
                      <w:szCs w:val="21"/>
                      <w:highlight w:val="none"/>
                      <w:u w:val="single"/>
                    </w:rPr>
                    <w:t>达标</w:t>
                  </w:r>
                </w:p>
              </w:tc>
            </w:tr>
          </w:tbl>
          <w:p>
            <w:pPr>
              <w:spacing w:line="360" w:lineRule="auto"/>
              <w:ind w:firstLine="472" w:firstLineChars="200"/>
              <w:rPr>
                <w:color w:val="000000" w:themeColor="text1"/>
                <w:sz w:val="24"/>
                <w:highlight w:val="none"/>
                <w:u w:val="single"/>
              </w:rPr>
            </w:pPr>
            <w:r>
              <w:rPr>
                <w:color w:val="000000" w:themeColor="text1"/>
                <w:spacing w:val="-2"/>
                <w:sz w:val="24"/>
                <w:highlight w:val="none"/>
                <w:u w:val="single"/>
              </w:rPr>
              <w:t>本项目大气污染源排放的污染物经估算模式预测，污染物最大落地浓度值占标率中最大值Pmax=0.</w:t>
            </w:r>
            <w:r>
              <w:rPr>
                <w:rFonts w:hint="eastAsia"/>
                <w:color w:val="000000" w:themeColor="text1"/>
                <w:spacing w:val="-2"/>
                <w:sz w:val="24"/>
                <w:highlight w:val="none"/>
                <w:u w:val="single"/>
              </w:rPr>
              <w:t>01</w:t>
            </w:r>
            <w:r>
              <w:rPr>
                <w:color w:val="000000" w:themeColor="text1"/>
                <w:spacing w:val="-2"/>
                <w:sz w:val="24"/>
                <w:highlight w:val="none"/>
                <w:u w:val="single"/>
              </w:rPr>
              <w:t>%。根据《环境影响评价技术导则 大气环境》（HJ2.2-2018）的大气评价工作分级依据，结合估算结果可知，本项目大气评价等级应为三级，因此不再进行进一步预测与评价。</w:t>
            </w:r>
          </w:p>
          <w:p>
            <w:pPr>
              <w:spacing w:line="360" w:lineRule="auto"/>
              <w:ind w:firstLine="480" w:firstLineChars="200"/>
              <w:rPr>
                <w:color w:val="000000" w:themeColor="text1"/>
                <w:sz w:val="24"/>
                <w:highlight w:val="none"/>
                <w:u w:val="none"/>
              </w:rPr>
            </w:pPr>
            <w:r>
              <w:rPr>
                <w:color w:val="000000" w:themeColor="text1"/>
                <w:sz w:val="24"/>
                <w:highlight w:val="none"/>
                <w:u w:val="none"/>
              </w:rPr>
              <w:t>（2）</w:t>
            </w:r>
            <w:r>
              <w:rPr>
                <w:rFonts w:hint="eastAsia"/>
                <w:color w:val="000000" w:themeColor="text1"/>
                <w:sz w:val="24"/>
                <w:highlight w:val="none"/>
                <w:u w:val="none"/>
              </w:rPr>
              <w:t>废气处理措施及达标性分析</w:t>
            </w:r>
          </w:p>
          <w:p>
            <w:pPr>
              <w:spacing w:line="360" w:lineRule="auto"/>
              <w:ind w:firstLine="480" w:firstLineChars="200"/>
              <w:rPr>
                <w:color w:val="000000" w:themeColor="text1"/>
                <w:sz w:val="24"/>
                <w:highlight w:val="none"/>
                <w:u w:val="none"/>
              </w:rPr>
            </w:pPr>
            <w:r>
              <w:rPr>
                <w:color w:val="000000" w:themeColor="text1"/>
                <w:sz w:val="24"/>
                <w:highlight w:val="none"/>
                <w:u w:val="none"/>
              </w:rPr>
              <w:t>项目产生的废气主要为实验室样品分析检测、配制溶液时产生</w:t>
            </w:r>
            <w:r>
              <w:rPr>
                <w:rFonts w:hint="eastAsia"/>
                <w:color w:val="000000" w:themeColor="text1"/>
                <w:sz w:val="24"/>
                <w:highlight w:val="none"/>
                <w:u w:val="none"/>
              </w:rPr>
              <w:t>的</w:t>
            </w:r>
            <w:r>
              <w:rPr>
                <w:color w:val="000000" w:themeColor="text1"/>
                <w:sz w:val="24"/>
                <w:highlight w:val="none"/>
                <w:u w:val="none"/>
              </w:rPr>
              <w:t>少量废气，由于实验类型的不同，根据样品前处理工艺的差别，废气污染物主要</w:t>
            </w:r>
            <w:r>
              <w:rPr>
                <w:rFonts w:hint="eastAsia"/>
                <w:color w:val="000000" w:themeColor="text1"/>
                <w:sz w:val="24"/>
                <w:highlight w:val="none"/>
                <w:u w:val="none"/>
                <w:lang w:val="en-US" w:eastAsia="zh-CN"/>
              </w:rPr>
              <w:t>为</w:t>
            </w:r>
            <w:r>
              <w:rPr>
                <w:color w:val="000000" w:themeColor="text1"/>
                <w:sz w:val="24"/>
                <w:highlight w:val="none"/>
                <w:u w:val="none"/>
              </w:rPr>
              <w:t>无机废气。其中无机废气则HCl、H</w:t>
            </w:r>
            <w:r>
              <w:rPr>
                <w:color w:val="000000" w:themeColor="text1"/>
                <w:sz w:val="24"/>
                <w:highlight w:val="none"/>
                <w:u w:val="none"/>
                <w:vertAlign w:val="subscript"/>
              </w:rPr>
              <w:t>2</w:t>
            </w:r>
            <w:r>
              <w:rPr>
                <w:color w:val="000000" w:themeColor="text1"/>
                <w:sz w:val="24"/>
                <w:highlight w:val="none"/>
                <w:u w:val="none"/>
              </w:rPr>
              <w:t>SO</w:t>
            </w:r>
            <w:r>
              <w:rPr>
                <w:color w:val="000000" w:themeColor="text1"/>
                <w:sz w:val="24"/>
                <w:highlight w:val="none"/>
                <w:u w:val="none"/>
                <w:vertAlign w:val="subscript"/>
              </w:rPr>
              <w:t>4</w:t>
            </w:r>
            <w:r>
              <w:rPr>
                <w:rFonts w:hint="eastAsia"/>
                <w:color w:val="000000" w:themeColor="text1"/>
                <w:sz w:val="24"/>
                <w:highlight w:val="none"/>
                <w:u w:val="none"/>
                <w:vertAlign w:val="subscript"/>
              </w:rPr>
              <w:t>、</w:t>
            </w:r>
            <w:r>
              <w:rPr>
                <w:rFonts w:hint="eastAsia"/>
                <w:color w:val="000000" w:themeColor="text1"/>
                <w:sz w:val="24"/>
                <w:highlight w:val="none"/>
                <w:u w:val="none"/>
              </w:rPr>
              <w:t>HNO</w:t>
            </w:r>
            <w:r>
              <w:rPr>
                <w:rFonts w:hint="eastAsia"/>
                <w:color w:val="000000" w:themeColor="text1"/>
                <w:sz w:val="24"/>
                <w:highlight w:val="none"/>
                <w:u w:val="none"/>
                <w:vertAlign w:val="subscript"/>
              </w:rPr>
              <w:t>3</w:t>
            </w:r>
            <w:r>
              <w:rPr>
                <w:color w:val="000000" w:themeColor="text1"/>
                <w:sz w:val="24"/>
                <w:highlight w:val="none"/>
                <w:u w:val="none"/>
              </w:rPr>
              <w:t>等酸雾。</w:t>
            </w:r>
          </w:p>
          <w:p>
            <w:pPr>
              <w:spacing w:line="360" w:lineRule="auto"/>
              <w:ind w:firstLine="480" w:firstLineChars="200"/>
              <w:rPr>
                <w:color w:val="000000" w:themeColor="text1"/>
                <w:sz w:val="24"/>
                <w:highlight w:val="none"/>
                <w:u w:val="none"/>
              </w:rPr>
            </w:pPr>
            <w:r>
              <w:rPr>
                <w:rFonts w:hint="eastAsia"/>
                <w:color w:val="000000" w:themeColor="text1"/>
                <w:sz w:val="24"/>
                <w:highlight w:val="none"/>
                <w:u w:val="none"/>
              </w:rPr>
              <w:t>本</w:t>
            </w:r>
            <w:r>
              <w:rPr>
                <w:color w:val="000000" w:themeColor="text1"/>
                <w:sz w:val="24"/>
                <w:highlight w:val="none"/>
                <w:u w:val="none"/>
              </w:rPr>
              <w:t>项目在产生废气的仪器上方</w:t>
            </w:r>
            <w:r>
              <w:rPr>
                <w:rFonts w:hint="eastAsia"/>
                <w:color w:val="000000" w:themeColor="text1"/>
                <w:sz w:val="24"/>
                <w:highlight w:val="none"/>
                <w:u w:val="none"/>
              </w:rPr>
              <w:t>均</w:t>
            </w:r>
            <w:r>
              <w:rPr>
                <w:color w:val="000000" w:themeColor="text1"/>
                <w:sz w:val="24"/>
                <w:highlight w:val="none"/>
                <w:u w:val="none"/>
              </w:rPr>
              <w:t>安装原子吸收罩，</w:t>
            </w:r>
            <w:r>
              <w:rPr>
                <w:rFonts w:hint="eastAsia"/>
                <w:color w:val="000000" w:themeColor="text1"/>
                <w:sz w:val="24"/>
                <w:highlight w:val="none"/>
                <w:u w:val="none"/>
              </w:rPr>
              <w:t>无机前处理室设置</w:t>
            </w:r>
            <w:r>
              <w:rPr>
                <w:color w:val="000000" w:themeColor="text1"/>
                <w:sz w:val="24"/>
                <w:highlight w:val="none"/>
                <w:u w:val="none"/>
              </w:rPr>
              <w:t>2个无机通风橱</w:t>
            </w:r>
            <w:r>
              <w:rPr>
                <w:rFonts w:hint="eastAsia"/>
                <w:color w:val="000000" w:themeColor="text1"/>
                <w:sz w:val="24"/>
                <w:highlight w:val="none"/>
                <w:u w:val="none"/>
              </w:rPr>
              <w:t>，</w:t>
            </w:r>
            <w:r>
              <w:rPr>
                <w:color w:val="000000" w:themeColor="text1"/>
                <w:sz w:val="24"/>
                <w:highlight w:val="none"/>
                <w:u w:val="none"/>
              </w:rPr>
              <w:t>实验操作均在通风橱内完成。</w:t>
            </w:r>
            <w:r>
              <w:rPr>
                <w:rFonts w:hint="eastAsia"/>
                <w:color w:val="000000" w:themeColor="text1"/>
                <w:sz w:val="24"/>
                <w:highlight w:val="none"/>
                <w:u w:val="none"/>
              </w:rPr>
              <w:t>所有</w:t>
            </w:r>
            <w:r>
              <w:rPr>
                <w:color w:val="000000" w:themeColor="text1"/>
                <w:sz w:val="24"/>
                <w:highlight w:val="none"/>
                <w:u w:val="none"/>
              </w:rPr>
              <w:t>实验室通风橱废气</w:t>
            </w:r>
            <w:r>
              <w:rPr>
                <w:rFonts w:hint="eastAsia"/>
                <w:color w:val="000000" w:themeColor="text1"/>
                <w:sz w:val="24"/>
                <w:highlight w:val="none"/>
                <w:u w:val="none"/>
              </w:rPr>
              <w:t>及原子吸收罩废气均</w:t>
            </w:r>
            <w:r>
              <w:rPr>
                <w:color w:val="000000" w:themeColor="text1"/>
                <w:sz w:val="24"/>
                <w:highlight w:val="none"/>
                <w:u w:val="none"/>
              </w:rPr>
              <w:t>通过项目北侧通风管道引至楼顶，楼顶安装了通引风机。无机废气</w:t>
            </w:r>
            <w:r>
              <w:rPr>
                <w:rFonts w:hint="eastAsia"/>
                <w:color w:val="000000" w:themeColor="text1"/>
                <w:sz w:val="24"/>
                <w:highlight w:val="none"/>
                <w:u w:val="none"/>
              </w:rPr>
              <w:t>经</w:t>
            </w:r>
            <w:r>
              <w:rPr>
                <w:color w:val="000000" w:themeColor="text1"/>
                <w:sz w:val="24"/>
                <w:highlight w:val="none"/>
                <w:u w:val="none"/>
              </w:rPr>
              <w:t>通风橱收集</w:t>
            </w:r>
            <w:r>
              <w:rPr>
                <w:rFonts w:hint="eastAsia"/>
                <w:color w:val="000000" w:themeColor="text1"/>
                <w:sz w:val="24"/>
                <w:highlight w:val="none"/>
                <w:u w:val="none"/>
              </w:rPr>
              <w:t>后</w:t>
            </w:r>
            <w:r>
              <w:rPr>
                <w:color w:val="000000" w:themeColor="text1"/>
                <w:sz w:val="24"/>
                <w:highlight w:val="none"/>
                <w:u w:val="none"/>
              </w:rPr>
              <w:t>经</w:t>
            </w:r>
            <w:r>
              <w:rPr>
                <w:rFonts w:hint="eastAsia"/>
                <w:color w:val="000000" w:themeColor="text1"/>
                <w:sz w:val="24"/>
                <w:highlight w:val="none"/>
                <w:u w:val="none"/>
              </w:rPr>
              <w:t>喷淋塔</w:t>
            </w:r>
            <w:r>
              <w:rPr>
                <w:color w:val="000000" w:themeColor="text1"/>
                <w:sz w:val="24"/>
                <w:highlight w:val="none"/>
                <w:u w:val="none"/>
              </w:rPr>
              <w:t>后由</w:t>
            </w:r>
            <w:r>
              <w:rPr>
                <w:rFonts w:hint="eastAsia"/>
                <w:color w:val="000000" w:themeColor="text1"/>
                <w:sz w:val="24"/>
                <w:highlight w:val="none"/>
                <w:u w:val="none"/>
              </w:rPr>
              <w:t>不低于15</w:t>
            </w:r>
            <w:r>
              <w:rPr>
                <w:color w:val="000000" w:themeColor="text1"/>
                <w:sz w:val="24"/>
                <w:highlight w:val="none"/>
                <w:u w:val="none"/>
              </w:rPr>
              <w:t>m高排气筒排放。</w:t>
            </w:r>
          </w:p>
          <w:p>
            <w:pPr>
              <w:spacing w:line="360" w:lineRule="auto"/>
              <w:ind w:firstLine="480" w:firstLineChars="200"/>
              <w:rPr>
                <w:color w:val="000000" w:themeColor="text1"/>
                <w:sz w:val="24"/>
                <w:highlight w:val="none"/>
                <w:u w:val="none"/>
              </w:rPr>
            </w:pPr>
            <w:r>
              <w:rPr>
                <w:color w:val="000000" w:themeColor="text1"/>
                <w:sz w:val="24"/>
                <w:highlight w:val="none"/>
                <w:u w:val="none"/>
              </w:rPr>
              <w:t>通过以上环保设施处理后，本项目实验废气对周边环境影响较小。</w:t>
            </w:r>
          </w:p>
          <w:p>
            <w:pPr>
              <w:spacing w:line="360" w:lineRule="auto"/>
              <w:ind w:firstLine="480" w:firstLineChars="200"/>
              <w:rPr>
                <w:color w:val="000000" w:themeColor="text1"/>
                <w:sz w:val="24"/>
                <w:highlight w:val="none"/>
                <w:u w:val="none"/>
              </w:rPr>
            </w:pPr>
            <w:r>
              <w:rPr>
                <w:color w:val="000000" w:themeColor="text1"/>
                <w:sz w:val="24"/>
                <w:highlight w:val="none"/>
                <w:u w:val="none"/>
              </w:rPr>
              <w:t>本项目大气环境影响评价等级为三级，根据《环境影响评价技术导则 大气环境》（HJ2.2-2018）规定，三级评价项目不进行进一步预测与评价。</w:t>
            </w:r>
          </w:p>
          <w:p>
            <w:pPr>
              <w:adjustRightInd w:val="0"/>
              <w:snapToGrid w:val="0"/>
              <w:spacing w:line="360" w:lineRule="auto"/>
              <w:ind w:firstLine="480" w:firstLineChars="200"/>
              <w:rPr>
                <w:b/>
                <w:color w:val="000000" w:themeColor="text1"/>
                <w:sz w:val="24"/>
                <w:highlight w:val="none"/>
                <w:u w:val="none"/>
              </w:rPr>
            </w:pPr>
            <w:r>
              <w:rPr>
                <w:b/>
                <w:color w:val="000000" w:themeColor="text1"/>
                <w:sz w:val="24"/>
                <w:highlight w:val="none"/>
                <w:u w:val="none"/>
              </w:rPr>
              <w:t>三、声环境影响分析</w:t>
            </w:r>
          </w:p>
          <w:p>
            <w:pPr>
              <w:adjustRightInd w:val="0"/>
              <w:snapToGrid w:val="0"/>
              <w:spacing w:line="360" w:lineRule="auto"/>
              <w:ind w:firstLine="480" w:firstLineChars="200"/>
              <w:rPr>
                <w:bCs/>
                <w:color w:val="000000" w:themeColor="text1"/>
                <w:sz w:val="24"/>
                <w:highlight w:val="none"/>
                <w:u w:val="none"/>
              </w:rPr>
            </w:pPr>
            <w:r>
              <w:rPr>
                <w:bCs/>
                <w:color w:val="000000" w:themeColor="text1"/>
                <w:sz w:val="24"/>
                <w:highlight w:val="none"/>
                <w:u w:val="none"/>
              </w:rPr>
              <w:t>（</w:t>
            </w:r>
            <w:r>
              <w:rPr>
                <w:rFonts w:hint="eastAsia"/>
                <w:bCs/>
                <w:color w:val="000000" w:themeColor="text1"/>
                <w:sz w:val="24"/>
                <w:highlight w:val="none"/>
                <w:u w:val="none"/>
              </w:rPr>
              <w:t>1</w:t>
            </w:r>
            <w:r>
              <w:rPr>
                <w:bCs/>
                <w:color w:val="000000" w:themeColor="text1"/>
                <w:sz w:val="24"/>
                <w:highlight w:val="none"/>
                <w:u w:val="none"/>
              </w:rPr>
              <w:t>）声环境影响分析</w:t>
            </w:r>
          </w:p>
          <w:p>
            <w:pPr>
              <w:adjustRightInd w:val="0"/>
              <w:snapToGrid w:val="0"/>
              <w:spacing w:line="360" w:lineRule="auto"/>
              <w:ind w:firstLine="480" w:firstLineChars="200"/>
              <w:rPr>
                <w:bCs/>
                <w:color w:val="000000" w:themeColor="text1"/>
                <w:sz w:val="24"/>
                <w:highlight w:val="none"/>
                <w:u w:val="none"/>
              </w:rPr>
            </w:pPr>
            <w:r>
              <w:rPr>
                <w:bCs/>
                <w:color w:val="000000" w:themeColor="text1"/>
                <w:sz w:val="24"/>
                <w:highlight w:val="none"/>
                <w:u w:val="none"/>
              </w:rPr>
              <w:t>本项目运营期的噪声源主要包括风机、通风橱等设备运行噪声，噪声源强一般50dB(A)～70dB(A)。通过</w:t>
            </w:r>
            <w:r>
              <w:rPr>
                <w:rFonts w:hint="eastAsia"/>
                <w:bCs/>
                <w:color w:val="000000" w:themeColor="text1"/>
                <w:sz w:val="24"/>
                <w:highlight w:val="none"/>
                <w:u w:val="none"/>
              </w:rPr>
              <w:t>房间</w:t>
            </w:r>
            <w:r>
              <w:rPr>
                <w:bCs/>
                <w:color w:val="000000" w:themeColor="text1"/>
                <w:sz w:val="24"/>
                <w:highlight w:val="none"/>
                <w:u w:val="none"/>
              </w:rPr>
              <w:t>隔声、</w:t>
            </w:r>
            <w:r>
              <w:rPr>
                <w:rFonts w:hint="eastAsia"/>
                <w:bCs/>
                <w:color w:val="000000" w:themeColor="text1"/>
                <w:sz w:val="24"/>
                <w:highlight w:val="none"/>
                <w:u w:val="none"/>
              </w:rPr>
              <w:t>基础</w:t>
            </w:r>
            <w:r>
              <w:rPr>
                <w:bCs/>
                <w:color w:val="000000" w:themeColor="text1"/>
                <w:sz w:val="24"/>
                <w:highlight w:val="none"/>
                <w:u w:val="none"/>
              </w:rPr>
              <w:t>减振等措施后，对声环境的影响很小，</w:t>
            </w:r>
            <w:r>
              <w:rPr>
                <w:rFonts w:hint="eastAsia"/>
                <w:bCs/>
                <w:color w:val="000000" w:themeColor="text1"/>
                <w:sz w:val="24"/>
                <w:highlight w:val="none"/>
                <w:u w:val="none"/>
              </w:rPr>
              <w:t>类比同类项目可知，本项目运营期噪声可</w:t>
            </w:r>
            <w:r>
              <w:rPr>
                <w:bCs/>
                <w:color w:val="000000" w:themeColor="text1"/>
                <w:sz w:val="24"/>
                <w:highlight w:val="none"/>
                <w:u w:val="none"/>
              </w:rPr>
              <w:t>满足《工业企业厂界环境噪声排放标准》（GB12348-2008）</w:t>
            </w:r>
            <w:r>
              <w:rPr>
                <w:rFonts w:hint="eastAsia"/>
                <w:bCs/>
                <w:color w:val="000000" w:themeColor="text1"/>
                <w:sz w:val="24"/>
                <w:highlight w:val="none"/>
                <w:u w:val="none"/>
                <w:lang w:val="en-US" w:eastAsia="zh-CN"/>
              </w:rPr>
              <w:t>3</w:t>
            </w:r>
            <w:r>
              <w:rPr>
                <w:bCs/>
                <w:color w:val="000000" w:themeColor="text1"/>
                <w:sz w:val="24"/>
                <w:highlight w:val="none"/>
                <w:u w:val="none"/>
              </w:rPr>
              <w:t>类标准要求，不会对周围环境造成明显影响。</w:t>
            </w:r>
          </w:p>
          <w:p>
            <w:pPr>
              <w:adjustRightInd w:val="0"/>
              <w:snapToGrid w:val="0"/>
              <w:spacing w:line="360" w:lineRule="auto"/>
              <w:ind w:firstLine="480" w:firstLineChars="200"/>
              <w:rPr>
                <w:b/>
                <w:color w:val="000000" w:themeColor="text1"/>
                <w:sz w:val="24"/>
                <w:highlight w:val="none"/>
              </w:rPr>
            </w:pPr>
            <w:r>
              <w:rPr>
                <w:b/>
                <w:color w:val="000000" w:themeColor="text1"/>
                <w:sz w:val="24"/>
                <w:highlight w:val="none"/>
              </w:rPr>
              <w:t>四、固体废物环境影响分析</w:t>
            </w:r>
          </w:p>
          <w:p>
            <w:pPr>
              <w:widowControl/>
              <w:adjustRightInd w:val="0"/>
              <w:snapToGrid w:val="0"/>
              <w:spacing w:line="360" w:lineRule="auto"/>
              <w:ind w:firstLine="480" w:firstLineChars="200"/>
              <w:rPr>
                <w:rFonts w:hint="eastAsia"/>
                <w:color w:val="000000" w:themeColor="text1"/>
                <w:kern w:val="0"/>
                <w:sz w:val="24"/>
                <w:szCs w:val="20"/>
                <w:highlight w:val="none"/>
                <w:u w:val="single"/>
                <w:lang w:eastAsia="zh-CN"/>
              </w:rPr>
            </w:pPr>
            <w:r>
              <w:rPr>
                <w:rFonts w:hint="eastAsia"/>
                <w:color w:val="000000" w:themeColor="text1"/>
                <w:kern w:val="0"/>
                <w:sz w:val="24"/>
                <w:szCs w:val="20"/>
                <w:highlight w:val="none"/>
                <w:u w:val="single"/>
                <w:lang w:eastAsia="zh-CN"/>
              </w:rPr>
              <w:t>2020年4月29日，《中华人民共和国固体废物污染环境防治法》（</w:t>
            </w:r>
            <w:r>
              <w:rPr>
                <w:rFonts w:hint="eastAsia"/>
                <w:color w:val="000000" w:themeColor="text1"/>
                <w:kern w:val="0"/>
                <w:sz w:val="24"/>
                <w:szCs w:val="20"/>
                <w:highlight w:val="none"/>
                <w:u w:val="single"/>
                <w:lang w:val="en-US" w:eastAsia="zh-CN"/>
              </w:rPr>
              <w:t>以下简称“固废防治法”</w:t>
            </w:r>
            <w:r>
              <w:rPr>
                <w:rFonts w:hint="eastAsia"/>
                <w:color w:val="000000" w:themeColor="text1"/>
                <w:kern w:val="0"/>
                <w:sz w:val="24"/>
                <w:szCs w:val="20"/>
                <w:highlight w:val="none"/>
                <w:u w:val="single"/>
                <w:lang w:eastAsia="zh-CN"/>
              </w:rPr>
              <w:t>）由中华人民共和国第十三届全国人民代表大会常务委员会第十七次会议修订通过，自2020年9月1日起施行。</w:t>
            </w:r>
            <w:r>
              <w:rPr>
                <w:rFonts w:hint="eastAsia"/>
                <w:color w:val="000000" w:themeColor="text1"/>
                <w:kern w:val="0"/>
                <w:sz w:val="24"/>
                <w:szCs w:val="20"/>
                <w:highlight w:val="none"/>
                <w:u w:val="single"/>
                <w:lang w:val="en-US" w:eastAsia="zh-CN"/>
              </w:rPr>
              <w:t>根据“固废防治法”</w:t>
            </w:r>
            <w:r>
              <w:rPr>
                <w:rFonts w:hint="eastAsia"/>
                <w:color w:val="000000" w:themeColor="text1"/>
                <w:kern w:val="0"/>
                <w:sz w:val="24"/>
                <w:szCs w:val="20"/>
                <w:highlight w:val="none"/>
                <w:u w:val="single"/>
                <w:lang w:eastAsia="zh-CN"/>
              </w:rPr>
              <w:t>第六章危险废物</w:t>
            </w:r>
            <w:r>
              <w:rPr>
                <w:rFonts w:hint="eastAsia"/>
                <w:color w:val="000000" w:themeColor="text1"/>
                <w:kern w:val="0"/>
                <w:sz w:val="24"/>
                <w:szCs w:val="20"/>
                <w:highlight w:val="none"/>
                <w:u w:val="single"/>
                <w:lang w:val="en-US" w:eastAsia="zh-CN"/>
              </w:rPr>
              <w:t>中</w:t>
            </w:r>
            <w:r>
              <w:rPr>
                <w:rFonts w:hint="eastAsia"/>
                <w:color w:val="000000" w:themeColor="text1"/>
                <w:kern w:val="0"/>
                <w:sz w:val="24"/>
                <w:szCs w:val="20"/>
                <w:highlight w:val="none"/>
                <w:u w:val="single"/>
                <w:lang w:eastAsia="zh-CN"/>
              </w:rPr>
              <w:t>第七十四条</w:t>
            </w:r>
            <w:r>
              <w:rPr>
                <w:rFonts w:hint="eastAsia"/>
                <w:color w:val="000000" w:themeColor="text1"/>
                <w:kern w:val="0"/>
                <w:sz w:val="24"/>
                <w:szCs w:val="20"/>
                <w:highlight w:val="none"/>
                <w:u w:val="single"/>
                <w:lang w:val="en-US" w:eastAsia="zh-CN"/>
              </w:rPr>
              <w:t>中</w:t>
            </w:r>
            <w:r>
              <w:rPr>
                <w:rFonts w:hint="eastAsia"/>
                <w:color w:val="000000" w:themeColor="text1"/>
                <w:kern w:val="0"/>
                <w:sz w:val="24"/>
                <w:szCs w:val="20"/>
                <w:highlight w:val="none"/>
                <w:u w:val="single"/>
                <w:lang w:eastAsia="zh-CN"/>
              </w:rPr>
              <w:t>危险废物污染环境的防治</w:t>
            </w:r>
            <w:r>
              <w:rPr>
                <w:rFonts w:hint="eastAsia"/>
                <w:color w:val="000000" w:themeColor="text1"/>
                <w:kern w:val="0"/>
                <w:sz w:val="24"/>
                <w:szCs w:val="20"/>
                <w:highlight w:val="none"/>
                <w:u w:val="single"/>
                <w:lang w:val="en-US" w:eastAsia="zh-CN"/>
              </w:rPr>
              <w:t>有规定：</w:t>
            </w:r>
          </w:p>
          <w:p>
            <w:pPr>
              <w:widowControl/>
              <w:adjustRightInd w:val="0"/>
              <w:snapToGrid w:val="0"/>
              <w:spacing w:line="360" w:lineRule="auto"/>
              <w:ind w:firstLine="480" w:firstLineChars="200"/>
              <w:rPr>
                <w:rFonts w:hint="eastAsia"/>
                <w:color w:val="000000" w:themeColor="text1"/>
                <w:kern w:val="0"/>
                <w:sz w:val="24"/>
                <w:szCs w:val="20"/>
                <w:highlight w:val="none"/>
                <w:u w:val="single"/>
                <w:lang w:eastAsia="zh-CN"/>
              </w:rPr>
            </w:pPr>
            <w:r>
              <w:rPr>
                <w:rFonts w:hint="eastAsia"/>
                <w:color w:val="000000" w:themeColor="text1"/>
                <w:kern w:val="0"/>
                <w:sz w:val="24"/>
                <w:szCs w:val="20"/>
                <w:highlight w:val="none"/>
                <w:u w:val="single"/>
                <w:lang w:eastAsia="zh-CN"/>
              </w:rPr>
              <w:t>国务院生态环境主管部门根据危险废物的危害特性和产生数量，科学评估其环境风险，实施分级分类管理，建立信息化监管体系，并通过信息化手段管理、共享危险废物转移数据和信息。</w:t>
            </w:r>
          </w:p>
          <w:p>
            <w:pPr>
              <w:widowControl/>
              <w:adjustRightInd w:val="0"/>
              <w:snapToGrid w:val="0"/>
              <w:spacing w:line="360" w:lineRule="auto"/>
              <w:ind w:firstLine="480" w:firstLineChars="200"/>
              <w:rPr>
                <w:rFonts w:hint="eastAsia"/>
                <w:color w:val="000000" w:themeColor="text1"/>
                <w:kern w:val="0"/>
                <w:sz w:val="24"/>
                <w:szCs w:val="20"/>
                <w:highlight w:val="none"/>
                <w:u w:val="single"/>
                <w:lang w:eastAsia="zh-CN"/>
              </w:rPr>
            </w:pPr>
            <w:r>
              <w:rPr>
                <w:rFonts w:hint="eastAsia"/>
                <w:color w:val="000000" w:themeColor="text1"/>
                <w:kern w:val="0"/>
                <w:sz w:val="24"/>
                <w:szCs w:val="20"/>
                <w:highlight w:val="none"/>
                <w:u w:val="single"/>
                <w:lang w:val="en-US" w:eastAsia="zh-CN"/>
              </w:rPr>
              <w:t>根据“固废防治法”</w:t>
            </w:r>
            <w:r>
              <w:rPr>
                <w:rFonts w:hint="eastAsia"/>
                <w:color w:val="000000" w:themeColor="text1"/>
                <w:kern w:val="0"/>
                <w:sz w:val="24"/>
                <w:szCs w:val="20"/>
                <w:highlight w:val="none"/>
                <w:u w:val="single"/>
                <w:lang w:eastAsia="zh-CN"/>
              </w:rPr>
              <w:t>第八十一条收集、贮存危险废物，应当按照危险废物特性分类进行。禁止混合收集、贮存、运输、处置性质不相容而未经安全性处置的危险废物。</w:t>
            </w:r>
          </w:p>
          <w:p>
            <w:pPr>
              <w:widowControl/>
              <w:adjustRightInd w:val="0"/>
              <w:snapToGrid w:val="0"/>
              <w:spacing w:line="360" w:lineRule="auto"/>
              <w:ind w:firstLine="480" w:firstLineChars="200"/>
              <w:rPr>
                <w:rFonts w:hint="eastAsia"/>
                <w:color w:val="000000" w:themeColor="text1"/>
                <w:kern w:val="0"/>
                <w:sz w:val="24"/>
                <w:szCs w:val="20"/>
                <w:highlight w:val="none"/>
                <w:u w:val="single"/>
                <w:lang w:eastAsia="zh-CN"/>
              </w:rPr>
            </w:pPr>
            <w:r>
              <w:rPr>
                <w:rFonts w:hint="eastAsia"/>
                <w:color w:val="000000" w:themeColor="text1"/>
                <w:kern w:val="0"/>
                <w:sz w:val="24"/>
                <w:szCs w:val="20"/>
                <w:highlight w:val="none"/>
                <w:u w:val="single"/>
                <w:lang w:eastAsia="zh-CN"/>
              </w:rPr>
              <w:t>贮存危险废物应当采取符合国家环境保护标准的防护措施。禁止将危险废物混入非危险废物中贮存。</w:t>
            </w:r>
          </w:p>
          <w:p>
            <w:pPr>
              <w:widowControl/>
              <w:adjustRightInd w:val="0"/>
              <w:snapToGrid w:val="0"/>
              <w:spacing w:line="360" w:lineRule="auto"/>
              <w:ind w:firstLine="480" w:firstLineChars="200"/>
              <w:rPr>
                <w:rFonts w:hint="eastAsia"/>
                <w:color w:val="000000" w:themeColor="text1"/>
                <w:kern w:val="0"/>
                <w:sz w:val="24"/>
                <w:szCs w:val="20"/>
                <w:highlight w:val="none"/>
                <w:u w:val="single"/>
                <w:lang w:eastAsia="zh-CN"/>
              </w:rPr>
            </w:pPr>
            <w:r>
              <w:rPr>
                <w:rFonts w:hint="eastAsia"/>
                <w:color w:val="000000" w:themeColor="text1"/>
                <w:kern w:val="0"/>
                <w:sz w:val="24"/>
                <w:szCs w:val="20"/>
                <w:highlight w:val="none"/>
                <w:u w:val="single"/>
                <w:lang w:eastAsia="zh-CN"/>
              </w:rPr>
              <w:t>从事收集、贮存、利用、处置危险废物经营活动的单位，贮存危险废物不得超过一年；确需延长期限的，应当报经颁发许可证的生态环境主管部门批准；法律、行政法规另有规定的除外。</w:t>
            </w:r>
          </w:p>
          <w:p>
            <w:pPr>
              <w:widowControl/>
              <w:adjustRightInd w:val="0"/>
              <w:snapToGrid w:val="0"/>
              <w:spacing w:line="360" w:lineRule="auto"/>
              <w:ind w:firstLine="480" w:firstLineChars="200"/>
              <w:rPr>
                <w:rFonts w:hint="eastAsia"/>
                <w:color w:val="000000" w:themeColor="text1"/>
                <w:kern w:val="0"/>
                <w:sz w:val="24"/>
                <w:szCs w:val="20"/>
                <w:highlight w:val="none"/>
                <w:u w:val="single"/>
                <w:lang w:eastAsia="zh-CN"/>
              </w:rPr>
            </w:pPr>
            <w:r>
              <w:rPr>
                <w:rFonts w:hint="eastAsia"/>
                <w:color w:val="000000" w:themeColor="text1"/>
                <w:kern w:val="0"/>
                <w:sz w:val="24"/>
                <w:szCs w:val="20"/>
                <w:highlight w:val="none"/>
                <w:u w:val="single"/>
                <w:lang w:val="en-US" w:eastAsia="zh-CN"/>
              </w:rPr>
              <w:t>综上，项目运营后，要加强危废规范化暂存和管理，做好固废分类分区储存要求</w:t>
            </w:r>
            <w:r>
              <w:rPr>
                <w:rFonts w:hint="eastAsia"/>
                <w:color w:val="000000" w:themeColor="text1"/>
                <w:kern w:val="0"/>
                <w:sz w:val="24"/>
                <w:szCs w:val="20"/>
                <w:highlight w:val="none"/>
                <w:u w:val="single"/>
                <w:lang w:eastAsia="zh-CN"/>
              </w:rPr>
              <w:t>。</w:t>
            </w:r>
          </w:p>
          <w:p>
            <w:pPr>
              <w:widowControl/>
              <w:adjustRightInd w:val="0"/>
              <w:snapToGrid w:val="0"/>
              <w:spacing w:line="360" w:lineRule="auto"/>
              <w:ind w:firstLine="480" w:firstLineChars="200"/>
              <w:rPr>
                <w:color w:val="000000" w:themeColor="text1"/>
                <w:kern w:val="0"/>
                <w:sz w:val="24"/>
                <w:szCs w:val="20"/>
                <w:highlight w:val="none"/>
              </w:rPr>
            </w:pPr>
            <w:r>
              <w:rPr>
                <w:color w:val="000000" w:themeColor="text1"/>
                <w:kern w:val="0"/>
                <w:sz w:val="24"/>
                <w:szCs w:val="20"/>
                <w:highlight w:val="none"/>
              </w:rPr>
              <w:t>（1）生活垃圾</w:t>
            </w:r>
            <w:r>
              <w:rPr>
                <w:rFonts w:hint="eastAsia"/>
                <w:color w:val="000000" w:themeColor="text1"/>
                <w:kern w:val="0"/>
                <w:sz w:val="24"/>
                <w:szCs w:val="20"/>
                <w:highlight w:val="none"/>
              </w:rPr>
              <w:t>2.75</w:t>
            </w:r>
            <w:r>
              <w:rPr>
                <w:color w:val="000000" w:themeColor="text1"/>
                <w:kern w:val="0"/>
                <w:sz w:val="24"/>
                <w:szCs w:val="20"/>
                <w:highlight w:val="none"/>
              </w:rPr>
              <w:t>t/a，生活垃圾集中收集后由环卫部门统一清运。</w:t>
            </w:r>
          </w:p>
          <w:p>
            <w:pPr>
              <w:widowControl/>
              <w:adjustRightInd w:val="0"/>
              <w:snapToGrid w:val="0"/>
              <w:spacing w:line="360" w:lineRule="auto"/>
              <w:ind w:firstLine="480" w:firstLineChars="200"/>
              <w:rPr>
                <w:color w:val="000000" w:themeColor="text1"/>
                <w:kern w:val="0"/>
                <w:sz w:val="24"/>
                <w:szCs w:val="20"/>
                <w:highlight w:val="none"/>
              </w:rPr>
            </w:pPr>
            <w:r>
              <w:rPr>
                <w:color w:val="000000" w:themeColor="text1"/>
                <w:kern w:val="0"/>
                <w:sz w:val="24"/>
                <w:szCs w:val="20"/>
                <w:highlight w:val="none"/>
              </w:rPr>
              <w:t>（2）实验室固体废物</w:t>
            </w:r>
          </w:p>
          <w:p>
            <w:pPr>
              <w:widowControl/>
              <w:adjustRightInd w:val="0"/>
              <w:snapToGrid w:val="0"/>
              <w:spacing w:line="360" w:lineRule="auto"/>
              <w:ind w:firstLine="480" w:firstLineChars="200"/>
              <w:rPr>
                <w:color w:val="000000" w:themeColor="text1"/>
                <w:kern w:val="0"/>
                <w:sz w:val="24"/>
                <w:szCs w:val="20"/>
                <w:highlight w:val="none"/>
              </w:rPr>
            </w:pPr>
            <w:r>
              <w:rPr>
                <w:color w:val="000000" w:themeColor="text1"/>
                <w:kern w:val="0"/>
                <w:sz w:val="24"/>
                <w:szCs w:val="20"/>
                <w:highlight w:val="none"/>
              </w:rPr>
              <w:t>实验废液：主要包括一般实验废液、含重金属测量的实验废液。根据建设单位提</w:t>
            </w:r>
          </w:p>
          <w:p>
            <w:pPr>
              <w:widowControl/>
              <w:adjustRightInd w:val="0"/>
              <w:snapToGrid w:val="0"/>
              <w:spacing w:line="360" w:lineRule="auto"/>
              <w:rPr>
                <w:color w:val="000000" w:themeColor="text1"/>
                <w:kern w:val="0"/>
                <w:sz w:val="24"/>
                <w:szCs w:val="20"/>
                <w:highlight w:val="none"/>
              </w:rPr>
            </w:pPr>
            <w:r>
              <w:rPr>
                <w:color w:val="000000" w:themeColor="text1"/>
                <w:kern w:val="0"/>
                <w:sz w:val="24"/>
                <w:szCs w:val="20"/>
                <w:highlight w:val="none"/>
              </w:rPr>
              <w:t>供的资料，一般实验废液产生量约</w:t>
            </w:r>
            <w:r>
              <w:rPr>
                <w:rFonts w:hint="eastAsia"/>
                <w:color w:val="000000" w:themeColor="text1"/>
                <w:kern w:val="0"/>
                <w:sz w:val="24"/>
                <w:szCs w:val="20"/>
                <w:highlight w:val="none"/>
              </w:rPr>
              <w:t>为1.125</w:t>
            </w:r>
            <w:r>
              <w:rPr>
                <w:color w:val="000000" w:themeColor="text1"/>
                <w:kern w:val="0"/>
                <w:sz w:val="24"/>
                <w:szCs w:val="20"/>
                <w:highlight w:val="none"/>
              </w:rPr>
              <w:t>m</w:t>
            </w:r>
            <w:r>
              <w:rPr>
                <w:color w:val="000000" w:themeColor="text1"/>
                <w:kern w:val="0"/>
                <w:sz w:val="24"/>
                <w:szCs w:val="20"/>
                <w:highlight w:val="none"/>
                <w:vertAlign w:val="superscript"/>
              </w:rPr>
              <w:t>3</w:t>
            </w:r>
            <w:r>
              <w:rPr>
                <w:color w:val="000000" w:themeColor="text1"/>
                <w:kern w:val="0"/>
                <w:sz w:val="24"/>
                <w:szCs w:val="20"/>
                <w:highlight w:val="none"/>
              </w:rPr>
              <w:t>/a、含重金属测量的实验废液约为0.</w:t>
            </w:r>
            <w:r>
              <w:rPr>
                <w:rFonts w:hint="eastAsia"/>
                <w:color w:val="000000" w:themeColor="text1"/>
                <w:kern w:val="0"/>
                <w:sz w:val="24"/>
                <w:szCs w:val="20"/>
                <w:highlight w:val="none"/>
              </w:rPr>
              <w:t>125</w:t>
            </w:r>
            <w:r>
              <w:rPr>
                <w:color w:val="000000" w:themeColor="text1"/>
                <w:kern w:val="0"/>
                <w:sz w:val="24"/>
                <w:szCs w:val="20"/>
                <w:highlight w:val="none"/>
              </w:rPr>
              <w:t>m</w:t>
            </w:r>
            <w:r>
              <w:rPr>
                <w:color w:val="000000" w:themeColor="text1"/>
                <w:kern w:val="0"/>
                <w:sz w:val="24"/>
                <w:szCs w:val="20"/>
                <w:highlight w:val="none"/>
                <w:vertAlign w:val="superscript"/>
              </w:rPr>
              <w:t>3</w:t>
            </w:r>
            <w:r>
              <w:rPr>
                <w:color w:val="000000" w:themeColor="text1"/>
                <w:kern w:val="0"/>
                <w:sz w:val="24"/>
                <w:szCs w:val="20"/>
                <w:highlight w:val="none"/>
              </w:rPr>
              <w:t>/a，因此项目实验废液产生量共计约</w:t>
            </w:r>
            <w:r>
              <w:rPr>
                <w:rFonts w:hint="eastAsia"/>
                <w:color w:val="000000" w:themeColor="text1"/>
                <w:kern w:val="0"/>
                <w:sz w:val="24"/>
                <w:szCs w:val="20"/>
                <w:highlight w:val="none"/>
              </w:rPr>
              <w:t>1.25</w:t>
            </w:r>
            <w:r>
              <w:rPr>
                <w:color w:val="000000" w:themeColor="text1"/>
                <w:kern w:val="0"/>
                <w:sz w:val="24"/>
                <w:szCs w:val="20"/>
                <w:highlight w:val="none"/>
              </w:rPr>
              <w:t>m</w:t>
            </w:r>
            <w:r>
              <w:rPr>
                <w:color w:val="000000" w:themeColor="text1"/>
                <w:kern w:val="0"/>
                <w:sz w:val="24"/>
                <w:szCs w:val="20"/>
                <w:highlight w:val="none"/>
                <w:vertAlign w:val="superscript"/>
              </w:rPr>
              <w:t>3</w:t>
            </w:r>
            <w:r>
              <w:rPr>
                <w:color w:val="000000" w:themeColor="text1"/>
                <w:kern w:val="0"/>
                <w:sz w:val="24"/>
                <w:szCs w:val="20"/>
                <w:highlight w:val="none"/>
              </w:rPr>
              <w:t>/a。根据《国家危险废物名录》（2016版）可知，含实验废液属于危险废物中的HW49，这部分废液经废液桶分类收集暂存在危废暂存间内，再委托</w:t>
            </w:r>
            <w:r>
              <w:rPr>
                <w:rFonts w:hint="eastAsia"/>
                <w:color w:val="000000" w:themeColor="text1"/>
                <w:kern w:val="0"/>
                <w:sz w:val="24"/>
                <w:szCs w:val="20"/>
                <w:highlight w:val="none"/>
              </w:rPr>
              <w:t>有资质单位</w:t>
            </w:r>
            <w:r>
              <w:rPr>
                <w:color w:val="000000" w:themeColor="text1"/>
                <w:kern w:val="0"/>
                <w:sz w:val="24"/>
                <w:szCs w:val="20"/>
                <w:highlight w:val="none"/>
              </w:rPr>
              <w:t>进行处置。</w:t>
            </w:r>
          </w:p>
          <w:p>
            <w:pPr>
              <w:widowControl/>
              <w:adjustRightInd w:val="0"/>
              <w:snapToGrid w:val="0"/>
              <w:spacing w:line="360" w:lineRule="auto"/>
              <w:ind w:firstLine="480" w:firstLineChars="200"/>
              <w:rPr>
                <w:color w:val="000000" w:themeColor="text1"/>
                <w:kern w:val="0"/>
                <w:sz w:val="24"/>
                <w:szCs w:val="20"/>
                <w:highlight w:val="none"/>
              </w:rPr>
            </w:pPr>
            <w:r>
              <w:rPr>
                <w:color w:val="000000" w:themeColor="text1"/>
                <w:kern w:val="0"/>
                <w:sz w:val="24"/>
                <w:szCs w:val="20"/>
                <w:highlight w:val="none"/>
              </w:rPr>
              <w:t>根据建设单位提供的资料，含重金属超标的废土壤样品或鉴别为危险废物的样品等固态物质产生量约为0.</w:t>
            </w:r>
            <w:r>
              <w:rPr>
                <w:rFonts w:hint="eastAsia"/>
                <w:color w:val="000000" w:themeColor="text1"/>
                <w:kern w:val="0"/>
                <w:sz w:val="24"/>
                <w:szCs w:val="20"/>
                <w:highlight w:val="none"/>
              </w:rPr>
              <w:t>1</w:t>
            </w:r>
            <w:r>
              <w:rPr>
                <w:color w:val="000000" w:themeColor="text1"/>
                <w:kern w:val="0"/>
                <w:sz w:val="24"/>
                <w:szCs w:val="20"/>
                <w:highlight w:val="none"/>
              </w:rPr>
              <w:t>t/a，装有危险化学品的废包装产生量约为0.</w:t>
            </w:r>
            <w:r>
              <w:rPr>
                <w:rFonts w:hint="eastAsia"/>
                <w:color w:val="000000" w:themeColor="text1"/>
                <w:kern w:val="0"/>
                <w:sz w:val="24"/>
                <w:szCs w:val="20"/>
                <w:highlight w:val="none"/>
              </w:rPr>
              <w:t>4</w:t>
            </w:r>
            <w:r>
              <w:rPr>
                <w:color w:val="000000" w:themeColor="text1"/>
                <w:kern w:val="0"/>
                <w:sz w:val="24"/>
                <w:szCs w:val="20"/>
                <w:highlight w:val="none"/>
              </w:rPr>
              <w:t>t/a，过期失效药剂产生量约为0.005t/a，化学品废弃容器产生量约为0.0</w:t>
            </w:r>
            <w:r>
              <w:rPr>
                <w:rFonts w:hint="eastAsia"/>
                <w:color w:val="000000" w:themeColor="text1"/>
                <w:kern w:val="0"/>
                <w:sz w:val="24"/>
                <w:szCs w:val="20"/>
                <w:highlight w:val="none"/>
              </w:rPr>
              <w:t>3</w:t>
            </w:r>
            <w:r>
              <w:rPr>
                <w:color w:val="000000" w:themeColor="text1"/>
                <w:kern w:val="0"/>
                <w:sz w:val="24"/>
                <w:szCs w:val="20"/>
                <w:highlight w:val="none"/>
              </w:rPr>
              <w:t>t/a。根据《国家危险废物名录》（2016版）可知，危险化学品的废包装、过期失效药剂、化学品废弃容器属于危险废物中的HW49，这些危险废物经分类暂存在危险废物暂存间后委托</w:t>
            </w:r>
            <w:r>
              <w:rPr>
                <w:rFonts w:hint="eastAsia"/>
                <w:color w:val="000000" w:themeColor="text1"/>
                <w:kern w:val="0"/>
                <w:sz w:val="24"/>
                <w:szCs w:val="20"/>
                <w:highlight w:val="none"/>
              </w:rPr>
              <w:t>有资质单位</w:t>
            </w:r>
            <w:r>
              <w:rPr>
                <w:color w:val="000000" w:themeColor="text1"/>
                <w:kern w:val="0"/>
                <w:sz w:val="24"/>
                <w:szCs w:val="20"/>
                <w:highlight w:val="none"/>
              </w:rPr>
              <w:t>处置</w:t>
            </w:r>
            <w:r>
              <w:rPr>
                <w:rFonts w:hint="eastAsia"/>
                <w:color w:val="000000" w:themeColor="text1"/>
                <w:kern w:val="0"/>
                <w:sz w:val="24"/>
                <w:szCs w:val="20"/>
                <w:highlight w:val="none"/>
              </w:rPr>
              <w:t>。</w:t>
            </w:r>
          </w:p>
          <w:p>
            <w:pPr>
              <w:widowControl/>
              <w:adjustRightInd w:val="0"/>
              <w:snapToGrid w:val="0"/>
              <w:spacing w:line="360" w:lineRule="auto"/>
              <w:ind w:firstLine="480" w:firstLineChars="200"/>
              <w:rPr>
                <w:color w:val="000000" w:themeColor="text1"/>
                <w:kern w:val="0"/>
                <w:sz w:val="24"/>
                <w:szCs w:val="20"/>
                <w:highlight w:val="none"/>
              </w:rPr>
            </w:pPr>
            <w:r>
              <w:rPr>
                <w:rFonts w:hint="eastAsia"/>
                <w:color w:val="000000" w:themeColor="text1"/>
                <w:kern w:val="0"/>
                <w:sz w:val="24"/>
                <w:szCs w:val="20"/>
                <w:highlight w:val="none"/>
              </w:rPr>
              <w:t>废生物培养基：微生物实验过程中会产生少量废生物培养基，根据建设单位提供的资料，废生物培养基产生量约为0.02t/a，经高压灭菌锅灭活处理后与生活垃圾一并由当地环卫部门处置。</w:t>
            </w:r>
          </w:p>
          <w:p>
            <w:pPr>
              <w:widowControl/>
              <w:adjustRightInd w:val="0"/>
              <w:snapToGrid w:val="0"/>
              <w:spacing w:line="360" w:lineRule="auto"/>
              <w:ind w:firstLine="480" w:firstLineChars="200"/>
              <w:rPr>
                <w:color w:val="000000" w:themeColor="text1"/>
                <w:kern w:val="0"/>
                <w:sz w:val="24"/>
                <w:szCs w:val="20"/>
                <w:highlight w:val="none"/>
              </w:rPr>
            </w:pPr>
            <w:r>
              <w:rPr>
                <w:rFonts w:hint="eastAsia"/>
                <w:color w:val="000000" w:themeColor="text1"/>
                <w:kern w:val="0"/>
                <w:sz w:val="24"/>
                <w:szCs w:val="20"/>
                <w:highlight w:val="none"/>
              </w:rPr>
              <w:t>一般固废：检测过程中产生的不含危险化学品的废纸箱、废塑料、玻璃瓶、不含</w:t>
            </w:r>
          </w:p>
          <w:p>
            <w:pPr>
              <w:widowControl/>
              <w:adjustRightInd w:val="0"/>
              <w:snapToGrid w:val="0"/>
              <w:spacing w:line="360" w:lineRule="auto"/>
              <w:rPr>
                <w:color w:val="000000" w:themeColor="text1"/>
                <w:kern w:val="0"/>
                <w:sz w:val="24"/>
                <w:szCs w:val="20"/>
                <w:highlight w:val="none"/>
              </w:rPr>
            </w:pPr>
            <w:r>
              <w:rPr>
                <w:rFonts w:hint="eastAsia"/>
                <w:color w:val="000000" w:themeColor="text1"/>
                <w:kern w:val="0"/>
                <w:sz w:val="24"/>
                <w:szCs w:val="20"/>
                <w:highlight w:val="none"/>
              </w:rPr>
              <w:t>重金属和或重金属未超标的废土壤样品等固态物质为一般固废，产生量约为0.4t/a。废</w:t>
            </w:r>
          </w:p>
          <w:p>
            <w:pPr>
              <w:widowControl/>
              <w:adjustRightInd w:val="0"/>
              <w:snapToGrid w:val="0"/>
              <w:spacing w:line="360" w:lineRule="auto"/>
              <w:rPr>
                <w:color w:val="000000" w:themeColor="text1"/>
                <w:kern w:val="0"/>
                <w:sz w:val="24"/>
                <w:szCs w:val="20"/>
                <w:highlight w:val="none"/>
              </w:rPr>
            </w:pPr>
            <w:r>
              <w:rPr>
                <w:rFonts w:hint="eastAsia"/>
                <w:color w:val="000000" w:themeColor="text1"/>
                <w:kern w:val="0"/>
                <w:sz w:val="24"/>
                <w:szCs w:val="20"/>
                <w:highlight w:val="none"/>
              </w:rPr>
              <w:t>纸箱、玻璃瓶由废品回收站回收，废塑料、不含重金属或重金属未超标的废土壤样品</w:t>
            </w:r>
          </w:p>
          <w:p>
            <w:pPr>
              <w:widowControl/>
              <w:adjustRightInd w:val="0"/>
              <w:snapToGrid w:val="0"/>
              <w:spacing w:line="360" w:lineRule="auto"/>
              <w:rPr>
                <w:color w:val="000000" w:themeColor="text1"/>
                <w:kern w:val="0"/>
                <w:sz w:val="24"/>
                <w:szCs w:val="20"/>
                <w:highlight w:val="none"/>
              </w:rPr>
            </w:pPr>
            <w:r>
              <w:rPr>
                <w:rFonts w:hint="eastAsia"/>
                <w:color w:val="000000" w:themeColor="text1"/>
                <w:kern w:val="0"/>
                <w:sz w:val="24"/>
                <w:szCs w:val="20"/>
                <w:highlight w:val="none"/>
              </w:rPr>
              <w:t>等固态物质作为生活垃圾由环卫部门统一收集处置。</w:t>
            </w:r>
          </w:p>
          <w:p>
            <w:pPr>
              <w:widowControl/>
              <w:adjustRightInd w:val="0"/>
              <w:snapToGrid w:val="0"/>
              <w:spacing w:line="360" w:lineRule="auto"/>
              <w:ind w:firstLine="480" w:firstLineChars="200"/>
              <w:rPr>
                <w:color w:val="000000" w:themeColor="text1"/>
                <w:kern w:val="0"/>
                <w:sz w:val="24"/>
                <w:szCs w:val="20"/>
                <w:highlight w:val="red"/>
                <w:u w:val="single"/>
              </w:rPr>
            </w:pPr>
            <w:r>
              <w:rPr>
                <w:rFonts w:hint="eastAsia"/>
                <w:color w:val="000000" w:themeColor="text1"/>
                <w:kern w:val="0"/>
                <w:sz w:val="24"/>
                <w:szCs w:val="20"/>
                <w:highlight w:val="none"/>
                <w:u w:val="none"/>
              </w:rPr>
              <w:t>项目运营期产生的危险固废按照相关规定储存于危废暂存间，危废暂存间拟设置于1</w:t>
            </w:r>
            <w:r>
              <w:rPr>
                <w:rFonts w:hint="eastAsia"/>
                <w:color w:val="000000" w:themeColor="text1"/>
                <w:kern w:val="0"/>
                <w:sz w:val="24"/>
                <w:szCs w:val="20"/>
                <w:highlight w:val="none"/>
                <w:u w:val="none"/>
                <w:lang w:val="en-US" w:eastAsia="zh-CN"/>
              </w:rPr>
              <w:t>楼西南</w:t>
            </w:r>
            <w:r>
              <w:rPr>
                <w:rFonts w:hint="eastAsia"/>
                <w:color w:val="000000" w:themeColor="text1"/>
                <w:kern w:val="0"/>
                <w:sz w:val="24"/>
                <w:szCs w:val="20"/>
                <w:highlight w:val="none"/>
                <w:u w:val="none"/>
              </w:rPr>
              <w:t>侧。危废暂存间应防雨淋、防晒、防风，四周设置高约20cm的围堰，设置防渗膜，有效防止危险废液的泄漏。门口处应张贴警示标识，在墙上张贴危险废物管操作相关规程。项目存放危废的容器及位置均需粘贴符合《危险废物贮存污染控制标准》（GB18597-2001）及其2013年修改单要求的标签，并粘贴于收集容器远离开口面的位置。危险废物分类应贮存在符合标准的容器内，不相容危险废物分别存放在不同的容器中，实验废液用专门的收集箱或收集瓶收集后集中存放于危废暂存间，现在暂存间暂存的危险废物容器顶部与液体表面之间均保留有100mm以上的空间。项目危险废物暂存间中的危险废物需定期委托有资质单位处置，不能导致危险废物满库存情况发生。项目产生的危险废物需严格按《危险废物贮存污染控制标准》（GB18597-2001）中有关规定进行收集、周转、贮存和管理，并且按《实验室废弃化学品收集技术规范》（GB/T31190-2014）的要求进行分类收集，注明废弃化学品种类，项目废弃化学品使用高密度聚乙烯桶（HDPE 桶）这种密闭式容器进行收集贮存。定期对所贮存的危险废物包装容器及贮存设施进行检查，发现破损会及时采取措施清理更换。</w:t>
            </w:r>
          </w:p>
          <w:p>
            <w:pPr>
              <w:adjustRightInd w:val="0"/>
              <w:snapToGrid w:val="0"/>
              <w:spacing w:line="360" w:lineRule="auto"/>
              <w:ind w:firstLine="480" w:firstLineChars="200"/>
              <w:jc w:val="left"/>
              <w:rPr>
                <w:b/>
                <w:color w:val="000000" w:themeColor="text1"/>
                <w:sz w:val="24"/>
                <w:highlight w:val="none"/>
                <w:u w:val="none"/>
              </w:rPr>
            </w:pPr>
            <w:r>
              <w:rPr>
                <w:b/>
                <w:color w:val="000000" w:themeColor="text1"/>
                <w:sz w:val="24"/>
                <w:highlight w:val="none"/>
                <w:u w:val="none"/>
              </w:rPr>
              <w:t>五、环境风险分析</w:t>
            </w:r>
          </w:p>
          <w:p>
            <w:pPr>
              <w:spacing w:line="360" w:lineRule="auto"/>
              <w:ind w:firstLine="480" w:firstLineChars="200"/>
              <w:rPr>
                <w:color w:val="000000" w:themeColor="text1"/>
                <w:sz w:val="24"/>
                <w:szCs w:val="22"/>
                <w:highlight w:val="none"/>
                <w:u w:val="none"/>
              </w:rPr>
            </w:pPr>
            <w:r>
              <w:rPr>
                <w:color w:val="000000" w:themeColor="text1"/>
                <w:sz w:val="24"/>
                <w:szCs w:val="22"/>
                <w:highlight w:val="none"/>
                <w:u w:val="none"/>
              </w:rPr>
              <w:t>环境风险是指突发性事故对环境（或健康）的危害程度。环境风险评价就是建设项目建设和运行期间发生的可预测突发性事件或事故（一般不包括人为破坏及自然灾害）所造成的对人身安全与环境的影响和损害进行评估，提出防范与减缓措施。其根本目的是通过预测分析和风险防范措施及应急预案，使项目事故率、损失和环境影响达到可接受水平。</w:t>
            </w:r>
          </w:p>
          <w:p>
            <w:pPr>
              <w:numPr>
                <w:ilvl w:val="0"/>
                <w:numId w:val="11"/>
              </w:numPr>
              <w:adjustRightInd w:val="0"/>
              <w:snapToGrid w:val="0"/>
              <w:spacing w:line="360" w:lineRule="auto"/>
              <w:ind w:firstLine="480" w:firstLineChars="200"/>
              <w:rPr>
                <w:bCs/>
                <w:color w:val="000000" w:themeColor="text1"/>
                <w:sz w:val="24"/>
                <w:highlight w:val="none"/>
                <w:u w:val="none"/>
              </w:rPr>
            </w:pPr>
            <w:r>
              <w:rPr>
                <w:bCs/>
                <w:color w:val="000000" w:themeColor="text1"/>
                <w:sz w:val="24"/>
                <w:highlight w:val="none"/>
                <w:u w:val="none"/>
              </w:rPr>
              <w:t>风险潜势初判</w:t>
            </w:r>
          </w:p>
          <w:p>
            <w:pPr>
              <w:spacing w:line="360" w:lineRule="auto"/>
              <w:ind w:firstLine="456" w:firstLineChars="200"/>
              <w:rPr>
                <w:color w:val="000000" w:themeColor="text1"/>
                <w:spacing w:val="-6"/>
                <w:sz w:val="24"/>
                <w:highlight w:val="none"/>
                <w:u w:val="none"/>
              </w:rPr>
            </w:pPr>
            <w:r>
              <w:rPr>
                <w:color w:val="000000" w:themeColor="text1"/>
                <w:spacing w:val="-6"/>
                <w:sz w:val="24"/>
                <w:highlight w:val="none"/>
                <w:u w:val="none"/>
              </w:rPr>
              <w:t>根据</w:t>
            </w:r>
            <w:r>
              <w:rPr>
                <w:color w:val="000000" w:themeColor="text1"/>
                <w:sz w:val="24"/>
                <w:highlight w:val="none"/>
                <w:u w:val="none"/>
                <w:lang w:val="zh-CN"/>
              </w:rPr>
              <w:t>《建设项目环境风险评价技术导则》(HT/J169-20</w:t>
            </w:r>
            <w:r>
              <w:rPr>
                <w:color w:val="000000" w:themeColor="text1"/>
                <w:sz w:val="24"/>
                <w:highlight w:val="none"/>
                <w:u w:val="none"/>
              </w:rPr>
              <w:t>18</w:t>
            </w:r>
            <w:r>
              <w:rPr>
                <w:color w:val="000000" w:themeColor="text1"/>
                <w:sz w:val="24"/>
                <w:highlight w:val="none"/>
                <w:u w:val="none"/>
                <w:lang w:val="zh-CN"/>
              </w:rPr>
              <w:t>)附录</w:t>
            </w:r>
            <w:r>
              <w:rPr>
                <w:color w:val="000000" w:themeColor="text1"/>
                <w:sz w:val="24"/>
                <w:highlight w:val="none"/>
                <w:u w:val="none"/>
              </w:rPr>
              <w:t>B突发环境事件风险物质及临界量表</w:t>
            </w:r>
            <w:r>
              <w:rPr>
                <w:color w:val="000000" w:themeColor="text1"/>
                <w:spacing w:val="-6"/>
                <w:sz w:val="24"/>
                <w:highlight w:val="none"/>
                <w:u w:val="none"/>
              </w:rPr>
              <w:t>进行辨识，其危险类别、储存量、储存临界量见下表。</w:t>
            </w:r>
          </w:p>
          <w:p>
            <w:pPr>
              <w:pStyle w:val="87"/>
              <w:outlineLvl w:val="9"/>
              <w:rPr>
                <w:color w:val="000000" w:themeColor="text1"/>
                <w:sz w:val="21"/>
                <w:szCs w:val="21"/>
                <w:highlight w:val="none"/>
                <w:u w:val="none"/>
              </w:rPr>
            </w:pPr>
            <w:r>
              <w:rPr>
                <w:color w:val="000000" w:themeColor="text1"/>
                <w:sz w:val="21"/>
                <w:szCs w:val="21"/>
                <w:highlight w:val="none"/>
                <w:u w:val="none"/>
              </w:rPr>
              <w:t>表7-</w:t>
            </w:r>
            <w:r>
              <w:rPr>
                <w:rFonts w:hint="eastAsia"/>
                <w:color w:val="000000" w:themeColor="text1"/>
                <w:sz w:val="21"/>
                <w:szCs w:val="21"/>
                <w:highlight w:val="none"/>
                <w:u w:val="none"/>
              </w:rPr>
              <w:t>5</w:t>
            </w:r>
            <w:r>
              <w:rPr>
                <w:color w:val="000000" w:themeColor="text1"/>
                <w:sz w:val="21"/>
                <w:szCs w:val="21"/>
                <w:highlight w:val="none"/>
                <w:u w:val="none"/>
              </w:rPr>
              <w:t xml:space="preserve">  风险物质及临界量表</w:t>
            </w:r>
          </w:p>
          <w:tbl>
            <w:tblPr>
              <w:tblStyle w:val="35"/>
              <w:tblW w:w="90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6"/>
              <w:gridCol w:w="2257"/>
              <w:gridCol w:w="2257"/>
              <w:gridCol w:w="2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6" w:type="dxa"/>
                  <w:vMerge w:val="restart"/>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物质名称</w:t>
                  </w:r>
                </w:p>
              </w:tc>
              <w:tc>
                <w:tcPr>
                  <w:tcW w:w="6771" w:type="dxa"/>
                  <w:gridSpan w:val="3"/>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环境风险潜势判别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6" w:type="dxa"/>
                  <w:vMerge w:val="continue"/>
                </w:tcPr>
                <w:p>
                  <w:pPr>
                    <w:pStyle w:val="87"/>
                    <w:outlineLvl w:val="9"/>
                    <w:rPr>
                      <w:b w:val="0"/>
                      <w:bCs/>
                      <w:color w:val="000000" w:themeColor="text1"/>
                      <w:sz w:val="21"/>
                      <w:szCs w:val="21"/>
                      <w:highlight w:val="none"/>
                      <w:u w:val="none"/>
                    </w:rPr>
                  </w:pP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物质总量（t）</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临界量（t）</w:t>
                  </w:r>
                </w:p>
              </w:tc>
              <w:tc>
                <w:tcPr>
                  <w:tcW w:w="2257" w:type="dxa"/>
                </w:tcPr>
                <w:p>
                  <w:pPr>
                    <w:pStyle w:val="87"/>
                    <w:outlineLvl w:val="9"/>
                    <w:rPr>
                      <w:b w:val="0"/>
                      <w:bCs/>
                      <w:color w:val="000000" w:themeColor="text1"/>
                      <w:sz w:val="21"/>
                      <w:szCs w:val="21"/>
                      <w:highlight w:val="none"/>
                      <w:u w:val="none"/>
                    </w:rPr>
                  </w:pPr>
                  <w:r>
                    <w:rPr>
                      <w:b w:val="0"/>
                      <w:bCs/>
                      <w:color w:val="000000" w:themeColor="text1"/>
                      <w:spacing w:val="-6"/>
                      <w:sz w:val="21"/>
                      <w:szCs w:val="21"/>
                      <w:highlight w:val="none"/>
                      <w:u w:val="none"/>
                    </w:rPr>
                    <w:t>qi/Qi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6"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硝酸</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0.00</w:t>
                  </w:r>
                  <w:r>
                    <w:rPr>
                      <w:rFonts w:hint="eastAsia"/>
                      <w:b w:val="0"/>
                      <w:bCs/>
                      <w:color w:val="000000" w:themeColor="text1"/>
                      <w:sz w:val="21"/>
                      <w:szCs w:val="21"/>
                      <w:highlight w:val="none"/>
                      <w:u w:val="none"/>
                    </w:rPr>
                    <w:t>1</w:t>
                  </w:r>
                </w:p>
              </w:tc>
              <w:tc>
                <w:tcPr>
                  <w:tcW w:w="2257"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7.5</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6"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硫酸</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0.00</w:t>
                  </w:r>
                  <w:r>
                    <w:rPr>
                      <w:rFonts w:hint="eastAsia"/>
                      <w:b w:val="0"/>
                      <w:bCs/>
                      <w:color w:val="000000" w:themeColor="text1"/>
                      <w:sz w:val="21"/>
                      <w:szCs w:val="21"/>
                      <w:highlight w:val="none"/>
                      <w:u w:val="none"/>
                    </w:rPr>
                    <w:t>1</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10</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0.000</w:t>
                  </w:r>
                  <w:r>
                    <w:rPr>
                      <w:rFonts w:hint="eastAsia"/>
                      <w:b w:val="0"/>
                      <w:bCs/>
                      <w:color w:val="000000" w:themeColor="text1"/>
                      <w:sz w:val="21"/>
                      <w:szCs w:val="21"/>
                      <w:highlight w:val="none"/>
                      <w:u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6"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盐酸（≧37%）</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0.00</w:t>
                  </w:r>
                  <w:r>
                    <w:rPr>
                      <w:rFonts w:hint="eastAsia"/>
                      <w:b w:val="0"/>
                      <w:bCs/>
                      <w:color w:val="000000" w:themeColor="text1"/>
                      <w:sz w:val="21"/>
                      <w:szCs w:val="21"/>
                      <w:highlight w:val="none"/>
                      <w:u w:val="none"/>
                    </w:rPr>
                    <w:t>1</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7.5</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0.000</w:t>
                  </w:r>
                  <w:r>
                    <w:rPr>
                      <w:rFonts w:hint="eastAsia"/>
                      <w:b w:val="0"/>
                      <w:bCs/>
                      <w:color w:val="000000" w:themeColor="text1"/>
                      <w:sz w:val="21"/>
                      <w:szCs w:val="21"/>
                      <w:highlight w:val="none"/>
                      <w:u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6"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甲苯</w:t>
                  </w:r>
                </w:p>
              </w:tc>
              <w:tc>
                <w:tcPr>
                  <w:tcW w:w="2257"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0.0005</w:t>
                  </w:r>
                </w:p>
              </w:tc>
              <w:tc>
                <w:tcPr>
                  <w:tcW w:w="2257"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10</w:t>
                  </w:r>
                </w:p>
              </w:tc>
              <w:tc>
                <w:tcPr>
                  <w:tcW w:w="2257"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0.00005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6"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石油醚</w:t>
                  </w:r>
                </w:p>
              </w:tc>
              <w:tc>
                <w:tcPr>
                  <w:tcW w:w="2257"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0.002</w:t>
                  </w:r>
                </w:p>
              </w:tc>
              <w:tc>
                <w:tcPr>
                  <w:tcW w:w="2257"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10</w:t>
                  </w:r>
                </w:p>
              </w:tc>
              <w:tc>
                <w:tcPr>
                  <w:tcW w:w="2257" w:type="dxa"/>
                </w:tcPr>
                <w:p>
                  <w:pPr>
                    <w:pStyle w:val="87"/>
                    <w:outlineLvl w:val="9"/>
                    <w:rPr>
                      <w:b w:val="0"/>
                      <w:bCs/>
                      <w:color w:val="000000" w:themeColor="text1"/>
                      <w:sz w:val="21"/>
                      <w:szCs w:val="21"/>
                      <w:highlight w:val="none"/>
                      <w:u w:val="none"/>
                    </w:rPr>
                  </w:pPr>
                  <w:r>
                    <w:rPr>
                      <w:rFonts w:hint="eastAsia"/>
                      <w:b w:val="0"/>
                      <w:bCs/>
                      <w:color w:val="000000" w:themeColor="text1"/>
                      <w:sz w:val="21"/>
                      <w:szCs w:val="21"/>
                      <w:highlight w:val="none"/>
                      <w:u w:val="none"/>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0" w:type="dxa"/>
                  <w:gridSpan w:val="3"/>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合计</w:t>
                  </w:r>
                </w:p>
              </w:tc>
              <w:tc>
                <w:tcPr>
                  <w:tcW w:w="2257" w:type="dxa"/>
                </w:tcPr>
                <w:p>
                  <w:pPr>
                    <w:pStyle w:val="87"/>
                    <w:outlineLvl w:val="9"/>
                    <w:rPr>
                      <w:b w:val="0"/>
                      <w:bCs/>
                      <w:color w:val="000000" w:themeColor="text1"/>
                      <w:sz w:val="21"/>
                      <w:szCs w:val="21"/>
                      <w:highlight w:val="none"/>
                      <w:u w:val="none"/>
                    </w:rPr>
                  </w:pPr>
                  <w:r>
                    <w:rPr>
                      <w:b w:val="0"/>
                      <w:bCs/>
                      <w:color w:val="000000" w:themeColor="text1"/>
                      <w:sz w:val="21"/>
                      <w:szCs w:val="21"/>
                      <w:highlight w:val="none"/>
                      <w:u w:val="none"/>
                    </w:rPr>
                    <w:t>0.000</w:t>
                  </w:r>
                  <w:r>
                    <w:rPr>
                      <w:rFonts w:hint="eastAsia"/>
                      <w:b w:val="0"/>
                      <w:bCs/>
                      <w:color w:val="000000" w:themeColor="text1"/>
                      <w:sz w:val="21"/>
                      <w:szCs w:val="21"/>
                      <w:highlight w:val="none"/>
                      <w:u w:val="none"/>
                    </w:rPr>
                    <w:t>32</w:t>
                  </w:r>
                </w:p>
              </w:tc>
            </w:tr>
          </w:tbl>
          <w:p>
            <w:pPr>
              <w:wordWrap w:val="0"/>
              <w:adjustRightInd w:val="0"/>
              <w:snapToGrid w:val="0"/>
              <w:spacing w:line="360" w:lineRule="auto"/>
              <w:ind w:firstLine="456" w:firstLineChars="200"/>
              <w:rPr>
                <w:color w:val="000000" w:themeColor="text1"/>
                <w:spacing w:val="-6"/>
                <w:sz w:val="24"/>
                <w:highlight w:val="none"/>
                <w:u w:val="none"/>
              </w:rPr>
            </w:pPr>
            <w:r>
              <w:rPr>
                <w:color w:val="000000" w:themeColor="text1"/>
                <w:spacing w:val="-6"/>
                <w:sz w:val="24"/>
                <w:highlight w:val="none"/>
                <w:u w:val="none"/>
              </w:rPr>
              <w:t>将上表所列数值代入</w:t>
            </w:r>
            <w:r>
              <w:rPr>
                <w:color w:val="000000" w:themeColor="text1"/>
                <w:sz w:val="24"/>
                <w:highlight w:val="none"/>
                <w:u w:val="none"/>
                <w:lang w:val="zh-CN"/>
              </w:rPr>
              <w:t>《建设项目环境风险评价技术导则》(HT/J169-20</w:t>
            </w:r>
            <w:r>
              <w:rPr>
                <w:color w:val="000000" w:themeColor="text1"/>
                <w:sz w:val="24"/>
                <w:highlight w:val="none"/>
                <w:u w:val="none"/>
              </w:rPr>
              <w:t>18</w:t>
            </w:r>
            <w:r>
              <w:rPr>
                <w:color w:val="000000" w:themeColor="text1"/>
                <w:sz w:val="24"/>
                <w:highlight w:val="none"/>
                <w:u w:val="none"/>
                <w:lang w:val="zh-CN"/>
              </w:rPr>
              <w:t>)附录</w:t>
            </w:r>
            <w:r>
              <w:rPr>
                <w:color w:val="000000" w:themeColor="text1"/>
                <w:sz w:val="24"/>
                <w:highlight w:val="none"/>
                <w:u w:val="none"/>
              </w:rPr>
              <w:t>C中的C.1式</w:t>
            </w:r>
            <w:r>
              <w:rPr>
                <w:color w:val="000000" w:themeColor="text1"/>
                <w:spacing w:val="-6"/>
                <w:sz w:val="24"/>
                <w:highlight w:val="none"/>
                <w:u w:val="none"/>
              </w:rPr>
              <w:t>：由于q</w:t>
            </w:r>
            <w:r>
              <w:rPr>
                <w:color w:val="000000" w:themeColor="text1"/>
                <w:spacing w:val="-6"/>
                <w:sz w:val="24"/>
                <w:highlight w:val="none"/>
                <w:u w:val="none"/>
                <w:vertAlign w:val="subscript"/>
              </w:rPr>
              <w:t>1</w:t>
            </w:r>
            <w:r>
              <w:rPr>
                <w:color w:val="000000" w:themeColor="text1"/>
                <w:spacing w:val="-6"/>
                <w:sz w:val="24"/>
                <w:highlight w:val="none"/>
                <w:u w:val="none"/>
              </w:rPr>
              <w:t>/Q</w:t>
            </w:r>
            <w:r>
              <w:rPr>
                <w:color w:val="000000" w:themeColor="text1"/>
                <w:spacing w:val="-6"/>
                <w:sz w:val="24"/>
                <w:highlight w:val="none"/>
                <w:u w:val="none"/>
                <w:vertAlign w:val="subscript"/>
              </w:rPr>
              <w:t>1</w:t>
            </w:r>
            <w:r>
              <w:rPr>
                <w:color w:val="000000" w:themeColor="text1"/>
                <w:spacing w:val="-6"/>
                <w:sz w:val="24"/>
                <w:highlight w:val="none"/>
                <w:u w:val="none"/>
              </w:rPr>
              <w:t>+q</w:t>
            </w:r>
            <w:r>
              <w:rPr>
                <w:color w:val="000000" w:themeColor="text1"/>
                <w:spacing w:val="-6"/>
                <w:sz w:val="24"/>
                <w:highlight w:val="none"/>
                <w:u w:val="none"/>
                <w:vertAlign w:val="subscript"/>
              </w:rPr>
              <w:t>2</w:t>
            </w:r>
            <w:r>
              <w:rPr>
                <w:color w:val="000000" w:themeColor="text1"/>
                <w:spacing w:val="-6"/>
                <w:sz w:val="24"/>
                <w:highlight w:val="none"/>
                <w:u w:val="none"/>
              </w:rPr>
              <w:t>/Q</w:t>
            </w:r>
            <w:r>
              <w:rPr>
                <w:color w:val="000000" w:themeColor="text1"/>
                <w:spacing w:val="-6"/>
                <w:sz w:val="24"/>
                <w:highlight w:val="none"/>
                <w:u w:val="none"/>
                <w:vertAlign w:val="subscript"/>
              </w:rPr>
              <w:t>2</w:t>
            </w:r>
            <w:r>
              <w:rPr>
                <w:color w:val="000000" w:themeColor="text1"/>
                <w:spacing w:val="-6"/>
                <w:sz w:val="24"/>
                <w:highlight w:val="none"/>
                <w:u w:val="none"/>
              </w:rPr>
              <w:t>．．．+q</w:t>
            </w:r>
            <w:r>
              <w:rPr>
                <w:color w:val="000000" w:themeColor="text1"/>
                <w:spacing w:val="-6"/>
                <w:sz w:val="24"/>
                <w:highlight w:val="none"/>
                <w:u w:val="none"/>
                <w:vertAlign w:val="subscript"/>
              </w:rPr>
              <w:t>n</w:t>
            </w:r>
            <w:r>
              <w:rPr>
                <w:color w:val="000000" w:themeColor="text1"/>
                <w:spacing w:val="-6"/>
                <w:sz w:val="24"/>
                <w:highlight w:val="none"/>
                <w:u w:val="none"/>
              </w:rPr>
              <w:t>/Q</w:t>
            </w:r>
            <w:r>
              <w:rPr>
                <w:color w:val="000000" w:themeColor="text1"/>
                <w:spacing w:val="-6"/>
                <w:sz w:val="24"/>
                <w:highlight w:val="none"/>
                <w:u w:val="none"/>
                <w:vertAlign w:val="subscript"/>
              </w:rPr>
              <w:t>n</w:t>
            </w:r>
            <w:r>
              <w:rPr>
                <w:color w:val="000000" w:themeColor="text1"/>
                <w:spacing w:val="-6"/>
                <w:sz w:val="24"/>
                <w:highlight w:val="none"/>
                <w:u w:val="none"/>
              </w:rPr>
              <w:t>==0.000</w:t>
            </w:r>
            <w:r>
              <w:rPr>
                <w:rFonts w:hint="eastAsia"/>
                <w:color w:val="000000" w:themeColor="text1"/>
                <w:spacing w:val="-6"/>
                <w:sz w:val="24"/>
                <w:highlight w:val="none"/>
                <w:u w:val="none"/>
              </w:rPr>
              <w:t>32</w:t>
            </w:r>
            <w:r>
              <w:rPr>
                <w:color w:val="000000" w:themeColor="text1"/>
                <w:spacing w:val="-6"/>
                <w:sz w:val="24"/>
                <w:highlight w:val="none"/>
                <w:u w:val="none"/>
              </w:rPr>
              <w:t>＜1。可见本项目的环境风险潜势为</w:t>
            </w:r>
            <w:r>
              <w:rPr>
                <w:color w:val="000000" w:themeColor="text1"/>
                <w:sz w:val="24"/>
                <w:szCs w:val="22"/>
                <w:highlight w:val="none"/>
                <w:u w:val="none"/>
              </w:rPr>
              <w:t>Ⅰ。</w:t>
            </w:r>
          </w:p>
          <w:p>
            <w:pPr>
              <w:pStyle w:val="87"/>
              <w:numPr>
                <w:ilvl w:val="0"/>
                <w:numId w:val="11"/>
              </w:numPr>
              <w:ind w:firstLine="480" w:firstLineChars="200"/>
              <w:jc w:val="both"/>
              <w:outlineLvl w:val="9"/>
              <w:rPr>
                <w:b w:val="0"/>
                <w:bCs/>
                <w:color w:val="000000" w:themeColor="text1"/>
                <w:sz w:val="24"/>
                <w:highlight w:val="none"/>
                <w:u w:val="none"/>
              </w:rPr>
            </w:pPr>
            <w:r>
              <w:rPr>
                <w:b w:val="0"/>
                <w:bCs/>
                <w:color w:val="000000" w:themeColor="text1"/>
                <w:sz w:val="24"/>
                <w:highlight w:val="none"/>
                <w:u w:val="none"/>
              </w:rPr>
              <w:t>评价等级</w:t>
            </w:r>
          </w:p>
          <w:p>
            <w:pPr>
              <w:spacing w:line="360" w:lineRule="auto"/>
              <w:ind w:firstLine="480"/>
              <w:jc w:val="left"/>
              <w:rPr>
                <w:color w:val="000000" w:themeColor="text1"/>
                <w:highlight w:val="none"/>
                <w:u w:val="none"/>
              </w:rPr>
            </w:pPr>
            <w:r>
              <w:rPr>
                <w:color w:val="000000" w:themeColor="text1"/>
                <w:sz w:val="24"/>
                <w:highlight w:val="none"/>
                <w:u w:val="none"/>
                <w:lang w:val="zh-CN"/>
              </w:rPr>
              <w:t>根据《建设项目环境风险评价技术导则》(HT/J169-20</w:t>
            </w:r>
            <w:r>
              <w:rPr>
                <w:color w:val="000000" w:themeColor="text1"/>
                <w:sz w:val="24"/>
                <w:highlight w:val="none"/>
                <w:u w:val="none"/>
              </w:rPr>
              <w:t>18</w:t>
            </w:r>
            <w:r>
              <w:rPr>
                <w:color w:val="000000" w:themeColor="text1"/>
                <w:sz w:val="24"/>
                <w:highlight w:val="none"/>
                <w:u w:val="none"/>
                <w:lang w:val="zh-CN"/>
              </w:rPr>
              <w:t>)，</w:t>
            </w:r>
            <w:r>
              <w:rPr>
                <w:color w:val="000000" w:themeColor="text1"/>
                <w:sz w:val="24"/>
                <w:highlight w:val="none"/>
                <w:u w:val="none"/>
              </w:rPr>
              <w:t>风险评价等级判定见下表。</w:t>
            </w:r>
          </w:p>
          <w:p>
            <w:pPr>
              <w:adjustRightInd w:val="0"/>
              <w:snapToGrid w:val="0"/>
              <w:spacing w:line="360" w:lineRule="auto"/>
              <w:ind w:firstLine="420" w:firstLineChars="200"/>
              <w:jc w:val="center"/>
              <w:rPr>
                <w:b/>
                <w:color w:val="000000" w:themeColor="text1"/>
                <w:sz w:val="21"/>
                <w:szCs w:val="21"/>
                <w:highlight w:val="none"/>
                <w:u w:val="none"/>
              </w:rPr>
            </w:pPr>
            <w:r>
              <w:rPr>
                <w:b/>
                <w:color w:val="000000" w:themeColor="text1"/>
                <w:sz w:val="21"/>
                <w:szCs w:val="21"/>
                <w:highlight w:val="none"/>
                <w:u w:val="none"/>
              </w:rPr>
              <w:t>表7-</w:t>
            </w:r>
            <w:r>
              <w:rPr>
                <w:rFonts w:hint="eastAsia"/>
                <w:b/>
                <w:color w:val="000000" w:themeColor="text1"/>
                <w:sz w:val="21"/>
                <w:szCs w:val="21"/>
                <w:highlight w:val="none"/>
                <w:u w:val="none"/>
              </w:rPr>
              <w:t>6</w:t>
            </w:r>
            <w:r>
              <w:rPr>
                <w:b/>
                <w:color w:val="000000" w:themeColor="text1"/>
                <w:sz w:val="21"/>
                <w:szCs w:val="21"/>
                <w:highlight w:val="none"/>
                <w:u w:val="none"/>
              </w:rPr>
              <w:t xml:space="preserve"> 评价工作等级划分</w:t>
            </w:r>
          </w:p>
          <w:tbl>
            <w:tblPr>
              <w:tblStyle w:val="34"/>
              <w:tblW w:w="90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1804"/>
              <w:gridCol w:w="1803"/>
              <w:gridCol w:w="1804"/>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4"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环境风险潜势</w:t>
                  </w:r>
                </w:p>
              </w:tc>
              <w:tc>
                <w:tcPr>
                  <w:tcW w:w="1804"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Ⅳ、Ⅳ+</w:t>
                  </w:r>
                </w:p>
              </w:tc>
              <w:tc>
                <w:tcPr>
                  <w:tcW w:w="1803"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Ⅲ</w:t>
                  </w:r>
                </w:p>
              </w:tc>
              <w:tc>
                <w:tcPr>
                  <w:tcW w:w="1804"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Ⅱ</w:t>
                  </w:r>
                </w:p>
              </w:tc>
              <w:tc>
                <w:tcPr>
                  <w:tcW w:w="1800"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fldChar w:fldCharType="begin"/>
                  </w:r>
                  <w:r>
                    <w:rPr>
                      <w:color w:val="000000" w:themeColor="text1"/>
                      <w:sz w:val="21"/>
                      <w:szCs w:val="21"/>
                      <w:highlight w:val="none"/>
                      <w:u w:val="none"/>
                    </w:rPr>
                    <w:instrText xml:space="preserve"> = 1 \* ROMAN \* MERGEFORMAT </w:instrText>
                  </w:r>
                  <w:r>
                    <w:rPr>
                      <w:color w:val="000000" w:themeColor="text1"/>
                      <w:sz w:val="21"/>
                      <w:szCs w:val="21"/>
                      <w:highlight w:val="none"/>
                      <w:u w:val="none"/>
                    </w:rPr>
                    <w:fldChar w:fldCharType="separate"/>
                  </w:r>
                  <w:r>
                    <w:rPr>
                      <w:color w:val="000000" w:themeColor="text1"/>
                      <w:sz w:val="21"/>
                      <w:szCs w:val="21"/>
                      <w:highlight w:val="none"/>
                      <w:u w:val="none"/>
                    </w:rPr>
                    <w:t>I</w:t>
                  </w:r>
                  <w:r>
                    <w:rPr>
                      <w:color w:val="000000" w:themeColor="text1"/>
                      <w:sz w:val="21"/>
                      <w:szCs w:val="21"/>
                      <w:highlight w:val="none"/>
                      <w:u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4"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评价工作等级</w:t>
                  </w:r>
                </w:p>
              </w:tc>
              <w:tc>
                <w:tcPr>
                  <w:tcW w:w="1804"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一</w:t>
                  </w:r>
                </w:p>
              </w:tc>
              <w:tc>
                <w:tcPr>
                  <w:tcW w:w="1803"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二</w:t>
                  </w:r>
                </w:p>
              </w:tc>
              <w:tc>
                <w:tcPr>
                  <w:tcW w:w="1804" w:type="dxa"/>
                  <w:vAlign w:val="center"/>
                </w:tcPr>
                <w:p>
                  <w:pPr>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三</w:t>
                  </w:r>
                </w:p>
              </w:tc>
              <w:tc>
                <w:tcPr>
                  <w:tcW w:w="1800" w:type="dxa"/>
                  <w:vAlign w:val="center"/>
                </w:tcPr>
                <w:p>
                  <w:pPr>
                    <w:adjustRightInd w:val="0"/>
                    <w:snapToGrid w:val="0"/>
                    <w:spacing w:line="360" w:lineRule="auto"/>
                    <w:jc w:val="center"/>
                    <w:rPr>
                      <w:color w:val="000000" w:themeColor="text1"/>
                      <w:sz w:val="21"/>
                      <w:szCs w:val="21"/>
                      <w:highlight w:val="none"/>
                      <w:u w:val="none"/>
                    </w:rPr>
                  </w:pPr>
                  <w:r>
                    <w:rPr>
                      <w:rFonts w:hint="eastAsia"/>
                      <w:color w:val="000000" w:themeColor="text1"/>
                      <w:sz w:val="21"/>
                      <w:szCs w:val="21"/>
                      <w:highlight w:val="none"/>
                      <w:u w:val="none"/>
                    </w:rPr>
                    <w:t>简单分析</w:t>
                  </w:r>
                </w:p>
              </w:tc>
            </w:tr>
          </w:tbl>
          <w:p>
            <w:pPr>
              <w:adjustRightInd w:val="0"/>
              <w:snapToGrid w:val="0"/>
              <w:spacing w:line="360" w:lineRule="auto"/>
              <w:ind w:firstLine="480" w:firstLineChars="200"/>
              <w:jc w:val="left"/>
              <w:rPr>
                <w:color w:val="000000" w:themeColor="text1"/>
                <w:sz w:val="24"/>
                <w:highlight w:val="none"/>
                <w:u w:val="none"/>
              </w:rPr>
            </w:pPr>
            <w:r>
              <w:rPr>
                <w:color w:val="000000" w:themeColor="text1"/>
                <w:sz w:val="24"/>
                <w:highlight w:val="none"/>
                <w:u w:val="none"/>
                <w:lang w:val="zh-CN"/>
              </w:rPr>
              <w:t>本项目的环境风险评价工作等级为</w:t>
            </w:r>
            <w:r>
              <w:rPr>
                <w:color w:val="000000" w:themeColor="text1"/>
                <w:sz w:val="24"/>
                <w:highlight w:val="none"/>
                <w:u w:val="none"/>
              </w:rPr>
              <w:t>简单分析。</w:t>
            </w:r>
          </w:p>
          <w:p>
            <w:pPr>
              <w:pStyle w:val="87"/>
              <w:numPr>
                <w:ilvl w:val="255"/>
                <w:numId w:val="0"/>
              </w:numPr>
              <w:ind w:firstLine="480" w:firstLineChars="200"/>
              <w:jc w:val="both"/>
              <w:outlineLvl w:val="9"/>
              <w:rPr>
                <w:b w:val="0"/>
                <w:bCs/>
                <w:color w:val="000000" w:themeColor="text1"/>
                <w:sz w:val="24"/>
                <w:highlight w:val="none"/>
                <w:u w:val="none"/>
              </w:rPr>
            </w:pPr>
            <w:r>
              <w:rPr>
                <w:b w:val="0"/>
                <w:bCs/>
                <w:color w:val="000000" w:themeColor="text1"/>
                <w:sz w:val="24"/>
                <w:highlight w:val="none"/>
                <w:u w:val="none"/>
              </w:rPr>
              <w:t>3、建设项目环境风险简单分析内容表</w:t>
            </w:r>
          </w:p>
          <w:p>
            <w:pPr>
              <w:pStyle w:val="113"/>
              <w:widowControl/>
              <w:ind w:left="0" w:firstLine="480"/>
              <w:rPr>
                <w:color w:val="000000" w:themeColor="text1"/>
                <w:highlight w:val="none"/>
                <w:u w:val="none"/>
              </w:rPr>
            </w:pPr>
            <w:r>
              <w:rPr>
                <w:rFonts w:hint="eastAsia" w:cs="宋体"/>
                <w:color w:val="000000" w:themeColor="text1"/>
                <w:highlight w:val="none"/>
                <w:u w:val="none"/>
              </w:rPr>
              <w:t>建设项目环境风险简单分析内容表详见表</w:t>
            </w:r>
            <w:r>
              <w:rPr>
                <w:rFonts w:hint="eastAsia"/>
                <w:color w:val="000000" w:themeColor="text1"/>
                <w:highlight w:val="none"/>
                <w:u w:val="none"/>
              </w:rPr>
              <w:t>7-3</w:t>
            </w:r>
            <w:r>
              <w:rPr>
                <w:rFonts w:hint="eastAsia" w:cs="宋体"/>
                <w:color w:val="000000" w:themeColor="text1"/>
                <w:highlight w:val="none"/>
                <w:u w:val="none"/>
              </w:rPr>
              <w:t>。</w:t>
            </w:r>
          </w:p>
          <w:p>
            <w:pPr>
              <w:pStyle w:val="27"/>
              <w:widowControl/>
              <w:ind w:left="640"/>
              <w:jc w:val="center"/>
              <w:rPr>
                <w:b/>
                <w:color w:val="000000" w:themeColor="text1"/>
                <w:sz w:val="21"/>
                <w:szCs w:val="21"/>
                <w:highlight w:val="none"/>
                <w:u w:val="none"/>
              </w:rPr>
            </w:pPr>
            <w:r>
              <w:rPr>
                <w:rFonts w:hint="eastAsia" w:cs="宋体"/>
                <w:b/>
                <w:color w:val="000000" w:themeColor="text1"/>
                <w:sz w:val="21"/>
                <w:szCs w:val="21"/>
                <w:highlight w:val="none"/>
                <w:u w:val="none"/>
              </w:rPr>
              <w:t>表</w:t>
            </w:r>
            <w:r>
              <w:rPr>
                <w:rFonts w:hint="eastAsia"/>
                <w:b/>
                <w:color w:val="000000" w:themeColor="text1"/>
                <w:sz w:val="21"/>
                <w:szCs w:val="21"/>
                <w:highlight w:val="none"/>
                <w:u w:val="none"/>
              </w:rPr>
              <w:t xml:space="preserve">7-7 </w:t>
            </w:r>
            <w:r>
              <w:rPr>
                <w:rFonts w:hint="eastAsia" w:cs="宋体"/>
                <w:b/>
                <w:color w:val="000000" w:themeColor="text1"/>
                <w:sz w:val="21"/>
                <w:szCs w:val="21"/>
                <w:highlight w:val="none"/>
                <w:u w:val="none"/>
              </w:rPr>
              <w:t>建设项目环境风险简单分析内容表</w:t>
            </w:r>
          </w:p>
          <w:tbl>
            <w:tblPr>
              <w:tblStyle w:val="34"/>
              <w:tblW w:w="902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779"/>
              <w:gridCol w:w="893"/>
              <w:gridCol w:w="2184"/>
              <w:gridCol w:w="1114"/>
              <w:gridCol w:w="205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80" w:hRule="atLeast"/>
                <w:jc w:val="center"/>
              </w:trPr>
              <w:tc>
                <w:tcPr>
                  <w:tcW w:w="2779"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建设项目名称</w:t>
                  </w:r>
                </w:p>
              </w:tc>
              <w:tc>
                <w:tcPr>
                  <w:tcW w:w="6248" w:type="dxa"/>
                  <w:gridSpan w:val="4"/>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rFonts w:hint="eastAsia"/>
                      <w:color w:val="000000" w:themeColor="text1"/>
                      <w:sz w:val="21"/>
                      <w:szCs w:val="21"/>
                      <w:highlight w:val="none"/>
                      <w:u w:val="none"/>
                      <w:lang w:eastAsia="zh-CN"/>
                    </w:rPr>
                    <w:t>湖南乐思检测有限公司</w:t>
                  </w:r>
                  <w:r>
                    <w:rPr>
                      <w:color w:val="000000" w:themeColor="text1"/>
                      <w:sz w:val="21"/>
                      <w:szCs w:val="21"/>
                      <w:highlight w:val="none"/>
                      <w:u w:val="none"/>
                    </w:rPr>
                    <w:t>实验室建设项目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jc w:val="center"/>
              </w:trPr>
              <w:tc>
                <w:tcPr>
                  <w:tcW w:w="2779"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建设地点</w:t>
                  </w:r>
                </w:p>
              </w:tc>
              <w:tc>
                <w:tcPr>
                  <w:tcW w:w="6248" w:type="dxa"/>
                  <w:gridSpan w:val="4"/>
                  <w:tcBorders>
                    <w:tl2br w:val="nil"/>
                    <w:tr2bl w:val="nil"/>
                  </w:tcBorders>
                  <w:vAlign w:val="center"/>
                </w:tcPr>
                <w:p>
                  <w:pPr>
                    <w:widowControl/>
                    <w:adjustRightInd w:val="0"/>
                    <w:snapToGrid w:val="0"/>
                    <w:spacing w:line="360" w:lineRule="auto"/>
                    <w:jc w:val="center"/>
                    <w:rPr>
                      <w:rFonts w:hint="eastAsia" w:eastAsia="宋体"/>
                      <w:color w:val="000000" w:themeColor="text1"/>
                      <w:sz w:val="21"/>
                      <w:szCs w:val="21"/>
                      <w:highlight w:val="none"/>
                      <w:u w:val="none"/>
                      <w:lang w:eastAsia="zh-CN"/>
                    </w:rPr>
                  </w:pPr>
                  <w:r>
                    <w:rPr>
                      <w:rFonts w:hint="eastAsia"/>
                      <w:color w:val="000000" w:themeColor="text1"/>
                      <w:sz w:val="21"/>
                      <w:szCs w:val="21"/>
                      <w:highlight w:val="none"/>
                      <w:u w:val="none"/>
                      <w:lang w:eastAsia="zh-CN"/>
                    </w:rPr>
                    <w:t>湖南省岳阳市湘阴县金龙新区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jc w:val="center"/>
              </w:trPr>
              <w:tc>
                <w:tcPr>
                  <w:tcW w:w="2779"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地理坐标</w:t>
                  </w:r>
                </w:p>
              </w:tc>
              <w:tc>
                <w:tcPr>
                  <w:tcW w:w="893"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经度</w:t>
                  </w:r>
                </w:p>
              </w:tc>
              <w:tc>
                <w:tcPr>
                  <w:tcW w:w="2184"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rFonts w:hint="eastAsia"/>
                      <w:color w:val="000000" w:themeColor="text1"/>
                      <w:sz w:val="21"/>
                      <w:szCs w:val="21"/>
                      <w:highlight w:val="none"/>
                      <w:u w:val="none"/>
                    </w:rPr>
                    <w:t>112°55′33.45583″</w:t>
                  </w:r>
                </w:p>
              </w:tc>
              <w:tc>
                <w:tcPr>
                  <w:tcW w:w="1114"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纬度</w:t>
                  </w:r>
                </w:p>
              </w:tc>
              <w:tc>
                <w:tcPr>
                  <w:tcW w:w="2057"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rFonts w:hint="eastAsia"/>
                      <w:color w:val="000000" w:themeColor="text1"/>
                      <w:sz w:val="21"/>
                      <w:szCs w:val="21"/>
                      <w:highlight w:val="none"/>
                      <w:u w:val="none"/>
                    </w:rPr>
                    <w:t>28°31′42.20361″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779"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主要危险物质及分布</w:t>
                  </w:r>
                </w:p>
              </w:tc>
              <w:tc>
                <w:tcPr>
                  <w:tcW w:w="6248" w:type="dxa"/>
                  <w:gridSpan w:val="4"/>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rFonts w:hint="eastAsia"/>
                      <w:color w:val="000000" w:themeColor="text1"/>
                      <w:sz w:val="21"/>
                      <w:szCs w:val="21"/>
                      <w:highlight w:val="none"/>
                      <w:u w:val="none"/>
                    </w:rPr>
                    <w:t>硝酸、硫酸、盐酸、甲苯、石油醚</w:t>
                  </w:r>
                  <w:r>
                    <w:rPr>
                      <w:color w:val="000000" w:themeColor="text1"/>
                      <w:sz w:val="21"/>
                      <w:szCs w:val="21"/>
                      <w:highlight w:val="none"/>
                      <w:u w:val="none"/>
                    </w:rPr>
                    <w:t>，</w:t>
                  </w:r>
                  <w:r>
                    <w:rPr>
                      <w:rFonts w:hint="eastAsia"/>
                      <w:color w:val="000000" w:themeColor="text1"/>
                      <w:sz w:val="21"/>
                      <w:szCs w:val="21"/>
                      <w:highlight w:val="none"/>
                      <w:u w:val="none"/>
                    </w:rPr>
                    <w:t>试剂库</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779"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环境影响途径及危害后果</w:t>
                  </w:r>
                </w:p>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（大气、地表水、地下水等）</w:t>
                  </w:r>
                </w:p>
              </w:tc>
              <w:tc>
                <w:tcPr>
                  <w:tcW w:w="6248" w:type="dxa"/>
                  <w:gridSpan w:val="4"/>
                  <w:tcBorders>
                    <w:tl2br w:val="nil"/>
                    <w:tr2bl w:val="nil"/>
                  </w:tcBorders>
                  <w:vAlign w:val="center"/>
                </w:tcPr>
                <w:p>
                  <w:pPr>
                    <w:adjustRightInd w:val="0"/>
                    <w:snapToGrid w:val="0"/>
                    <w:spacing w:line="360" w:lineRule="auto"/>
                    <w:jc w:val="center"/>
                    <w:rPr>
                      <w:color w:val="000000" w:themeColor="text1"/>
                      <w:sz w:val="21"/>
                      <w:szCs w:val="21"/>
                      <w:highlight w:val="none"/>
                      <w:u w:val="none"/>
                    </w:rPr>
                  </w:pPr>
                  <w:r>
                    <w:rPr>
                      <w:rFonts w:hint="eastAsia"/>
                      <w:color w:val="000000" w:themeColor="text1"/>
                      <w:sz w:val="21"/>
                      <w:szCs w:val="21"/>
                      <w:highlight w:val="none"/>
                      <w:u w:val="none"/>
                    </w:rPr>
                    <w:t>硝酸、硫酸、盐酸、石油醚、甲苯等易燃易爆、有毒有害的物质泄露可能对大气、地表环境</w:t>
                  </w:r>
                  <w:r>
                    <w:rPr>
                      <w:color w:val="000000" w:themeColor="text1"/>
                      <w:sz w:val="21"/>
                      <w:szCs w:val="21"/>
                      <w:highlight w:val="none"/>
                      <w:u w:val="none"/>
                    </w:rPr>
                    <w:t>造成污染。</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05" w:hRule="atLeast"/>
                <w:jc w:val="center"/>
              </w:trPr>
              <w:tc>
                <w:tcPr>
                  <w:tcW w:w="2779" w:type="dxa"/>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风险防范措施要求</w:t>
                  </w:r>
                </w:p>
              </w:tc>
              <w:tc>
                <w:tcPr>
                  <w:tcW w:w="6248" w:type="dxa"/>
                  <w:gridSpan w:val="4"/>
                  <w:tcBorders>
                    <w:tl2br w:val="nil"/>
                    <w:tr2bl w:val="nil"/>
                  </w:tcBorders>
                  <w:vAlign w:val="center"/>
                </w:tcPr>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（1）危废暂存间严格按照《危险废物贮存污染控制标准》（GBl8597-2001）及2013年修改单的要求建设，一旦出现物料泄漏洒落到地表，则应迅速对其收集至危废暂存间。</w:t>
                  </w:r>
                </w:p>
                <w:p>
                  <w:pPr>
                    <w:widowControl/>
                    <w:adjustRightInd w:val="0"/>
                    <w:snapToGrid w:val="0"/>
                    <w:spacing w:line="360" w:lineRule="auto"/>
                    <w:jc w:val="center"/>
                    <w:rPr>
                      <w:color w:val="000000" w:themeColor="text1"/>
                      <w:sz w:val="21"/>
                      <w:szCs w:val="21"/>
                      <w:highlight w:val="none"/>
                      <w:u w:val="none"/>
                    </w:rPr>
                  </w:pPr>
                  <w:r>
                    <w:rPr>
                      <w:color w:val="000000" w:themeColor="text1"/>
                      <w:sz w:val="21"/>
                      <w:szCs w:val="21"/>
                      <w:highlight w:val="none"/>
                      <w:u w:val="none"/>
                    </w:rPr>
                    <w:t>（2）当污染治理设施停电或其设备损坏时，应立即停止</w:t>
                  </w:r>
                  <w:r>
                    <w:rPr>
                      <w:rFonts w:hint="eastAsia"/>
                      <w:color w:val="000000" w:themeColor="text1"/>
                      <w:sz w:val="21"/>
                      <w:szCs w:val="21"/>
                      <w:highlight w:val="none"/>
                      <w:u w:val="none"/>
                    </w:rPr>
                    <w:t>实验操作，对有毒有害物质加以密封，</w:t>
                  </w:r>
                  <w:r>
                    <w:rPr>
                      <w:color w:val="000000" w:themeColor="text1"/>
                      <w:sz w:val="21"/>
                      <w:szCs w:val="21"/>
                      <w:highlight w:val="none"/>
                      <w:u w:val="none"/>
                    </w:rPr>
                    <w:t>一般来说，立即停止</w:t>
                  </w:r>
                  <w:r>
                    <w:rPr>
                      <w:rFonts w:hint="eastAsia"/>
                      <w:color w:val="000000" w:themeColor="text1"/>
                      <w:sz w:val="21"/>
                      <w:szCs w:val="21"/>
                      <w:highlight w:val="none"/>
                      <w:u w:val="none"/>
                    </w:rPr>
                    <w:t>实验操作</w:t>
                  </w:r>
                  <w:r>
                    <w:rPr>
                      <w:color w:val="000000" w:themeColor="text1"/>
                      <w:sz w:val="21"/>
                      <w:szCs w:val="21"/>
                      <w:highlight w:val="none"/>
                      <w:u w:val="none"/>
                    </w:rPr>
                    <w:t>可有效控制非正常排放。</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16" w:hRule="atLeast"/>
                <w:jc w:val="center"/>
              </w:trPr>
              <w:tc>
                <w:tcPr>
                  <w:tcW w:w="9027" w:type="dxa"/>
                  <w:gridSpan w:val="5"/>
                  <w:tcBorders>
                    <w:tl2br w:val="nil"/>
                    <w:tr2bl w:val="nil"/>
                  </w:tcBorders>
                  <w:vAlign w:val="center"/>
                </w:tcPr>
                <w:p>
                  <w:pPr>
                    <w:widowControl/>
                    <w:adjustRightInd w:val="0"/>
                    <w:snapToGrid w:val="0"/>
                    <w:spacing w:line="360" w:lineRule="auto"/>
                    <w:rPr>
                      <w:color w:val="000000" w:themeColor="text1"/>
                      <w:sz w:val="21"/>
                      <w:szCs w:val="21"/>
                      <w:highlight w:val="none"/>
                      <w:u w:val="none"/>
                    </w:rPr>
                  </w:pPr>
                  <w:r>
                    <w:rPr>
                      <w:color w:val="000000" w:themeColor="text1"/>
                      <w:sz w:val="21"/>
                      <w:szCs w:val="21"/>
                      <w:highlight w:val="none"/>
                      <w:u w:val="none"/>
                    </w:rPr>
                    <w:t>填表说明（列出项目相关信息及评价说明）：根据《建设项目环境风险评价技术导则》（HJ169-2018），本项目原辅料、产品及废弃物</w:t>
                  </w:r>
                  <w:r>
                    <w:rPr>
                      <w:rFonts w:hint="eastAsia"/>
                      <w:color w:val="000000" w:themeColor="text1"/>
                      <w:sz w:val="21"/>
                      <w:szCs w:val="21"/>
                      <w:highlight w:val="none"/>
                      <w:u w:val="none"/>
                    </w:rPr>
                    <w:t>的最大储存量均远远小于其临界量</w:t>
                  </w:r>
                  <w:r>
                    <w:rPr>
                      <w:color w:val="000000" w:themeColor="text1"/>
                      <w:sz w:val="21"/>
                      <w:szCs w:val="21"/>
                      <w:highlight w:val="none"/>
                      <w:u w:val="none"/>
                    </w:rPr>
                    <w:t>，因此，本项目临界量Q＜1，环境风险潜势为I，环境风险评价等级为：简单分析。相对于详细评价工作内容而言，在描述危险物质、环境影响途径、环境危害后果、风险防范措施等方面给出定性的说明。</w:t>
                  </w:r>
                </w:p>
              </w:tc>
            </w:tr>
          </w:tbl>
          <w:p>
            <w:pPr>
              <w:pStyle w:val="87"/>
              <w:numPr>
                <w:ilvl w:val="255"/>
                <w:numId w:val="0"/>
              </w:numPr>
              <w:ind w:firstLine="480" w:firstLineChars="200"/>
              <w:jc w:val="left"/>
              <w:rPr>
                <w:b w:val="0"/>
                <w:bCs/>
                <w:color w:val="000000" w:themeColor="text1"/>
                <w:sz w:val="24"/>
                <w:highlight w:val="none"/>
                <w:u w:val="none"/>
              </w:rPr>
            </w:pPr>
            <w:r>
              <w:rPr>
                <w:b w:val="0"/>
                <w:bCs/>
                <w:color w:val="000000" w:themeColor="text1"/>
                <w:sz w:val="24"/>
                <w:highlight w:val="none"/>
                <w:u w:val="none"/>
              </w:rPr>
              <w:t>4、环境风险识别</w:t>
            </w:r>
          </w:p>
          <w:p>
            <w:pPr>
              <w:adjustRightInd w:val="0"/>
              <w:snapToGrid w:val="0"/>
              <w:spacing w:line="360" w:lineRule="auto"/>
              <w:ind w:firstLine="480" w:firstLineChars="200"/>
              <w:rPr>
                <w:color w:val="000000" w:themeColor="text1"/>
                <w:highlight w:val="none"/>
                <w:u w:val="none"/>
              </w:rPr>
            </w:pPr>
            <w:r>
              <w:rPr>
                <w:bCs/>
                <w:color w:val="000000" w:themeColor="text1"/>
                <w:sz w:val="24"/>
                <w:highlight w:val="none"/>
                <w:u w:val="none"/>
              </w:rPr>
              <w:t>本项目存在的环境风险主要是实验试剂的泄漏可能引起的腐蚀、中毒和火灾。在储存和使用过程中，由于操作不当等因素，可能会导致实验试剂的泄漏。</w:t>
            </w:r>
          </w:p>
          <w:p>
            <w:pPr>
              <w:adjustRightInd w:val="0"/>
              <w:snapToGrid w:val="0"/>
              <w:spacing w:line="360" w:lineRule="auto"/>
              <w:ind w:firstLine="480" w:firstLineChars="200"/>
              <w:rPr>
                <w:bCs/>
                <w:color w:val="000000" w:themeColor="text1"/>
                <w:sz w:val="24"/>
                <w:highlight w:val="none"/>
                <w:u w:val="none"/>
              </w:rPr>
            </w:pPr>
            <w:r>
              <w:rPr>
                <w:rFonts w:hint="eastAsia"/>
                <w:bCs/>
                <w:color w:val="000000" w:themeColor="text1"/>
                <w:sz w:val="24"/>
                <w:highlight w:val="none"/>
                <w:u w:val="none"/>
              </w:rPr>
              <w:t>5</w:t>
            </w:r>
            <w:r>
              <w:rPr>
                <w:bCs/>
                <w:color w:val="000000" w:themeColor="text1"/>
                <w:sz w:val="24"/>
                <w:highlight w:val="none"/>
                <w:u w:val="none"/>
              </w:rPr>
              <w:t>、环境风险分析</w:t>
            </w:r>
          </w:p>
          <w:p>
            <w:pPr>
              <w:adjustRightInd w:val="0"/>
              <w:snapToGrid w:val="0"/>
              <w:spacing w:line="360" w:lineRule="auto"/>
              <w:ind w:firstLine="480" w:firstLineChars="200"/>
              <w:rPr>
                <w:bCs/>
                <w:color w:val="000000" w:themeColor="text1"/>
                <w:sz w:val="24"/>
                <w:highlight w:val="none"/>
                <w:u w:val="none"/>
              </w:rPr>
            </w:pPr>
            <w:r>
              <w:rPr>
                <w:bCs/>
                <w:color w:val="000000" w:themeColor="text1"/>
                <w:sz w:val="24"/>
                <w:highlight w:val="none"/>
                <w:u w:val="none"/>
              </w:rPr>
              <w:t>由于项目使用化学品数量较少，可及时收集全部泄漏物，并转移到空置的容器内；或是可及时用抹布或专用醮布进行擦洗，不会引起大气环境污染。当发生火灾或爆炸时，会对整栋楼产生大的影响。但由于可燃物量小，只是小面积的影响，可及时快速处理，发生火灾爆炸的风险极小。对于有毒物质、腐蚀性物质和强氧化剂，只要进行快速收集处理，操作人员也注意事先做好防护工作，则产生较严重环境污染和人员健康损害事故的可能性很小，仅对事故区域周围近距离范围内环境空气有一定影响。</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本项目实验过程中所涉及的各类试剂均存放于室内，正常操作情况下，废液均收集于专用容器内，不会对地表水环境造成影响。若发生泄漏，由于使用量少，并且实验室采用耐腐蚀地面；如及时采取有效措施进行清理，不随意冲洗地面，泄漏物质不会对周边水体和土壤造成影响。</w:t>
            </w:r>
          </w:p>
          <w:p>
            <w:pPr>
              <w:pStyle w:val="2"/>
              <w:adjustRightInd w:val="0"/>
              <w:snapToGrid w:val="0"/>
              <w:spacing w:line="360" w:lineRule="auto"/>
              <w:ind w:firstLine="480"/>
              <w:rPr>
                <w:color w:val="000000" w:themeColor="text1"/>
                <w:highlight w:val="none"/>
                <w:u w:val="none"/>
              </w:rPr>
            </w:pPr>
            <w:r>
              <w:rPr>
                <w:rFonts w:hint="eastAsia"/>
                <w:color w:val="000000" w:themeColor="text1"/>
                <w:highlight w:val="none"/>
                <w:u w:val="none"/>
              </w:rPr>
              <w:t>6</w:t>
            </w:r>
            <w:r>
              <w:rPr>
                <w:color w:val="000000" w:themeColor="text1"/>
                <w:highlight w:val="none"/>
                <w:u w:val="none"/>
              </w:rPr>
              <w:t>、风险防范措施分析</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泄漏是本项目环境风险的主要事故源，预防试剂泄漏的主要措施为：</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a．严格按照相关设计规范和要求落实防护设施，制定安全操作规章制度，加强安全意识教育，加强监督管理，消除事故隐患。</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b．各类液体危险化学品应包装完好无损，不同化学品之间应隔开存放。</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c．配备大容量的槽筒或置换桶，液体化学品发生泄漏时可以安全转移。</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d．设专人管理化学品，加强巡视检查，建立系统规范的评估、审批、作业、监护、救援、应急程序、事故报告等管理制度。</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e．实验室制订安全和风险防范规程，禁止牌，警示牌等</w:t>
            </w:r>
            <w:r>
              <w:rPr>
                <w:rFonts w:hint="eastAsia"/>
                <w:color w:val="000000" w:themeColor="text1"/>
                <w:highlight w:val="none"/>
                <w:u w:val="none"/>
              </w:rPr>
              <w:t>。</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f．实验室所需试剂种类较多(暂存量相对较小)，分类存放，保持一定的通风条件，并配备相应消防设施（如灭火器等）。</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③风险应急预案</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为了有效的处理风险事故，应有切实可行的处理措施。项目风险事故应急措施包括设备器材、事故现场指挥、救护、通讯等系统的建立、现场应急措施方案、事故危害监测队伍、现场撤离和善后措施方案等。</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a.设立报警、通讯系统以及事故处理领导体系：明确职责，并落实有关人员。</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b.制定有效处理事故的应急行动方案，并得到有关部门的认可，能与有关部门有效配合。</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c.制定控制和减少事故影响范围以及补救行动的实施计划。</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d.对事故现场管理以及事故处置全过程的监督，应由事故处置人员或有关部门工作人员承担。</w:t>
            </w:r>
          </w:p>
          <w:p>
            <w:pPr>
              <w:pStyle w:val="2"/>
              <w:adjustRightInd w:val="0"/>
              <w:snapToGrid w:val="0"/>
              <w:spacing w:line="360" w:lineRule="auto"/>
              <w:ind w:firstLine="480"/>
              <w:rPr>
                <w:rFonts w:hint="eastAsia"/>
                <w:color w:val="000000" w:themeColor="text1"/>
                <w:highlight w:val="none"/>
                <w:u w:val="none"/>
                <w:lang w:eastAsia="zh-CN"/>
              </w:rPr>
            </w:pPr>
            <w:r>
              <w:rPr>
                <w:color w:val="000000" w:themeColor="text1"/>
                <w:highlight w:val="none"/>
                <w:u w:val="none"/>
              </w:rPr>
              <w:t>一般情况下，本项目发生上述风险事故几率较小，为进一步减少风险产生的几率，避免风险情况的出现，实验室应加强风险管理，提高风险防范意识，制定应急预案及预防员工中毒相关预案，减轻风险情况造成的危害程度。本项目的实验大多数是以克级及毫升实验为主，试剂使用量小，本身不需大量储存，风险发生概率低，项目所涉及的危险化学品未构成重大危险源</w:t>
            </w:r>
            <w:r>
              <w:rPr>
                <w:rFonts w:hint="eastAsia"/>
                <w:color w:val="000000" w:themeColor="text1"/>
                <w:highlight w:val="none"/>
                <w:u w:val="none"/>
                <w:lang w:eastAsia="zh-CN"/>
              </w:rPr>
              <w:t>。</w:t>
            </w:r>
          </w:p>
          <w:p>
            <w:pPr>
              <w:pStyle w:val="2"/>
              <w:adjustRightInd w:val="0"/>
              <w:snapToGrid w:val="0"/>
              <w:spacing w:line="360" w:lineRule="auto"/>
              <w:ind w:firstLine="480"/>
              <w:rPr>
                <w:rFonts w:hint="eastAsia" w:eastAsia="宋体"/>
                <w:color w:val="000000" w:themeColor="text1"/>
                <w:highlight w:val="none"/>
                <w:u w:val="single"/>
                <w:lang w:eastAsia="zh-CN"/>
              </w:rPr>
            </w:pPr>
            <w:r>
              <w:rPr>
                <w:rFonts w:hint="eastAsia"/>
                <w:color w:val="000000" w:themeColor="text1"/>
                <w:highlight w:val="none"/>
                <w:u w:val="single"/>
              </w:rPr>
              <w:t>火灾</w:t>
            </w:r>
            <w:r>
              <w:rPr>
                <w:rFonts w:hint="eastAsia"/>
                <w:color w:val="000000" w:themeColor="text1"/>
                <w:highlight w:val="none"/>
                <w:u w:val="single"/>
                <w:lang w:val="en-US" w:eastAsia="zh-CN"/>
              </w:rPr>
              <w:t>环境</w:t>
            </w:r>
            <w:r>
              <w:rPr>
                <w:rFonts w:hint="eastAsia"/>
                <w:color w:val="000000" w:themeColor="text1"/>
                <w:highlight w:val="none"/>
                <w:u w:val="single"/>
              </w:rPr>
              <w:t>风险防范措施</w:t>
            </w:r>
            <w:r>
              <w:rPr>
                <w:rFonts w:hint="eastAsia"/>
                <w:color w:val="000000" w:themeColor="text1"/>
                <w:highlight w:val="none"/>
                <w:u w:val="single"/>
                <w:lang w:eastAsia="zh-CN"/>
              </w:rPr>
              <w:t>：</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①防火措施</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1)</w:t>
            </w:r>
            <w:r>
              <w:rPr>
                <w:rFonts w:hint="eastAsia"/>
                <w:color w:val="000000" w:themeColor="text1"/>
                <w:highlight w:val="none"/>
                <w:u w:val="single"/>
                <w:lang w:val="en-US" w:eastAsia="zh-CN"/>
              </w:rPr>
              <w:t>实验室</w:t>
            </w:r>
            <w:r>
              <w:rPr>
                <w:rFonts w:hint="eastAsia"/>
                <w:color w:val="000000" w:themeColor="text1"/>
                <w:highlight w:val="none"/>
                <w:u w:val="single"/>
              </w:rPr>
              <w:t>及仓库设置自动温感、烟感报警系统，当火灾发生时，系统自动报警，自动气体灭火系统启动，能够及时扑灭火灾。</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2)加强管理，防止因管理不善而导致实验室或仓库火灾：每天对车间设备，特别是加热设备、电器设备等进行检查，防止因为设备故障而引起火灾；对生产车间的员工进行上岗培训，使其了解生产作业中应该注意的具体事项，特别是不允许抽烟。</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3)加强安全生产教育，强化管理</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安全生产是企业</w:t>
            </w:r>
            <w:r>
              <w:rPr>
                <w:rFonts w:hint="eastAsia"/>
                <w:color w:val="000000" w:themeColor="text1"/>
                <w:highlight w:val="none"/>
                <w:u w:val="single"/>
                <w:lang w:val="en-US" w:eastAsia="zh-CN"/>
              </w:rPr>
              <w:t>运营</w:t>
            </w:r>
            <w:r>
              <w:rPr>
                <w:rFonts w:hint="eastAsia"/>
                <w:color w:val="000000" w:themeColor="text1"/>
                <w:highlight w:val="none"/>
                <w:u w:val="single"/>
              </w:rPr>
              <w:t>之本，强化风险意识、加强安全管理，具体要求如下：</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必须将“安全第一，以防为主”作为企业经营的基本原则；</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4)必须进行广泛系统的培训，使所有操作人员熟悉自己的岗位，树立严谨规范的操作作风，并且在任何紧急状况下都能随时对工艺装置进行控制，并及时、独立、正确地实施相关应急措施。</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5)对公司职工进行消防培训，当事故发生后能在最短时间内集合，在佩带上相应的防护设备后，随同厂内技术人员进入泄漏地点。当情况比较严重时，应在组织自救的同时，通知厂外消防队，启动外界应急救援计划。</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6)加强公司职员的安全意识，在生产区和仓库区内禁止明火、设置严禁烟火标志，严禁在厂区吸烟，防止因明火导致厂区火灾、爆炸。</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7)生产单元、仓库内应设置火灾报警信号系统，一旦发生明火，立即启动报警装置。</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8)安排专人负责全厂的安全管理，设置专职安全员。</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9)按照《劳动法》有关规定，为职工提供劳动安全卫生条件和劳动防护用品。</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lang w:val="en-US" w:eastAsia="zh-CN"/>
              </w:rPr>
              <w:t>火灾</w:t>
            </w:r>
            <w:r>
              <w:rPr>
                <w:rFonts w:hint="eastAsia"/>
                <w:color w:val="000000" w:themeColor="text1"/>
                <w:highlight w:val="none"/>
                <w:u w:val="single"/>
              </w:rPr>
              <w:t>应急措施</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①发生火情，第一发现人应立即采取灭火器材等进行灭火，并高声呼喊，使附近人员能够听到或协助补救，同时，通知相关人员负责拨打火警电话“119”，组织现场人员进行安全疏散。</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②如果是由于电路失火，必须先切断电源，严禁使用水或液体灭火器灭火以防触电事故发生。</w:t>
            </w:r>
          </w:p>
          <w:p>
            <w:pPr>
              <w:pStyle w:val="2"/>
              <w:adjustRightInd w:val="0"/>
              <w:snapToGrid w:val="0"/>
              <w:spacing w:line="360" w:lineRule="auto"/>
              <w:ind w:firstLine="480"/>
              <w:rPr>
                <w:rFonts w:hint="eastAsia"/>
                <w:color w:val="000000" w:themeColor="text1"/>
                <w:highlight w:val="none"/>
                <w:u w:val="single"/>
              </w:rPr>
            </w:pPr>
            <w:r>
              <w:rPr>
                <w:rFonts w:hint="eastAsia"/>
                <w:color w:val="000000" w:themeColor="text1"/>
                <w:highlight w:val="none"/>
                <w:u w:val="single"/>
              </w:rPr>
              <w:t>③火灾发生时，为防止有人被困，发生窒息伤害，应准备毛巾湿润后蒙在口、鼻上，防止有毒有害其他吸入肺中，造成窒息伤害。</w:t>
            </w:r>
          </w:p>
          <w:p>
            <w:pPr>
              <w:pStyle w:val="2"/>
              <w:adjustRightInd w:val="0"/>
              <w:snapToGrid w:val="0"/>
              <w:spacing w:line="360" w:lineRule="auto"/>
              <w:ind w:firstLine="480"/>
              <w:rPr>
                <w:color w:val="000000" w:themeColor="text1"/>
                <w:highlight w:val="none"/>
                <w:u w:val="single"/>
              </w:rPr>
            </w:pPr>
            <w:r>
              <w:rPr>
                <w:rFonts w:hint="eastAsia"/>
                <w:color w:val="000000" w:themeColor="text1"/>
                <w:highlight w:val="none"/>
                <w:u w:val="single"/>
              </w:rPr>
              <w:t>④火灾事故后，保护现场，组织抢救人员和财产，及时汇报上级</w:t>
            </w:r>
            <w:r>
              <w:rPr>
                <w:color w:val="000000" w:themeColor="text1"/>
                <w:highlight w:val="none"/>
                <w:u w:val="single"/>
              </w:rPr>
              <w:t>。</w:t>
            </w:r>
          </w:p>
          <w:p>
            <w:pPr>
              <w:adjustRightInd w:val="0"/>
              <w:snapToGrid w:val="0"/>
              <w:spacing w:line="360" w:lineRule="auto"/>
              <w:ind w:firstLine="480" w:firstLineChars="200"/>
              <w:jc w:val="left"/>
              <w:rPr>
                <w:b/>
                <w:color w:val="000000" w:themeColor="text1"/>
                <w:sz w:val="24"/>
                <w:highlight w:val="none"/>
                <w:u w:val="none"/>
              </w:rPr>
            </w:pPr>
            <w:r>
              <w:rPr>
                <w:rFonts w:hint="eastAsia"/>
                <w:b/>
                <w:color w:val="000000" w:themeColor="text1"/>
                <w:sz w:val="24"/>
                <w:highlight w:val="none"/>
                <w:u w:val="none"/>
              </w:rPr>
              <w:t>六</w:t>
            </w:r>
            <w:r>
              <w:rPr>
                <w:b/>
                <w:color w:val="000000" w:themeColor="text1"/>
                <w:sz w:val="24"/>
                <w:highlight w:val="none"/>
                <w:u w:val="none"/>
              </w:rPr>
              <w:t>、项目建设可行性分析</w:t>
            </w:r>
          </w:p>
          <w:p>
            <w:pPr>
              <w:pStyle w:val="2"/>
              <w:adjustRightInd w:val="0"/>
              <w:snapToGrid w:val="0"/>
              <w:spacing w:line="360" w:lineRule="auto"/>
              <w:ind w:firstLine="480"/>
              <w:rPr>
                <w:color w:val="000000" w:themeColor="text1"/>
                <w:highlight w:val="none"/>
                <w:u w:val="none"/>
              </w:rPr>
            </w:pPr>
            <w:r>
              <w:rPr>
                <w:color w:val="000000" w:themeColor="text1"/>
                <w:highlight w:val="none"/>
                <w:u w:val="none"/>
              </w:rPr>
              <w:t>（1）产业政策符合性分析</w:t>
            </w:r>
          </w:p>
          <w:p>
            <w:pPr>
              <w:pStyle w:val="2"/>
              <w:adjustRightInd w:val="0"/>
              <w:snapToGrid w:val="0"/>
              <w:spacing w:line="360" w:lineRule="auto"/>
              <w:ind w:firstLine="480"/>
              <w:rPr>
                <w:color w:val="000000" w:themeColor="text1"/>
                <w:highlight w:val="none"/>
              </w:rPr>
            </w:pPr>
            <w:r>
              <w:rPr>
                <w:color w:val="000000" w:themeColor="text1"/>
                <w:highlight w:val="none"/>
              </w:rPr>
              <w:t>根据中华人民共和国国家发展和改革委员会制定的《产业结构调整指导目录（201</w:t>
            </w:r>
            <w:r>
              <w:rPr>
                <w:rFonts w:hint="eastAsia"/>
                <w:color w:val="000000" w:themeColor="text1"/>
                <w:highlight w:val="none"/>
                <w:lang w:val="en-US" w:eastAsia="zh-CN"/>
              </w:rPr>
              <w:t>9</w:t>
            </w:r>
            <w:r>
              <w:rPr>
                <w:color w:val="000000" w:themeColor="text1"/>
                <w:highlight w:val="none"/>
              </w:rPr>
              <w:t>年本）》，本项目建设属于鼓励类项目。因此，本项目建设符合国家产业政策的要求。</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color w:val="000000" w:themeColor="text1"/>
                <w:highlight w:val="none"/>
              </w:rPr>
            </w:pPr>
            <w:r>
              <w:rPr>
                <w:rFonts w:hint="eastAsia"/>
                <w:color w:val="000000" w:themeColor="text1"/>
                <w:highlight w:val="none"/>
                <w:lang w:val="en-US" w:eastAsia="zh-CN"/>
              </w:rPr>
              <w:t>（2）</w:t>
            </w:r>
            <w:r>
              <w:rPr>
                <w:color w:val="000000" w:themeColor="text1"/>
                <w:highlight w:val="none"/>
              </w:rPr>
              <w:t>项目选址的合理性分析</w:t>
            </w:r>
          </w:p>
          <w:p>
            <w:pPr>
              <w:pStyle w:val="2"/>
              <w:adjustRightInd w:val="0"/>
              <w:snapToGrid w:val="0"/>
              <w:spacing w:line="360" w:lineRule="auto"/>
              <w:ind w:firstLine="480"/>
              <w:rPr>
                <w:rFonts w:hint="eastAsia"/>
                <w:color w:val="000000" w:themeColor="text1"/>
                <w:highlight w:val="none"/>
              </w:rPr>
            </w:pPr>
            <w:r>
              <w:rPr>
                <w:rFonts w:hint="eastAsia"/>
                <w:color w:val="000000" w:themeColor="text1"/>
                <w:highlight w:val="none"/>
              </w:rPr>
              <w:t>本项目位于湖南奇思环保设备制造有限公司内，项目用地属于工业用地。本项目为检测服务项目，其建设符合土地利用规划、《湘阴县城市总体规划》。</w:t>
            </w:r>
          </w:p>
          <w:p>
            <w:pPr>
              <w:pStyle w:val="2"/>
              <w:adjustRightInd w:val="0"/>
              <w:snapToGrid w:val="0"/>
              <w:spacing w:line="360" w:lineRule="auto"/>
              <w:ind w:firstLine="480"/>
              <w:rPr>
                <w:rFonts w:hint="eastAsia"/>
                <w:color w:val="000000" w:themeColor="text1"/>
                <w:highlight w:val="none"/>
              </w:rPr>
            </w:pPr>
            <w:r>
              <w:rPr>
                <w:rFonts w:hint="eastAsia"/>
                <w:color w:val="000000" w:themeColor="text1"/>
                <w:highlight w:val="none"/>
              </w:rPr>
              <w:t>项目运营过程中产生的污废水、废气及固废垃圾等在严格按照本报告提出的措施要求治理后，污染物排放对环境的影响在可接受范围内，对周围环境影响有限，不会改变当地的环境功能。</w:t>
            </w:r>
          </w:p>
          <w:p>
            <w:pPr>
              <w:pStyle w:val="2"/>
              <w:adjustRightInd w:val="0"/>
              <w:snapToGrid w:val="0"/>
              <w:spacing w:line="360" w:lineRule="auto"/>
              <w:ind w:firstLine="480"/>
              <w:rPr>
                <w:rFonts w:hint="eastAsia"/>
                <w:color w:val="000000" w:themeColor="text1"/>
                <w:highlight w:val="none"/>
                <w:lang w:eastAsia="zh-CN"/>
              </w:rPr>
            </w:pPr>
            <w:r>
              <w:rPr>
                <w:rFonts w:hint="eastAsia"/>
                <w:color w:val="000000" w:themeColor="text1"/>
                <w:highlight w:val="none"/>
              </w:rPr>
              <w:t>本项目</w:t>
            </w:r>
            <w:r>
              <w:rPr>
                <w:rFonts w:hint="eastAsia"/>
                <w:color w:val="000000" w:themeColor="text1"/>
                <w:highlight w:val="none"/>
                <w:lang w:val="en-US" w:eastAsia="zh-CN"/>
              </w:rPr>
              <w:t>租赁</w:t>
            </w:r>
            <w:r>
              <w:rPr>
                <w:rFonts w:hint="eastAsia"/>
                <w:color w:val="000000" w:themeColor="text1"/>
                <w:highlight w:val="none"/>
              </w:rPr>
              <w:t>湖南奇思环保设备制造有限公司现有联合厂房进行建设，项目用地属于工业用地，符合用地规划、环境功能区规划的要求，故从环境的角度看，本项目的选址是可行的</w:t>
            </w:r>
            <w:r>
              <w:rPr>
                <w:rFonts w:hint="eastAsia"/>
                <w:color w:val="000000" w:themeColor="text1"/>
                <w:highlight w:val="none"/>
                <w:lang w:eastAsia="zh-CN"/>
              </w:rPr>
              <w:t>。</w:t>
            </w:r>
          </w:p>
          <w:p>
            <w:pPr>
              <w:pStyle w:val="2"/>
              <w:adjustRightInd w:val="0"/>
              <w:snapToGrid w:val="0"/>
              <w:spacing w:line="360" w:lineRule="auto"/>
              <w:ind w:firstLine="480"/>
              <w:rPr>
                <w:rFonts w:hint="eastAsia"/>
                <w:color w:val="000000" w:themeColor="text1"/>
                <w:highlight w:val="none"/>
              </w:rPr>
            </w:pPr>
            <w:r>
              <w:rPr>
                <w:rFonts w:hint="eastAsia"/>
                <w:color w:val="000000" w:themeColor="text1"/>
                <w:highlight w:val="none"/>
              </w:rPr>
              <w:t>（3）与金龙新区工业区产业定位符合性分析</w:t>
            </w:r>
          </w:p>
          <w:p>
            <w:pPr>
              <w:pStyle w:val="2"/>
              <w:adjustRightInd w:val="0"/>
              <w:snapToGrid w:val="0"/>
              <w:spacing w:line="360" w:lineRule="auto"/>
              <w:ind w:firstLine="480"/>
              <w:rPr>
                <w:color w:val="000000" w:themeColor="text1"/>
                <w:highlight w:val="none"/>
              </w:rPr>
            </w:pPr>
            <w:r>
              <w:rPr>
                <w:rFonts w:hint="eastAsia"/>
                <w:color w:val="000000" w:themeColor="text1"/>
                <w:highlight w:val="none"/>
              </w:rPr>
              <w:t>项目位于湖南奇思环保设备制造有限公司</w:t>
            </w:r>
            <w:r>
              <w:rPr>
                <w:rFonts w:hint="eastAsia"/>
                <w:color w:val="000000" w:themeColor="text1"/>
                <w:highlight w:val="none"/>
                <w:lang w:val="en-US" w:eastAsia="zh-CN"/>
              </w:rPr>
              <w:t>内</w:t>
            </w:r>
            <w:r>
              <w:rPr>
                <w:rFonts w:hint="eastAsia"/>
                <w:color w:val="000000" w:themeColor="text1"/>
                <w:highlight w:val="none"/>
              </w:rPr>
              <w:t>，属于金龙新区工业区、土地为工业用地，根据《湘阴县金龙镇金龙新区规划环境影响报告书》，金龙新区工业区定位为先进机械制造和光伏电子信息的“两型”产业，本项目为检测服务</w:t>
            </w:r>
            <w:r>
              <w:rPr>
                <w:rFonts w:hint="eastAsia"/>
                <w:color w:val="000000" w:themeColor="text1"/>
                <w:highlight w:val="none"/>
                <w:lang w:val="en-US" w:eastAsia="zh-CN"/>
              </w:rPr>
              <w:t>类别</w:t>
            </w:r>
            <w:r>
              <w:rPr>
                <w:rFonts w:hint="eastAsia"/>
                <w:color w:val="000000" w:themeColor="text1"/>
                <w:highlight w:val="none"/>
              </w:rPr>
              <w:t>，</w:t>
            </w:r>
            <w:r>
              <w:rPr>
                <w:rFonts w:hint="eastAsia"/>
                <w:color w:val="000000" w:themeColor="text1"/>
                <w:highlight w:val="none"/>
                <w:lang w:val="en-US" w:eastAsia="zh-CN"/>
              </w:rPr>
              <w:t>可有效的为工业园区的生产型企业做检测类服务</w:t>
            </w:r>
            <w:r>
              <w:rPr>
                <w:rFonts w:hint="eastAsia"/>
                <w:color w:val="000000" w:themeColor="text1"/>
                <w:highlight w:val="none"/>
              </w:rPr>
              <w:t>，符合金龙新区工业区产业定位、土地利用规划</w:t>
            </w:r>
            <w:r>
              <w:rPr>
                <w:color w:val="000000" w:themeColor="text1"/>
                <w:highlight w:val="none"/>
              </w:rPr>
              <w:t>。</w:t>
            </w:r>
          </w:p>
          <w:p>
            <w:pPr>
              <w:adjustRightInd w:val="0"/>
              <w:snapToGrid w:val="0"/>
              <w:spacing w:line="360" w:lineRule="auto"/>
              <w:ind w:firstLine="480" w:firstLineChars="200"/>
              <w:jc w:val="left"/>
              <w:rPr>
                <w:b/>
                <w:color w:val="000000" w:themeColor="text1"/>
                <w:sz w:val="24"/>
                <w:highlight w:val="none"/>
              </w:rPr>
            </w:pPr>
            <w:r>
              <w:rPr>
                <w:rFonts w:hint="eastAsia"/>
                <w:b/>
                <w:color w:val="000000" w:themeColor="text1"/>
                <w:sz w:val="24"/>
                <w:highlight w:val="none"/>
              </w:rPr>
              <w:t>七、环境管理计划与监测计划</w:t>
            </w:r>
          </w:p>
          <w:p>
            <w:pPr>
              <w:pStyle w:val="2"/>
              <w:adjustRightInd w:val="0"/>
              <w:snapToGrid w:val="0"/>
              <w:spacing w:line="360" w:lineRule="auto"/>
              <w:ind w:firstLine="480"/>
              <w:rPr>
                <w:color w:val="000000" w:themeColor="text1"/>
                <w:highlight w:val="none"/>
              </w:rPr>
            </w:pPr>
            <w:r>
              <w:rPr>
                <w:color w:val="000000" w:themeColor="text1"/>
                <w:highlight w:val="none"/>
              </w:rPr>
              <w:t>（1）环境管理计划</w:t>
            </w:r>
          </w:p>
          <w:p>
            <w:pPr>
              <w:pStyle w:val="2"/>
              <w:adjustRightInd w:val="0"/>
              <w:snapToGrid w:val="0"/>
              <w:spacing w:line="360" w:lineRule="auto"/>
              <w:ind w:firstLine="480"/>
              <w:rPr>
                <w:color w:val="000000" w:themeColor="text1"/>
                <w:highlight w:val="none"/>
              </w:rPr>
            </w:pPr>
            <w:r>
              <w:rPr>
                <w:color w:val="000000" w:themeColor="text1"/>
                <w:highlight w:val="none"/>
              </w:rPr>
              <w:t>①环境保护管理机构</w:t>
            </w:r>
          </w:p>
          <w:p>
            <w:pPr>
              <w:pStyle w:val="2"/>
              <w:adjustRightInd w:val="0"/>
              <w:snapToGrid w:val="0"/>
              <w:spacing w:line="360" w:lineRule="auto"/>
              <w:ind w:firstLine="480"/>
              <w:rPr>
                <w:color w:val="000000" w:themeColor="text1"/>
                <w:highlight w:val="none"/>
              </w:rPr>
            </w:pPr>
            <w:r>
              <w:rPr>
                <w:color w:val="000000" w:themeColor="text1"/>
                <w:highlight w:val="none"/>
              </w:rPr>
              <w:t>项目应设专职环保人员1人，主要承担项目的环保管理、污染治理、污染源监测</w:t>
            </w:r>
            <w:r>
              <w:rPr>
                <w:rFonts w:hint="eastAsia"/>
                <w:color w:val="000000" w:themeColor="text1"/>
                <w:highlight w:val="none"/>
              </w:rPr>
              <w:t>、</w:t>
            </w:r>
            <w:r>
              <w:rPr>
                <w:color w:val="000000" w:themeColor="text1"/>
                <w:highlight w:val="none"/>
              </w:rPr>
              <w:t>环保规划、环保宣传、对外协调环保工作等。</w:t>
            </w:r>
          </w:p>
          <w:p>
            <w:pPr>
              <w:pStyle w:val="2"/>
              <w:adjustRightInd w:val="0"/>
              <w:snapToGrid w:val="0"/>
              <w:spacing w:line="360" w:lineRule="auto"/>
              <w:ind w:firstLine="480"/>
              <w:rPr>
                <w:color w:val="000000" w:themeColor="text1"/>
                <w:highlight w:val="none"/>
              </w:rPr>
            </w:pPr>
            <w:r>
              <w:rPr>
                <w:color w:val="000000" w:themeColor="text1"/>
                <w:highlight w:val="none"/>
              </w:rPr>
              <w:t>②运营期环境管理计划</w:t>
            </w:r>
          </w:p>
          <w:p>
            <w:pPr>
              <w:pStyle w:val="2"/>
              <w:adjustRightInd w:val="0"/>
              <w:snapToGrid w:val="0"/>
              <w:spacing w:line="360" w:lineRule="auto"/>
              <w:ind w:firstLine="480"/>
              <w:rPr>
                <w:color w:val="000000" w:themeColor="text1"/>
                <w:highlight w:val="none"/>
              </w:rPr>
            </w:pPr>
            <w:r>
              <w:rPr>
                <w:color w:val="000000" w:themeColor="text1"/>
                <w:highlight w:val="none"/>
              </w:rPr>
              <w:t>a.组织实施环境监测和环保工作计划。</w:t>
            </w:r>
          </w:p>
          <w:p>
            <w:pPr>
              <w:pStyle w:val="2"/>
              <w:adjustRightInd w:val="0"/>
              <w:snapToGrid w:val="0"/>
              <w:spacing w:line="360" w:lineRule="auto"/>
              <w:ind w:firstLine="480"/>
              <w:rPr>
                <w:color w:val="000000" w:themeColor="text1"/>
                <w:highlight w:val="none"/>
              </w:rPr>
            </w:pPr>
            <w:r>
              <w:rPr>
                <w:color w:val="000000" w:themeColor="text1"/>
                <w:highlight w:val="none"/>
              </w:rPr>
              <w:t>b.环保设施的运行管理，保证其正常运行；掌握运行过程中存在的问题，及时提出解决办法和改进措施，监督检查环保设施的日常维护工作。</w:t>
            </w:r>
          </w:p>
          <w:p>
            <w:pPr>
              <w:pStyle w:val="2"/>
              <w:adjustRightInd w:val="0"/>
              <w:snapToGrid w:val="0"/>
              <w:spacing w:line="360" w:lineRule="auto"/>
              <w:ind w:firstLine="480"/>
              <w:rPr>
                <w:color w:val="000000" w:themeColor="text1"/>
                <w:highlight w:val="none"/>
              </w:rPr>
            </w:pPr>
            <w:r>
              <w:rPr>
                <w:color w:val="000000" w:themeColor="text1"/>
                <w:highlight w:val="none"/>
              </w:rPr>
              <w:t>c.建立健全污染源档案工作、环保统计工作，建立本项目环保设施运行状况、污染物排放情况的逐月记录工作。</w:t>
            </w:r>
          </w:p>
          <w:p>
            <w:pPr>
              <w:pStyle w:val="2"/>
              <w:adjustRightInd w:val="0"/>
              <w:snapToGrid w:val="0"/>
              <w:spacing w:line="360" w:lineRule="auto"/>
              <w:ind w:firstLine="480"/>
              <w:rPr>
                <w:color w:val="000000" w:themeColor="text1"/>
                <w:highlight w:val="none"/>
              </w:rPr>
            </w:pPr>
            <w:r>
              <w:rPr>
                <w:color w:val="000000" w:themeColor="text1"/>
                <w:highlight w:val="none"/>
              </w:rPr>
              <w:t>d.按照公司环保管理监测计划，配合有资质的检测单位完成对本项目“三废”污染源监测或环境监测。</w:t>
            </w:r>
          </w:p>
          <w:p>
            <w:pPr>
              <w:pStyle w:val="2"/>
              <w:adjustRightInd w:val="0"/>
              <w:snapToGrid w:val="0"/>
              <w:spacing w:line="360" w:lineRule="auto"/>
              <w:ind w:firstLine="480"/>
              <w:rPr>
                <w:color w:val="000000" w:themeColor="text1"/>
                <w:highlight w:val="none"/>
              </w:rPr>
            </w:pPr>
            <w:r>
              <w:rPr>
                <w:color w:val="000000" w:themeColor="text1"/>
                <w:highlight w:val="none"/>
              </w:rPr>
              <w:t>e.根据本实验室情况制定严格的操作规程和防火、防盗管理制度，并要求实验室严格执行。</w:t>
            </w:r>
          </w:p>
          <w:p>
            <w:pPr>
              <w:pStyle w:val="2"/>
              <w:adjustRightInd w:val="0"/>
              <w:snapToGrid w:val="0"/>
              <w:spacing w:line="360" w:lineRule="auto"/>
              <w:ind w:firstLine="480"/>
              <w:rPr>
                <w:color w:val="000000" w:themeColor="text1"/>
                <w:highlight w:val="none"/>
              </w:rPr>
            </w:pPr>
            <w:r>
              <w:rPr>
                <w:color w:val="000000" w:themeColor="text1"/>
                <w:highlight w:val="none"/>
              </w:rPr>
              <w:t>f.加强管理，实验过程中产生的废液应该按照规定收集、处置，禁止将废溶剂、反应废液直接向下水道倾倒。</w:t>
            </w:r>
          </w:p>
          <w:p>
            <w:pPr>
              <w:pStyle w:val="2"/>
              <w:adjustRightInd w:val="0"/>
              <w:snapToGrid w:val="0"/>
              <w:spacing w:line="360" w:lineRule="auto"/>
              <w:ind w:firstLine="480"/>
              <w:rPr>
                <w:color w:val="000000" w:themeColor="text1"/>
                <w:highlight w:val="none"/>
              </w:rPr>
            </w:pPr>
            <w:r>
              <w:rPr>
                <w:color w:val="000000" w:themeColor="text1"/>
                <w:highlight w:val="none"/>
              </w:rPr>
              <w:t>g.负责处理污染事故，对事故排放应采取应急措施，防止事故影响扩大。对污染事故发生原因、事故责任、事故后果进行调查，并及时上报公司。接受和配合地方环保部门对污染事故的调查和处理。</w:t>
            </w:r>
          </w:p>
          <w:p>
            <w:pPr>
              <w:pStyle w:val="2"/>
              <w:adjustRightInd w:val="0"/>
              <w:snapToGrid w:val="0"/>
              <w:spacing w:line="360" w:lineRule="auto"/>
              <w:ind w:firstLine="480"/>
              <w:rPr>
                <w:color w:val="000000" w:themeColor="text1"/>
                <w:highlight w:val="none"/>
              </w:rPr>
            </w:pPr>
            <w:r>
              <w:rPr>
                <w:color w:val="000000" w:themeColor="text1"/>
                <w:highlight w:val="none"/>
              </w:rPr>
              <w:t>（2）环境监测</w:t>
            </w:r>
          </w:p>
          <w:p>
            <w:pPr>
              <w:pStyle w:val="2"/>
              <w:adjustRightInd w:val="0"/>
              <w:snapToGrid w:val="0"/>
              <w:spacing w:line="360" w:lineRule="auto"/>
              <w:ind w:firstLine="480"/>
              <w:rPr>
                <w:color w:val="000000" w:themeColor="text1"/>
                <w:highlight w:val="none"/>
              </w:rPr>
            </w:pPr>
            <w:r>
              <w:rPr>
                <w:color w:val="000000" w:themeColor="text1"/>
                <w:highlight w:val="none"/>
              </w:rPr>
              <w:t>环境监测的目的在于及时掌握企业的排污情况，了解环境污染动态变化，以便积极采取防治措施，严格控制污染物排放量，减小因生产产生的污染对环境的影响。具体监测计划见下表所示。</w:t>
            </w:r>
          </w:p>
          <w:p>
            <w:pPr>
              <w:widowControl/>
              <w:adjustRightInd w:val="0"/>
              <w:snapToGrid w:val="0"/>
              <w:jc w:val="center"/>
              <w:rPr>
                <w:b/>
                <w:bCs/>
                <w:color w:val="000000" w:themeColor="text1"/>
                <w:kern w:val="0"/>
                <w:sz w:val="21"/>
                <w:szCs w:val="21"/>
                <w:highlight w:val="none"/>
              </w:rPr>
            </w:pPr>
            <w:r>
              <w:rPr>
                <w:b/>
                <w:bCs/>
                <w:color w:val="000000" w:themeColor="text1"/>
                <w:kern w:val="0"/>
                <w:sz w:val="21"/>
                <w:szCs w:val="21"/>
                <w:highlight w:val="none"/>
              </w:rPr>
              <w:t>表7-</w:t>
            </w:r>
            <w:r>
              <w:rPr>
                <w:rFonts w:hint="eastAsia"/>
                <w:b/>
                <w:bCs/>
                <w:color w:val="000000" w:themeColor="text1"/>
                <w:kern w:val="0"/>
                <w:sz w:val="21"/>
                <w:szCs w:val="21"/>
                <w:highlight w:val="none"/>
              </w:rPr>
              <w:t>8</w:t>
            </w:r>
            <w:r>
              <w:rPr>
                <w:b/>
                <w:bCs/>
                <w:color w:val="000000" w:themeColor="text1"/>
                <w:kern w:val="0"/>
                <w:sz w:val="21"/>
                <w:szCs w:val="21"/>
                <w:highlight w:val="none"/>
              </w:rPr>
              <w:t xml:space="preserve"> 监测计划表</w:t>
            </w:r>
          </w:p>
          <w:tbl>
            <w:tblPr>
              <w:tblStyle w:val="34"/>
              <w:tblW w:w="87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5"/>
              <w:gridCol w:w="2367"/>
              <w:gridCol w:w="2704"/>
              <w:gridCol w:w="1276"/>
              <w:gridCol w:w="1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815"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项目</w:t>
                  </w:r>
                </w:p>
              </w:tc>
              <w:tc>
                <w:tcPr>
                  <w:tcW w:w="2367"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监测点位</w:t>
                  </w:r>
                </w:p>
              </w:tc>
              <w:tc>
                <w:tcPr>
                  <w:tcW w:w="2704"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监测因子</w:t>
                  </w:r>
                </w:p>
              </w:tc>
              <w:tc>
                <w:tcPr>
                  <w:tcW w:w="1276"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频次</w:t>
                  </w:r>
                </w:p>
              </w:tc>
              <w:tc>
                <w:tcPr>
                  <w:tcW w:w="1575"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8" w:hRule="atLeast"/>
                <w:tblHeader/>
                <w:jc w:val="center"/>
              </w:trPr>
              <w:tc>
                <w:tcPr>
                  <w:tcW w:w="815" w:type="dxa"/>
                  <w:vAlign w:val="center"/>
                </w:tcPr>
                <w:p>
                  <w:pPr>
                    <w:adjustRightInd w:val="0"/>
                    <w:snapToGrid w:val="0"/>
                    <w:jc w:val="center"/>
                    <w:rPr>
                      <w:color w:val="000000" w:themeColor="text1"/>
                      <w:sz w:val="21"/>
                      <w:szCs w:val="21"/>
                      <w:highlight w:val="none"/>
                    </w:rPr>
                  </w:pPr>
                  <w:r>
                    <w:rPr>
                      <w:rFonts w:hint="eastAsia"/>
                      <w:color w:val="000000" w:themeColor="text1"/>
                      <w:sz w:val="21"/>
                      <w:szCs w:val="21"/>
                      <w:highlight w:val="none"/>
                    </w:rPr>
                    <w:t>废气</w:t>
                  </w:r>
                </w:p>
              </w:tc>
              <w:tc>
                <w:tcPr>
                  <w:tcW w:w="2367" w:type="dxa"/>
                  <w:vAlign w:val="center"/>
                </w:tcPr>
                <w:p>
                  <w:pPr>
                    <w:adjustRightInd w:val="0"/>
                    <w:snapToGrid w:val="0"/>
                    <w:jc w:val="center"/>
                    <w:rPr>
                      <w:color w:val="000000" w:themeColor="text1"/>
                      <w:sz w:val="21"/>
                      <w:szCs w:val="21"/>
                      <w:highlight w:val="none"/>
                    </w:rPr>
                  </w:pPr>
                  <w:r>
                    <w:rPr>
                      <w:rFonts w:hint="eastAsia"/>
                      <w:color w:val="000000" w:themeColor="text1"/>
                      <w:sz w:val="21"/>
                      <w:szCs w:val="21"/>
                      <w:highlight w:val="none"/>
                    </w:rPr>
                    <w:t>废气</w:t>
                  </w:r>
                  <w:r>
                    <w:rPr>
                      <w:color w:val="000000" w:themeColor="text1"/>
                      <w:sz w:val="21"/>
                      <w:szCs w:val="21"/>
                      <w:highlight w:val="none"/>
                    </w:rPr>
                    <w:t>处理设施出口</w:t>
                  </w:r>
                </w:p>
              </w:tc>
              <w:tc>
                <w:tcPr>
                  <w:tcW w:w="2704"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硫酸雾、</w:t>
                  </w:r>
                  <w:r>
                    <w:rPr>
                      <w:rFonts w:hint="eastAsia"/>
                      <w:color w:val="000000" w:themeColor="text1"/>
                      <w:sz w:val="21"/>
                      <w:szCs w:val="21"/>
                      <w:highlight w:val="none"/>
                    </w:rPr>
                    <w:t>盐酸雾、硝酸雾</w:t>
                  </w:r>
                </w:p>
              </w:tc>
              <w:tc>
                <w:tcPr>
                  <w:tcW w:w="1276" w:type="dxa"/>
                  <w:vAlign w:val="center"/>
                </w:tcPr>
                <w:p>
                  <w:pPr>
                    <w:adjustRightInd w:val="0"/>
                    <w:snapToGrid w:val="0"/>
                    <w:jc w:val="center"/>
                    <w:rPr>
                      <w:rFonts w:hint="default" w:eastAsia="宋体"/>
                      <w:color w:val="000000" w:themeColor="text1"/>
                      <w:sz w:val="21"/>
                      <w:szCs w:val="21"/>
                      <w:highlight w:val="none"/>
                      <w:lang w:val="en-US" w:eastAsia="zh-CN"/>
                    </w:rPr>
                  </w:pPr>
                  <w:r>
                    <w:rPr>
                      <w:rFonts w:hint="eastAsia"/>
                      <w:color w:val="000000" w:themeColor="text1"/>
                      <w:sz w:val="21"/>
                      <w:szCs w:val="21"/>
                      <w:highlight w:val="none"/>
                      <w:lang w:val="en-US" w:eastAsia="zh-CN"/>
                    </w:rPr>
                    <w:t>1次/年</w:t>
                  </w:r>
                </w:p>
              </w:tc>
              <w:tc>
                <w:tcPr>
                  <w:tcW w:w="1575" w:type="dxa"/>
                  <w:vMerge w:val="restart"/>
                  <w:vAlign w:val="center"/>
                </w:tcPr>
                <w:p>
                  <w:pPr>
                    <w:adjustRightInd w:val="0"/>
                    <w:snapToGrid w:val="0"/>
                    <w:jc w:val="center"/>
                    <w:rPr>
                      <w:rFonts w:hint="eastAsia" w:eastAsia="宋体"/>
                      <w:color w:val="000000" w:themeColor="text1"/>
                      <w:sz w:val="21"/>
                      <w:szCs w:val="21"/>
                      <w:highlight w:val="none"/>
                      <w:lang w:eastAsia="zh-CN"/>
                    </w:rPr>
                  </w:pPr>
                  <w:r>
                    <w:rPr>
                      <w:rFonts w:hint="eastAsia"/>
                      <w:color w:val="000000" w:themeColor="text1"/>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815" w:type="dxa"/>
                  <w:vMerge w:val="restart"/>
                  <w:vAlign w:val="center"/>
                </w:tcPr>
                <w:p>
                  <w:pPr>
                    <w:adjustRightInd w:val="0"/>
                    <w:snapToGrid w:val="0"/>
                    <w:jc w:val="center"/>
                    <w:rPr>
                      <w:color w:val="000000" w:themeColor="text1"/>
                      <w:sz w:val="21"/>
                      <w:szCs w:val="21"/>
                      <w:highlight w:val="none"/>
                    </w:rPr>
                  </w:pPr>
                  <w:r>
                    <w:rPr>
                      <w:color w:val="000000" w:themeColor="text1"/>
                      <w:sz w:val="21"/>
                      <w:szCs w:val="21"/>
                      <w:highlight w:val="none"/>
                    </w:rPr>
                    <w:t>废水</w:t>
                  </w:r>
                </w:p>
              </w:tc>
              <w:tc>
                <w:tcPr>
                  <w:tcW w:w="2367" w:type="dxa"/>
                  <w:vAlign w:val="center"/>
                </w:tcPr>
                <w:p>
                  <w:pPr>
                    <w:adjustRightInd w:val="0"/>
                    <w:snapToGrid w:val="0"/>
                    <w:jc w:val="center"/>
                    <w:rPr>
                      <w:color w:val="000000" w:themeColor="text1"/>
                      <w:sz w:val="21"/>
                      <w:szCs w:val="21"/>
                      <w:highlight w:val="none"/>
                    </w:rPr>
                  </w:pPr>
                  <w:r>
                    <w:rPr>
                      <w:rFonts w:hint="eastAsia"/>
                      <w:color w:val="000000" w:themeColor="text1"/>
                      <w:sz w:val="21"/>
                      <w:szCs w:val="21"/>
                      <w:highlight w:val="none"/>
                    </w:rPr>
                    <w:t>实验室废水预处理设施排口</w:t>
                  </w:r>
                </w:p>
              </w:tc>
              <w:tc>
                <w:tcPr>
                  <w:tcW w:w="2704"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pH值、CODcr 、BOD</w:t>
                  </w:r>
                  <w:r>
                    <w:rPr>
                      <w:color w:val="000000" w:themeColor="text1"/>
                      <w:sz w:val="21"/>
                      <w:szCs w:val="21"/>
                      <w:highlight w:val="none"/>
                      <w:vertAlign w:val="subscript"/>
                    </w:rPr>
                    <w:t>5</w:t>
                  </w:r>
                  <w:r>
                    <w:rPr>
                      <w:color w:val="000000" w:themeColor="text1"/>
                      <w:sz w:val="21"/>
                      <w:szCs w:val="21"/>
                      <w:highlight w:val="none"/>
                    </w:rPr>
                    <w:t>、</w:t>
                  </w:r>
                  <w:r>
                    <w:rPr>
                      <w:rFonts w:hint="eastAsia"/>
                      <w:color w:val="000000" w:themeColor="text1"/>
                      <w:sz w:val="21"/>
                      <w:szCs w:val="21"/>
                      <w:highlight w:val="none"/>
                    </w:rPr>
                    <w:t>氨氮</w:t>
                  </w:r>
                  <w:r>
                    <w:rPr>
                      <w:color w:val="000000" w:themeColor="text1"/>
                      <w:sz w:val="21"/>
                      <w:szCs w:val="21"/>
                      <w:highlight w:val="none"/>
                    </w:rPr>
                    <w:t>、悬浮物</w:t>
                  </w:r>
                </w:p>
              </w:tc>
              <w:tc>
                <w:tcPr>
                  <w:tcW w:w="1276" w:type="dxa"/>
                  <w:vAlign w:val="center"/>
                </w:tcPr>
                <w:p>
                  <w:pPr>
                    <w:adjustRightInd w:val="0"/>
                    <w:snapToGrid w:val="0"/>
                    <w:jc w:val="center"/>
                    <w:rPr>
                      <w:color w:val="000000" w:themeColor="text1"/>
                      <w:sz w:val="21"/>
                      <w:szCs w:val="21"/>
                      <w:highlight w:val="none"/>
                    </w:rPr>
                  </w:pPr>
                  <w:r>
                    <w:rPr>
                      <w:rFonts w:hint="eastAsia"/>
                      <w:color w:val="000000" w:themeColor="text1"/>
                      <w:sz w:val="21"/>
                      <w:szCs w:val="21"/>
                      <w:highlight w:val="none"/>
                      <w:lang w:val="en-US" w:eastAsia="zh-CN"/>
                    </w:rPr>
                    <w:t>1次/年</w:t>
                  </w:r>
                </w:p>
              </w:tc>
              <w:tc>
                <w:tcPr>
                  <w:tcW w:w="1575" w:type="dxa"/>
                  <w:vMerge w:val="continue"/>
                  <w:vAlign w:val="center"/>
                </w:tcPr>
                <w:p>
                  <w:pPr>
                    <w:adjustRightInd w:val="0"/>
                    <w:snapToGrid w:val="0"/>
                    <w:jc w:val="center"/>
                    <w:rPr>
                      <w:color w:val="000000" w:themeColor="text1"/>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815" w:type="dxa"/>
                  <w:vMerge w:val="continue"/>
                  <w:vAlign w:val="center"/>
                </w:tcPr>
                <w:p>
                  <w:pPr>
                    <w:adjustRightInd w:val="0"/>
                    <w:snapToGrid w:val="0"/>
                    <w:jc w:val="center"/>
                    <w:rPr>
                      <w:color w:val="000000" w:themeColor="text1"/>
                      <w:sz w:val="21"/>
                      <w:szCs w:val="21"/>
                      <w:highlight w:val="none"/>
                    </w:rPr>
                  </w:pPr>
                </w:p>
              </w:tc>
              <w:tc>
                <w:tcPr>
                  <w:tcW w:w="2367" w:type="dxa"/>
                  <w:vAlign w:val="center"/>
                </w:tcPr>
                <w:p>
                  <w:pPr>
                    <w:adjustRightInd w:val="0"/>
                    <w:snapToGrid w:val="0"/>
                    <w:jc w:val="center"/>
                    <w:rPr>
                      <w:color w:val="000000" w:themeColor="text1"/>
                      <w:sz w:val="21"/>
                      <w:szCs w:val="21"/>
                      <w:highlight w:val="none"/>
                    </w:rPr>
                  </w:pPr>
                  <w:r>
                    <w:rPr>
                      <w:rFonts w:hint="eastAsia"/>
                      <w:color w:val="000000" w:themeColor="text1"/>
                      <w:sz w:val="21"/>
                      <w:szCs w:val="21"/>
                      <w:highlight w:val="none"/>
                    </w:rPr>
                    <w:t>化粪池排口</w:t>
                  </w:r>
                </w:p>
              </w:tc>
              <w:tc>
                <w:tcPr>
                  <w:tcW w:w="2704"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pH值、CODcr 、BOD</w:t>
                  </w:r>
                  <w:r>
                    <w:rPr>
                      <w:color w:val="000000" w:themeColor="text1"/>
                      <w:sz w:val="21"/>
                      <w:szCs w:val="21"/>
                      <w:highlight w:val="none"/>
                      <w:vertAlign w:val="subscript"/>
                    </w:rPr>
                    <w:t>5</w:t>
                  </w:r>
                  <w:r>
                    <w:rPr>
                      <w:color w:val="000000" w:themeColor="text1"/>
                      <w:sz w:val="21"/>
                      <w:szCs w:val="21"/>
                      <w:highlight w:val="none"/>
                    </w:rPr>
                    <w:t>、</w:t>
                  </w:r>
                  <w:r>
                    <w:rPr>
                      <w:rFonts w:hint="eastAsia"/>
                      <w:color w:val="000000" w:themeColor="text1"/>
                      <w:sz w:val="21"/>
                      <w:szCs w:val="21"/>
                      <w:highlight w:val="none"/>
                    </w:rPr>
                    <w:t>氨氮</w:t>
                  </w:r>
                  <w:r>
                    <w:rPr>
                      <w:color w:val="000000" w:themeColor="text1"/>
                      <w:sz w:val="21"/>
                      <w:szCs w:val="21"/>
                      <w:highlight w:val="none"/>
                    </w:rPr>
                    <w:t>、悬浮物</w:t>
                  </w:r>
                </w:p>
              </w:tc>
              <w:tc>
                <w:tcPr>
                  <w:tcW w:w="1276" w:type="dxa"/>
                  <w:vAlign w:val="center"/>
                </w:tcPr>
                <w:p>
                  <w:pPr>
                    <w:adjustRightInd w:val="0"/>
                    <w:snapToGrid w:val="0"/>
                    <w:jc w:val="center"/>
                    <w:rPr>
                      <w:color w:val="000000" w:themeColor="text1"/>
                      <w:sz w:val="21"/>
                      <w:szCs w:val="21"/>
                      <w:highlight w:val="none"/>
                    </w:rPr>
                  </w:pPr>
                  <w:r>
                    <w:rPr>
                      <w:rFonts w:hint="eastAsia"/>
                      <w:color w:val="000000" w:themeColor="text1"/>
                      <w:sz w:val="21"/>
                      <w:szCs w:val="21"/>
                      <w:highlight w:val="none"/>
                      <w:lang w:val="en-US" w:eastAsia="zh-CN"/>
                    </w:rPr>
                    <w:t>1次/年</w:t>
                  </w:r>
                </w:p>
              </w:tc>
              <w:tc>
                <w:tcPr>
                  <w:tcW w:w="1575" w:type="dxa"/>
                  <w:vMerge w:val="continue"/>
                  <w:vAlign w:val="center"/>
                </w:tcPr>
                <w:p>
                  <w:pPr>
                    <w:adjustRightInd w:val="0"/>
                    <w:snapToGrid w:val="0"/>
                    <w:jc w:val="center"/>
                    <w:rPr>
                      <w:color w:val="000000" w:themeColor="text1"/>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815"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噪声</w:t>
                  </w:r>
                </w:p>
              </w:tc>
              <w:tc>
                <w:tcPr>
                  <w:tcW w:w="2367"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厂界四周</w:t>
                  </w:r>
                </w:p>
              </w:tc>
              <w:tc>
                <w:tcPr>
                  <w:tcW w:w="2704" w:type="dxa"/>
                  <w:vAlign w:val="center"/>
                </w:tcPr>
                <w:p>
                  <w:pPr>
                    <w:adjustRightInd w:val="0"/>
                    <w:snapToGrid w:val="0"/>
                    <w:jc w:val="center"/>
                    <w:rPr>
                      <w:color w:val="000000" w:themeColor="text1"/>
                      <w:sz w:val="21"/>
                      <w:szCs w:val="21"/>
                      <w:highlight w:val="none"/>
                    </w:rPr>
                  </w:pPr>
                  <w:r>
                    <w:rPr>
                      <w:color w:val="000000" w:themeColor="text1"/>
                      <w:sz w:val="21"/>
                      <w:szCs w:val="21"/>
                      <w:highlight w:val="none"/>
                    </w:rPr>
                    <w:t>厂界噪声</w:t>
                  </w:r>
                </w:p>
              </w:tc>
              <w:tc>
                <w:tcPr>
                  <w:tcW w:w="1276" w:type="dxa"/>
                  <w:vAlign w:val="center"/>
                </w:tcPr>
                <w:p>
                  <w:pPr>
                    <w:adjustRightInd w:val="0"/>
                    <w:snapToGrid w:val="0"/>
                    <w:jc w:val="center"/>
                    <w:rPr>
                      <w:color w:val="000000" w:themeColor="text1"/>
                      <w:sz w:val="21"/>
                      <w:szCs w:val="21"/>
                      <w:highlight w:val="none"/>
                    </w:rPr>
                  </w:pPr>
                  <w:r>
                    <w:rPr>
                      <w:rFonts w:hint="eastAsia"/>
                      <w:color w:val="000000" w:themeColor="text1"/>
                      <w:sz w:val="21"/>
                      <w:szCs w:val="21"/>
                      <w:highlight w:val="none"/>
                      <w:lang w:val="en-US" w:eastAsia="zh-CN"/>
                    </w:rPr>
                    <w:t>1次/年</w:t>
                  </w:r>
                </w:p>
              </w:tc>
              <w:tc>
                <w:tcPr>
                  <w:tcW w:w="1575" w:type="dxa"/>
                  <w:vMerge w:val="continue"/>
                  <w:vAlign w:val="center"/>
                </w:tcPr>
                <w:p>
                  <w:pPr>
                    <w:adjustRightInd w:val="0"/>
                    <w:snapToGrid w:val="0"/>
                    <w:jc w:val="center"/>
                    <w:rPr>
                      <w:color w:val="000000" w:themeColor="text1"/>
                      <w:sz w:val="21"/>
                      <w:szCs w:val="21"/>
                      <w:highlight w:val="none"/>
                    </w:rPr>
                  </w:pPr>
                </w:p>
              </w:tc>
            </w:tr>
          </w:tbl>
          <w:p>
            <w:pPr>
              <w:pStyle w:val="2"/>
              <w:adjustRightInd w:val="0"/>
              <w:snapToGrid w:val="0"/>
              <w:spacing w:line="360" w:lineRule="auto"/>
              <w:ind w:firstLine="0" w:firstLineChars="0"/>
              <w:rPr>
                <w:color w:val="000000" w:themeColor="text1"/>
                <w:highlight w:val="red"/>
              </w:rPr>
            </w:pPr>
          </w:p>
          <w:p>
            <w:pPr>
              <w:pStyle w:val="2"/>
              <w:adjustRightInd w:val="0"/>
              <w:snapToGrid w:val="0"/>
              <w:spacing w:line="360" w:lineRule="auto"/>
              <w:ind w:firstLine="482"/>
              <w:rPr>
                <w:b/>
                <w:color w:val="000000" w:themeColor="text1"/>
                <w:szCs w:val="24"/>
                <w:highlight w:val="none"/>
                <w:u w:val="single"/>
              </w:rPr>
            </w:pPr>
            <w:r>
              <w:rPr>
                <w:rFonts w:hint="eastAsia"/>
                <w:b/>
                <w:color w:val="000000" w:themeColor="text1"/>
                <w:szCs w:val="24"/>
                <w:highlight w:val="none"/>
                <w:u w:val="single"/>
              </w:rPr>
              <w:t>八、项目环境保护投资估算</w:t>
            </w:r>
          </w:p>
          <w:p>
            <w:pPr>
              <w:pStyle w:val="2"/>
              <w:adjustRightInd w:val="0"/>
              <w:snapToGrid w:val="0"/>
              <w:spacing w:line="360" w:lineRule="auto"/>
              <w:ind w:firstLine="480"/>
              <w:rPr>
                <w:color w:val="000000" w:themeColor="text1"/>
                <w:highlight w:val="none"/>
                <w:u w:val="single"/>
              </w:rPr>
            </w:pPr>
            <w:r>
              <w:rPr>
                <w:color w:val="000000" w:themeColor="text1"/>
                <w:highlight w:val="none"/>
                <w:u w:val="single"/>
              </w:rPr>
              <w:t>项目总投资</w:t>
            </w:r>
            <w:r>
              <w:rPr>
                <w:rFonts w:hint="eastAsia"/>
                <w:color w:val="000000" w:themeColor="text1"/>
                <w:highlight w:val="none"/>
                <w:u w:val="single"/>
              </w:rPr>
              <w:t>200</w:t>
            </w:r>
            <w:r>
              <w:rPr>
                <w:color w:val="000000" w:themeColor="text1"/>
                <w:highlight w:val="none"/>
                <w:u w:val="single"/>
              </w:rPr>
              <w:t>万元，其中环保投资为</w:t>
            </w:r>
            <w:r>
              <w:rPr>
                <w:rFonts w:hint="eastAsia"/>
                <w:color w:val="000000" w:themeColor="text1"/>
                <w:highlight w:val="none"/>
                <w:u w:val="single"/>
              </w:rPr>
              <w:t>1</w:t>
            </w:r>
            <w:r>
              <w:rPr>
                <w:rFonts w:hint="eastAsia"/>
                <w:color w:val="000000" w:themeColor="text1"/>
                <w:highlight w:val="none"/>
                <w:u w:val="single"/>
                <w:lang w:val="en-US" w:eastAsia="zh-CN"/>
              </w:rPr>
              <w:t>9</w:t>
            </w:r>
            <w:r>
              <w:rPr>
                <w:color w:val="000000" w:themeColor="text1"/>
                <w:highlight w:val="none"/>
                <w:u w:val="single"/>
              </w:rPr>
              <w:t>万元，所占比例为</w:t>
            </w:r>
            <w:r>
              <w:rPr>
                <w:rFonts w:hint="eastAsia"/>
                <w:color w:val="000000" w:themeColor="text1"/>
                <w:highlight w:val="none"/>
                <w:u w:val="single"/>
                <w:lang w:eastAsia="zh-CN"/>
              </w:rPr>
              <w:t>9.5%</w:t>
            </w:r>
            <w:r>
              <w:rPr>
                <w:color w:val="000000" w:themeColor="text1"/>
                <w:highlight w:val="none"/>
                <w:u w:val="single"/>
              </w:rPr>
              <w:t>。工程环保</w:t>
            </w:r>
          </w:p>
          <w:p>
            <w:pPr>
              <w:pStyle w:val="2"/>
              <w:adjustRightInd w:val="0"/>
              <w:snapToGrid w:val="0"/>
              <w:spacing w:line="360" w:lineRule="auto"/>
              <w:ind w:firstLine="0" w:firstLineChars="0"/>
              <w:rPr>
                <w:color w:val="000000" w:themeColor="text1"/>
                <w:highlight w:val="none"/>
                <w:u w:val="single"/>
              </w:rPr>
            </w:pPr>
            <w:r>
              <w:rPr>
                <w:color w:val="000000" w:themeColor="text1"/>
                <w:highlight w:val="none"/>
                <w:u w:val="single"/>
              </w:rPr>
              <w:t>投资情况详见表7</w:t>
            </w:r>
            <w:r>
              <w:rPr>
                <w:rFonts w:hint="eastAsia"/>
                <w:color w:val="000000" w:themeColor="text1"/>
                <w:highlight w:val="none"/>
                <w:u w:val="single"/>
              </w:rPr>
              <w:t>-9</w:t>
            </w:r>
            <w:r>
              <w:rPr>
                <w:color w:val="000000" w:themeColor="text1"/>
                <w:highlight w:val="none"/>
                <w:u w:val="single"/>
              </w:rPr>
              <w:t>。</w:t>
            </w:r>
          </w:p>
          <w:p>
            <w:pPr>
              <w:widowControl/>
              <w:adjustRightInd w:val="0"/>
              <w:snapToGrid w:val="0"/>
              <w:jc w:val="center"/>
              <w:rPr>
                <w:b/>
                <w:bCs/>
                <w:color w:val="000000" w:themeColor="text1"/>
                <w:kern w:val="0"/>
                <w:sz w:val="21"/>
                <w:szCs w:val="21"/>
                <w:highlight w:val="none"/>
                <w:u w:val="single"/>
              </w:rPr>
            </w:pPr>
            <w:r>
              <w:rPr>
                <w:b/>
                <w:bCs/>
                <w:color w:val="000000" w:themeColor="text1"/>
                <w:kern w:val="0"/>
                <w:sz w:val="21"/>
                <w:szCs w:val="21"/>
                <w:highlight w:val="none"/>
                <w:u w:val="single"/>
              </w:rPr>
              <w:t>表 7-</w:t>
            </w:r>
            <w:r>
              <w:rPr>
                <w:rFonts w:hint="eastAsia"/>
                <w:b/>
                <w:bCs/>
                <w:color w:val="000000" w:themeColor="text1"/>
                <w:kern w:val="0"/>
                <w:sz w:val="21"/>
                <w:szCs w:val="21"/>
                <w:highlight w:val="none"/>
                <w:u w:val="single"/>
              </w:rPr>
              <w:t>9环境保护专项投资估算表</w:t>
            </w:r>
          </w:p>
          <w:tbl>
            <w:tblPr>
              <w:tblStyle w:val="34"/>
              <w:tblW w:w="900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815"/>
              <w:gridCol w:w="669"/>
              <w:gridCol w:w="4127"/>
              <w:gridCol w:w="1070"/>
              <w:gridCol w:w="132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类别</w:t>
                  </w:r>
                </w:p>
              </w:tc>
              <w:tc>
                <w:tcPr>
                  <w:tcW w:w="4796" w:type="dxa"/>
                  <w:gridSpan w:val="2"/>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三同时验收内容</w:t>
                  </w:r>
                </w:p>
              </w:tc>
              <w:tc>
                <w:tcPr>
                  <w:tcW w:w="1070"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投资费用</w:t>
                  </w:r>
                </w:p>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（万元）</w:t>
                  </w:r>
                </w:p>
              </w:tc>
              <w:tc>
                <w:tcPr>
                  <w:tcW w:w="1326"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备注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vMerge w:val="restart"/>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废水</w:t>
                  </w:r>
                </w:p>
              </w:tc>
              <w:tc>
                <w:tcPr>
                  <w:tcW w:w="4796" w:type="dxa"/>
                  <w:gridSpan w:val="2"/>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仪器、器皿与实验操作台清洗废水经“实验室一体化小型废水处理设备”处理后排入市政污水管网</w:t>
                  </w:r>
                </w:p>
              </w:tc>
              <w:tc>
                <w:tcPr>
                  <w:tcW w:w="1070"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lang w:val="en-US" w:eastAsia="zh-CN"/>
                    </w:rPr>
                    <w:t>6</w:t>
                  </w:r>
                  <w:r>
                    <w:rPr>
                      <w:rFonts w:hint="eastAsia"/>
                      <w:color w:val="000000" w:themeColor="text1"/>
                      <w:sz w:val="21"/>
                      <w:szCs w:val="21"/>
                      <w:highlight w:val="none"/>
                      <w:u w:val="single"/>
                    </w:rPr>
                    <w:t>.0</w:t>
                  </w:r>
                </w:p>
              </w:tc>
              <w:tc>
                <w:tcPr>
                  <w:tcW w:w="1326"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vMerge w:val="continue"/>
                  <w:tcBorders>
                    <w:tl2br w:val="nil"/>
                    <w:tr2bl w:val="nil"/>
                  </w:tcBorders>
                  <w:vAlign w:val="center"/>
                </w:tcPr>
                <w:p>
                  <w:pPr>
                    <w:adjustRightInd w:val="0"/>
                    <w:snapToGrid w:val="0"/>
                    <w:jc w:val="center"/>
                    <w:rPr>
                      <w:color w:val="000000" w:themeColor="text1"/>
                      <w:sz w:val="21"/>
                      <w:szCs w:val="21"/>
                      <w:highlight w:val="none"/>
                      <w:u w:val="single"/>
                    </w:rPr>
                  </w:pPr>
                </w:p>
              </w:tc>
              <w:tc>
                <w:tcPr>
                  <w:tcW w:w="4796" w:type="dxa"/>
                  <w:gridSpan w:val="2"/>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生活污水和纯水制备尾水经</w:t>
                  </w:r>
                  <w:r>
                    <w:rPr>
                      <w:rFonts w:hint="eastAsia"/>
                      <w:color w:val="000000" w:themeColor="text1"/>
                      <w:sz w:val="21"/>
                      <w:szCs w:val="21"/>
                      <w:highlight w:val="none"/>
                      <w:u w:val="single"/>
                      <w:lang w:eastAsia="zh-CN"/>
                    </w:rPr>
                    <w:t>湖南奇思环保设备制造有限公司</w:t>
                  </w:r>
                  <w:r>
                    <w:rPr>
                      <w:rFonts w:hint="eastAsia"/>
                      <w:color w:val="000000" w:themeColor="text1"/>
                      <w:sz w:val="21"/>
                      <w:szCs w:val="21"/>
                      <w:highlight w:val="none"/>
                      <w:u w:val="single"/>
                    </w:rPr>
                    <w:t>化粪池处理后排入市政污水管网</w:t>
                  </w:r>
                </w:p>
              </w:tc>
              <w:tc>
                <w:tcPr>
                  <w:tcW w:w="1070"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0.0</w:t>
                  </w:r>
                </w:p>
              </w:tc>
              <w:tc>
                <w:tcPr>
                  <w:tcW w:w="1326"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依托</w:t>
                  </w:r>
                  <w:r>
                    <w:rPr>
                      <w:rFonts w:hint="eastAsia"/>
                      <w:color w:val="000000" w:themeColor="text1"/>
                      <w:sz w:val="21"/>
                      <w:szCs w:val="21"/>
                      <w:highlight w:val="none"/>
                      <w:u w:val="single"/>
                      <w:lang w:eastAsia="zh-CN"/>
                    </w:rPr>
                    <w:t>湖南奇思环保设备制造有限公司</w:t>
                  </w:r>
                  <w:r>
                    <w:rPr>
                      <w:rFonts w:hint="eastAsia"/>
                      <w:color w:val="000000" w:themeColor="text1"/>
                      <w:sz w:val="21"/>
                      <w:szCs w:val="21"/>
                      <w:highlight w:val="none"/>
                      <w:u w:val="single"/>
                    </w:rPr>
                    <w:t>化粪池</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tcBorders>
                    <w:tl2br w:val="nil"/>
                    <w:tr2bl w:val="nil"/>
                  </w:tcBorders>
                  <w:vAlign w:val="center"/>
                </w:tcPr>
                <w:p>
                  <w:pPr>
                    <w:adjustRightInd w:val="0"/>
                    <w:snapToGrid w:val="0"/>
                    <w:jc w:val="center"/>
                    <w:rPr>
                      <w:color w:val="000000" w:themeColor="text1"/>
                      <w:highlight w:val="none"/>
                      <w:u w:val="single"/>
                    </w:rPr>
                  </w:pPr>
                  <w:r>
                    <w:rPr>
                      <w:rFonts w:hint="eastAsia"/>
                      <w:color w:val="000000" w:themeColor="text1"/>
                      <w:sz w:val="21"/>
                      <w:szCs w:val="21"/>
                      <w:highlight w:val="none"/>
                      <w:u w:val="single"/>
                    </w:rPr>
                    <w:t>废气</w:t>
                  </w:r>
                </w:p>
              </w:tc>
              <w:tc>
                <w:tcPr>
                  <w:tcW w:w="4796" w:type="dxa"/>
                  <w:gridSpan w:val="2"/>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产生的少量硫酸、盐酸、硝酸等酸雾以经集气罩或通风橱收集经酸雾净化塔净化后由15m高排气筒外排</w:t>
                  </w:r>
                </w:p>
              </w:tc>
              <w:tc>
                <w:tcPr>
                  <w:tcW w:w="1070" w:type="dxa"/>
                  <w:tcBorders>
                    <w:tl2br w:val="nil"/>
                    <w:tr2bl w:val="nil"/>
                  </w:tcBorders>
                  <w:vAlign w:val="center"/>
                </w:tcPr>
                <w:p>
                  <w:pPr>
                    <w:adjustRightInd w:val="0"/>
                    <w:snapToGrid w:val="0"/>
                    <w:jc w:val="center"/>
                    <w:rPr>
                      <w:rFonts w:hint="default" w:eastAsia="宋体"/>
                      <w:color w:val="000000" w:themeColor="text1"/>
                      <w:sz w:val="21"/>
                      <w:szCs w:val="21"/>
                      <w:highlight w:val="none"/>
                      <w:u w:val="single"/>
                      <w:lang w:val="en-US" w:eastAsia="zh-CN"/>
                    </w:rPr>
                  </w:pPr>
                  <w:r>
                    <w:rPr>
                      <w:rFonts w:hint="eastAsia"/>
                      <w:color w:val="000000" w:themeColor="text1"/>
                      <w:sz w:val="21"/>
                      <w:szCs w:val="21"/>
                      <w:highlight w:val="none"/>
                      <w:u w:val="single"/>
                    </w:rPr>
                    <w:t>8</w:t>
                  </w:r>
                  <w:r>
                    <w:rPr>
                      <w:rFonts w:hint="eastAsia"/>
                      <w:color w:val="000000" w:themeColor="text1"/>
                      <w:sz w:val="21"/>
                      <w:szCs w:val="21"/>
                      <w:highlight w:val="none"/>
                      <w:u w:val="single"/>
                      <w:lang w:val="en-US" w:eastAsia="zh-CN"/>
                    </w:rPr>
                    <w:t>.0</w:t>
                  </w:r>
                </w:p>
              </w:tc>
              <w:tc>
                <w:tcPr>
                  <w:tcW w:w="1326" w:type="dxa"/>
                  <w:tcBorders>
                    <w:tl2br w:val="nil"/>
                    <w:tr2bl w:val="nil"/>
                  </w:tcBorders>
                  <w:vAlign w:val="center"/>
                </w:tcPr>
                <w:p>
                  <w:pPr>
                    <w:adjustRightInd w:val="0"/>
                    <w:snapToGrid w:val="0"/>
                    <w:jc w:val="center"/>
                    <w:rPr>
                      <w:rFonts w:hint="eastAsia" w:eastAsia="宋体"/>
                      <w:color w:val="000000" w:themeColor="text1"/>
                      <w:sz w:val="21"/>
                      <w:szCs w:val="21"/>
                      <w:highlight w:val="none"/>
                      <w:u w:val="single"/>
                      <w:lang w:eastAsia="zh-CN"/>
                    </w:rPr>
                  </w:pPr>
                  <w:r>
                    <w:rPr>
                      <w:rFonts w:hint="eastAsia"/>
                      <w:color w:val="000000" w:themeColor="text1"/>
                      <w:sz w:val="21"/>
                      <w:szCs w:val="21"/>
                      <w:highlight w:val="none"/>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vMerge w:val="restart"/>
                  <w:tcBorders>
                    <w:tl2br w:val="nil"/>
                    <w:tr2bl w:val="nil"/>
                  </w:tcBorders>
                  <w:vAlign w:val="center"/>
                </w:tcPr>
                <w:p>
                  <w:pPr>
                    <w:adjustRightInd w:val="0"/>
                    <w:snapToGrid w:val="0"/>
                    <w:jc w:val="center"/>
                    <w:rPr>
                      <w:color w:val="000000" w:themeColor="text1"/>
                      <w:sz w:val="21"/>
                      <w:szCs w:val="21"/>
                      <w:highlight w:val="none"/>
                      <w:u w:val="single"/>
                    </w:rPr>
                  </w:pPr>
                </w:p>
                <w:p>
                  <w:pPr>
                    <w:adjustRightInd w:val="0"/>
                    <w:snapToGrid w:val="0"/>
                    <w:jc w:val="center"/>
                    <w:rPr>
                      <w:color w:val="000000" w:themeColor="text1"/>
                      <w:sz w:val="21"/>
                      <w:szCs w:val="21"/>
                      <w:highlight w:val="none"/>
                      <w:u w:val="single"/>
                    </w:rPr>
                  </w:pPr>
                </w:p>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固废</w:t>
                  </w:r>
                </w:p>
              </w:tc>
              <w:tc>
                <w:tcPr>
                  <w:tcW w:w="669"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危险固废</w:t>
                  </w:r>
                </w:p>
              </w:tc>
              <w:tc>
                <w:tcPr>
                  <w:tcW w:w="4127"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危险废物暂存于危废暂存间后交有资质单位处置，危废暂存间设置防渗膜，在墙上张贴危险废物管操作相关规程、门口粘贴警示标识，盛放危废的容器张贴标签，含有毒有害废液和废物密封暂存等</w:t>
                  </w:r>
                </w:p>
              </w:tc>
              <w:tc>
                <w:tcPr>
                  <w:tcW w:w="1070" w:type="dxa"/>
                  <w:vMerge w:val="restart"/>
                  <w:tcBorders>
                    <w:tl2br w:val="nil"/>
                    <w:tr2bl w:val="nil"/>
                  </w:tcBorders>
                  <w:vAlign w:val="center"/>
                </w:tcPr>
                <w:p>
                  <w:pPr>
                    <w:adjustRightInd w:val="0"/>
                    <w:snapToGrid w:val="0"/>
                    <w:jc w:val="center"/>
                    <w:rPr>
                      <w:rFonts w:hint="default" w:eastAsia="宋体"/>
                      <w:color w:val="000000" w:themeColor="text1"/>
                      <w:sz w:val="21"/>
                      <w:szCs w:val="21"/>
                      <w:highlight w:val="none"/>
                      <w:u w:val="single"/>
                      <w:lang w:val="en-US" w:eastAsia="zh-CN"/>
                    </w:rPr>
                  </w:pPr>
                  <w:r>
                    <w:rPr>
                      <w:rFonts w:hint="eastAsia"/>
                      <w:color w:val="000000" w:themeColor="text1"/>
                      <w:sz w:val="21"/>
                      <w:szCs w:val="21"/>
                      <w:highlight w:val="none"/>
                      <w:u w:val="single"/>
                    </w:rPr>
                    <w:t>3</w:t>
                  </w:r>
                  <w:r>
                    <w:rPr>
                      <w:rFonts w:hint="eastAsia"/>
                      <w:color w:val="000000" w:themeColor="text1"/>
                      <w:sz w:val="21"/>
                      <w:szCs w:val="21"/>
                      <w:highlight w:val="none"/>
                      <w:u w:val="single"/>
                      <w:lang w:val="en-US" w:eastAsia="zh-CN"/>
                    </w:rPr>
                    <w:t>.0</w:t>
                  </w:r>
                </w:p>
              </w:tc>
              <w:tc>
                <w:tcPr>
                  <w:tcW w:w="1326" w:type="dxa"/>
                  <w:vMerge w:val="restart"/>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vMerge w:val="continue"/>
                  <w:tcBorders>
                    <w:tl2br w:val="nil"/>
                    <w:tr2bl w:val="nil"/>
                  </w:tcBorders>
                  <w:vAlign w:val="center"/>
                </w:tcPr>
                <w:p>
                  <w:pPr>
                    <w:adjustRightInd w:val="0"/>
                    <w:snapToGrid w:val="0"/>
                    <w:jc w:val="center"/>
                    <w:rPr>
                      <w:color w:val="000000" w:themeColor="text1"/>
                      <w:sz w:val="21"/>
                      <w:szCs w:val="21"/>
                      <w:highlight w:val="none"/>
                      <w:u w:val="single"/>
                    </w:rPr>
                  </w:pPr>
                </w:p>
              </w:tc>
              <w:tc>
                <w:tcPr>
                  <w:tcW w:w="669"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一般固废</w:t>
                  </w:r>
                </w:p>
              </w:tc>
              <w:tc>
                <w:tcPr>
                  <w:tcW w:w="4127"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灭活后的废生物培养基、废塑料、不含重金属或重金属未超标的废土壤样品等固态物质等由若干个生活垃圾收集箱收集后由环卫部门统一清运</w:t>
                  </w:r>
                </w:p>
              </w:tc>
              <w:tc>
                <w:tcPr>
                  <w:tcW w:w="1070" w:type="dxa"/>
                  <w:vMerge w:val="continue"/>
                  <w:tcBorders>
                    <w:tl2br w:val="nil"/>
                    <w:tr2bl w:val="nil"/>
                  </w:tcBorders>
                  <w:vAlign w:val="center"/>
                </w:tcPr>
                <w:p>
                  <w:pPr>
                    <w:adjustRightInd w:val="0"/>
                    <w:snapToGrid w:val="0"/>
                    <w:jc w:val="center"/>
                    <w:rPr>
                      <w:color w:val="000000" w:themeColor="text1"/>
                      <w:sz w:val="21"/>
                      <w:szCs w:val="21"/>
                      <w:highlight w:val="none"/>
                      <w:u w:val="single"/>
                    </w:rPr>
                  </w:pPr>
                </w:p>
              </w:tc>
              <w:tc>
                <w:tcPr>
                  <w:tcW w:w="1326" w:type="dxa"/>
                  <w:vMerge w:val="continue"/>
                  <w:tcBorders>
                    <w:tl2br w:val="nil"/>
                    <w:tr2bl w:val="nil"/>
                  </w:tcBorders>
                  <w:vAlign w:val="center"/>
                </w:tcPr>
                <w:p>
                  <w:pPr>
                    <w:adjustRightInd w:val="0"/>
                    <w:snapToGrid w:val="0"/>
                    <w:jc w:val="center"/>
                    <w:rPr>
                      <w:color w:val="000000" w:themeColor="text1"/>
                      <w:sz w:val="21"/>
                      <w:szCs w:val="21"/>
                      <w:highlight w:val="none"/>
                      <w:u w:val="singl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vMerge w:val="continue"/>
                  <w:tcBorders>
                    <w:tl2br w:val="nil"/>
                    <w:tr2bl w:val="nil"/>
                  </w:tcBorders>
                  <w:vAlign w:val="center"/>
                </w:tcPr>
                <w:p>
                  <w:pPr>
                    <w:adjustRightInd w:val="0"/>
                    <w:snapToGrid w:val="0"/>
                    <w:jc w:val="center"/>
                    <w:rPr>
                      <w:color w:val="000000" w:themeColor="text1"/>
                      <w:sz w:val="21"/>
                      <w:szCs w:val="21"/>
                      <w:highlight w:val="none"/>
                      <w:u w:val="single"/>
                    </w:rPr>
                  </w:pPr>
                </w:p>
              </w:tc>
              <w:tc>
                <w:tcPr>
                  <w:tcW w:w="669"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生活垃圾</w:t>
                  </w:r>
                </w:p>
              </w:tc>
              <w:tc>
                <w:tcPr>
                  <w:tcW w:w="4127"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由环卫部门统一清运</w:t>
                  </w:r>
                </w:p>
              </w:tc>
              <w:tc>
                <w:tcPr>
                  <w:tcW w:w="1070" w:type="dxa"/>
                  <w:vMerge w:val="continue"/>
                  <w:tcBorders>
                    <w:tl2br w:val="nil"/>
                    <w:tr2bl w:val="nil"/>
                  </w:tcBorders>
                  <w:vAlign w:val="center"/>
                </w:tcPr>
                <w:p>
                  <w:pPr>
                    <w:adjustRightInd w:val="0"/>
                    <w:snapToGrid w:val="0"/>
                    <w:jc w:val="center"/>
                    <w:rPr>
                      <w:color w:val="000000" w:themeColor="text1"/>
                      <w:sz w:val="21"/>
                      <w:szCs w:val="21"/>
                      <w:highlight w:val="none"/>
                      <w:u w:val="single"/>
                    </w:rPr>
                  </w:pPr>
                </w:p>
              </w:tc>
              <w:tc>
                <w:tcPr>
                  <w:tcW w:w="1326" w:type="dxa"/>
                  <w:vMerge w:val="continue"/>
                  <w:tcBorders>
                    <w:tl2br w:val="nil"/>
                    <w:tr2bl w:val="nil"/>
                  </w:tcBorders>
                  <w:vAlign w:val="center"/>
                </w:tcPr>
                <w:p>
                  <w:pPr>
                    <w:adjustRightInd w:val="0"/>
                    <w:snapToGrid w:val="0"/>
                    <w:jc w:val="center"/>
                    <w:rPr>
                      <w:color w:val="000000" w:themeColor="text1"/>
                      <w:sz w:val="21"/>
                      <w:szCs w:val="21"/>
                      <w:highlight w:val="none"/>
                      <w:u w:val="singl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噪声</w:t>
                  </w:r>
                </w:p>
              </w:tc>
              <w:tc>
                <w:tcPr>
                  <w:tcW w:w="4796" w:type="dxa"/>
                  <w:gridSpan w:val="2"/>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 xml:space="preserve">设备采取隔音、减振等措施  </w:t>
                  </w:r>
                </w:p>
              </w:tc>
              <w:tc>
                <w:tcPr>
                  <w:tcW w:w="1070"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0.5</w:t>
                  </w:r>
                </w:p>
              </w:tc>
              <w:tc>
                <w:tcPr>
                  <w:tcW w:w="1326"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1815"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风险防范措施</w:t>
                  </w:r>
                </w:p>
              </w:tc>
              <w:tc>
                <w:tcPr>
                  <w:tcW w:w="4796" w:type="dxa"/>
                  <w:gridSpan w:val="2"/>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配备防毒口罩或手套等个人防护用品，配备常用灭火器、消火栓等</w:t>
                  </w:r>
                </w:p>
              </w:tc>
              <w:tc>
                <w:tcPr>
                  <w:tcW w:w="1070"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1.5</w:t>
                  </w:r>
                </w:p>
              </w:tc>
              <w:tc>
                <w:tcPr>
                  <w:tcW w:w="1326" w:type="dxa"/>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6611" w:type="dxa"/>
                  <w:gridSpan w:val="3"/>
                  <w:tcBorders>
                    <w:tl2br w:val="nil"/>
                    <w:tr2bl w:val="nil"/>
                  </w:tcBorders>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合计</w:t>
                  </w:r>
                </w:p>
              </w:tc>
              <w:tc>
                <w:tcPr>
                  <w:tcW w:w="1070" w:type="dxa"/>
                  <w:tcBorders>
                    <w:tl2br w:val="nil"/>
                    <w:tr2bl w:val="nil"/>
                  </w:tcBorders>
                  <w:vAlign w:val="center"/>
                </w:tcPr>
                <w:p>
                  <w:pPr>
                    <w:adjustRightInd w:val="0"/>
                    <w:snapToGrid w:val="0"/>
                    <w:jc w:val="center"/>
                    <w:rPr>
                      <w:rFonts w:hint="eastAsia" w:eastAsia="宋体"/>
                      <w:color w:val="000000" w:themeColor="text1"/>
                      <w:sz w:val="21"/>
                      <w:szCs w:val="21"/>
                      <w:highlight w:val="none"/>
                      <w:u w:val="single"/>
                      <w:lang w:eastAsia="zh-CN"/>
                    </w:rPr>
                  </w:pPr>
                  <w:r>
                    <w:rPr>
                      <w:rFonts w:hint="eastAsia"/>
                      <w:color w:val="000000" w:themeColor="text1"/>
                      <w:sz w:val="21"/>
                      <w:szCs w:val="21"/>
                      <w:highlight w:val="none"/>
                      <w:u w:val="single"/>
                    </w:rPr>
                    <w:t>1</w:t>
                  </w:r>
                  <w:r>
                    <w:rPr>
                      <w:rFonts w:hint="eastAsia"/>
                      <w:color w:val="000000" w:themeColor="text1"/>
                      <w:sz w:val="21"/>
                      <w:szCs w:val="21"/>
                      <w:highlight w:val="none"/>
                      <w:u w:val="single"/>
                      <w:lang w:val="en-US" w:eastAsia="zh-CN"/>
                    </w:rPr>
                    <w:t>9</w:t>
                  </w:r>
                </w:p>
              </w:tc>
              <w:tc>
                <w:tcPr>
                  <w:tcW w:w="1326" w:type="dxa"/>
                  <w:tcBorders>
                    <w:tl2br w:val="nil"/>
                    <w:tr2bl w:val="nil"/>
                  </w:tcBorders>
                  <w:vAlign w:val="center"/>
                </w:tcPr>
                <w:p>
                  <w:pPr>
                    <w:adjustRightInd w:val="0"/>
                    <w:snapToGrid w:val="0"/>
                    <w:jc w:val="center"/>
                    <w:rPr>
                      <w:color w:val="000000" w:themeColor="text1"/>
                      <w:sz w:val="21"/>
                      <w:szCs w:val="21"/>
                      <w:highlight w:val="none"/>
                      <w:u w:val="single"/>
                    </w:rPr>
                  </w:pPr>
                </w:p>
              </w:tc>
            </w:tr>
          </w:tbl>
          <w:p>
            <w:pPr>
              <w:pStyle w:val="2"/>
              <w:adjustRightInd w:val="0"/>
              <w:snapToGrid w:val="0"/>
              <w:spacing w:line="360" w:lineRule="auto"/>
              <w:ind w:firstLine="0" w:firstLineChars="0"/>
              <w:rPr>
                <w:b/>
                <w:color w:val="000000" w:themeColor="text1"/>
                <w:highlight w:val="red"/>
                <w:u w:val="single"/>
              </w:rPr>
            </w:pPr>
          </w:p>
          <w:p>
            <w:pPr>
              <w:pStyle w:val="2"/>
              <w:adjustRightInd w:val="0"/>
              <w:snapToGrid w:val="0"/>
              <w:spacing w:line="360" w:lineRule="auto"/>
              <w:ind w:firstLine="482"/>
              <w:rPr>
                <w:b/>
                <w:color w:val="000000" w:themeColor="text1"/>
                <w:highlight w:val="none"/>
                <w:u w:val="single"/>
              </w:rPr>
            </w:pPr>
            <w:r>
              <w:rPr>
                <w:rFonts w:hint="eastAsia"/>
                <w:b/>
                <w:color w:val="000000" w:themeColor="text1"/>
                <w:highlight w:val="none"/>
                <w:u w:val="single"/>
              </w:rPr>
              <w:t>九</w:t>
            </w:r>
            <w:r>
              <w:rPr>
                <w:b/>
                <w:color w:val="000000" w:themeColor="text1"/>
                <w:highlight w:val="none"/>
                <w:u w:val="single"/>
              </w:rPr>
              <w:t>、工程环保设施竣工验收清单</w:t>
            </w:r>
          </w:p>
          <w:p>
            <w:pPr>
              <w:adjustRightInd w:val="0"/>
              <w:snapToGrid w:val="0"/>
              <w:spacing w:line="360" w:lineRule="auto"/>
              <w:ind w:firstLine="480" w:firstLineChars="200"/>
              <w:rPr>
                <w:color w:val="000000" w:themeColor="text1"/>
                <w:sz w:val="24"/>
                <w:highlight w:val="none"/>
                <w:u w:val="single"/>
              </w:rPr>
            </w:pPr>
            <w:r>
              <w:rPr>
                <w:color w:val="000000" w:themeColor="text1"/>
                <w:sz w:val="24"/>
                <w:highlight w:val="none"/>
                <w:u w:val="single"/>
              </w:rPr>
              <w:t>环保设施清单及投资详见下表。</w:t>
            </w:r>
          </w:p>
          <w:p>
            <w:pPr>
              <w:adjustRightInd w:val="0"/>
              <w:snapToGrid w:val="0"/>
              <w:ind w:firstLine="420" w:firstLineChars="200"/>
              <w:jc w:val="center"/>
              <w:rPr>
                <w:b/>
                <w:bCs/>
                <w:color w:val="000000" w:themeColor="text1"/>
                <w:sz w:val="24"/>
                <w:highlight w:val="none"/>
                <w:u w:val="single"/>
              </w:rPr>
            </w:pPr>
            <w:r>
              <w:rPr>
                <w:b/>
                <w:bCs/>
                <w:color w:val="000000" w:themeColor="text1"/>
                <w:sz w:val="21"/>
                <w:szCs w:val="21"/>
                <w:highlight w:val="none"/>
                <w:u w:val="single"/>
              </w:rPr>
              <w:t>表7-1</w:t>
            </w:r>
            <w:r>
              <w:rPr>
                <w:rFonts w:hint="eastAsia"/>
                <w:b/>
                <w:bCs/>
                <w:color w:val="000000" w:themeColor="text1"/>
                <w:sz w:val="21"/>
                <w:szCs w:val="21"/>
                <w:highlight w:val="none"/>
                <w:u w:val="single"/>
              </w:rPr>
              <w:t>0</w:t>
            </w:r>
            <w:r>
              <w:rPr>
                <w:b/>
                <w:bCs/>
                <w:color w:val="000000" w:themeColor="text1"/>
                <w:sz w:val="21"/>
                <w:szCs w:val="21"/>
                <w:highlight w:val="none"/>
                <w:u w:val="single"/>
              </w:rPr>
              <w:t xml:space="preserve"> 工程环保设施竣工验收清单</w:t>
            </w:r>
          </w:p>
          <w:tbl>
            <w:tblPr>
              <w:tblStyle w:val="34"/>
              <w:tblW w:w="90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2452"/>
              <w:gridCol w:w="2919"/>
              <w:gridCol w:w="2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51" w:type="dxa"/>
                  <w:vAlign w:val="center"/>
                </w:tcPr>
                <w:p>
                  <w:pPr>
                    <w:jc w:val="center"/>
                    <w:rPr>
                      <w:color w:val="000000" w:themeColor="text1"/>
                      <w:sz w:val="21"/>
                      <w:szCs w:val="21"/>
                      <w:highlight w:val="none"/>
                      <w:u w:val="single"/>
                    </w:rPr>
                  </w:pPr>
                  <w:r>
                    <w:rPr>
                      <w:color w:val="000000" w:themeColor="text1"/>
                      <w:sz w:val="21"/>
                      <w:szCs w:val="21"/>
                      <w:highlight w:val="none"/>
                      <w:u w:val="single"/>
                    </w:rPr>
                    <w:t>类别</w:t>
                  </w:r>
                </w:p>
              </w:tc>
              <w:tc>
                <w:tcPr>
                  <w:tcW w:w="2452" w:type="dxa"/>
                  <w:vAlign w:val="center"/>
                </w:tcPr>
                <w:p>
                  <w:pPr>
                    <w:jc w:val="center"/>
                    <w:rPr>
                      <w:color w:val="000000" w:themeColor="text1"/>
                      <w:sz w:val="21"/>
                      <w:szCs w:val="21"/>
                      <w:highlight w:val="none"/>
                      <w:u w:val="single"/>
                    </w:rPr>
                  </w:pPr>
                  <w:r>
                    <w:rPr>
                      <w:color w:val="000000" w:themeColor="text1"/>
                      <w:sz w:val="21"/>
                      <w:szCs w:val="21"/>
                      <w:highlight w:val="none"/>
                      <w:u w:val="single"/>
                    </w:rPr>
                    <w:t>治理对象</w:t>
                  </w:r>
                </w:p>
              </w:tc>
              <w:tc>
                <w:tcPr>
                  <w:tcW w:w="2919" w:type="dxa"/>
                  <w:vAlign w:val="center"/>
                </w:tcPr>
                <w:p>
                  <w:pPr>
                    <w:jc w:val="center"/>
                    <w:rPr>
                      <w:color w:val="000000" w:themeColor="text1"/>
                      <w:sz w:val="21"/>
                      <w:szCs w:val="21"/>
                      <w:highlight w:val="none"/>
                      <w:u w:val="single"/>
                    </w:rPr>
                  </w:pPr>
                  <w:r>
                    <w:rPr>
                      <w:color w:val="000000" w:themeColor="text1"/>
                      <w:sz w:val="21"/>
                      <w:szCs w:val="21"/>
                      <w:highlight w:val="none"/>
                      <w:u w:val="single"/>
                    </w:rPr>
                    <w:t>竣工环保验收内容</w:t>
                  </w:r>
                </w:p>
              </w:tc>
              <w:tc>
                <w:tcPr>
                  <w:tcW w:w="2995" w:type="dxa"/>
                  <w:vAlign w:val="center"/>
                </w:tcPr>
                <w:p>
                  <w:pPr>
                    <w:jc w:val="center"/>
                    <w:rPr>
                      <w:color w:val="000000" w:themeColor="text1"/>
                      <w:sz w:val="21"/>
                      <w:szCs w:val="21"/>
                      <w:highlight w:val="none"/>
                      <w:u w:val="single"/>
                    </w:rPr>
                  </w:pPr>
                  <w:r>
                    <w:rPr>
                      <w:color w:val="000000" w:themeColor="text1"/>
                      <w:sz w:val="21"/>
                      <w:szCs w:val="21"/>
                      <w:highlight w:val="none"/>
                      <w:u w:val="single"/>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4" w:hRule="atLeast"/>
                <w:jc w:val="center"/>
              </w:trPr>
              <w:tc>
                <w:tcPr>
                  <w:tcW w:w="651" w:type="dxa"/>
                  <w:vAlign w:val="center"/>
                </w:tcPr>
                <w:p>
                  <w:pPr>
                    <w:jc w:val="center"/>
                    <w:rPr>
                      <w:color w:val="000000" w:themeColor="text1"/>
                      <w:sz w:val="21"/>
                      <w:szCs w:val="21"/>
                      <w:highlight w:val="none"/>
                      <w:u w:val="single"/>
                    </w:rPr>
                  </w:pPr>
                  <w:r>
                    <w:rPr>
                      <w:color w:val="000000" w:themeColor="text1"/>
                      <w:sz w:val="21"/>
                      <w:szCs w:val="21"/>
                      <w:highlight w:val="none"/>
                      <w:u w:val="single"/>
                    </w:rPr>
                    <w:t>废</w:t>
                  </w:r>
                </w:p>
                <w:p>
                  <w:pPr>
                    <w:jc w:val="center"/>
                    <w:rPr>
                      <w:color w:val="000000" w:themeColor="text1"/>
                      <w:sz w:val="21"/>
                      <w:szCs w:val="21"/>
                      <w:highlight w:val="none"/>
                      <w:u w:val="single"/>
                    </w:rPr>
                  </w:pPr>
                  <w:r>
                    <w:rPr>
                      <w:color w:val="000000" w:themeColor="text1"/>
                      <w:sz w:val="21"/>
                      <w:szCs w:val="21"/>
                      <w:highlight w:val="none"/>
                      <w:u w:val="single"/>
                    </w:rPr>
                    <w:t>气</w:t>
                  </w:r>
                </w:p>
              </w:tc>
              <w:tc>
                <w:tcPr>
                  <w:tcW w:w="2452" w:type="dxa"/>
                  <w:vAlign w:val="center"/>
                </w:tcPr>
                <w:p>
                  <w:pPr>
                    <w:jc w:val="center"/>
                    <w:rPr>
                      <w:color w:val="000000" w:themeColor="text1"/>
                      <w:sz w:val="21"/>
                      <w:szCs w:val="21"/>
                      <w:highlight w:val="none"/>
                      <w:u w:val="single"/>
                    </w:rPr>
                  </w:pPr>
                  <w:r>
                    <w:rPr>
                      <w:color w:val="000000" w:themeColor="text1"/>
                      <w:sz w:val="21"/>
                      <w:szCs w:val="21"/>
                      <w:highlight w:val="none"/>
                      <w:u w:val="single"/>
                    </w:rPr>
                    <w:t>酸雾</w:t>
                  </w:r>
                </w:p>
              </w:tc>
              <w:tc>
                <w:tcPr>
                  <w:tcW w:w="2919" w:type="dxa"/>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经集气罩或通风橱收集经酸雾净化塔净化后由15m高排气筒外排</w:t>
                  </w:r>
                </w:p>
              </w:tc>
              <w:tc>
                <w:tcPr>
                  <w:tcW w:w="2995" w:type="dxa"/>
                  <w:vAlign w:val="center"/>
                </w:tcPr>
                <w:p>
                  <w:pPr>
                    <w:jc w:val="center"/>
                    <w:rPr>
                      <w:color w:val="000000" w:themeColor="text1"/>
                      <w:sz w:val="21"/>
                      <w:szCs w:val="21"/>
                      <w:highlight w:val="none"/>
                      <w:u w:val="single"/>
                    </w:rPr>
                  </w:pPr>
                  <w:r>
                    <w:rPr>
                      <w:color w:val="000000" w:themeColor="text1"/>
                      <w:sz w:val="21"/>
                      <w:szCs w:val="21"/>
                      <w:highlight w:val="none"/>
                      <w:u w:val="single"/>
                    </w:rPr>
                    <w:t>《大气污染物综合排放标准》（GB16297-1996）表2二级标准限值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651" w:type="dxa"/>
                  <w:vMerge w:val="restart"/>
                  <w:vAlign w:val="center"/>
                </w:tcPr>
                <w:p>
                  <w:pPr>
                    <w:jc w:val="center"/>
                    <w:rPr>
                      <w:color w:val="000000" w:themeColor="text1"/>
                      <w:sz w:val="21"/>
                      <w:szCs w:val="21"/>
                      <w:highlight w:val="none"/>
                      <w:u w:val="single"/>
                    </w:rPr>
                  </w:pPr>
                  <w:r>
                    <w:rPr>
                      <w:color w:val="000000" w:themeColor="text1"/>
                      <w:sz w:val="21"/>
                      <w:szCs w:val="21"/>
                      <w:highlight w:val="none"/>
                      <w:u w:val="single"/>
                    </w:rPr>
                    <w:t>废</w:t>
                  </w:r>
                </w:p>
                <w:p>
                  <w:pPr>
                    <w:jc w:val="center"/>
                    <w:rPr>
                      <w:color w:val="000000" w:themeColor="text1"/>
                      <w:sz w:val="21"/>
                      <w:szCs w:val="21"/>
                      <w:highlight w:val="none"/>
                      <w:u w:val="single"/>
                    </w:rPr>
                  </w:pPr>
                  <w:r>
                    <w:rPr>
                      <w:color w:val="000000" w:themeColor="text1"/>
                      <w:sz w:val="21"/>
                      <w:szCs w:val="21"/>
                      <w:highlight w:val="none"/>
                      <w:u w:val="single"/>
                    </w:rPr>
                    <w:t>水</w:t>
                  </w:r>
                </w:p>
              </w:tc>
              <w:tc>
                <w:tcPr>
                  <w:tcW w:w="2452" w:type="dxa"/>
                  <w:vAlign w:val="center"/>
                </w:tcPr>
                <w:p>
                  <w:pPr>
                    <w:adjustRightInd w:val="0"/>
                    <w:snapToGrid w:val="0"/>
                    <w:jc w:val="center"/>
                    <w:rPr>
                      <w:color w:val="000000" w:themeColor="text1"/>
                      <w:sz w:val="21"/>
                      <w:szCs w:val="21"/>
                      <w:highlight w:val="none"/>
                      <w:u w:val="single"/>
                    </w:rPr>
                  </w:pPr>
                  <w:r>
                    <w:rPr>
                      <w:color w:val="000000" w:themeColor="text1"/>
                      <w:sz w:val="21"/>
                      <w:szCs w:val="21"/>
                      <w:highlight w:val="none"/>
                      <w:u w:val="single"/>
                    </w:rPr>
                    <w:t>生活污水</w:t>
                  </w:r>
                </w:p>
              </w:tc>
              <w:tc>
                <w:tcPr>
                  <w:tcW w:w="2919" w:type="dxa"/>
                  <w:vMerge w:val="restart"/>
                  <w:vAlign w:val="center"/>
                </w:tcPr>
                <w:p>
                  <w:pPr>
                    <w:jc w:val="center"/>
                    <w:rPr>
                      <w:color w:val="000000" w:themeColor="text1"/>
                      <w:sz w:val="21"/>
                      <w:szCs w:val="21"/>
                      <w:highlight w:val="none"/>
                      <w:u w:val="single"/>
                    </w:rPr>
                  </w:pPr>
                  <w:r>
                    <w:rPr>
                      <w:color w:val="000000" w:themeColor="text1"/>
                      <w:sz w:val="21"/>
                      <w:szCs w:val="21"/>
                      <w:highlight w:val="none"/>
                      <w:u w:val="single"/>
                    </w:rPr>
                    <w:t>依托</w:t>
                  </w:r>
                  <w:r>
                    <w:rPr>
                      <w:rFonts w:hint="eastAsia"/>
                      <w:color w:val="000000" w:themeColor="text1"/>
                      <w:sz w:val="21"/>
                      <w:szCs w:val="21"/>
                      <w:highlight w:val="none"/>
                      <w:u w:val="single"/>
                      <w:lang w:eastAsia="zh-CN"/>
                    </w:rPr>
                    <w:t>湖南奇思环保设备制造有限公司</w:t>
                  </w:r>
                  <w:r>
                    <w:rPr>
                      <w:color w:val="000000" w:themeColor="text1"/>
                      <w:sz w:val="21"/>
                      <w:szCs w:val="21"/>
                      <w:highlight w:val="none"/>
                      <w:u w:val="single"/>
                    </w:rPr>
                    <w:t>化粪池处理后排入市政污水管网</w:t>
                  </w:r>
                </w:p>
              </w:tc>
              <w:tc>
                <w:tcPr>
                  <w:tcW w:w="2995" w:type="dxa"/>
                  <w:vMerge w:val="restart"/>
                  <w:vAlign w:val="center"/>
                </w:tcPr>
                <w:p>
                  <w:pPr>
                    <w:jc w:val="center"/>
                    <w:rPr>
                      <w:color w:val="000000" w:themeColor="text1"/>
                      <w:sz w:val="21"/>
                      <w:szCs w:val="21"/>
                      <w:highlight w:val="none"/>
                      <w:u w:val="single"/>
                    </w:rPr>
                  </w:pPr>
                  <w:r>
                    <w:rPr>
                      <w:color w:val="000000" w:themeColor="text1"/>
                      <w:sz w:val="21"/>
                      <w:szCs w:val="21"/>
                      <w:highlight w:val="none"/>
                      <w:u w:val="single"/>
                    </w:rPr>
                    <w:t>《污水综合排放标准》（GB8978-1996）三级标准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adjustRightInd w:val="0"/>
                    <w:snapToGrid w:val="0"/>
                    <w:jc w:val="center"/>
                    <w:rPr>
                      <w:color w:val="000000" w:themeColor="text1"/>
                      <w:sz w:val="21"/>
                      <w:szCs w:val="21"/>
                      <w:highlight w:val="none"/>
                      <w:u w:val="single"/>
                    </w:rPr>
                  </w:pPr>
                  <w:r>
                    <w:rPr>
                      <w:rFonts w:hint="eastAsia"/>
                      <w:color w:val="000000" w:themeColor="text1"/>
                      <w:sz w:val="21"/>
                      <w:szCs w:val="21"/>
                      <w:highlight w:val="none"/>
                      <w:u w:val="single"/>
                    </w:rPr>
                    <w:t>纯水制备尾水</w:t>
                  </w:r>
                </w:p>
              </w:tc>
              <w:tc>
                <w:tcPr>
                  <w:tcW w:w="2919" w:type="dxa"/>
                  <w:vMerge w:val="continue"/>
                  <w:vAlign w:val="center"/>
                </w:tcPr>
                <w:p>
                  <w:pPr>
                    <w:jc w:val="center"/>
                    <w:rPr>
                      <w:color w:val="000000" w:themeColor="text1"/>
                      <w:sz w:val="21"/>
                      <w:szCs w:val="21"/>
                      <w:highlight w:val="none"/>
                      <w:u w:val="single"/>
                    </w:rPr>
                  </w:pPr>
                </w:p>
              </w:tc>
              <w:tc>
                <w:tcPr>
                  <w:tcW w:w="2995" w:type="dxa"/>
                  <w:vMerge w:val="continue"/>
                  <w:vAlign w:val="center"/>
                </w:tcPr>
                <w:p>
                  <w:pPr>
                    <w:jc w:val="center"/>
                    <w:rPr>
                      <w:color w:val="000000" w:themeColor="text1"/>
                      <w:sz w:val="21"/>
                      <w:szCs w:val="21"/>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adjustRightInd w:val="0"/>
                    <w:snapToGrid w:val="0"/>
                    <w:jc w:val="center"/>
                    <w:rPr>
                      <w:color w:val="000000" w:themeColor="text1"/>
                      <w:sz w:val="21"/>
                      <w:szCs w:val="21"/>
                      <w:highlight w:val="none"/>
                      <w:u w:val="single"/>
                    </w:rPr>
                  </w:pPr>
                  <w:r>
                    <w:rPr>
                      <w:color w:val="000000" w:themeColor="text1"/>
                      <w:sz w:val="21"/>
                      <w:szCs w:val="21"/>
                      <w:highlight w:val="none"/>
                      <w:u w:val="single"/>
                    </w:rPr>
                    <w:t>仪器、器皿与实验操作台清洗废水</w:t>
                  </w:r>
                </w:p>
              </w:tc>
              <w:tc>
                <w:tcPr>
                  <w:tcW w:w="2919" w:type="dxa"/>
                  <w:vAlign w:val="center"/>
                </w:tcPr>
                <w:p>
                  <w:pPr>
                    <w:jc w:val="center"/>
                    <w:rPr>
                      <w:color w:val="000000" w:themeColor="text1"/>
                      <w:sz w:val="21"/>
                      <w:szCs w:val="21"/>
                      <w:highlight w:val="none"/>
                      <w:u w:val="single"/>
                    </w:rPr>
                  </w:pPr>
                  <w:r>
                    <w:rPr>
                      <w:color w:val="000000" w:themeColor="text1"/>
                      <w:sz w:val="21"/>
                      <w:szCs w:val="21"/>
                      <w:highlight w:val="none"/>
                      <w:u w:val="single"/>
                    </w:rPr>
                    <w:t>经</w:t>
                  </w:r>
                  <w:r>
                    <w:rPr>
                      <w:rFonts w:hint="eastAsia"/>
                      <w:color w:val="000000" w:themeColor="text1"/>
                      <w:sz w:val="21"/>
                      <w:szCs w:val="21"/>
                      <w:highlight w:val="none"/>
                      <w:u w:val="single"/>
                    </w:rPr>
                    <w:t>“实验室一体化小型废水处理设备”</w:t>
                  </w:r>
                  <w:r>
                    <w:rPr>
                      <w:color w:val="000000" w:themeColor="text1"/>
                      <w:sz w:val="21"/>
                      <w:szCs w:val="21"/>
                      <w:highlight w:val="none"/>
                      <w:u w:val="single"/>
                    </w:rPr>
                    <w:t>处理后排入市政污水管网</w:t>
                  </w:r>
                </w:p>
              </w:tc>
              <w:tc>
                <w:tcPr>
                  <w:tcW w:w="2995" w:type="dxa"/>
                  <w:vMerge w:val="continue"/>
                  <w:vAlign w:val="center"/>
                </w:tcPr>
                <w:p>
                  <w:pPr>
                    <w:jc w:val="center"/>
                    <w:rPr>
                      <w:color w:val="000000" w:themeColor="text1"/>
                      <w:sz w:val="21"/>
                      <w:szCs w:val="21"/>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51" w:type="dxa"/>
                  <w:vMerge w:val="restart"/>
                  <w:vAlign w:val="center"/>
                </w:tcPr>
                <w:p>
                  <w:pPr>
                    <w:jc w:val="center"/>
                    <w:rPr>
                      <w:color w:val="000000" w:themeColor="text1"/>
                      <w:sz w:val="21"/>
                      <w:szCs w:val="21"/>
                      <w:highlight w:val="none"/>
                      <w:u w:val="single"/>
                    </w:rPr>
                  </w:pPr>
                  <w:r>
                    <w:rPr>
                      <w:color w:val="000000" w:themeColor="text1"/>
                      <w:sz w:val="21"/>
                      <w:szCs w:val="21"/>
                      <w:highlight w:val="none"/>
                      <w:u w:val="single"/>
                    </w:rPr>
                    <w:t>固</w:t>
                  </w:r>
                </w:p>
                <w:p>
                  <w:pPr>
                    <w:jc w:val="center"/>
                    <w:rPr>
                      <w:color w:val="000000" w:themeColor="text1"/>
                      <w:sz w:val="21"/>
                      <w:szCs w:val="21"/>
                      <w:highlight w:val="none"/>
                      <w:u w:val="single"/>
                    </w:rPr>
                  </w:pPr>
                  <w:r>
                    <w:rPr>
                      <w:color w:val="000000" w:themeColor="text1"/>
                      <w:sz w:val="21"/>
                      <w:szCs w:val="21"/>
                      <w:highlight w:val="none"/>
                      <w:u w:val="single"/>
                    </w:rPr>
                    <w:t>废</w:t>
                  </w:r>
                </w:p>
              </w:tc>
              <w:tc>
                <w:tcPr>
                  <w:tcW w:w="2452" w:type="dxa"/>
                  <w:vAlign w:val="center"/>
                </w:tcPr>
                <w:p>
                  <w:pPr>
                    <w:jc w:val="center"/>
                    <w:rPr>
                      <w:color w:val="000000" w:themeColor="text1"/>
                      <w:sz w:val="21"/>
                      <w:szCs w:val="21"/>
                      <w:highlight w:val="none"/>
                      <w:u w:val="single"/>
                    </w:rPr>
                  </w:pPr>
                  <w:r>
                    <w:rPr>
                      <w:color w:val="000000" w:themeColor="text1"/>
                      <w:sz w:val="21"/>
                      <w:szCs w:val="21"/>
                      <w:highlight w:val="none"/>
                      <w:u w:val="single"/>
                    </w:rPr>
                    <w:t>生活垃圾</w:t>
                  </w:r>
                </w:p>
              </w:tc>
              <w:tc>
                <w:tcPr>
                  <w:tcW w:w="2919" w:type="dxa"/>
                  <w:vAlign w:val="center"/>
                </w:tcPr>
                <w:p>
                  <w:pPr>
                    <w:jc w:val="center"/>
                    <w:rPr>
                      <w:color w:val="000000" w:themeColor="text1"/>
                      <w:sz w:val="21"/>
                      <w:szCs w:val="21"/>
                      <w:highlight w:val="none"/>
                      <w:u w:val="single"/>
                    </w:rPr>
                  </w:pPr>
                  <w:r>
                    <w:rPr>
                      <w:color w:val="000000" w:themeColor="text1"/>
                      <w:sz w:val="21"/>
                      <w:szCs w:val="21"/>
                      <w:highlight w:val="none"/>
                      <w:u w:val="single"/>
                    </w:rPr>
                    <w:t>垃圾箱</w:t>
                  </w:r>
                </w:p>
              </w:tc>
              <w:tc>
                <w:tcPr>
                  <w:tcW w:w="2995" w:type="dxa"/>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一般实验废液</w:t>
                  </w:r>
                </w:p>
              </w:tc>
              <w:tc>
                <w:tcPr>
                  <w:tcW w:w="2919" w:type="dxa"/>
                  <w:vMerge w:val="restart"/>
                  <w:vAlign w:val="center"/>
                </w:tcPr>
                <w:p>
                  <w:pPr>
                    <w:jc w:val="center"/>
                    <w:rPr>
                      <w:color w:val="000000" w:themeColor="text1"/>
                      <w:sz w:val="21"/>
                      <w:szCs w:val="21"/>
                      <w:highlight w:val="none"/>
                      <w:u w:val="single"/>
                    </w:rPr>
                  </w:pPr>
                  <w:r>
                    <w:rPr>
                      <w:color w:val="000000" w:themeColor="text1"/>
                      <w:sz w:val="21"/>
                      <w:szCs w:val="21"/>
                      <w:highlight w:val="none"/>
                      <w:u w:val="single"/>
                    </w:rPr>
                    <w:t>经分类暂存在约</w:t>
                  </w:r>
                  <w:r>
                    <w:rPr>
                      <w:rFonts w:hint="eastAsia"/>
                      <w:color w:val="000000" w:themeColor="text1"/>
                      <w:sz w:val="21"/>
                      <w:szCs w:val="21"/>
                      <w:highlight w:val="none"/>
                      <w:u w:val="single"/>
                    </w:rPr>
                    <w:t>12</w:t>
                  </w:r>
                  <w:r>
                    <w:rPr>
                      <w:color w:val="000000" w:themeColor="text1"/>
                      <w:sz w:val="21"/>
                      <w:szCs w:val="21"/>
                      <w:highlight w:val="none"/>
                      <w:u w:val="single"/>
                    </w:rPr>
                    <w:t>m</w:t>
                  </w:r>
                  <w:r>
                    <w:rPr>
                      <w:color w:val="000000" w:themeColor="text1"/>
                      <w:sz w:val="21"/>
                      <w:szCs w:val="21"/>
                      <w:highlight w:val="none"/>
                      <w:u w:val="single"/>
                      <w:vertAlign w:val="superscript"/>
                    </w:rPr>
                    <w:t>2</w:t>
                  </w:r>
                  <w:r>
                    <w:rPr>
                      <w:color w:val="000000" w:themeColor="text1"/>
                      <w:sz w:val="21"/>
                      <w:szCs w:val="21"/>
                      <w:highlight w:val="none"/>
                      <w:u w:val="single"/>
                    </w:rPr>
                    <w:t>的危险废物暂存间后委托</w:t>
                  </w:r>
                  <w:r>
                    <w:rPr>
                      <w:rFonts w:hint="eastAsia"/>
                      <w:color w:val="000000" w:themeColor="text1"/>
                      <w:sz w:val="21"/>
                      <w:szCs w:val="21"/>
                      <w:highlight w:val="none"/>
                      <w:u w:val="single"/>
                    </w:rPr>
                    <w:t>有资质单位</w:t>
                  </w:r>
                  <w:r>
                    <w:rPr>
                      <w:color w:val="000000" w:themeColor="text1"/>
                      <w:sz w:val="21"/>
                      <w:szCs w:val="21"/>
                      <w:highlight w:val="none"/>
                      <w:u w:val="single"/>
                    </w:rPr>
                    <w:t>进行处置</w:t>
                  </w:r>
                </w:p>
              </w:tc>
              <w:tc>
                <w:tcPr>
                  <w:tcW w:w="2995" w:type="dxa"/>
                  <w:vMerge w:val="restart"/>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pStyle w:val="120"/>
                    <w:adjustRightInd w:val="0"/>
                    <w:rPr>
                      <w:color w:val="000000" w:themeColor="text1"/>
                      <w:sz w:val="21"/>
                      <w:szCs w:val="21"/>
                      <w:highlight w:val="none"/>
                      <w:u w:val="single"/>
                    </w:rPr>
                  </w:pPr>
                  <w:r>
                    <w:rPr>
                      <w:color w:val="000000" w:themeColor="text1"/>
                      <w:sz w:val="21"/>
                      <w:szCs w:val="21"/>
                      <w:highlight w:val="none"/>
                      <w:u w:val="single"/>
                    </w:rPr>
                    <w:t>含重金属测量的实验废液</w:t>
                  </w:r>
                </w:p>
              </w:tc>
              <w:tc>
                <w:tcPr>
                  <w:tcW w:w="2919" w:type="dxa"/>
                  <w:vMerge w:val="continue"/>
                  <w:vAlign w:val="center"/>
                </w:tcPr>
                <w:p>
                  <w:pPr>
                    <w:jc w:val="center"/>
                    <w:rPr>
                      <w:color w:val="000000" w:themeColor="text1"/>
                      <w:sz w:val="21"/>
                      <w:szCs w:val="21"/>
                      <w:highlight w:val="none"/>
                      <w:u w:val="single"/>
                    </w:rPr>
                  </w:pPr>
                </w:p>
              </w:tc>
              <w:tc>
                <w:tcPr>
                  <w:tcW w:w="2995" w:type="dxa"/>
                  <w:vMerge w:val="continue"/>
                  <w:vAlign w:val="center"/>
                </w:tcPr>
                <w:p>
                  <w:pPr>
                    <w:jc w:val="center"/>
                    <w:rPr>
                      <w:color w:val="000000" w:themeColor="text1"/>
                      <w:sz w:val="21"/>
                      <w:szCs w:val="21"/>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pStyle w:val="120"/>
                    <w:adjustRightInd w:val="0"/>
                    <w:rPr>
                      <w:color w:val="000000" w:themeColor="text1"/>
                      <w:sz w:val="21"/>
                      <w:szCs w:val="21"/>
                      <w:highlight w:val="none"/>
                      <w:u w:val="single"/>
                    </w:rPr>
                  </w:pPr>
                  <w:r>
                    <w:rPr>
                      <w:color w:val="000000" w:themeColor="text1"/>
                      <w:sz w:val="21"/>
                      <w:szCs w:val="21"/>
                      <w:highlight w:val="none"/>
                      <w:u w:val="single"/>
                    </w:rPr>
                    <w:t>含重金属超标的废土壤样品或鉴别为危险废物的样品等固态物质</w:t>
                  </w:r>
                </w:p>
              </w:tc>
              <w:tc>
                <w:tcPr>
                  <w:tcW w:w="2919" w:type="dxa"/>
                  <w:vMerge w:val="continue"/>
                  <w:vAlign w:val="center"/>
                </w:tcPr>
                <w:p>
                  <w:pPr>
                    <w:jc w:val="center"/>
                    <w:rPr>
                      <w:color w:val="000000" w:themeColor="text1"/>
                      <w:sz w:val="21"/>
                      <w:szCs w:val="21"/>
                      <w:highlight w:val="none"/>
                      <w:u w:val="single"/>
                    </w:rPr>
                  </w:pPr>
                </w:p>
              </w:tc>
              <w:tc>
                <w:tcPr>
                  <w:tcW w:w="2995" w:type="dxa"/>
                  <w:vMerge w:val="continue"/>
                  <w:vAlign w:val="center"/>
                </w:tcPr>
                <w:p>
                  <w:pPr>
                    <w:jc w:val="center"/>
                    <w:rPr>
                      <w:color w:val="000000" w:themeColor="text1"/>
                      <w:sz w:val="21"/>
                      <w:szCs w:val="21"/>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pStyle w:val="120"/>
                    <w:adjustRightInd w:val="0"/>
                    <w:rPr>
                      <w:color w:val="000000" w:themeColor="text1"/>
                      <w:sz w:val="21"/>
                      <w:szCs w:val="21"/>
                      <w:highlight w:val="none"/>
                      <w:u w:val="single"/>
                    </w:rPr>
                  </w:pPr>
                  <w:r>
                    <w:rPr>
                      <w:color w:val="000000" w:themeColor="text1"/>
                      <w:sz w:val="21"/>
                      <w:szCs w:val="21"/>
                      <w:highlight w:val="none"/>
                      <w:u w:val="single"/>
                    </w:rPr>
                    <w:t>过期失效药剂</w:t>
                  </w:r>
                </w:p>
              </w:tc>
              <w:tc>
                <w:tcPr>
                  <w:tcW w:w="2919" w:type="dxa"/>
                  <w:vMerge w:val="continue"/>
                  <w:vAlign w:val="center"/>
                </w:tcPr>
                <w:p>
                  <w:pPr>
                    <w:jc w:val="center"/>
                    <w:rPr>
                      <w:color w:val="000000" w:themeColor="text1"/>
                      <w:sz w:val="21"/>
                      <w:szCs w:val="21"/>
                      <w:highlight w:val="none"/>
                      <w:u w:val="single"/>
                    </w:rPr>
                  </w:pPr>
                </w:p>
              </w:tc>
              <w:tc>
                <w:tcPr>
                  <w:tcW w:w="2995" w:type="dxa"/>
                  <w:vMerge w:val="continue"/>
                  <w:vAlign w:val="center"/>
                </w:tcPr>
                <w:p>
                  <w:pPr>
                    <w:jc w:val="center"/>
                    <w:rPr>
                      <w:color w:val="000000" w:themeColor="text1"/>
                      <w:sz w:val="21"/>
                      <w:szCs w:val="21"/>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pStyle w:val="120"/>
                    <w:adjustRightInd w:val="0"/>
                    <w:rPr>
                      <w:color w:val="000000" w:themeColor="text1"/>
                      <w:sz w:val="21"/>
                      <w:szCs w:val="21"/>
                      <w:highlight w:val="none"/>
                      <w:u w:val="single"/>
                    </w:rPr>
                  </w:pPr>
                  <w:r>
                    <w:rPr>
                      <w:color w:val="000000" w:themeColor="text1"/>
                      <w:sz w:val="21"/>
                      <w:szCs w:val="21"/>
                      <w:highlight w:val="none"/>
                      <w:u w:val="single"/>
                    </w:rPr>
                    <w:t>化学品废弃容器</w:t>
                  </w:r>
                </w:p>
              </w:tc>
              <w:tc>
                <w:tcPr>
                  <w:tcW w:w="2919" w:type="dxa"/>
                  <w:vMerge w:val="continue"/>
                  <w:vAlign w:val="center"/>
                </w:tcPr>
                <w:p>
                  <w:pPr>
                    <w:jc w:val="center"/>
                    <w:rPr>
                      <w:color w:val="000000" w:themeColor="text1"/>
                      <w:sz w:val="21"/>
                      <w:szCs w:val="21"/>
                      <w:highlight w:val="none"/>
                      <w:u w:val="single"/>
                    </w:rPr>
                  </w:pPr>
                </w:p>
              </w:tc>
              <w:tc>
                <w:tcPr>
                  <w:tcW w:w="2995" w:type="dxa"/>
                  <w:vMerge w:val="continue"/>
                  <w:vAlign w:val="center"/>
                </w:tcPr>
                <w:p>
                  <w:pPr>
                    <w:jc w:val="center"/>
                    <w:rPr>
                      <w:color w:val="000000" w:themeColor="text1"/>
                      <w:sz w:val="21"/>
                      <w:szCs w:val="21"/>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pStyle w:val="120"/>
                    <w:adjustRightInd w:val="0"/>
                    <w:rPr>
                      <w:color w:val="000000" w:themeColor="text1"/>
                      <w:sz w:val="21"/>
                      <w:szCs w:val="21"/>
                      <w:highlight w:val="none"/>
                      <w:u w:val="single"/>
                    </w:rPr>
                  </w:pPr>
                  <w:r>
                    <w:rPr>
                      <w:color w:val="000000" w:themeColor="text1"/>
                      <w:sz w:val="21"/>
                      <w:szCs w:val="21"/>
                      <w:highlight w:val="none"/>
                      <w:u w:val="single"/>
                    </w:rPr>
                    <w:t>废生物培养基</w:t>
                  </w:r>
                </w:p>
              </w:tc>
              <w:tc>
                <w:tcPr>
                  <w:tcW w:w="2919" w:type="dxa"/>
                  <w:vAlign w:val="center"/>
                </w:tcPr>
                <w:p>
                  <w:pPr>
                    <w:jc w:val="center"/>
                    <w:rPr>
                      <w:color w:val="000000" w:themeColor="text1"/>
                      <w:sz w:val="21"/>
                      <w:szCs w:val="21"/>
                      <w:highlight w:val="none"/>
                      <w:u w:val="single"/>
                    </w:rPr>
                  </w:pPr>
                  <w:r>
                    <w:rPr>
                      <w:color w:val="000000" w:themeColor="text1"/>
                      <w:sz w:val="21"/>
                      <w:szCs w:val="21"/>
                      <w:highlight w:val="none"/>
                      <w:u w:val="single"/>
                    </w:rPr>
                    <w:t>经高压灭菌锅灭活处理后与生活垃圾一并由当地环卫部门处置</w:t>
                  </w:r>
                </w:p>
              </w:tc>
              <w:tc>
                <w:tcPr>
                  <w:tcW w:w="2995" w:type="dxa"/>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651" w:type="dxa"/>
                  <w:vMerge w:val="continue"/>
                  <w:vAlign w:val="center"/>
                </w:tcPr>
                <w:p>
                  <w:pPr>
                    <w:jc w:val="center"/>
                    <w:rPr>
                      <w:color w:val="000000" w:themeColor="text1"/>
                      <w:sz w:val="21"/>
                      <w:szCs w:val="21"/>
                      <w:highlight w:val="none"/>
                      <w:u w:val="single"/>
                    </w:rPr>
                  </w:pPr>
                </w:p>
              </w:tc>
              <w:tc>
                <w:tcPr>
                  <w:tcW w:w="2452" w:type="dxa"/>
                  <w:vAlign w:val="center"/>
                </w:tcPr>
                <w:p>
                  <w:pPr>
                    <w:pStyle w:val="120"/>
                    <w:adjustRightInd w:val="0"/>
                    <w:rPr>
                      <w:color w:val="000000" w:themeColor="text1"/>
                      <w:sz w:val="21"/>
                      <w:szCs w:val="21"/>
                      <w:highlight w:val="none"/>
                      <w:u w:val="single"/>
                    </w:rPr>
                  </w:pPr>
                  <w:r>
                    <w:rPr>
                      <w:color w:val="000000" w:themeColor="text1"/>
                      <w:sz w:val="21"/>
                      <w:szCs w:val="21"/>
                      <w:highlight w:val="none"/>
                      <w:u w:val="single"/>
                    </w:rPr>
                    <w:t>不含危险化学品的废纸箱、废塑料、玻璃瓶、不含重金属或重金属未超标的废土壤样品等固态物质等</w:t>
                  </w:r>
                </w:p>
              </w:tc>
              <w:tc>
                <w:tcPr>
                  <w:tcW w:w="2919" w:type="dxa"/>
                  <w:vAlign w:val="center"/>
                </w:tcPr>
                <w:p>
                  <w:pPr>
                    <w:jc w:val="center"/>
                    <w:rPr>
                      <w:color w:val="000000" w:themeColor="text1"/>
                      <w:sz w:val="21"/>
                      <w:szCs w:val="21"/>
                      <w:highlight w:val="none"/>
                      <w:u w:val="single"/>
                    </w:rPr>
                  </w:pPr>
                  <w:r>
                    <w:rPr>
                      <w:color w:val="000000" w:themeColor="text1"/>
                      <w:sz w:val="21"/>
                      <w:szCs w:val="21"/>
                      <w:highlight w:val="none"/>
                      <w:u w:val="single"/>
                    </w:rPr>
                    <w:t>废纸箱、玻璃瓶由废品回收站回收，废塑料、不含重金属或重金属未超标的废土壤样品等固态物质作为生活垃圾由环卫部门统一收集处置</w:t>
                  </w:r>
                </w:p>
              </w:tc>
              <w:tc>
                <w:tcPr>
                  <w:tcW w:w="2995" w:type="dxa"/>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资源化、无害化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5" w:hRule="atLeast"/>
                <w:jc w:val="center"/>
              </w:trPr>
              <w:tc>
                <w:tcPr>
                  <w:tcW w:w="651" w:type="dxa"/>
                  <w:vAlign w:val="center"/>
                </w:tcPr>
                <w:p>
                  <w:pPr>
                    <w:jc w:val="center"/>
                    <w:rPr>
                      <w:color w:val="000000" w:themeColor="text1"/>
                      <w:sz w:val="21"/>
                      <w:szCs w:val="21"/>
                      <w:highlight w:val="none"/>
                      <w:u w:val="single"/>
                    </w:rPr>
                  </w:pPr>
                  <w:r>
                    <w:rPr>
                      <w:color w:val="000000" w:themeColor="text1"/>
                      <w:sz w:val="21"/>
                      <w:szCs w:val="21"/>
                      <w:highlight w:val="none"/>
                      <w:u w:val="single"/>
                    </w:rPr>
                    <w:t>噪声</w:t>
                  </w:r>
                </w:p>
              </w:tc>
              <w:tc>
                <w:tcPr>
                  <w:tcW w:w="2452" w:type="dxa"/>
                  <w:vAlign w:val="center"/>
                </w:tcPr>
                <w:p>
                  <w:pPr>
                    <w:jc w:val="center"/>
                    <w:rPr>
                      <w:color w:val="000000" w:themeColor="text1"/>
                      <w:sz w:val="21"/>
                      <w:szCs w:val="21"/>
                      <w:highlight w:val="none"/>
                      <w:u w:val="single"/>
                    </w:rPr>
                  </w:pPr>
                  <w:r>
                    <w:rPr>
                      <w:color w:val="000000" w:themeColor="text1"/>
                      <w:sz w:val="21"/>
                      <w:szCs w:val="21"/>
                      <w:highlight w:val="none"/>
                      <w:u w:val="single"/>
                    </w:rPr>
                    <w:t>厂界</w:t>
                  </w:r>
                </w:p>
                <w:p>
                  <w:pPr>
                    <w:jc w:val="center"/>
                    <w:rPr>
                      <w:color w:val="000000" w:themeColor="text1"/>
                      <w:sz w:val="21"/>
                      <w:szCs w:val="21"/>
                      <w:highlight w:val="none"/>
                      <w:u w:val="single"/>
                    </w:rPr>
                  </w:pPr>
                  <w:r>
                    <w:rPr>
                      <w:color w:val="000000" w:themeColor="text1"/>
                      <w:sz w:val="21"/>
                      <w:szCs w:val="21"/>
                      <w:highlight w:val="none"/>
                      <w:u w:val="single"/>
                    </w:rPr>
                    <w:t>噪声</w:t>
                  </w:r>
                </w:p>
              </w:tc>
              <w:tc>
                <w:tcPr>
                  <w:tcW w:w="2919" w:type="dxa"/>
                  <w:vAlign w:val="center"/>
                </w:tcPr>
                <w:p>
                  <w:pPr>
                    <w:jc w:val="center"/>
                    <w:rPr>
                      <w:color w:val="000000" w:themeColor="text1"/>
                      <w:sz w:val="21"/>
                      <w:szCs w:val="21"/>
                      <w:highlight w:val="none"/>
                      <w:u w:val="single"/>
                    </w:rPr>
                  </w:pPr>
                  <w:r>
                    <w:rPr>
                      <w:color w:val="000000" w:themeColor="text1"/>
                      <w:sz w:val="21"/>
                      <w:szCs w:val="21"/>
                      <w:highlight w:val="none"/>
                      <w:u w:val="single"/>
                    </w:rPr>
                    <w:t>基础减振、隔声等降噪措施</w:t>
                  </w:r>
                </w:p>
              </w:tc>
              <w:tc>
                <w:tcPr>
                  <w:tcW w:w="2995" w:type="dxa"/>
                  <w:vAlign w:val="center"/>
                </w:tcPr>
                <w:p>
                  <w:pPr>
                    <w:jc w:val="center"/>
                    <w:rPr>
                      <w:color w:val="000000" w:themeColor="text1"/>
                      <w:sz w:val="21"/>
                      <w:szCs w:val="21"/>
                      <w:highlight w:val="none"/>
                      <w:u w:val="single"/>
                    </w:rPr>
                  </w:pPr>
                  <w:r>
                    <w:rPr>
                      <w:color w:val="000000" w:themeColor="text1"/>
                      <w:sz w:val="21"/>
                      <w:szCs w:val="21"/>
                      <w:highlight w:val="none"/>
                      <w:u w:val="single"/>
                    </w:rPr>
                    <w:t>《工业企业厂界环境噪声排放标准》（GB12348-2008）中</w:t>
                  </w:r>
                  <w:r>
                    <w:rPr>
                      <w:rFonts w:hint="eastAsia"/>
                      <w:color w:val="000000" w:themeColor="text1"/>
                      <w:sz w:val="21"/>
                      <w:szCs w:val="21"/>
                      <w:highlight w:val="none"/>
                      <w:u w:val="single"/>
                      <w:lang w:val="en-US" w:eastAsia="zh-CN"/>
                    </w:rPr>
                    <w:t>3</w:t>
                  </w:r>
                  <w:r>
                    <w:rPr>
                      <w:color w:val="000000" w:themeColor="text1"/>
                      <w:sz w:val="21"/>
                      <w:szCs w:val="21"/>
                      <w:highlight w:val="none"/>
                      <w:u w:val="single"/>
                    </w:rPr>
                    <w:t>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5" w:hRule="atLeast"/>
                <w:jc w:val="center"/>
              </w:trPr>
              <w:tc>
                <w:tcPr>
                  <w:tcW w:w="3103" w:type="dxa"/>
                  <w:gridSpan w:val="2"/>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环境风险</w:t>
                  </w:r>
                </w:p>
              </w:tc>
              <w:tc>
                <w:tcPr>
                  <w:tcW w:w="2919" w:type="dxa"/>
                  <w:vAlign w:val="center"/>
                </w:tcPr>
                <w:p>
                  <w:pPr>
                    <w:jc w:val="center"/>
                    <w:rPr>
                      <w:color w:val="000000" w:themeColor="text1"/>
                      <w:sz w:val="21"/>
                      <w:szCs w:val="21"/>
                      <w:highlight w:val="none"/>
                      <w:u w:val="single"/>
                    </w:rPr>
                  </w:pPr>
                  <w:r>
                    <w:rPr>
                      <w:color w:val="000000" w:themeColor="text1"/>
                      <w:sz w:val="21"/>
                      <w:szCs w:val="21"/>
                      <w:highlight w:val="none"/>
                      <w:u w:val="single"/>
                    </w:rPr>
                    <w:t>检查是否配备防毒口罩或手套等个人防护用品，是否配备常用灭火器、消火栓等</w:t>
                  </w:r>
                </w:p>
              </w:tc>
              <w:tc>
                <w:tcPr>
                  <w:tcW w:w="2995" w:type="dxa"/>
                  <w:vAlign w:val="center"/>
                </w:tcPr>
                <w:p>
                  <w:pPr>
                    <w:jc w:val="center"/>
                    <w:rPr>
                      <w:color w:val="000000" w:themeColor="text1"/>
                      <w:sz w:val="21"/>
                      <w:szCs w:val="21"/>
                      <w:highlight w:val="none"/>
                      <w:u w:val="single"/>
                    </w:rPr>
                  </w:pPr>
                  <w:r>
                    <w:rPr>
                      <w:rFonts w:hint="eastAsia"/>
                      <w:color w:val="000000" w:themeColor="text1"/>
                      <w:sz w:val="21"/>
                      <w:szCs w:val="21"/>
                      <w:highlight w:val="none"/>
                      <w:u w:val="single"/>
                    </w:rPr>
                    <w:t>/</w:t>
                  </w:r>
                </w:p>
              </w:tc>
            </w:tr>
          </w:tbl>
          <w:p>
            <w:pPr>
              <w:pStyle w:val="2"/>
              <w:ind w:firstLine="0" w:firstLineChars="0"/>
              <w:rPr>
                <w:bCs/>
                <w:color w:val="000000" w:themeColor="text1"/>
                <w:szCs w:val="24"/>
                <w:highlight w:val="red"/>
              </w:rPr>
            </w:pPr>
          </w:p>
          <w:p>
            <w:pPr>
              <w:pStyle w:val="2"/>
              <w:ind w:firstLine="0" w:firstLineChars="0"/>
              <w:rPr>
                <w:bCs/>
                <w:color w:val="000000" w:themeColor="text1"/>
                <w:szCs w:val="24"/>
                <w:highlight w:val="red"/>
              </w:rPr>
            </w:pPr>
          </w:p>
          <w:p>
            <w:pPr>
              <w:pStyle w:val="2"/>
              <w:ind w:firstLine="0" w:firstLineChars="0"/>
              <w:rPr>
                <w:bCs/>
                <w:color w:val="000000" w:themeColor="text1"/>
                <w:szCs w:val="24"/>
                <w:highlight w:val="red"/>
              </w:rPr>
            </w:pPr>
          </w:p>
          <w:p>
            <w:pPr>
              <w:pStyle w:val="2"/>
              <w:ind w:firstLine="0" w:firstLineChars="0"/>
              <w:rPr>
                <w:bCs/>
                <w:color w:val="000000" w:themeColor="text1"/>
                <w:szCs w:val="24"/>
                <w:highlight w:val="red"/>
              </w:rPr>
            </w:pPr>
          </w:p>
        </w:tc>
      </w:tr>
    </w:tbl>
    <w:p>
      <w:pPr>
        <w:rPr>
          <w:b/>
          <w:bCs/>
          <w:color w:val="000000" w:themeColor="text1"/>
          <w:sz w:val="30"/>
          <w:szCs w:val="30"/>
          <w:highlight w:val="red"/>
        </w:rPr>
        <w:sectPr>
          <w:pgSz w:w="11907" w:h="16840"/>
          <w:pgMar w:top="1418" w:right="1418" w:bottom="1134" w:left="1418" w:header="1134" w:footer="1134" w:gutter="0"/>
          <w:pgNumType w:fmt="decimal"/>
          <w:cols w:space="720" w:num="1"/>
          <w:docGrid w:type="linesAndChars" w:linePitch="312" w:charSpace="0"/>
        </w:sectPr>
      </w:pPr>
    </w:p>
    <w:p>
      <w:pPr>
        <w:spacing w:line="360" w:lineRule="auto"/>
        <w:outlineLvl w:val="0"/>
        <w:rPr>
          <w:b/>
          <w:bCs/>
          <w:color w:val="000000" w:themeColor="text1"/>
          <w:sz w:val="30"/>
          <w:highlight w:val="none"/>
          <w:u w:val="none"/>
        </w:rPr>
      </w:pPr>
      <w:bookmarkStart w:id="25" w:name="_Toc19826"/>
      <w:r>
        <w:rPr>
          <w:b/>
          <w:bCs/>
          <w:color w:val="000000" w:themeColor="text1"/>
          <w:sz w:val="30"/>
          <w:szCs w:val="30"/>
          <w:highlight w:val="none"/>
          <w:u w:val="none"/>
        </w:rPr>
        <w:t>建设项目拟采取的防治措施及预期治理效果</w:t>
      </w:r>
      <w:bookmarkEnd w:id="25"/>
    </w:p>
    <w:tbl>
      <w:tblPr>
        <w:tblStyle w:val="34"/>
        <w:tblW w:w="95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7"/>
        <w:gridCol w:w="1250"/>
        <w:gridCol w:w="1835"/>
        <w:gridCol w:w="1650"/>
        <w:gridCol w:w="2152"/>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57" w:type="dxa"/>
            <w:gridSpan w:val="2"/>
            <w:tcBorders>
              <w:tl2br w:val="single" w:color="auto" w:sz="4" w:space="0"/>
            </w:tcBorders>
            <w:tcMar>
              <w:left w:w="0" w:type="dxa"/>
              <w:right w:w="0" w:type="dxa"/>
            </w:tcMar>
            <w:vAlign w:val="center"/>
          </w:tcPr>
          <w:p>
            <w:pPr>
              <w:spacing w:line="400" w:lineRule="exact"/>
              <w:ind w:firstLine="630" w:firstLineChars="300"/>
              <w:jc w:val="center"/>
              <w:rPr>
                <w:color w:val="000000" w:themeColor="text1"/>
                <w:sz w:val="21"/>
                <w:szCs w:val="21"/>
                <w:highlight w:val="none"/>
                <w:u w:val="none"/>
              </w:rPr>
            </w:pPr>
            <w:r>
              <w:rPr>
                <w:color w:val="000000" w:themeColor="text1"/>
                <w:sz w:val="21"/>
                <w:szCs w:val="21"/>
                <w:highlight w:val="none"/>
                <w:u w:val="none"/>
              </w:rPr>
              <w:t>内容</w:t>
            </w:r>
          </w:p>
          <w:p>
            <w:pPr>
              <w:spacing w:line="400" w:lineRule="exact"/>
              <w:rPr>
                <w:color w:val="000000" w:themeColor="text1"/>
                <w:sz w:val="21"/>
                <w:szCs w:val="21"/>
                <w:highlight w:val="none"/>
                <w:u w:val="none"/>
              </w:rPr>
            </w:pPr>
            <w:r>
              <w:rPr>
                <w:color w:val="000000" w:themeColor="text1"/>
                <w:sz w:val="21"/>
                <w:szCs w:val="21"/>
                <w:highlight w:val="none"/>
                <w:u w:val="none"/>
              </w:rPr>
              <w:t>类型</w:t>
            </w:r>
          </w:p>
        </w:tc>
        <w:tc>
          <w:tcPr>
            <w:tcW w:w="1835" w:type="dxa"/>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排放源（编号）</w:t>
            </w:r>
          </w:p>
        </w:tc>
        <w:tc>
          <w:tcPr>
            <w:tcW w:w="1650" w:type="dxa"/>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污染物名称</w:t>
            </w:r>
          </w:p>
        </w:tc>
        <w:tc>
          <w:tcPr>
            <w:tcW w:w="2152" w:type="dxa"/>
            <w:tcBorders>
              <w:bottom w:val="single" w:color="auto" w:sz="4" w:space="0"/>
            </w:tcBorders>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防治措施</w:t>
            </w:r>
          </w:p>
        </w:tc>
        <w:tc>
          <w:tcPr>
            <w:tcW w:w="2294" w:type="dxa"/>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预防治理效果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restart"/>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r>
              <w:rPr>
                <w:color w:val="000000" w:themeColor="text1"/>
                <w:sz w:val="21"/>
                <w:szCs w:val="21"/>
                <w:highlight w:val="none"/>
                <w:u w:val="none"/>
              </w:rPr>
              <w:t>营     运     期</w:t>
            </w:r>
          </w:p>
        </w:tc>
        <w:tc>
          <w:tcPr>
            <w:tcW w:w="1250" w:type="dxa"/>
            <w:vMerge w:val="restart"/>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空气污染物</w:t>
            </w:r>
          </w:p>
        </w:tc>
        <w:tc>
          <w:tcPr>
            <w:tcW w:w="1835" w:type="dxa"/>
            <w:vMerge w:val="restart"/>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实验室</w:t>
            </w:r>
          </w:p>
        </w:tc>
        <w:tc>
          <w:tcPr>
            <w:tcW w:w="1650" w:type="dxa"/>
            <w:tcMar>
              <w:left w:w="0" w:type="dxa"/>
              <w:right w:w="0" w:type="dxa"/>
            </w:tcMar>
            <w:vAlign w:val="center"/>
          </w:tcPr>
          <w:p>
            <w:pPr>
              <w:spacing w:line="400" w:lineRule="exact"/>
              <w:jc w:val="center"/>
              <w:rPr>
                <w:color w:val="000000" w:themeColor="text1"/>
                <w:sz w:val="21"/>
                <w:szCs w:val="21"/>
                <w:highlight w:val="none"/>
                <w:u w:val="none"/>
                <w:vertAlign w:val="subscript"/>
              </w:rPr>
            </w:pPr>
            <w:r>
              <w:rPr>
                <w:rFonts w:hint="eastAsia"/>
                <w:color w:val="000000" w:themeColor="text1"/>
                <w:sz w:val="21"/>
                <w:szCs w:val="21"/>
                <w:highlight w:val="none"/>
                <w:u w:val="none"/>
              </w:rPr>
              <w:t>异味</w:t>
            </w:r>
          </w:p>
        </w:tc>
        <w:tc>
          <w:tcPr>
            <w:tcW w:w="2152" w:type="dxa"/>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加强通风</w:t>
            </w:r>
          </w:p>
        </w:tc>
        <w:tc>
          <w:tcPr>
            <w:tcW w:w="2294" w:type="dxa"/>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650" w:type="dxa"/>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酸雾</w:t>
            </w:r>
          </w:p>
        </w:tc>
        <w:tc>
          <w:tcPr>
            <w:tcW w:w="2152" w:type="dxa"/>
            <w:vMerge w:val="restart"/>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集气罩或通风橱+酸雾净化塔+15m高排气筒</w:t>
            </w:r>
          </w:p>
        </w:tc>
        <w:tc>
          <w:tcPr>
            <w:tcW w:w="2294" w:type="dxa"/>
            <w:vMerge w:val="restart"/>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restart"/>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水污染物</w:t>
            </w:r>
          </w:p>
        </w:tc>
        <w:tc>
          <w:tcPr>
            <w:tcW w:w="1835" w:type="dxa"/>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生活废水</w:t>
            </w:r>
          </w:p>
          <w:p>
            <w:pPr>
              <w:spacing w:line="400" w:lineRule="exact"/>
              <w:jc w:val="center"/>
              <w:rPr>
                <w:color w:val="000000" w:themeColor="text1"/>
                <w:sz w:val="21"/>
                <w:szCs w:val="21"/>
                <w:highlight w:val="none"/>
                <w:u w:val="none"/>
              </w:rPr>
            </w:pPr>
          </w:p>
        </w:tc>
        <w:tc>
          <w:tcPr>
            <w:tcW w:w="1650" w:type="dxa"/>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pH</w:t>
            </w:r>
            <w:r>
              <w:rPr>
                <w:rFonts w:hint="eastAsia"/>
                <w:color w:val="000000" w:themeColor="text1"/>
                <w:sz w:val="21"/>
                <w:szCs w:val="21"/>
                <w:highlight w:val="none"/>
                <w:u w:val="none"/>
              </w:rPr>
              <w:t>、</w:t>
            </w:r>
            <w:r>
              <w:rPr>
                <w:color w:val="000000" w:themeColor="text1"/>
                <w:sz w:val="21"/>
                <w:szCs w:val="21"/>
                <w:highlight w:val="none"/>
                <w:u w:val="none"/>
              </w:rPr>
              <w:t>COD</w:t>
            </w:r>
            <w:r>
              <w:rPr>
                <w:rFonts w:hint="eastAsia"/>
                <w:color w:val="000000" w:themeColor="text1"/>
                <w:sz w:val="21"/>
                <w:szCs w:val="21"/>
                <w:highlight w:val="none"/>
                <w:u w:val="none"/>
              </w:rPr>
              <w:t>、</w:t>
            </w:r>
            <w:r>
              <w:rPr>
                <w:color w:val="000000" w:themeColor="text1"/>
                <w:sz w:val="21"/>
                <w:szCs w:val="21"/>
                <w:highlight w:val="none"/>
                <w:u w:val="none"/>
              </w:rPr>
              <w:t>BOD</w:t>
            </w:r>
            <w:r>
              <w:rPr>
                <w:color w:val="000000" w:themeColor="text1"/>
                <w:sz w:val="21"/>
                <w:szCs w:val="21"/>
                <w:highlight w:val="none"/>
                <w:u w:val="none"/>
                <w:vertAlign w:val="subscript"/>
              </w:rPr>
              <w:t>5</w:t>
            </w:r>
            <w:r>
              <w:rPr>
                <w:rFonts w:hint="eastAsia"/>
                <w:color w:val="000000" w:themeColor="text1"/>
                <w:sz w:val="21"/>
                <w:szCs w:val="21"/>
                <w:highlight w:val="none"/>
                <w:u w:val="none"/>
              </w:rPr>
              <w:t>、</w:t>
            </w:r>
            <w:r>
              <w:rPr>
                <w:color w:val="000000" w:themeColor="text1"/>
                <w:sz w:val="21"/>
                <w:szCs w:val="21"/>
                <w:highlight w:val="none"/>
                <w:u w:val="none"/>
              </w:rPr>
              <w:t>SS</w:t>
            </w:r>
            <w:r>
              <w:rPr>
                <w:rFonts w:hint="eastAsia"/>
                <w:color w:val="000000" w:themeColor="text1"/>
                <w:sz w:val="21"/>
                <w:szCs w:val="21"/>
                <w:highlight w:val="none"/>
                <w:u w:val="none"/>
              </w:rPr>
              <w:t>、</w:t>
            </w:r>
            <w:r>
              <w:rPr>
                <w:color w:val="000000" w:themeColor="text1"/>
                <w:sz w:val="21"/>
                <w:szCs w:val="21"/>
                <w:highlight w:val="none"/>
                <w:u w:val="none"/>
              </w:rPr>
              <w:t>NH</w:t>
            </w:r>
            <w:r>
              <w:rPr>
                <w:color w:val="000000" w:themeColor="text1"/>
                <w:sz w:val="21"/>
                <w:szCs w:val="21"/>
                <w:highlight w:val="none"/>
                <w:u w:val="none"/>
                <w:vertAlign w:val="subscript"/>
              </w:rPr>
              <w:t>3</w:t>
            </w:r>
            <w:r>
              <w:rPr>
                <w:color w:val="000000" w:themeColor="text1"/>
                <w:sz w:val="21"/>
                <w:szCs w:val="21"/>
                <w:highlight w:val="none"/>
                <w:u w:val="none"/>
              </w:rPr>
              <w:t>-N</w:t>
            </w:r>
          </w:p>
        </w:tc>
        <w:tc>
          <w:tcPr>
            <w:tcW w:w="2152" w:type="dxa"/>
            <w:vMerge w:val="restart"/>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依托</w:t>
            </w:r>
            <w:r>
              <w:rPr>
                <w:rFonts w:hint="eastAsia"/>
                <w:color w:val="000000" w:themeColor="text1"/>
                <w:sz w:val="21"/>
                <w:szCs w:val="21"/>
                <w:highlight w:val="none"/>
                <w:u w:val="none"/>
                <w:lang w:eastAsia="zh-CN"/>
              </w:rPr>
              <w:t>湖南奇思环保设备制造有限公司</w:t>
            </w:r>
            <w:r>
              <w:rPr>
                <w:color w:val="000000" w:themeColor="text1"/>
                <w:sz w:val="21"/>
                <w:szCs w:val="21"/>
                <w:highlight w:val="none"/>
                <w:u w:val="none"/>
              </w:rPr>
              <w:t xml:space="preserve">化粪池处理后排入市政污水管网 </w:t>
            </w:r>
          </w:p>
        </w:tc>
        <w:tc>
          <w:tcPr>
            <w:tcW w:w="2294" w:type="dxa"/>
            <w:vMerge w:val="restart"/>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ind w:left="128" w:leftChars="40"/>
              <w:jc w:val="center"/>
              <w:rPr>
                <w:color w:val="000000" w:themeColor="text1"/>
                <w:sz w:val="21"/>
                <w:szCs w:val="21"/>
                <w:highlight w:val="none"/>
                <w:u w:val="none"/>
              </w:rPr>
            </w:pPr>
          </w:p>
        </w:tc>
        <w:tc>
          <w:tcPr>
            <w:tcW w:w="1835" w:type="dxa"/>
            <w:tcMar>
              <w:left w:w="0" w:type="dxa"/>
              <w:right w:w="0" w:type="dxa"/>
            </w:tcMar>
            <w:vAlign w:val="center"/>
          </w:tcPr>
          <w:p>
            <w:pPr>
              <w:spacing w:line="400" w:lineRule="exact"/>
              <w:ind w:left="40"/>
              <w:jc w:val="center"/>
              <w:rPr>
                <w:color w:val="000000" w:themeColor="text1"/>
                <w:spacing w:val="-4"/>
                <w:sz w:val="21"/>
                <w:szCs w:val="21"/>
                <w:highlight w:val="none"/>
                <w:u w:val="none"/>
              </w:rPr>
            </w:pPr>
            <w:r>
              <w:rPr>
                <w:rFonts w:hint="eastAsia"/>
                <w:color w:val="000000" w:themeColor="text1"/>
                <w:spacing w:val="-4"/>
                <w:sz w:val="21"/>
                <w:szCs w:val="21"/>
                <w:highlight w:val="none"/>
                <w:u w:val="none"/>
              </w:rPr>
              <w:t>纯水制备尾水</w:t>
            </w:r>
          </w:p>
          <w:p>
            <w:pPr>
              <w:spacing w:line="400" w:lineRule="exact"/>
              <w:ind w:left="40"/>
              <w:jc w:val="center"/>
              <w:rPr>
                <w:color w:val="000000" w:themeColor="text1"/>
                <w:sz w:val="21"/>
                <w:szCs w:val="21"/>
                <w:highlight w:val="none"/>
                <w:u w:val="none"/>
              </w:rPr>
            </w:pPr>
          </w:p>
        </w:tc>
        <w:tc>
          <w:tcPr>
            <w:tcW w:w="1650" w:type="dxa"/>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pH</w:t>
            </w:r>
            <w:r>
              <w:rPr>
                <w:rFonts w:hint="eastAsia"/>
                <w:color w:val="000000" w:themeColor="text1"/>
                <w:sz w:val="21"/>
                <w:szCs w:val="21"/>
                <w:highlight w:val="none"/>
                <w:u w:val="none"/>
              </w:rPr>
              <w:t>、</w:t>
            </w:r>
            <w:r>
              <w:rPr>
                <w:color w:val="000000" w:themeColor="text1"/>
                <w:sz w:val="21"/>
                <w:szCs w:val="21"/>
                <w:highlight w:val="none"/>
                <w:u w:val="none"/>
              </w:rPr>
              <w:t>COD</w:t>
            </w:r>
            <w:r>
              <w:rPr>
                <w:rFonts w:hint="eastAsia"/>
                <w:color w:val="000000" w:themeColor="text1"/>
                <w:sz w:val="21"/>
                <w:szCs w:val="21"/>
                <w:highlight w:val="none"/>
                <w:u w:val="none"/>
              </w:rPr>
              <w:t>、</w:t>
            </w:r>
            <w:r>
              <w:rPr>
                <w:color w:val="000000" w:themeColor="text1"/>
                <w:sz w:val="21"/>
                <w:szCs w:val="21"/>
                <w:highlight w:val="none"/>
                <w:u w:val="none"/>
              </w:rPr>
              <w:t>BOD</w:t>
            </w:r>
            <w:r>
              <w:rPr>
                <w:color w:val="000000" w:themeColor="text1"/>
                <w:sz w:val="21"/>
                <w:szCs w:val="21"/>
                <w:highlight w:val="none"/>
                <w:u w:val="none"/>
                <w:vertAlign w:val="subscript"/>
              </w:rPr>
              <w:t>5</w:t>
            </w:r>
            <w:r>
              <w:rPr>
                <w:rFonts w:hint="eastAsia"/>
                <w:color w:val="000000" w:themeColor="text1"/>
                <w:sz w:val="21"/>
                <w:szCs w:val="21"/>
                <w:highlight w:val="none"/>
                <w:u w:val="none"/>
              </w:rPr>
              <w:t>、</w:t>
            </w:r>
            <w:r>
              <w:rPr>
                <w:color w:val="000000" w:themeColor="text1"/>
                <w:sz w:val="21"/>
                <w:szCs w:val="21"/>
                <w:highlight w:val="none"/>
                <w:u w:val="none"/>
              </w:rPr>
              <w:t>SS</w:t>
            </w:r>
            <w:r>
              <w:rPr>
                <w:rFonts w:hint="eastAsia"/>
                <w:color w:val="000000" w:themeColor="text1"/>
                <w:sz w:val="21"/>
                <w:szCs w:val="21"/>
                <w:highlight w:val="none"/>
                <w:u w:val="none"/>
              </w:rPr>
              <w:t>、</w:t>
            </w:r>
            <w:r>
              <w:rPr>
                <w:color w:val="000000" w:themeColor="text1"/>
                <w:sz w:val="21"/>
                <w:szCs w:val="21"/>
                <w:highlight w:val="none"/>
                <w:u w:val="none"/>
              </w:rPr>
              <w:t>NH</w:t>
            </w:r>
            <w:r>
              <w:rPr>
                <w:color w:val="000000" w:themeColor="text1"/>
                <w:sz w:val="21"/>
                <w:szCs w:val="21"/>
                <w:highlight w:val="none"/>
                <w:u w:val="none"/>
                <w:vertAlign w:val="subscript"/>
              </w:rPr>
              <w:t>3</w:t>
            </w:r>
            <w:r>
              <w:rPr>
                <w:color w:val="000000" w:themeColor="text1"/>
                <w:sz w:val="21"/>
                <w:szCs w:val="21"/>
                <w:highlight w:val="none"/>
                <w:u w:val="none"/>
              </w:rPr>
              <w:t>-N</w:t>
            </w:r>
          </w:p>
        </w:tc>
        <w:tc>
          <w:tcPr>
            <w:tcW w:w="2152"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2294"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ind w:left="128" w:leftChars="40"/>
              <w:jc w:val="center"/>
              <w:rPr>
                <w:color w:val="000000" w:themeColor="text1"/>
                <w:sz w:val="21"/>
                <w:szCs w:val="21"/>
                <w:highlight w:val="none"/>
                <w:u w:val="none"/>
              </w:rPr>
            </w:pPr>
          </w:p>
        </w:tc>
        <w:tc>
          <w:tcPr>
            <w:tcW w:w="1835" w:type="dxa"/>
            <w:tcMar>
              <w:left w:w="0" w:type="dxa"/>
              <w:right w:w="0" w:type="dxa"/>
            </w:tcMar>
            <w:vAlign w:val="center"/>
          </w:tcPr>
          <w:p>
            <w:pPr>
              <w:spacing w:line="400" w:lineRule="exact"/>
              <w:ind w:left="40"/>
              <w:jc w:val="center"/>
              <w:rPr>
                <w:color w:val="000000" w:themeColor="text1"/>
                <w:spacing w:val="-4"/>
                <w:sz w:val="21"/>
                <w:szCs w:val="21"/>
                <w:highlight w:val="none"/>
                <w:u w:val="none"/>
              </w:rPr>
            </w:pPr>
            <w:r>
              <w:rPr>
                <w:color w:val="000000" w:themeColor="text1"/>
                <w:spacing w:val="-4"/>
                <w:sz w:val="21"/>
                <w:szCs w:val="21"/>
                <w:highlight w:val="none"/>
                <w:u w:val="none"/>
              </w:rPr>
              <w:t>仪器、器皿与实验操作台清洗废水</w:t>
            </w:r>
          </w:p>
          <w:p>
            <w:pPr>
              <w:spacing w:line="400" w:lineRule="exact"/>
              <w:ind w:left="40"/>
              <w:jc w:val="center"/>
              <w:rPr>
                <w:color w:val="000000" w:themeColor="text1"/>
                <w:spacing w:val="-4"/>
                <w:sz w:val="21"/>
                <w:szCs w:val="21"/>
                <w:highlight w:val="none"/>
                <w:u w:val="none"/>
              </w:rPr>
            </w:pPr>
          </w:p>
        </w:tc>
        <w:tc>
          <w:tcPr>
            <w:tcW w:w="1650" w:type="dxa"/>
            <w:vMerge w:val="restart"/>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pH</w:t>
            </w:r>
            <w:r>
              <w:rPr>
                <w:rFonts w:hint="eastAsia"/>
                <w:color w:val="000000" w:themeColor="text1"/>
                <w:sz w:val="21"/>
                <w:szCs w:val="21"/>
                <w:highlight w:val="none"/>
                <w:u w:val="none"/>
              </w:rPr>
              <w:t>、</w:t>
            </w:r>
            <w:r>
              <w:rPr>
                <w:color w:val="000000" w:themeColor="text1"/>
                <w:sz w:val="21"/>
                <w:szCs w:val="21"/>
                <w:highlight w:val="none"/>
                <w:u w:val="none"/>
              </w:rPr>
              <w:t>COD</w:t>
            </w:r>
            <w:r>
              <w:rPr>
                <w:rFonts w:hint="eastAsia"/>
                <w:color w:val="000000" w:themeColor="text1"/>
                <w:sz w:val="21"/>
                <w:szCs w:val="21"/>
                <w:highlight w:val="none"/>
                <w:u w:val="none"/>
              </w:rPr>
              <w:t>、</w:t>
            </w:r>
            <w:r>
              <w:rPr>
                <w:color w:val="000000" w:themeColor="text1"/>
                <w:sz w:val="21"/>
                <w:szCs w:val="21"/>
                <w:highlight w:val="none"/>
                <w:u w:val="none"/>
              </w:rPr>
              <w:t>BOD</w:t>
            </w:r>
            <w:r>
              <w:rPr>
                <w:color w:val="000000" w:themeColor="text1"/>
                <w:sz w:val="21"/>
                <w:szCs w:val="21"/>
                <w:highlight w:val="none"/>
                <w:u w:val="none"/>
                <w:vertAlign w:val="subscript"/>
              </w:rPr>
              <w:t>5</w:t>
            </w:r>
            <w:r>
              <w:rPr>
                <w:rFonts w:hint="eastAsia"/>
                <w:color w:val="000000" w:themeColor="text1"/>
                <w:sz w:val="21"/>
                <w:szCs w:val="21"/>
                <w:highlight w:val="none"/>
                <w:u w:val="none"/>
              </w:rPr>
              <w:t>、</w:t>
            </w:r>
            <w:r>
              <w:rPr>
                <w:color w:val="000000" w:themeColor="text1"/>
                <w:sz w:val="21"/>
                <w:szCs w:val="21"/>
                <w:highlight w:val="none"/>
                <w:u w:val="none"/>
              </w:rPr>
              <w:t>SS</w:t>
            </w:r>
            <w:r>
              <w:rPr>
                <w:rFonts w:hint="eastAsia"/>
                <w:color w:val="000000" w:themeColor="text1"/>
                <w:sz w:val="21"/>
                <w:szCs w:val="21"/>
                <w:highlight w:val="none"/>
                <w:u w:val="none"/>
              </w:rPr>
              <w:t>、</w:t>
            </w:r>
            <w:r>
              <w:rPr>
                <w:color w:val="000000" w:themeColor="text1"/>
                <w:sz w:val="21"/>
                <w:szCs w:val="21"/>
                <w:highlight w:val="none"/>
                <w:u w:val="none"/>
              </w:rPr>
              <w:t>NH</w:t>
            </w:r>
            <w:r>
              <w:rPr>
                <w:color w:val="000000" w:themeColor="text1"/>
                <w:sz w:val="21"/>
                <w:szCs w:val="21"/>
                <w:highlight w:val="none"/>
                <w:u w:val="none"/>
                <w:vertAlign w:val="subscript"/>
              </w:rPr>
              <w:t>3</w:t>
            </w:r>
            <w:r>
              <w:rPr>
                <w:color w:val="000000" w:themeColor="text1"/>
                <w:sz w:val="21"/>
                <w:szCs w:val="21"/>
                <w:highlight w:val="none"/>
                <w:u w:val="none"/>
              </w:rPr>
              <w:t>-N</w:t>
            </w:r>
          </w:p>
        </w:tc>
        <w:tc>
          <w:tcPr>
            <w:tcW w:w="2152" w:type="dxa"/>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经</w:t>
            </w:r>
            <w:r>
              <w:rPr>
                <w:rFonts w:hint="eastAsia"/>
                <w:color w:val="000000" w:themeColor="text1"/>
                <w:sz w:val="21"/>
                <w:szCs w:val="21"/>
                <w:highlight w:val="none"/>
                <w:u w:val="none"/>
              </w:rPr>
              <w:t>“实验室一体化小型废水处理设备”</w:t>
            </w:r>
            <w:r>
              <w:rPr>
                <w:color w:val="000000" w:themeColor="text1"/>
                <w:sz w:val="21"/>
                <w:szCs w:val="21"/>
                <w:highlight w:val="none"/>
                <w:u w:val="none"/>
              </w:rPr>
              <w:t xml:space="preserve">处理后排入市政污水管网  </w:t>
            </w:r>
          </w:p>
        </w:tc>
        <w:tc>
          <w:tcPr>
            <w:tcW w:w="2294" w:type="dxa"/>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restart"/>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固体废物</w:t>
            </w: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color w:val="000000" w:themeColor="text1"/>
                <w:sz w:val="21"/>
                <w:szCs w:val="21"/>
                <w:highlight w:val="none"/>
                <w:u w:val="none"/>
              </w:rPr>
              <w:t>生活垃圾</w:t>
            </w:r>
          </w:p>
        </w:tc>
        <w:tc>
          <w:tcPr>
            <w:tcW w:w="1650" w:type="dxa"/>
            <w:tcMar>
              <w:left w:w="0" w:type="dxa"/>
              <w:right w:w="0" w:type="dxa"/>
            </w:tcMar>
            <w:vAlign w:val="center"/>
          </w:tcPr>
          <w:p>
            <w:pPr>
              <w:pStyle w:val="96"/>
              <w:snapToGrid w:val="0"/>
              <w:spacing w:line="240" w:lineRule="auto"/>
              <w:rPr>
                <w:color w:val="000000" w:themeColor="text1"/>
                <w:sz w:val="21"/>
                <w:szCs w:val="21"/>
                <w:highlight w:val="none"/>
                <w:u w:val="none"/>
              </w:rPr>
            </w:pPr>
            <w:r>
              <w:rPr>
                <w:color w:val="000000" w:themeColor="text1"/>
                <w:sz w:val="21"/>
                <w:szCs w:val="21"/>
                <w:highlight w:val="none"/>
                <w:u w:val="none"/>
              </w:rPr>
              <w:t>生活垃圾</w:t>
            </w:r>
          </w:p>
        </w:tc>
        <w:tc>
          <w:tcPr>
            <w:tcW w:w="2152" w:type="dxa"/>
            <w:tcMar>
              <w:left w:w="0" w:type="dxa"/>
              <w:right w:w="0" w:type="dxa"/>
            </w:tcMar>
            <w:vAlign w:val="center"/>
          </w:tcPr>
          <w:p>
            <w:pPr>
              <w:pStyle w:val="96"/>
              <w:snapToGrid w:val="0"/>
              <w:spacing w:line="240" w:lineRule="auto"/>
              <w:rPr>
                <w:color w:val="000000" w:themeColor="text1"/>
                <w:sz w:val="21"/>
                <w:szCs w:val="21"/>
                <w:highlight w:val="none"/>
                <w:u w:val="none"/>
              </w:rPr>
            </w:pPr>
            <w:r>
              <w:rPr>
                <w:color w:val="000000" w:themeColor="text1"/>
                <w:sz w:val="21"/>
                <w:szCs w:val="21"/>
                <w:highlight w:val="none"/>
                <w:u w:val="none"/>
              </w:rPr>
              <w:t>集中收集后由环卫部门统一清运</w:t>
            </w:r>
          </w:p>
        </w:tc>
        <w:tc>
          <w:tcPr>
            <w:tcW w:w="2294" w:type="dxa"/>
            <w:tcMar>
              <w:left w:w="0" w:type="dxa"/>
              <w:right w:w="0" w:type="dxa"/>
            </w:tcMar>
            <w:vAlign w:val="center"/>
          </w:tcPr>
          <w:p>
            <w:pPr>
              <w:jc w:val="center"/>
              <w:rPr>
                <w:color w:val="000000" w:themeColor="text1"/>
                <w:sz w:val="21"/>
                <w:szCs w:val="21"/>
                <w:highlight w:val="none"/>
                <w:u w:val="none"/>
              </w:rPr>
            </w:pPr>
            <w:r>
              <w:rPr>
                <w:color w:val="000000" w:themeColor="text1"/>
                <w:sz w:val="21"/>
                <w:szCs w:val="21"/>
                <w:highlight w:val="none"/>
                <w:u w:val="none"/>
              </w:rPr>
              <w:t>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rFonts w:hint="eastAsia"/>
                <w:color w:val="000000" w:themeColor="text1"/>
                <w:sz w:val="21"/>
                <w:szCs w:val="21"/>
                <w:highlight w:val="none"/>
                <w:u w:val="none"/>
              </w:rPr>
              <w:t>一般实验废液</w:t>
            </w:r>
          </w:p>
        </w:tc>
        <w:tc>
          <w:tcPr>
            <w:tcW w:w="1650" w:type="dxa"/>
            <w:vMerge w:val="restart"/>
            <w:tcMar>
              <w:left w:w="0" w:type="dxa"/>
              <w:right w:w="0" w:type="dxa"/>
            </w:tcMar>
            <w:vAlign w:val="center"/>
          </w:tcPr>
          <w:p>
            <w:pPr>
              <w:pStyle w:val="96"/>
              <w:snapToGrid w:val="0"/>
              <w:spacing w:line="400" w:lineRule="exact"/>
              <w:rPr>
                <w:color w:val="000000" w:themeColor="text1"/>
                <w:sz w:val="21"/>
                <w:szCs w:val="21"/>
                <w:highlight w:val="none"/>
                <w:u w:val="none"/>
              </w:rPr>
            </w:pPr>
            <w:r>
              <w:rPr>
                <w:rFonts w:hint="eastAsia"/>
                <w:color w:val="000000" w:themeColor="text1"/>
                <w:sz w:val="21"/>
                <w:szCs w:val="21"/>
                <w:highlight w:val="none"/>
                <w:u w:val="none"/>
              </w:rPr>
              <w:t>危险废物</w:t>
            </w:r>
          </w:p>
        </w:tc>
        <w:tc>
          <w:tcPr>
            <w:tcW w:w="2152" w:type="dxa"/>
            <w:vMerge w:val="restart"/>
            <w:tcMar>
              <w:left w:w="0" w:type="dxa"/>
              <w:right w:w="0" w:type="dxa"/>
            </w:tcMar>
            <w:vAlign w:val="center"/>
          </w:tcPr>
          <w:p>
            <w:pPr>
              <w:pStyle w:val="96"/>
              <w:snapToGrid w:val="0"/>
              <w:spacing w:line="360" w:lineRule="exact"/>
              <w:rPr>
                <w:color w:val="000000" w:themeColor="text1"/>
                <w:sz w:val="21"/>
                <w:szCs w:val="21"/>
                <w:highlight w:val="none"/>
                <w:u w:val="none"/>
              </w:rPr>
            </w:pPr>
            <w:r>
              <w:rPr>
                <w:color w:val="000000" w:themeColor="text1"/>
                <w:sz w:val="21"/>
                <w:szCs w:val="21"/>
                <w:highlight w:val="none"/>
                <w:u w:val="none"/>
              </w:rPr>
              <w:t>经分类暂存在危险废物暂存间后委托</w:t>
            </w:r>
            <w:r>
              <w:rPr>
                <w:rFonts w:hint="eastAsia"/>
                <w:color w:val="000000" w:themeColor="text1"/>
                <w:sz w:val="21"/>
                <w:szCs w:val="21"/>
                <w:highlight w:val="none"/>
                <w:u w:val="none"/>
              </w:rPr>
              <w:t>有资质单位</w:t>
            </w:r>
            <w:r>
              <w:rPr>
                <w:color w:val="000000" w:themeColor="text1"/>
                <w:sz w:val="21"/>
                <w:szCs w:val="21"/>
                <w:highlight w:val="none"/>
                <w:u w:val="none"/>
              </w:rPr>
              <w:t>进行处置</w:t>
            </w:r>
          </w:p>
        </w:tc>
        <w:tc>
          <w:tcPr>
            <w:tcW w:w="2294" w:type="dxa"/>
            <w:vMerge w:val="restart"/>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color w:val="000000" w:themeColor="text1"/>
                <w:sz w:val="21"/>
                <w:szCs w:val="21"/>
                <w:highlight w:val="none"/>
                <w:u w:val="none"/>
              </w:rPr>
              <w:t>含重金属测量的实验废液</w:t>
            </w:r>
          </w:p>
        </w:tc>
        <w:tc>
          <w:tcPr>
            <w:tcW w:w="1650" w:type="dxa"/>
            <w:vMerge w:val="continue"/>
            <w:tcMar>
              <w:left w:w="0" w:type="dxa"/>
              <w:right w:w="0" w:type="dxa"/>
            </w:tcMar>
            <w:vAlign w:val="center"/>
          </w:tcPr>
          <w:p>
            <w:pPr>
              <w:pStyle w:val="96"/>
              <w:snapToGrid w:val="0"/>
              <w:spacing w:line="400" w:lineRule="exact"/>
              <w:rPr>
                <w:color w:val="000000" w:themeColor="text1"/>
                <w:sz w:val="21"/>
                <w:szCs w:val="21"/>
                <w:highlight w:val="none"/>
                <w:u w:val="none"/>
              </w:rPr>
            </w:pPr>
          </w:p>
        </w:tc>
        <w:tc>
          <w:tcPr>
            <w:tcW w:w="2152" w:type="dxa"/>
            <w:vMerge w:val="continue"/>
            <w:tcMar>
              <w:left w:w="0" w:type="dxa"/>
              <w:right w:w="0" w:type="dxa"/>
            </w:tcMar>
            <w:vAlign w:val="center"/>
          </w:tcPr>
          <w:p>
            <w:pPr>
              <w:pStyle w:val="96"/>
              <w:snapToGrid w:val="0"/>
              <w:spacing w:line="360" w:lineRule="exact"/>
              <w:rPr>
                <w:color w:val="000000" w:themeColor="text1"/>
                <w:sz w:val="21"/>
                <w:szCs w:val="21"/>
                <w:highlight w:val="none"/>
                <w:u w:val="none"/>
              </w:rPr>
            </w:pPr>
          </w:p>
        </w:tc>
        <w:tc>
          <w:tcPr>
            <w:tcW w:w="2294"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color w:val="000000" w:themeColor="text1"/>
                <w:sz w:val="21"/>
                <w:szCs w:val="21"/>
                <w:highlight w:val="none"/>
                <w:u w:val="none"/>
              </w:rPr>
              <w:t>含重金属超标的废土壤样品或鉴别为危险废物的样品等固态物质</w:t>
            </w:r>
          </w:p>
        </w:tc>
        <w:tc>
          <w:tcPr>
            <w:tcW w:w="1650" w:type="dxa"/>
            <w:vMerge w:val="continue"/>
            <w:tcMar>
              <w:left w:w="0" w:type="dxa"/>
              <w:right w:w="0" w:type="dxa"/>
            </w:tcMar>
            <w:vAlign w:val="center"/>
          </w:tcPr>
          <w:p>
            <w:pPr>
              <w:pStyle w:val="96"/>
              <w:snapToGrid w:val="0"/>
              <w:spacing w:line="400" w:lineRule="exact"/>
              <w:rPr>
                <w:color w:val="000000" w:themeColor="text1"/>
                <w:sz w:val="21"/>
                <w:szCs w:val="21"/>
                <w:highlight w:val="none"/>
                <w:u w:val="none"/>
              </w:rPr>
            </w:pPr>
          </w:p>
        </w:tc>
        <w:tc>
          <w:tcPr>
            <w:tcW w:w="2152" w:type="dxa"/>
            <w:vMerge w:val="continue"/>
            <w:tcMar>
              <w:left w:w="0" w:type="dxa"/>
              <w:right w:w="0" w:type="dxa"/>
            </w:tcMar>
            <w:vAlign w:val="center"/>
          </w:tcPr>
          <w:p>
            <w:pPr>
              <w:pStyle w:val="96"/>
              <w:snapToGrid w:val="0"/>
              <w:spacing w:line="360" w:lineRule="exact"/>
              <w:rPr>
                <w:color w:val="000000" w:themeColor="text1"/>
                <w:sz w:val="21"/>
                <w:szCs w:val="21"/>
                <w:highlight w:val="none"/>
                <w:u w:val="none"/>
              </w:rPr>
            </w:pPr>
          </w:p>
        </w:tc>
        <w:tc>
          <w:tcPr>
            <w:tcW w:w="2294" w:type="dxa"/>
            <w:vMerge w:val="restart"/>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color w:val="000000" w:themeColor="text1"/>
                <w:sz w:val="21"/>
                <w:szCs w:val="21"/>
                <w:highlight w:val="none"/>
                <w:u w:val="none"/>
              </w:rPr>
              <w:t>装有危险化学品的废包装</w:t>
            </w:r>
          </w:p>
        </w:tc>
        <w:tc>
          <w:tcPr>
            <w:tcW w:w="1650" w:type="dxa"/>
            <w:vMerge w:val="continue"/>
            <w:tcMar>
              <w:left w:w="0" w:type="dxa"/>
              <w:right w:w="0" w:type="dxa"/>
            </w:tcMar>
            <w:vAlign w:val="center"/>
          </w:tcPr>
          <w:p>
            <w:pPr>
              <w:pStyle w:val="96"/>
              <w:snapToGrid w:val="0"/>
              <w:spacing w:line="400" w:lineRule="exact"/>
              <w:rPr>
                <w:color w:val="000000" w:themeColor="text1"/>
                <w:sz w:val="21"/>
                <w:szCs w:val="21"/>
                <w:highlight w:val="none"/>
                <w:u w:val="none"/>
              </w:rPr>
            </w:pPr>
          </w:p>
        </w:tc>
        <w:tc>
          <w:tcPr>
            <w:tcW w:w="2152" w:type="dxa"/>
            <w:vMerge w:val="continue"/>
            <w:tcMar>
              <w:left w:w="0" w:type="dxa"/>
              <w:right w:w="0" w:type="dxa"/>
            </w:tcMar>
            <w:vAlign w:val="center"/>
          </w:tcPr>
          <w:p>
            <w:pPr>
              <w:pStyle w:val="96"/>
              <w:snapToGrid w:val="0"/>
              <w:spacing w:line="360" w:lineRule="exact"/>
              <w:rPr>
                <w:color w:val="000000" w:themeColor="text1"/>
                <w:sz w:val="21"/>
                <w:szCs w:val="21"/>
                <w:highlight w:val="none"/>
                <w:u w:val="none"/>
              </w:rPr>
            </w:pPr>
          </w:p>
        </w:tc>
        <w:tc>
          <w:tcPr>
            <w:tcW w:w="2294"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color w:val="000000" w:themeColor="text1"/>
                <w:sz w:val="21"/>
                <w:szCs w:val="21"/>
                <w:highlight w:val="none"/>
                <w:u w:val="none"/>
              </w:rPr>
              <w:t>过期失效药剂</w:t>
            </w:r>
          </w:p>
        </w:tc>
        <w:tc>
          <w:tcPr>
            <w:tcW w:w="1650" w:type="dxa"/>
            <w:vMerge w:val="continue"/>
            <w:tcMar>
              <w:left w:w="0" w:type="dxa"/>
              <w:right w:w="0" w:type="dxa"/>
            </w:tcMar>
            <w:vAlign w:val="center"/>
          </w:tcPr>
          <w:p>
            <w:pPr>
              <w:pStyle w:val="96"/>
              <w:snapToGrid w:val="0"/>
              <w:spacing w:line="400" w:lineRule="exact"/>
              <w:rPr>
                <w:color w:val="000000" w:themeColor="text1"/>
                <w:sz w:val="21"/>
                <w:szCs w:val="21"/>
                <w:highlight w:val="none"/>
                <w:u w:val="none"/>
              </w:rPr>
            </w:pPr>
          </w:p>
        </w:tc>
        <w:tc>
          <w:tcPr>
            <w:tcW w:w="2152" w:type="dxa"/>
            <w:vMerge w:val="continue"/>
            <w:tcMar>
              <w:left w:w="0" w:type="dxa"/>
              <w:right w:w="0" w:type="dxa"/>
            </w:tcMar>
            <w:vAlign w:val="center"/>
          </w:tcPr>
          <w:p>
            <w:pPr>
              <w:pStyle w:val="96"/>
              <w:snapToGrid w:val="0"/>
              <w:spacing w:line="360" w:lineRule="exact"/>
              <w:rPr>
                <w:color w:val="000000" w:themeColor="text1"/>
                <w:sz w:val="21"/>
                <w:szCs w:val="21"/>
                <w:highlight w:val="none"/>
                <w:u w:val="none"/>
              </w:rPr>
            </w:pPr>
          </w:p>
        </w:tc>
        <w:tc>
          <w:tcPr>
            <w:tcW w:w="2294"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color w:val="000000" w:themeColor="text1"/>
                <w:sz w:val="21"/>
                <w:szCs w:val="21"/>
                <w:highlight w:val="none"/>
                <w:u w:val="none"/>
              </w:rPr>
              <w:t>化学品废弃容器</w:t>
            </w:r>
          </w:p>
        </w:tc>
        <w:tc>
          <w:tcPr>
            <w:tcW w:w="1650" w:type="dxa"/>
            <w:vMerge w:val="continue"/>
            <w:tcMar>
              <w:left w:w="0" w:type="dxa"/>
              <w:right w:w="0" w:type="dxa"/>
            </w:tcMar>
            <w:vAlign w:val="center"/>
          </w:tcPr>
          <w:p>
            <w:pPr>
              <w:pStyle w:val="96"/>
              <w:snapToGrid w:val="0"/>
              <w:spacing w:line="400" w:lineRule="exact"/>
              <w:rPr>
                <w:color w:val="000000" w:themeColor="text1"/>
                <w:sz w:val="21"/>
                <w:szCs w:val="21"/>
                <w:highlight w:val="none"/>
                <w:u w:val="none"/>
              </w:rPr>
            </w:pPr>
          </w:p>
        </w:tc>
        <w:tc>
          <w:tcPr>
            <w:tcW w:w="2152" w:type="dxa"/>
            <w:vMerge w:val="continue"/>
            <w:tcMar>
              <w:left w:w="0" w:type="dxa"/>
              <w:right w:w="0" w:type="dxa"/>
            </w:tcMar>
            <w:vAlign w:val="center"/>
          </w:tcPr>
          <w:p>
            <w:pPr>
              <w:pStyle w:val="96"/>
              <w:snapToGrid w:val="0"/>
              <w:spacing w:line="360" w:lineRule="exact"/>
              <w:rPr>
                <w:color w:val="000000" w:themeColor="text1"/>
                <w:sz w:val="21"/>
                <w:szCs w:val="21"/>
                <w:highlight w:val="none"/>
                <w:u w:val="none"/>
              </w:rPr>
            </w:pPr>
          </w:p>
        </w:tc>
        <w:tc>
          <w:tcPr>
            <w:tcW w:w="2294"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color w:val="000000" w:themeColor="text1"/>
                <w:sz w:val="21"/>
                <w:szCs w:val="21"/>
                <w:highlight w:val="none"/>
                <w:u w:val="none"/>
              </w:rPr>
              <w:t>废生物培养基</w:t>
            </w:r>
          </w:p>
        </w:tc>
        <w:tc>
          <w:tcPr>
            <w:tcW w:w="1650" w:type="dxa"/>
            <w:vMerge w:val="restart"/>
            <w:tcMar>
              <w:left w:w="0" w:type="dxa"/>
              <w:right w:w="0" w:type="dxa"/>
            </w:tcMar>
            <w:vAlign w:val="center"/>
          </w:tcPr>
          <w:p>
            <w:pPr>
              <w:pStyle w:val="96"/>
              <w:snapToGrid w:val="0"/>
              <w:spacing w:line="400" w:lineRule="exact"/>
              <w:rPr>
                <w:color w:val="000000" w:themeColor="text1"/>
                <w:sz w:val="21"/>
                <w:szCs w:val="21"/>
                <w:highlight w:val="none"/>
                <w:u w:val="none"/>
              </w:rPr>
            </w:pPr>
            <w:r>
              <w:rPr>
                <w:rFonts w:hint="eastAsia"/>
                <w:color w:val="000000" w:themeColor="text1"/>
                <w:sz w:val="21"/>
                <w:szCs w:val="21"/>
                <w:highlight w:val="none"/>
                <w:u w:val="none"/>
              </w:rPr>
              <w:t>一般废物</w:t>
            </w:r>
          </w:p>
        </w:tc>
        <w:tc>
          <w:tcPr>
            <w:tcW w:w="2152" w:type="dxa"/>
            <w:tcMar>
              <w:left w:w="0" w:type="dxa"/>
              <w:right w:w="0" w:type="dxa"/>
            </w:tcMar>
            <w:vAlign w:val="center"/>
          </w:tcPr>
          <w:p>
            <w:pPr>
              <w:pStyle w:val="96"/>
              <w:snapToGrid w:val="0"/>
              <w:spacing w:line="360" w:lineRule="exact"/>
              <w:rPr>
                <w:color w:val="000000" w:themeColor="text1"/>
                <w:sz w:val="21"/>
                <w:szCs w:val="21"/>
                <w:highlight w:val="none"/>
                <w:u w:val="none"/>
              </w:rPr>
            </w:pPr>
            <w:r>
              <w:rPr>
                <w:color w:val="000000" w:themeColor="text1"/>
                <w:sz w:val="21"/>
                <w:szCs w:val="21"/>
                <w:highlight w:val="none"/>
                <w:u w:val="none"/>
              </w:rPr>
              <w:t>经高压灭菌锅灭活处理后与生活垃圾一并由当地环卫部门处置</w:t>
            </w:r>
          </w:p>
        </w:tc>
        <w:tc>
          <w:tcPr>
            <w:tcW w:w="2294" w:type="dxa"/>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vMerge w:val="continue"/>
            <w:tcMar>
              <w:left w:w="0" w:type="dxa"/>
              <w:right w:w="0" w:type="dxa"/>
            </w:tcMar>
            <w:vAlign w:val="center"/>
          </w:tcPr>
          <w:p>
            <w:pPr>
              <w:spacing w:line="400" w:lineRule="exact"/>
              <w:jc w:val="center"/>
              <w:rPr>
                <w:color w:val="000000" w:themeColor="text1"/>
                <w:sz w:val="21"/>
                <w:szCs w:val="21"/>
                <w:highlight w:val="none"/>
                <w:u w:val="none"/>
              </w:rPr>
            </w:pPr>
          </w:p>
        </w:tc>
        <w:tc>
          <w:tcPr>
            <w:tcW w:w="1835" w:type="dxa"/>
            <w:tcMar>
              <w:left w:w="0" w:type="dxa"/>
              <w:right w:w="0" w:type="dxa"/>
            </w:tcMar>
            <w:vAlign w:val="center"/>
          </w:tcPr>
          <w:p>
            <w:pPr>
              <w:pStyle w:val="96"/>
              <w:snapToGrid w:val="0"/>
              <w:spacing w:line="400" w:lineRule="exact"/>
              <w:rPr>
                <w:color w:val="000000" w:themeColor="text1"/>
                <w:sz w:val="21"/>
                <w:szCs w:val="21"/>
                <w:highlight w:val="none"/>
                <w:u w:val="none"/>
              </w:rPr>
            </w:pPr>
            <w:r>
              <w:rPr>
                <w:color w:val="000000" w:themeColor="text1"/>
                <w:sz w:val="21"/>
                <w:szCs w:val="21"/>
                <w:highlight w:val="none"/>
                <w:u w:val="none"/>
              </w:rPr>
              <w:t>不含危险化学品的废纸箱、废塑料、玻璃瓶、不含重金属或重金属未超标的废土壤样品等固态物质</w:t>
            </w:r>
          </w:p>
        </w:tc>
        <w:tc>
          <w:tcPr>
            <w:tcW w:w="1650" w:type="dxa"/>
            <w:vMerge w:val="continue"/>
            <w:tcMar>
              <w:left w:w="0" w:type="dxa"/>
              <w:right w:w="0" w:type="dxa"/>
            </w:tcMar>
            <w:vAlign w:val="center"/>
          </w:tcPr>
          <w:p>
            <w:pPr>
              <w:pStyle w:val="96"/>
              <w:snapToGrid w:val="0"/>
              <w:spacing w:line="400" w:lineRule="exact"/>
              <w:rPr>
                <w:color w:val="000000" w:themeColor="text1"/>
                <w:sz w:val="21"/>
                <w:szCs w:val="21"/>
                <w:highlight w:val="none"/>
                <w:u w:val="none"/>
              </w:rPr>
            </w:pPr>
          </w:p>
        </w:tc>
        <w:tc>
          <w:tcPr>
            <w:tcW w:w="2152" w:type="dxa"/>
            <w:tcMar>
              <w:left w:w="0" w:type="dxa"/>
              <w:right w:w="0" w:type="dxa"/>
            </w:tcMar>
            <w:vAlign w:val="center"/>
          </w:tcPr>
          <w:p>
            <w:pPr>
              <w:pStyle w:val="96"/>
              <w:snapToGrid w:val="0"/>
              <w:spacing w:line="360" w:lineRule="exact"/>
              <w:rPr>
                <w:color w:val="000000" w:themeColor="text1"/>
                <w:sz w:val="21"/>
                <w:szCs w:val="21"/>
                <w:highlight w:val="none"/>
                <w:u w:val="none"/>
              </w:rPr>
            </w:pPr>
            <w:r>
              <w:rPr>
                <w:color w:val="000000" w:themeColor="text1"/>
                <w:sz w:val="21"/>
                <w:szCs w:val="21"/>
                <w:highlight w:val="none"/>
                <w:u w:val="none"/>
              </w:rPr>
              <w:t>废纸箱、玻璃瓶由废品回收站回收，废塑料、不含重金属或重金属未超标的废土壤样品等固态物质作为生活垃圾由环卫部门统一收集处置</w:t>
            </w:r>
          </w:p>
        </w:tc>
        <w:tc>
          <w:tcPr>
            <w:tcW w:w="2294" w:type="dxa"/>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资源化、</w:t>
            </w:r>
            <w:r>
              <w:rPr>
                <w:color w:val="000000" w:themeColor="text1"/>
                <w:sz w:val="21"/>
                <w:szCs w:val="21"/>
                <w:highlight w:val="none"/>
                <w:u w:val="none"/>
              </w:rPr>
              <w:t>无害化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07" w:type="dxa"/>
            <w:vMerge w:val="continue"/>
            <w:tcMar>
              <w:left w:w="0" w:type="dxa"/>
              <w:right w:w="0" w:type="dxa"/>
            </w:tcMar>
            <w:textDirection w:val="tbRlV"/>
            <w:vAlign w:val="center"/>
          </w:tcPr>
          <w:p>
            <w:pPr>
              <w:spacing w:line="400" w:lineRule="exact"/>
              <w:ind w:left="128" w:leftChars="40" w:right="113"/>
              <w:jc w:val="center"/>
              <w:rPr>
                <w:color w:val="000000" w:themeColor="text1"/>
                <w:sz w:val="21"/>
                <w:szCs w:val="21"/>
                <w:highlight w:val="none"/>
                <w:u w:val="none"/>
              </w:rPr>
            </w:pPr>
          </w:p>
        </w:tc>
        <w:tc>
          <w:tcPr>
            <w:tcW w:w="1250" w:type="dxa"/>
            <w:tcMar>
              <w:left w:w="0" w:type="dxa"/>
              <w:right w:w="0" w:type="dxa"/>
            </w:tcMar>
            <w:vAlign w:val="center"/>
          </w:tcPr>
          <w:p>
            <w:pPr>
              <w:spacing w:line="400" w:lineRule="exact"/>
              <w:jc w:val="center"/>
              <w:rPr>
                <w:color w:val="000000" w:themeColor="text1"/>
                <w:sz w:val="21"/>
                <w:szCs w:val="21"/>
                <w:highlight w:val="none"/>
                <w:u w:val="none"/>
              </w:rPr>
            </w:pPr>
            <w:r>
              <w:rPr>
                <w:color w:val="000000" w:themeColor="text1"/>
                <w:sz w:val="21"/>
                <w:szCs w:val="21"/>
                <w:highlight w:val="none"/>
                <w:u w:val="none"/>
              </w:rPr>
              <w:t>噪声</w:t>
            </w:r>
          </w:p>
        </w:tc>
        <w:tc>
          <w:tcPr>
            <w:tcW w:w="1835" w:type="dxa"/>
            <w:tcMar>
              <w:left w:w="0" w:type="dxa"/>
              <w:right w:w="0" w:type="dxa"/>
            </w:tcMar>
            <w:vAlign w:val="center"/>
          </w:tcPr>
          <w:p>
            <w:pPr>
              <w:spacing w:line="400" w:lineRule="exact"/>
              <w:ind w:left="40"/>
              <w:jc w:val="center"/>
              <w:rPr>
                <w:color w:val="000000" w:themeColor="text1"/>
                <w:sz w:val="21"/>
                <w:szCs w:val="21"/>
                <w:highlight w:val="none"/>
                <w:u w:val="none"/>
              </w:rPr>
            </w:pPr>
            <w:r>
              <w:rPr>
                <w:rFonts w:hint="eastAsia"/>
                <w:color w:val="000000" w:themeColor="text1"/>
                <w:sz w:val="21"/>
                <w:szCs w:val="21"/>
                <w:highlight w:val="none"/>
                <w:u w:val="none"/>
              </w:rPr>
              <w:t>风机、通风橱</w:t>
            </w:r>
          </w:p>
        </w:tc>
        <w:tc>
          <w:tcPr>
            <w:tcW w:w="1650" w:type="dxa"/>
            <w:tcMar>
              <w:left w:w="0" w:type="dxa"/>
              <w:right w:w="0" w:type="dxa"/>
            </w:tcMar>
            <w:vAlign w:val="center"/>
          </w:tcPr>
          <w:p>
            <w:pPr>
              <w:spacing w:line="400" w:lineRule="exact"/>
              <w:ind w:left="40"/>
              <w:jc w:val="center"/>
              <w:rPr>
                <w:color w:val="000000" w:themeColor="text1"/>
                <w:sz w:val="21"/>
                <w:szCs w:val="21"/>
                <w:highlight w:val="none"/>
                <w:u w:val="none"/>
              </w:rPr>
            </w:pPr>
            <w:r>
              <w:rPr>
                <w:color w:val="000000" w:themeColor="text1"/>
                <w:sz w:val="21"/>
                <w:szCs w:val="21"/>
                <w:highlight w:val="none"/>
                <w:u w:val="none"/>
              </w:rPr>
              <w:t>噪声</w:t>
            </w:r>
          </w:p>
        </w:tc>
        <w:tc>
          <w:tcPr>
            <w:tcW w:w="2152" w:type="dxa"/>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危险废物</w:t>
            </w:r>
          </w:p>
        </w:tc>
        <w:tc>
          <w:tcPr>
            <w:tcW w:w="2294" w:type="dxa"/>
            <w:tcMar>
              <w:left w:w="0" w:type="dxa"/>
              <w:right w:w="0" w:type="dxa"/>
            </w:tcMar>
            <w:vAlign w:val="center"/>
          </w:tcPr>
          <w:p>
            <w:pPr>
              <w:spacing w:line="400" w:lineRule="exact"/>
              <w:jc w:val="center"/>
              <w:rPr>
                <w:color w:val="000000" w:themeColor="text1"/>
                <w:sz w:val="21"/>
                <w:szCs w:val="21"/>
                <w:highlight w:val="none"/>
                <w:u w:val="none"/>
              </w:rPr>
            </w:pPr>
            <w:r>
              <w:rPr>
                <w:rFonts w:hint="eastAsia"/>
                <w:color w:val="000000" w:themeColor="text1"/>
                <w:sz w:val="21"/>
                <w:szCs w:val="21"/>
                <w:highlight w:val="none"/>
                <w:u w:val="none"/>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9588" w:type="dxa"/>
            <w:gridSpan w:val="6"/>
            <w:tcBorders>
              <w:bottom w:val="single" w:color="auto" w:sz="4" w:space="0"/>
            </w:tcBorders>
            <w:tcMar>
              <w:left w:w="0" w:type="dxa"/>
              <w:right w:w="0" w:type="dxa"/>
            </w:tcMar>
          </w:tcPr>
          <w:p>
            <w:pPr>
              <w:spacing w:line="560" w:lineRule="exact"/>
              <w:rPr>
                <w:b/>
                <w:bCs/>
                <w:color w:val="000000" w:themeColor="text1"/>
                <w:sz w:val="24"/>
                <w:highlight w:val="none"/>
              </w:rPr>
            </w:pPr>
            <w:r>
              <w:rPr>
                <w:b/>
                <w:bCs/>
                <w:color w:val="000000" w:themeColor="text1"/>
                <w:sz w:val="24"/>
                <w:highlight w:val="none"/>
              </w:rPr>
              <w:t>生态保护措施及预期效果</w:t>
            </w:r>
          </w:p>
          <w:p>
            <w:pPr>
              <w:spacing w:line="560" w:lineRule="exact"/>
              <w:ind w:firstLine="480" w:firstLineChars="200"/>
              <w:rPr>
                <w:color w:val="000000" w:themeColor="text1"/>
                <w:sz w:val="24"/>
                <w:highlight w:val="none"/>
              </w:rPr>
            </w:pPr>
            <w:r>
              <w:rPr>
                <w:rFonts w:hint="eastAsia"/>
                <w:color w:val="000000" w:themeColor="text1"/>
                <w:sz w:val="24"/>
                <w:highlight w:val="none"/>
              </w:rPr>
              <w:t>本项目租赁</w:t>
            </w:r>
            <w:r>
              <w:rPr>
                <w:rFonts w:hint="eastAsia"/>
                <w:color w:val="000000" w:themeColor="text1"/>
                <w:sz w:val="24"/>
                <w:highlight w:val="none"/>
                <w:lang w:eastAsia="zh-CN"/>
              </w:rPr>
              <w:t>岳阳市湘阴县金龙新区</w:t>
            </w:r>
            <w:r>
              <w:rPr>
                <w:rFonts w:hint="eastAsia"/>
                <w:bCs/>
                <w:color w:val="000000" w:themeColor="text1"/>
                <w:sz w:val="24"/>
                <w:highlight w:val="none"/>
                <w:lang w:eastAsia="zh-CN"/>
              </w:rPr>
              <w:t>湖南奇思环保设备制造有限公司</w:t>
            </w:r>
            <w:r>
              <w:rPr>
                <w:rFonts w:hint="eastAsia"/>
                <w:bCs/>
                <w:color w:val="000000" w:themeColor="text1"/>
                <w:sz w:val="24"/>
                <w:highlight w:val="none"/>
              </w:rPr>
              <w:t>相关场地做办公和实验场所</w:t>
            </w:r>
            <w:r>
              <w:rPr>
                <w:color w:val="000000" w:themeColor="text1"/>
                <w:sz w:val="24"/>
                <w:highlight w:val="none"/>
              </w:rPr>
              <w:t>，不涉及土建施工，对生态环境影响几乎无影响。</w:t>
            </w:r>
          </w:p>
          <w:p>
            <w:pPr>
              <w:pStyle w:val="2"/>
              <w:ind w:firstLine="480"/>
              <w:rPr>
                <w:color w:val="000000" w:themeColor="text1"/>
                <w:highlight w:val="red"/>
              </w:rPr>
            </w:pPr>
          </w:p>
          <w:p>
            <w:pPr>
              <w:pStyle w:val="2"/>
              <w:ind w:firstLine="480"/>
              <w:rPr>
                <w:color w:val="000000" w:themeColor="text1"/>
                <w:highlight w:val="red"/>
              </w:rPr>
            </w:pPr>
          </w:p>
          <w:p>
            <w:pPr>
              <w:pStyle w:val="2"/>
              <w:ind w:firstLine="480"/>
              <w:rPr>
                <w:color w:val="000000" w:themeColor="text1"/>
                <w:highlight w:val="red"/>
              </w:rPr>
            </w:pPr>
          </w:p>
          <w:p>
            <w:pPr>
              <w:pStyle w:val="2"/>
              <w:ind w:firstLine="480"/>
              <w:rPr>
                <w:color w:val="000000" w:themeColor="text1"/>
                <w:highlight w:val="red"/>
              </w:rPr>
            </w:pPr>
          </w:p>
          <w:p>
            <w:pPr>
              <w:pStyle w:val="2"/>
              <w:ind w:firstLine="480"/>
              <w:rPr>
                <w:color w:val="000000" w:themeColor="text1"/>
                <w:highlight w:val="red"/>
              </w:rPr>
            </w:pPr>
          </w:p>
          <w:p>
            <w:pPr>
              <w:pStyle w:val="2"/>
              <w:ind w:firstLine="480"/>
              <w:rPr>
                <w:color w:val="000000" w:themeColor="text1"/>
                <w:highlight w:val="red"/>
              </w:rPr>
            </w:pPr>
          </w:p>
          <w:p>
            <w:pPr>
              <w:pStyle w:val="2"/>
              <w:ind w:firstLine="480"/>
              <w:rPr>
                <w:color w:val="000000" w:themeColor="text1"/>
                <w:highlight w:val="red"/>
              </w:rPr>
            </w:pPr>
          </w:p>
          <w:p>
            <w:pPr>
              <w:pStyle w:val="2"/>
              <w:ind w:firstLine="480"/>
              <w:rPr>
                <w:color w:val="000000" w:themeColor="text1"/>
                <w:highlight w:val="red"/>
              </w:rPr>
            </w:pPr>
          </w:p>
          <w:p>
            <w:pPr>
              <w:pStyle w:val="2"/>
              <w:ind w:firstLine="480"/>
              <w:rPr>
                <w:color w:val="000000" w:themeColor="text1"/>
                <w:highlight w:val="red"/>
              </w:rPr>
            </w:pPr>
          </w:p>
          <w:p>
            <w:pPr>
              <w:pStyle w:val="2"/>
              <w:ind w:firstLine="0" w:firstLineChars="0"/>
              <w:rPr>
                <w:color w:val="000000" w:themeColor="text1"/>
                <w:highlight w:val="red"/>
              </w:rPr>
            </w:pPr>
          </w:p>
          <w:p>
            <w:pPr>
              <w:pStyle w:val="2"/>
              <w:ind w:firstLine="480"/>
              <w:rPr>
                <w:color w:val="000000" w:themeColor="text1"/>
                <w:highlight w:val="red"/>
              </w:rPr>
            </w:pPr>
          </w:p>
          <w:p>
            <w:pPr>
              <w:spacing w:line="560" w:lineRule="exact"/>
              <w:rPr>
                <w:color w:val="000000" w:themeColor="text1"/>
                <w:sz w:val="24"/>
                <w:highlight w:val="red"/>
              </w:rPr>
            </w:pPr>
          </w:p>
          <w:p>
            <w:pPr>
              <w:spacing w:line="560" w:lineRule="exact"/>
              <w:rPr>
                <w:color w:val="000000" w:themeColor="text1"/>
                <w:sz w:val="24"/>
                <w:highlight w:val="red"/>
              </w:rPr>
            </w:pPr>
          </w:p>
          <w:p>
            <w:pPr>
              <w:spacing w:line="560" w:lineRule="exact"/>
              <w:ind w:firstLine="480" w:firstLineChars="200"/>
              <w:rPr>
                <w:color w:val="000000" w:themeColor="text1"/>
                <w:sz w:val="24"/>
                <w:highlight w:val="red"/>
              </w:rPr>
            </w:pPr>
          </w:p>
        </w:tc>
      </w:tr>
    </w:tbl>
    <w:p>
      <w:pPr>
        <w:pStyle w:val="2"/>
        <w:ind w:firstLine="480"/>
        <w:rPr>
          <w:color w:val="000000" w:themeColor="text1"/>
          <w:highlight w:val="red"/>
        </w:rPr>
        <w:sectPr>
          <w:pgSz w:w="11907" w:h="16840"/>
          <w:pgMar w:top="1418" w:right="1418" w:bottom="1134" w:left="1418" w:header="1134" w:footer="1134" w:gutter="0"/>
          <w:pgNumType w:fmt="decimal"/>
          <w:cols w:space="720" w:num="1"/>
          <w:docGrid w:type="linesAndChars" w:linePitch="312" w:charSpace="0"/>
        </w:sectPr>
      </w:pPr>
    </w:p>
    <w:p>
      <w:pPr>
        <w:spacing w:line="360" w:lineRule="auto"/>
        <w:outlineLvl w:val="0"/>
        <w:rPr>
          <w:b/>
          <w:bCs/>
          <w:color w:val="000000" w:themeColor="text1"/>
          <w:sz w:val="30"/>
          <w:highlight w:val="none"/>
        </w:rPr>
      </w:pPr>
      <w:bookmarkStart w:id="26" w:name="_Toc26939"/>
      <w:r>
        <w:rPr>
          <w:b/>
          <w:bCs/>
          <w:color w:val="000000" w:themeColor="text1"/>
          <w:sz w:val="30"/>
          <w:highlight w:val="none"/>
        </w:rPr>
        <w:t>结论与建议</w:t>
      </w:r>
      <w:bookmarkEnd w:id="26"/>
    </w:p>
    <w:tbl>
      <w:tblPr>
        <w:tblStyle w:val="34"/>
        <w:tblW w:w="913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135" w:type="dxa"/>
            <w:vAlign w:val="top"/>
          </w:tcPr>
          <w:p>
            <w:pPr>
              <w:spacing w:line="360" w:lineRule="auto"/>
              <w:ind w:firstLine="480" w:firstLineChars="200"/>
              <w:rPr>
                <w:color w:val="000000" w:themeColor="text1"/>
                <w:sz w:val="24"/>
                <w:highlight w:val="none"/>
              </w:rPr>
            </w:pPr>
            <w:r>
              <w:rPr>
                <w:color w:val="000000" w:themeColor="text1"/>
                <w:sz w:val="24"/>
                <w:highlight w:val="none"/>
              </w:rPr>
              <w:t>一、结论</w:t>
            </w:r>
          </w:p>
          <w:p>
            <w:pPr>
              <w:spacing w:line="360" w:lineRule="auto"/>
              <w:ind w:firstLine="480" w:firstLineChars="200"/>
              <w:rPr>
                <w:color w:val="000000" w:themeColor="text1"/>
                <w:sz w:val="24"/>
                <w:highlight w:val="none"/>
              </w:rPr>
            </w:pPr>
            <w:r>
              <w:rPr>
                <w:color w:val="000000" w:themeColor="text1"/>
                <w:sz w:val="24"/>
                <w:highlight w:val="none"/>
              </w:rPr>
              <w:t>1、项目简况</w:t>
            </w:r>
          </w:p>
          <w:p>
            <w:pPr>
              <w:pStyle w:val="2"/>
              <w:spacing w:line="360" w:lineRule="auto"/>
              <w:ind w:firstLine="480"/>
              <w:rPr>
                <w:rFonts w:hint="eastAsia" w:eastAsia="宋体"/>
                <w:bCs/>
                <w:color w:val="000000" w:themeColor="text1"/>
                <w:highlight w:val="none"/>
                <w:lang w:eastAsia="zh-CN"/>
              </w:rPr>
            </w:pPr>
            <w:r>
              <w:rPr>
                <w:rFonts w:hint="eastAsia"/>
                <w:bCs/>
                <w:color w:val="000000" w:themeColor="text1"/>
                <w:highlight w:val="none"/>
                <w:lang w:eastAsia="zh-CN"/>
              </w:rPr>
              <w:t>湖南乐思检测有限公司</w:t>
            </w:r>
            <w:r>
              <w:rPr>
                <w:rFonts w:hint="eastAsia"/>
                <w:bCs/>
                <w:color w:val="000000" w:themeColor="text1"/>
                <w:highlight w:val="none"/>
              </w:rPr>
              <w:t>租赁湖南省岳阳市湘阴县</w:t>
            </w:r>
            <w:r>
              <w:rPr>
                <w:rFonts w:hint="eastAsia"/>
                <w:bCs/>
                <w:color w:val="000000" w:themeColor="text1"/>
                <w:highlight w:val="none"/>
                <w:lang w:eastAsia="zh-CN"/>
              </w:rPr>
              <w:t>金龙新区湖南奇思环保设备制造有限公司</w:t>
            </w:r>
            <w:r>
              <w:rPr>
                <w:rFonts w:hint="eastAsia"/>
                <w:bCs/>
                <w:color w:val="000000" w:themeColor="text1"/>
                <w:highlight w:val="none"/>
                <w:lang w:val="en-US" w:eastAsia="zh-CN"/>
              </w:rPr>
              <w:t>生产厂房</w:t>
            </w:r>
            <w:r>
              <w:rPr>
                <w:bCs/>
                <w:color w:val="000000" w:themeColor="text1"/>
                <w:highlight w:val="none"/>
              </w:rPr>
              <w:t>，投资</w:t>
            </w:r>
            <w:r>
              <w:rPr>
                <w:rFonts w:hint="eastAsia"/>
                <w:bCs/>
                <w:color w:val="000000" w:themeColor="text1"/>
                <w:highlight w:val="none"/>
              </w:rPr>
              <w:t>2</w:t>
            </w:r>
            <w:r>
              <w:rPr>
                <w:bCs/>
                <w:color w:val="000000" w:themeColor="text1"/>
                <w:highlight w:val="none"/>
              </w:rPr>
              <w:t>00万元建设</w:t>
            </w:r>
            <w:r>
              <w:rPr>
                <w:rFonts w:hint="eastAsia"/>
                <w:bCs/>
                <w:color w:val="000000" w:themeColor="text1"/>
                <w:highlight w:val="none"/>
              </w:rPr>
              <w:t>“</w:t>
            </w:r>
            <w:r>
              <w:rPr>
                <w:rFonts w:hint="eastAsia"/>
                <w:bCs/>
                <w:color w:val="000000" w:themeColor="text1"/>
                <w:highlight w:val="none"/>
                <w:lang w:eastAsia="zh-CN"/>
              </w:rPr>
              <w:t>湖南乐思检测有限公司</w:t>
            </w:r>
            <w:r>
              <w:rPr>
                <w:bCs/>
                <w:color w:val="000000" w:themeColor="text1"/>
                <w:highlight w:val="none"/>
              </w:rPr>
              <w:t>实验室建设项目</w:t>
            </w:r>
            <w:r>
              <w:rPr>
                <w:rFonts w:hint="eastAsia"/>
                <w:bCs/>
                <w:color w:val="000000" w:themeColor="text1"/>
                <w:highlight w:val="none"/>
              </w:rPr>
              <w:t>”</w:t>
            </w:r>
            <w:r>
              <w:rPr>
                <w:bCs/>
                <w:color w:val="000000" w:themeColor="text1"/>
                <w:highlight w:val="none"/>
              </w:rPr>
              <w:t>。项目总建筑面积</w:t>
            </w:r>
            <w:r>
              <w:rPr>
                <w:rFonts w:hint="eastAsia"/>
                <w:bCs/>
                <w:color w:val="000000" w:themeColor="text1"/>
                <w:highlight w:val="none"/>
              </w:rPr>
              <w:t>8</w:t>
            </w:r>
            <w:r>
              <w:rPr>
                <w:rFonts w:hint="eastAsia"/>
                <w:bCs/>
                <w:color w:val="000000" w:themeColor="text1"/>
                <w:highlight w:val="none"/>
                <w:lang w:val="en-US" w:eastAsia="zh-CN"/>
              </w:rPr>
              <w:t>0</w:t>
            </w:r>
            <w:r>
              <w:rPr>
                <w:rFonts w:hint="eastAsia"/>
                <w:bCs/>
                <w:color w:val="000000" w:themeColor="text1"/>
                <w:highlight w:val="none"/>
              </w:rPr>
              <w:t>0</w:t>
            </w:r>
            <w:r>
              <w:rPr>
                <w:bCs/>
                <w:color w:val="000000" w:themeColor="text1"/>
                <w:highlight w:val="none"/>
              </w:rPr>
              <w:t>平方米，预计于20</w:t>
            </w:r>
            <w:r>
              <w:rPr>
                <w:rFonts w:hint="eastAsia"/>
                <w:bCs/>
                <w:color w:val="000000" w:themeColor="text1"/>
                <w:highlight w:val="none"/>
                <w:lang w:val="en-US" w:eastAsia="zh-CN"/>
              </w:rPr>
              <w:t>20</w:t>
            </w:r>
            <w:r>
              <w:rPr>
                <w:bCs/>
                <w:color w:val="000000" w:themeColor="text1"/>
                <w:highlight w:val="none"/>
              </w:rPr>
              <w:t>年</w:t>
            </w:r>
            <w:r>
              <w:rPr>
                <w:rFonts w:hint="eastAsia"/>
                <w:bCs/>
                <w:color w:val="000000" w:themeColor="text1"/>
                <w:highlight w:val="none"/>
                <w:lang w:val="en-US" w:eastAsia="zh-CN"/>
              </w:rPr>
              <w:t>8</w:t>
            </w:r>
            <w:r>
              <w:rPr>
                <w:bCs/>
                <w:color w:val="000000" w:themeColor="text1"/>
                <w:highlight w:val="none"/>
              </w:rPr>
              <w:t>月建成投产。项目劳动定员为</w:t>
            </w:r>
            <w:r>
              <w:rPr>
                <w:rFonts w:hint="eastAsia"/>
                <w:bCs/>
                <w:color w:val="000000" w:themeColor="text1"/>
                <w:highlight w:val="none"/>
              </w:rPr>
              <w:t>22</w:t>
            </w:r>
            <w:r>
              <w:rPr>
                <w:bCs/>
                <w:color w:val="000000" w:themeColor="text1"/>
                <w:highlight w:val="none"/>
              </w:rPr>
              <w:t>人；1班工作制，全年工作日2</w:t>
            </w:r>
            <w:r>
              <w:rPr>
                <w:rFonts w:hint="eastAsia"/>
                <w:bCs/>
                <w:color w:val="000000" w:themeColor="text1"/>
                <w:highlight w:val="none"/>
              </w:rPr>
              <w:t>50</w:t>
            </w:r>
            <w:r>
              <w:rPr>
                <w:bCs/>
                <w:color w:val="000000" w:themeColor="text1"/>
                <w:highlight w:val="none"/>
              </w:rPr>
              <w:t>天。项目建成后，主要</w:t>
            </w:r>
            <w:r>
              <w:rPr>
                <w:rFonts w:hint="eastAsia"/>
                <w:bCs/>
                <w:color w:val="000000" w:themeColor="text1"/>
                <w:highlight w:val="none"/>
              </w:rPr>
              <w:t>检测类别</w:t>
            </w:r>
            <w:r>
              <w:rPr>
                <w:bCs/>
                <w:color w:val="000000" w:themeColor="text1"/>
                <w:highlight w:val="none"/>
              </w:rPr>
              <w:t>包括①环境检测：环境空气与废气检测、水源地水质和生活饮用水检测、噪声与振动检测、土壤检测、固体废弃</w:t>
            </w:r>
            <w:r>
              <w:rPr>
                <w:rFonts w:hint="eastAsia"/>
                <w:bCs/>
                <w:color w:val="000000" w:themeColor="text1"/>
                <w:highlight w:val="none"/>
              </w:rPr>
              <w:t>物、</w:t>
            </w:r>
            <w:r>
              <w:rPr>
                <w:bCs/>
                <w:color w:val="000000" w:themeColor="text1"/>
                <w:highlight w:val="none"/>
              </w:rPr>
              <w:t>室内空气质量检测、工业废水检测、生活污水检测、地下水质量检测、地表水质量检测</w:t>
            </w:r>
            <w:r>
              <w:rPr>
                <w:rFonts w:hint="eastAsia"/>
                <w:bCs/>
                <w:color w:val="000000" w:themeColor="text1"/>
                <w:highlight w:val="none"/>
              </w:rPr>
              <w:t>、公共场所微生物检测、公共场所进出风系统检测、公共场所物理指标检测</w:t>
            </w:r>
            <w:r>
              <w:rPr>
                <w:rFonts w:hint="eastAsia"/>
                <w:bCs/>
                <w:color w:val="000000" w:themeColor="text1"/>
                <w:highlight w:val="none"/>
                <w:lang w:eastAsia="zh-CN"/>
              </w:rPr>
              <w:t>。</w:t>
            </w:r>
          </w:p>
          <w:p>
            <w:pPr>
              <w:pStyle w:val="2"/>
              <w:spacing w:line="360" w:lineRule="auto"/>
              <w:ind w:firstLine="480"/>
              <w:rPr>
                <w:color w:val="000000" w:themeColor="text1"/>
                <w:highlight w:val="none"/>
              </w:rPr>
            </w:pPr>
            <w:r>
              <w:rPr>
                <w:color w:val="000000" w:themeColor="text1"/>
                <w:highlight w:val="none"/>
              </w:rPr>
              <w:t>2、产业政策相符性</w:t>
            </w:r>
          </w:p>
          <w:p>
            <w:pPr>
              <w:pStyle w:val="2"/>
              <w:adjustRightInd w:val="0"/>
              <w:snapToGrid w:val="0"/>
              <w:spacing w:line="360" w:lineRule="auto"/>
              <w:ind w:firstLine="480"/>
              <w:rPr>
                <w:rFonts w:hint="eastAsia"/>
                <w:color w:val="000000" w:themeColor="text1"/>
                <w:highlight w:val="none"/>
              </w:rPr>
            </w:pPr>
            <w:r>
              <w:rPr>
                <w:bCs/>
                <w:color w:val="000000" w:themeColor="text1"/>
                <w:sz w:val="24"/>
                <w:highlight w:val="none"/>
              </w:rPr>
              <w:t>本项目</w:t>
            </w:r>
            <w:r>
              <w:rPr>
                <w:rFonts w:hint="eastAsia"/>
                <w:color w:val="000000" w:themeColor="text1"/>
                <w:highlight w:val="none"/>
              </w:rPr>
              <w:t>根据中华人民共和国国家发展和改革委员会制定的《产业结构调整指导目录（2019年本）》，本项目建设属于鼓励类项目。因此，本项目建设符合国家产业政策的要求。</w:t>
            </w:r>
          </w:p>
          <w:p>
            <w:pPr>
              <w:pStyle w:val="2"/>
              <w:adjustRightInd w:val="0"/>
              <w:snapToGrid w:val="0"/>
              <w:spacing w:line="360" w:lineRule="auto"/>
              <w:ind w:firstLine="480"/>
              <w:rPr>
                <w:rFonts w:hint="eastAsia"/>
                <w:color w:val="000000" w:themeColor="text1"/>
                <w:highlight w:val="none"/>
              </w:rPr>
            </w:pPr>
            <w:r>
              <w:rPr>
                <w:rFonts w:hint="eastAsia"/>
                <w:color w:val="000000" w:themeColor="text1"/>
                <w:highlight w:val="none"/>
                <w:lang w:val="en-US" w:eastAsia="zh-CN"/>
              </w:rPr>
              <w:t>3、</w:t>
            </w:r>
            <w:r>
              <w:rPr>
                <w:rFonts w:hint="eastAsia"/>
                <w:color w:val="000000" w:themeColor="text1"/>
                <w:highlight w:val="none"/>
              </w:rPr>
              <w:t>项目选址的合理性分析</w:t>
            </w:r>
          </w:p>
          <w:p>
            <w:pPr>
              <w:pStyle w:val="2"/>
              <w:adjustRightInd w:val="0"/>
              <w:snapToGrid w:val="0"/>
              <w:spacing w:line="360" w:lineRule="auto"/>
              <w:ind w:firstLine="480"/>
              <w:rPr>
                <w:rFonts w:hint="eastAsia"/>
                <w:color w:val="000000" w:themeColor="text1"/>
                <w:highlight w:val="none"/>
              </w:rPr>
            </w:pPr>
            <w:r>
              <w:rPr>
                <w:rFonts w:hint="eastAsia"/>
                <w:color w:val="000000" w:themeColor="text1"/>
                <w:highlight w:val="none"/>
              </w:rPr>
              <w:t>本项目位于湖南奇思环保设备制造有限公司内，项目用地属于工业用地。本项目为检测服务项目，其建设符合土地利用规划、《湘阴县城市总体规划》。</w:t>
            </w:r>
          </w:p>
          <w:p>
            <w:pPr>
              <w:pStyle w:val="2"/>
              <w:adjustRightInd w:val="0"/>
              <w:snapToGrid w:val="0"/>
              <w:spacing w:line="360" w:lineRule="auto"/>
              <w:ind w:firstLine="480"/>
              <w:rPr>
                <w:rFonts w:hint="eastAsia"/>
                <w:color w:val="000000" w:themeColor="text1"/>
                <w:highlight w:val="none"/>
              </w:rPr>
            </w:pPr>
            <w:r>
              <w:rPr>
                <w:rFonts w:hint="eastAsia"/>
                <w:color w:val="000000" w:themeColor="text1"/>
                <w:highlight w:val="none"/>
              </w:rPr>
              <w:t>项目运营过程中产生的污废水、废气及固废垃圾等在严格按照本报告提出的措施要求治理后，污染物排放对环境的影响在可接受范围内，对周围环境影响有限，不会改变当地的环境功能。</w:t>
            </w:r>
          </w:p>
          <w:p>
            <w:pPr>
              <w:pStyle w:val="2"/>
              <w:adjustRightInd w:val="0"/>
              <w:snapToGrid w:val="0"/>
              <w:spacing w:line="360" w:lineRule="auto"/>
              <w:ind w:firstLine="480"/>
              <w:rPr>
                <w:rFonts w:hint="eastAsia"/>
                <w:color w:val="000000" w:themeColor="text1"/>
                <w:highlight w:val="none"/>
              </w:rPr>
            </w:pPr>
            <w:r>
              <w:rPr>
                <w:rFonts w:hint="eastAsia"/>
                <w:color w:val="000000" w:themeColor="text1"/>
                <w:highlight w:val="none"/>
              </w:rPr>
              <w:t>本项目租赁湖南奇思环保设备制造有限公司现有联合厂房进行建设，项目用地属于工业用地，符合用地规划、环境功能区规划的要求，故从环境的角度看，本项目的选址是可行的。</w:t>
            </w:r>
          </w:p>
          <w:p>
            <w:pPr>
              <w:pStyle w:val="2"/>
              <w:adjustRightInd w:val="0"/>
              <w:snapToGrid w:val="0"/>
              <w:spacing w:line="360" w:lineRule="auto"/>
              <w:ind w:firstLine="480"/>
              <w:rPr>
                <w:rFonts w:hint="eastAsia"/>
                <w:color w:val="000000" w:themeColor="text1"/>
                <w:highlight w:val="none"/>
              </w:rPr>
            </w:pPr>
            <w:r>
              <w:rPr>
                <w:rFonts w:hint="eastAsia"/>
                <w:color w:val="000000" w:themeColor="text1"/>
                <w:highlight w:val="none"/>
                <w:lang w:val="en-US" w:eastAsia="zh-CN"/>
              </w:rPr>
              <w:t>4、</w:t>
            </w:r>
            <w:r>
              <w:rPr>
                <w:rFonts w:hint="eastAsia"/>
                <w:color w:val="000000" w:themeColor="text1"/>
                <w:highlight w:val="none"/>
              </w:rPr>
              <w:t>与金龙新区工业区产业定位符合性分析</w:t>
            </w:r>
          </w:p>
          <w:p>
            <w:pPr>
              <w:pStyle w:val="2"/>
              <w:adjustRightInd w:val="0"/>
              <w:snapToGrid w:val="0"/>
              <w:spacing w:line="360" w:lineRule="auto"/>
              <w:ind w:firstLine="480"/>
              <w:rPr>
                <w:color w:val="000000" w:themeColor="text1"/>
                <w:highlight w:val="none"/>
              </w:rPr>
            </w:pPr>
            <w:r>
              <w:rPr>
                <w:rFonts w:hint="eastAsia"/>
                <w:color w:val="000000" w:themeColor="text1"/>
                <w:highlight w:val="none"/>
              </w:rPr>
              <w:t>项目位于湖南奇思环保设备制造有限公司内，属于金龙新区工业区、土地为工业用地，根据《湘阴县金龙镇金龙新区规划环境影响报告书》，金龙新区工业区定位为先进机械制造和光伏电子信息的“两型”产业，本项目为检测服务类别，可有效的为工业园区的生产型企业做检测类服务，符合金龙新区工业区产业定位、土地利用规划</w:t>
            </w:r>
            <w:r>
              <w:rPr>
                <w:color w:val="000000" w:themeColor="text1"/>
                <w:highlight w:val="none"/>
              </w:rPr>
              <w:t>。</w:t>
            </w:r>
          </w:p>
          <w:p>
            <w:pPr>
              <w:spacing w:line="360" w:lineRule="auto"/>
              <w:ind w:firstLine="480" w:firstLineChars="200"/>
              <w:rPr>
                <w:color w:val="000000" w:themeColor="text1"/>
                <w:sz w:val="24"/>
                <w:highlight w:val="none"/>
              </w:rPr>
            </w:pPr>
            <w:r>
              <w:rPr>
                <w:rFonts w:hint="eastAsia"/>
                <w:color w:val="000000" w:themeColor="text1"/>
                <w:sz w:val="24"/>
                <w:highlight w:val="none"/>
              </w:rPr>
              <w:t>5</w:t>
            </w:r>
            <w:r>
              <w:rPr>
                <w:color w:val="000000" w:themeColor="text1"/>
                <w:sz w:val="24"/>
                <w:highlight w:val="none"/>
              </w:rPr>
              <w:t>、区域环境现状</w:t>
            </w:r>
          </w:p>
          <w:p>
            <w:pPr>
              <w:spacing w:line="360" w:lineRule="auto"/>
              <w:ind w:firstLine="480" w:firstLineChars="200"/>
              <w:rPr>
                <w:color w:val="000000" w:themeColor="text1"/>
                <w:sz w:val="24"/>
                <w:highlight w:val="none"/>
              </w:rPr>
            </w:pPr>
            <w:r>
              <w:rPr>
                <w:color w:val="000000" w:themeColor="text1"/>
                <w:sz w:val="24"/>
                <w:highlight w:val="none"/>
              </w:rPr>
              <w:t>1）大气环境质量现状</w:t>
            </w:r>
          </w:p>
          <w:p>
            <w:pPr>
              <w:pStyle w:val="46"/>
              <w:spacing w:line="360" w:lineRule="auto"/>
              <w:ind w:firstLine="480"/>
              <w:rPr>
                <w:color w:val="000000" w:themeColor="text1"/>
                <w:highlight w:val="none"/>
              </w:rPr>
            </w:pPr>
            <w:r>
              <w:rPr>
                <w:rFonts w:hint="eastAsia"/>
                <w:color w:val="000000" w:themeColor="text1"/>
                <w:highlight w:val="none"/>
              </w:rPr>
              <w:t>根据2018年湘阴县环境保护局发布的环境空气质量公告中湘阴县环境空气质量数据（如表3-3所示）。湘阴县PM10、SO2、NO2年平均质量浓度和 CO 95百分位数日平均质量浓度、O3 90百分位数最大8小时平均质量浓度可达到《环境空气质量标准》（GB3095-2012）中二级标准。PM2.5年平均质量浓度尚未达到《环境空气质量标准》（GB3095-2012）中二级标准</w:t>
            </w:r>
            <w:r>
              <w:rPr>
                <w:color w:val="000000" w:themeColor="text1"/>
                <w:highlight w:val="none"/>
              </w:rPr>
              <w:t>。</w:t>
            </w:r>
            <w:r>
              <w:rPr>
                <w:rFonts w:hint="eastAsia"/>
                <w:color w:val="000000" w:themeColor="text1"/>
                <w:highlight w:val="none"/>
              </w:rPr>
              <w:t>湘阴县PM2.5 年平均质量浓度出现超标，超标倍数为0.286倍，项目所在区域为环境空气质量不达标区</w:t>
            </w:r>
            <w:r>
              <w:rPr>
                <w:color w:val="000000" w:themeColor="text1"/>
                <w:highlight w:val="none"/>
              </w:rPr>
              <w:t>。</w:t>
            </w:r>
          </w:p>
          <w:p>
            <w:pPr>
              <w:spacing w:line="360" w:lineRule="auto"/>
              <w:ind w:firstLine="480" w:firstLineChars="200"/>
              <w:rPr>
                <w:color w:val="000000" w:themeColor="text1"/>
                <w:sz w:val="24"/>
                <w:highlight w:val="none"/>
              </w:rPr>
            </w:pPr>
            <w:r>
              <w:rPr>
                <w:color w:val="000000" w:themeColor="text1"/>
                <w:sz w:val="24"/>
                <w:highlight w:val="none"/>
              </w:rPr>
              <w:t>2）水环境质量现状</w:t>
            </w:r>
          </w:p>
          <w:p>
            <w:pPr>
              <w:spacing w:line="360" w:lineRule="auto"/>
              <w:ind w:firstLine="480" w:firstLineChars="200"/>
              <w:rPr>
                <w:color w:val="000000" w:themeColor="text1"/>
                <w:sz w:val="24"/>
                <w:highlight w:val="none"/>
              </w:rPr>
            </w:pPr>
            <w:r>
              <w:rPr>
                <w:rFonts w:hint="eastAsia"/>
                <w:color w:val="000000" w:themeColor="text1"/>
                <w:sz w:val="24"/>
                <w:highlight w:val="none"/>
                <w:lang w:val="en-US" w:eastAsia="zh-CN"/>
              </w:rPr>
              <w:t>根据湘阴县环境监测站对湘江设置的乌龙嘴W1、洋沙湖W2二个断面的监测数据，</w:t>
            </w:r>
            <w:r>
              <w:rPr>
                <w:rFonts w:hint="eastAsia"/>
                <w:color w:val="000000" w:themeColor="text1"/>
                <w:sz w:val="24"/>
                <w:highlight w:val="none"/>
              </w:rPr>
              <w:t>湘江水质较好，湘江洋沙湖断面及乌龙嘴断面水质各项指标均达到《地表水环境质量标准》（GB3838-2002）中Ⅲ类标准</w:t>
            </w:r>
            <w:r>
              <w:rPr>
                <w:color w:val="000000" w:themeColor="text1"/>
                <w:sz w:val="24"/>
                <w:highlight w:val="none"/>
              </w:rPr>
              <w:t>。</w:t>
            </w:r>
          </w:p>
          <w:p>
            <w:pPr>
              <w:spacing w:line="360" w:lineRule="auto"/>
              <w:ind w:firstLine="480" w:firstLineChars="200"/>
              <w:rPr>
                <w:color w:val="000000" w:themeColor="text1"/>
                <w:sz w:val="24"/>
                <w:highlight w:val="none"/>
                <w:u w:val="none"/>
              </w:rPr>
            </w:pPr>
            <w:r>
              <w:rPr>
                <w:color w:val="000000" w:themeColor="text1"/>
                <w:sz w:val="24"/>
                <w:highlight w:val="none"/>
                <w:u w:val="none"/>
              </w:rPr>
              <w:t>3）声环境质量现状</w:t>
            </w:r>
          </w:p>
          <w:p>
            <w:pPr>
              <w:pStyle w:val="2"/>
              <w:spacing w:line="360" w:lineRule="auto"/>
              <w:ind w:firstLine="480"/>
              <w:rPr>
                <w:color w:val="000000" w:themeColor="text1"/>
                <w:highlight w:val="none"/>
                <w:u w:val="none"/>
              </w:rPr>
            </w:pPr>
            <w:r>
              <w:rPr>
                <w:color w:val="000000" w:themeColor="text1"/>
                <w:highlight w:val="none"/>
                <w:u w:val="none"/>
              </w:rPr>
              <w:t>根据现场噪声监测结果，项目厂界各监测点昼夜噪声监测值符合《声环境质量标准》（GB3096-2008）中的</w:t>
            </w:r>
            <w:r>
              <w:rPr>
                <w:rFonts w:hint="eastAsia"/>
                <w:color w:val="000000" w:themeColor="text1"/>
                <w:highlight w:val="none"/>
                <w:u w:val="none"/>
                <w:lang w:val="en-US" w:eastAsia="zh-CN"/>
              </w:rPr>
              <w:t>3</w:t>
            </w:r>
            <w:r>
              <w:rPr>
                <w:rFonts w:hint="eastAsia"/>
                <w:color w:val="000000" w:themeColor="text1"/>
                <w:highlight w:val="none"/>
                <w:u w:val="none"/>
              </w:rPr>
              <w:t>类</w:t>
            </w:r>
            <w:r>
              <w:rPr>
                <w:color w:val="000000" w:themeColor="text1"/>
                <w:highlight w:val="none"/>
                <w:u w:val="none"/>
              </w:rPr>
              <w:t>标准值。</w:t>
            </w:r>
          </w:p>
          <w:p>
            <w:pPr>
              <w:spacing w:line="360" w:lineRule="auto"/>
              <w:ind w:firstLine="480" w:firstLineChars="200"/>
              <w:rPr>
                <w:color w:val="000000" w:themeColor="text1"/>
                <w:sz w:val="24"/>
                <w:highlight w:val="none"/>
                <w:u w:val="none"/>
              </w:rPr>
            </w:pPr>
            <w:r>
              <w:rPr>
                <w:color w:val="000000" w:themeColor="text1"/>
                <w:sz w:val="24"/>
                <w:highlight w:val="none"/>
                <w:u w:val="none"/>
              </w:rPr>
              <w:t>5、营运期环境影响分析结论</w:t>
            </w:r>
          </w:p>
          <w:p>
            <w:pPr>
              <w:spacing w:line="360" w:lineRule="auto"/>
              <w:ind w:firstLine="480" w:firstLineChars="200"/>
              <w:rPr>
                <w:color w:val="000000" w:themeColor="text1"/>
                <w:sz w:val="24"/>
                <w:highlight w:val="none"/>
                <w:u w:val="none"/>
              </w:rPr>
            </w:pPr>
            <w:r>
              <w:rPr>
                <w:color w:val="000000" w:themeColor="text1"/>
                <w:sz w:val="24"/>
                <w:highlight w:val="none"/>
                <w:u w:val="none"/>
              </w:rPr>
              <w:t>1）水环境影响</w:t>
            </w:r>
          </w:p>
          <w:p>
            <w:pPr>
              <w:spacing w:line="360" w:lineRule="auto"/>
              <w:ind w:firstLine="480" w:firstLineChars="200"/>
              <w:rPr>
                <w:bCs/>
                <w:color w:val="000000" w:themeColor="text1"/>
                <w:sz w:val="24"/>
                <w:highlight w:val="none"/>
                <w:u w:val="none"/>
              </w:rPr>
            </w:pPr>
            <w:r>
              <w:rPr>
                <w:bCs/>
                <w:color w:val="000000" w:themeColor="text1"/>
                <w:sz w:val="24"/>
                <w:highlight w:val="none"/>
                <w:u w:val="none"/>
              </w:rPr>
              <w:t>本项目废水主要包括员工办公生活污水和实验室废水，其中实验室废水主要包括</w:t>
            </w:r>
            <w:r>
              <w:rPr>
                <w:rFonts w:hint="eastAsia"/>
                <w:bCs/>
                <w:color w:val="000000" w:themeColor="text1"/>
                <w:sz w:val="24"/>
                <w:highlight w:val="none"/>
                <w:u w:val="none"/>
              </w:rPr>
              <w:t>纯水制备尾水</w:t>
            </w:r>
            <w:r>
              <w:rPr>
                <w:bCs/>
                <w:color w:val="000000" w:themeColor="text1"/>
                <w:sz w:val="24"/>
                <w:highlight w:val="none"/>
                <w:u w:val="none"/>
              </w:rPr>
              <w:t>和仪器、器皿与实验操作台清洗废水等。清洗废水经</w:t>
            </w:r>
            <w:r>
              <w:rPr>
                <w:rFonts w:hint="eastAsia"/>
                <w:color w:val="000000" w:themeColor="text1"/>
                <w:sz w:val="24"/>
                <w:highlight w:val="none"/>
                <w:u w:val="none"/>
              </w:rPr>
              <w:t>“实验室一体化小型废水处理设备”</w:t>
            </w:r>
            <w:r>
              <w:rPr>
                <w:rFonts w:hint="eastAsia"/>
                <w:bCs/>
                <w:color w:val="000000" w:themeColor="text1"/>
                <w:sz w:val="24"/>
                <w:highlight w:val="none"/>
                <w:u w:val="none"/>
              </w:rPr>
              <w:t>预处理后排入城市污水管网，纯水制备尾水、</w:t>
            </w:r>
            <w:r>
              <w:rPr>
                <w:bCs/>
                <w:color w:val="000000" w:themeColor="text1"/>
                <w:sz w:val="24"/>
                <w:highlight w:val="none"/>
                <w:u w:val="none"/>
              </w:rPr>
              <w:t>生活污水由化粪池处理达到《污水综合排放标准》（GB8978-1996）中的三级标准后，由市政污水管网排至</w:t>
            </w:r>
            <w:r>
              <w:rPr>
                <w:rFonts w:hint="eastAsia"/>
                <w:bCs/>
                <w:color w:val="000000" w:themeColor="text1"/>
                <w:sz w:val="24"/>
                <w:highlight w:val="none"/>
                <w:u w:val="none"/>
                <w:lang w:eastAsia="zh-CN"/>
              </w:rPr>
              <w:t>园区污水处理厂</w:t>
            </w:r>
            <w:r>
              <w:rPr>
                <w:bCs/>
                <w:color w:val="000000" w:themeColor="text1"/>
                <w:sz w:val="24"/>
                <w:highlight w:val="none"/>
                <w:u w:val="none"/>
              </w:rPr>
              <w:t>进行处理达《城镇污水处理厂污染物排放标准》（GB18918-2002）中的一级A标准后外排至湘江。对周边地表水体影响较小。经以上措施处理后，本项目废水对外环境的影响较小。</w:t>
            </w:r>
          </w:p>
          <w:p>
            <w:pPr>
              <w:spacing w:line="360" w:lineRule="auto"/>
              <w:ind w:firstLine="480" w:firstLineChars="200"/>
              <w:rPr>
                <w:color w:val="000000" w:themeColor="text1"/>
                <w:sz w:val="24"/>
                <w:highlight w:val="none"/>
              </w:rPr>
            </w:pPr>
            <w:r>
              <w:rPr>
                <w:color w:val="000000" w:themeColor="text1"/>
                <w:sz w:val="24"/>
                <w:highlight w:val="none"/>
              </w:rPr>
              <w:t>2）空气环境影响</w:t>
            </w:r>
          </w:p>
          <w:p>
            <w:pPr>
              <w:spacing w:line="360" w:lineRule="auto"/>
              <w:ind w:firstLine="480" w:firstLineChars="200"/>
              <w:rPr>
                <w:bCs/>
                <w:color w:val="000000" w:themeColor="text1"/>
                <w:sz w:val="24"/>
                <w:highlight w:val="none"/>
              </w:rPr>
            </w:pPr>
            <w:r>
              <w:rPr>
                <w:bCs/>
                <w:color w:val="000000" w:themeColor="text1"/>
                <w:sz w:val="24"/>
                <w:highlight w:val="none"/>
              </w:rPr>
              <w:t>项目运营期在样品前处理、配制溶液时会产生少量废气和异味，项目产生的异味极少，通过加强通风等措施，对</w:t>
            </w:r>
            <w:r>
              <w:rPr>
                <w:rFonts w:hint="eastAsia"/>
                <w:bCs/>
                <w:color w:val="000000" w:themeColor="text1"/>
                <w:sz w:val="24"/>
                <w:highlight w:val="none"/>
              </w:rPr>
              <w:t>周边基本无影响。项目</w:t>
            </w:r>
            <w:r>
              <w:rPr>
                <w:bCs/>
                <w:color w:val="000000" w:themeColor="text1"/>
                <w:sz w:val="24"/>
                <w:highlight w:val="none"/>
              </w:rPr>
              <w:t>由于实验类</w:t>
            </w:r>
            <w:r>
              <w:rPr>
                <w:rFonts w:hint="eastAsia"/>
                <w:bCs/>
                <w:color w:val="000000" w:themeColor="text1"/>
                <w:sz w:val="24"/>
                <w:highlight w:val="none"/>
              </w:rPr>
              <w:t>型</w:t>
            </w:r>
            <w:r>
              <w:rPr>
                <w:bCs/>
                <w:color w:val="000000" w:themeColor="text1"/>
                <w:sz w:val="24"/>
                <w:highlight w:val="none"/>
              </w:rPr>
              <w:t>的不同，根据样品前处理工艺的差别，</w:t>
            </w:r>
            <w:r>
              <w:rPr>
                <w:rFonts w:hint="eastAsia"/>
                <w:bCs/>
                <w:color w:val="000000" w:themeColor="text1"/>
                <w:sz w:val="24"/>
                <w:highlight w:val="none"/>
              </w:rPr>
              <w:t>主要产生</w:t>
            </w:r>
            <w:r>
              <w:rPr>
                <w:bCs/>
                <w:color w:val="000000" w:themeColor="text1"/>
                <w:sz w:val="24"/>
                <w:highlight w:val="none"/>
              </w:rPr>
              <w:t>无机废气。</w:t>
            </w:r>
            <w:r>
              <w:rPr>
                <w:rFonts w:hint="eastAsia"/>
                <w:bCs/>
                <w:color w:val="000000" w:themeColor="text1"/>
                <w:sz w:val="24"/>
                <w:highlight w:val="none"/>
              </w:rPr>
              <w:t>无机废气主要产生于无机前处理室，基本为盐酸、硝酸、硫酸等酸雾，因无机试剂用量较少，酸雾产生量较少。产生废气的实验室与仪器室均设置有集气罩或通风橱，废气收集后</w:t>
            </w:r>
            <w:r>
              <w:rPr>
                <w:bCs/>
                <w:color w:val="000000" w:themeColor="text1"/>
                <w:sz w:val="24"/>
                <w:highlight w:val="none"/>
              </w:rPr>
              <w:t>经酸雾净化塔净化</w:t>
            </w:r>
            <w:r>
              <w:rPr>
                <w:rFonts w:hint="eastAsia"/>
                <w:bCs/>
                <w:color w:val="000000" w:themeColor="text1"/>
                <w:sz w:val="24"/>
                <w:highlight w:val="none"/>
              </w:rPr>
              <w:t>后再</w:t>
            </w:r>
            <w:r>
              <w:rPr>
                <w:bCs/>
                <w:color w:val="000000" w:themeColor="text1"/>
                <w:sz w:val="24"/>
                <w:highlight w:val="none"/>
              </w:rPr>
              <w:t>由15m高排气筒外排</w:t>
            </w:r>
            <w:r>
              <w:rPr>
                <w:rFonts w:hint="eastAsia"/>
                <w:bCs/>
                <w:color w:val="000000" w:themeColor="text1"/>
                <w:sz w:val="24"/>
                <w:highlight w:val="none"/>
              </w:rPr>
              <w:t>，产生极少量的酸雾</w:t>
            </w:r>
            <w:r>
              <w:rPr>
                <w:color w:val="000000" w:themeColor="text1"/>
                <w:sz w:val="24"/>
                <w:highlight w:val="none"/>
              </w:rPr>
              <w:t>，</w:t>
            </w:r>
            <w:r>
              <w:rPr>
                <w:bCs/>
                <w:color w:val="000000" w:themeColor="text1"/>
                <w:sz w:val="24"/>
                <w:highlight w:val="none"/>
              </w:rPr>
              <w:t>对周边环境影响较小。</w:t>
            </w:r>
          </w:p>
          <w:p>
            <w:pPr>
              <w:spacing w:line="360" w:lineRule="auto"/>
              <w:ind w:firstLine="480" w:firstLineChars="200"/>
              <w:rPr>
                <w:color w:val="000000" w:themeColor="text1"/>
                <w:sz w:val="24"/>
                <w:highlight w:val="none"/>
              </w:rPr>
            </w:pPr>
            <w:r>
              <w:rPr>
                <w:color w:val="000000" w:themeColor="text1"/>
                <w:sz w:val="24"/>
                <w:highlight w:val="none"/>
              </w:rPr>
              <w:t>3）声环境影响</w:t>
            </w:r>
          </w:p>
          <w:p>
            <w:pPr>
              <w:pStyle w:val="2"/>
              <w:spacing w:line="360" w:lineRule="auto"/>
              <w:ind w:firstLine="480"/>
              <w:rPr>
                <w:color w:val="000000" w:themeColor="text1"/>
                <w:highlight w:val="none"/>
              </w:rPr>
            </w:pPr>
            <w:r>
              <w:rPr>
                <w:color w:val="000000" w:themeColor="text1"/>
                <w:highlight w:val="none"/>
              </w:rPr>
              <w:t>本项目运营期的噪声源主要包括风机、通风橱等设备运行噪声，噪声源强一般50dB(A)～70dB(A)。通过隔音、减振等措施，对声环境的影响很小，满足《工业企业</w:t>
            </w:r>
          </w:p>
          <w:p>
            <w:pPr>
              <w:pStyle w:val="2"/>
              <w:spacing w:line="360" w:lineRule="auto"/>
              <w:ind w:firstLine="0" w:firstLineChars="0"/>
              <w:rPr>
                <w:color w:val="000000" w:themeColor="text1"/>
                <w:highlight w:val="none"/>
              </w:rPr>
            </w:pPr>
            <w:r>
              <w:rPr>
                <w:color w:val="000000" w:themeColor="text1"/>
                <w:highlight w:val="none"/>
              </w:rPr>
              <w:t>厂界环境噪声排放标准》（GB12348-2008）</w:t>
            </w:r>
            <w:r>
              <w:rPr>
                <w:rFonts w:hint="eastAsia"/>
                <w:color w:val="000000" w:themeColor="text1"/>
                <w:highlight w:val="none"/>
                <w:lang w:val="en-US" w:eastAsia="zh-CN"/>
              </w:rPr>
              <w:t>3</w:t>
            </w:r>
            <w:r>
              <w:rPr>
                <w:color w:val="000000" w:themeColor="text1"/>
                <w:highlight w:val="none"/>
              </w:rPr>
              <w:t>类标准要求，不会对周围环境</w:t>
            </w:r>
            <w:r>
              <w:rPr>
                <w:rFonts w:hint="eastAsia"/>
                <w:color w:val="000000" w:themeColor="text1"/>
                <w:highlight w:val="none"/>
              </w:rPr>
              <w:t>造</w:t>
            </w:r>
            <w:r>
              <w:rPr>
                <w:color w:val="000000" w:themeColor="text1"/>
                <w:highlight w:val="none"/>
              </w:rPr>
              <w:t>成明显影响。</w:t>
            </w:r>
          </w:p>
          <w:p>
            <w:pPr>
              <w:pStyle w:val="2"/>
              <w:spacing w:line="360" w:lineRule="auto"/>
              <w:ind w:firstLine="480"/>
              <w:rPr>
                <w:color w:val="000000" w:themeColor="text1"/>
                <w:highlight w:val="none"/>
              </w:rPr>
            </w:pPr>
            <w:r>
              <w:rPr>
                <w:color w:val="000000" w:themeColor="text1"/>
                <w:highlight w:val="none"/>
              </w:rPr>
              <w:t>4）固体废物影响</w:t>
            </w:r>
          </w:p>
          <w:p>
            <w:pPr>
              <w:pStyle w:val="2"/>
              <w:spacing w:line="360" w:lineRule="auto"/>
              <w:ind w:firstLine="480"/>
              <w:rPr>
                <w:color w:val="000000" w:themeColor="text1"/>
                <w:highlight w:val="none"/>
              </w:rPr>
            </w:pPr>
            <w:r>
              <w:rPr>
                <w:color w:val="000000" w:themeColor="text1"/>
                <w:highlight w:val="none"/>
              </w:rPr>
              <w:t>本项目产生的固体废弃物主要包括员工办公生活垃圾、实验固废，其中实验固废主要为实验过程中产生的各类废液（一般实验废液、含重金属测量的实验废液）、含重金属超标的废土壤样品或鉴别为危险废物的样品等固态物质、装有危险化学品的废包装、过期失效药剂、化学品废弃容器、废培养基和一般固废等。本项目产生的生活垃圾集中收集后由环卫部门统一清运；实验过程中产生的各类废液（一般实验废液、含重金属测量的实验废液）、含重金属超标的废土壤样品或鉴别为危险废物的样品等固态物质、装有危险化学品的废包装、过期失效药剂、化学品废弃容器等作为危险废物暂存在危废暂存间后委托</w:t>
            </w:r>
            <w:r>
              <w:rPr>
                <w:rFonts w:hint="eastAsia"/>
                <w:color w:val="000000" w:themeColor="text1"/>
                <w:highlight w:val="none"/>
              </w:rPr>
              <w:t>有资质单位</w:t>
            </w:r>
            <w:r>
              <w:rPr>
                <w:color w:val="000000" w:themeColor="text1"/>
                <w:highlight w:val="none"/>
              </w:rPr>
              <w:t>处理；废培养基经高压灭菌锅灭活处理后与生活垃圾一并由当地环卫部门处置；检测过程中产生的不含危险化学品的废纸箱、废塑料、玻璃瓶、不含重金属或重金属未超标的废土壤样品等固态物质等为一般固废，废纸箱、玻璃瓶由废品回收站回收，废塑料、不含重金属或重金属未超标的废土壤样品等固态物质作为生活垃圾由环卫部门统一收集处置。采取上述措施后，本项目产生的固体废物均能得到妥善处置，对周边环境影响较小。</w:t>
            </w:r>
          </w:p>
          <w:p>
            <w:pPr>
              <w:pStyle w:val="2"/>
              <w:spacing w:line="360" w:lineRule="auto"/>
              <w:ind w:firstLine="480"/>
              <w:rPr>
                <w:color w:val="000000" w:themeColor="text1"/>
                <w:highlight w:val="none"/>
              </w:rPr>
            </w:pPr>
            <w:r>
              <w:rPr>
                <w:color w:val="000000" w:themeColor="text1"/>
                <w:highlight w:val="none"/>
              </w:rPr>
              <w:t>6、环保投资</w:t>
            </w:r>
          </w:p>
          <w:p>
            <w:pPr>
              <w:pStyle w:val="2"/>
              <w:spacing w:line="360" w:lineRule="auto"/>
              <w:ind w:firstLine="480"/>
              <w:rPr>
                <w:color w:val="000000" w:themeColor="text1"/>
                <w:highlight w:val="none"/>
              </w:rPr>
            </w:pPr>
            <w:r>
              <w:rPr>
                <w:bCs/>
                <w:color w:val="000000" w:themeColor="text1"/>
                <w:szCs w:val="24"/>
                <w:highlight w:val="none"/>
              </w:rPr>
              <w:t>本项目环保投资</w:t>
            </w:r>
            <w:r>
              <w:rPr>
                <w:rFonts w:hint="eastAsia"/>
                <w:bCs/>
                <w:color w:val="000000" w:themeColor="text1"/>
                <w:szCs w:val="24"/>
                <w:highlight w:val="none"/>
              </w:rPr>
              <w:t>1</w:t>
            </w:r>
            <w:r>
              <w:rPr>
                <w:rFonts w:hint="eastAsia"/>
                <w:bCs/>
                <w:color w:val="000000" w:themeColor="text1"/>
                <w:szCs w:val="24"/>
                <w:highlight w:val="none"/>
                <w:lang w:val="en-US" w:eastAsia="zh-CN"/>
              </w:rPr>
              <w:t>9</w:t>
            </w:r>
            <w:r>
              <w:rPr>
                <w:bCs/>
                <w:color w:val="000000" w:themeColor="text1"/>
                <w:szCs w:val="24"/>
                <w:highlight w:val="none"/>
              </w:rPr>
              <w:t>万元，占总投资</w:t>
            </w:r>
            <w:r>
              <w:rPr>
                <w:rFonts w:hint="eastAsia"/>
                <w:color w:val="000000" w:themeColor="text1"/>
                <w:highlight w:val="none"/>
                <w:lang w:eastAsia="zh-CN"/>
              </w:rPr>
              <w:t>9.5%</w:t>
            </w:r>
            <w:r>
              <w:rPr>
                <w:bCs/>
                <w:color w:val="000000" w:themeColor="text1"/>
                <w:szCs w:val="24"/>
                <w:highlight w:val="none"/>
              </w:rPr>
              <w:t>。</w:t>
            </w:r>
          </w:p>
          <w:p>
            <w:pPr>
              <w:pStyle w:val="2"/>
              <w:spacing w:line="360" w:lineRule="auto"/>
              <w:ind w:firstLine="480"/>
              <w:rPr>
                <w:color w:val="000000" w:themeColor="text1"/>
                <w:highlight w:val="none"/>
              </w:rPr>
            </w:pPr>
            <w:r>
              <w:rPr>
                <w:color w:val="000000" w:themeColor="text1"/>
                <w:highlight w:val="none"/>
              </w:rPr>
              <w:t>7、结论</w:t>
            </w:r>
          </w:p>
          <w:p>
            <w:pPr>
              <w:spacing w:line="360" w:lineRule="auto"/>
              <w:ind w:firstLine="480" w:firstLineChars="200"/>
              <w:rPr>
                <w:color w:val="000000" w:themeColor="text1"/>
                <w:sz w:val="24"/>
                <w:highlight w:val="none"/>
              </w:rPr>
            </w:pPr>
            <w:r>
              <w:rPr>
                <w:color w:val="000000" w:themeColor="text1"/>
                <w:sz w:val="24"/>
                <w:highlight w:val="none"/>
              </w:rPr>
              <w:t>项目符合国家产业政策，总平面布置合理，与项目区域土地利用性质</w:t>
            </w:r>
            <w:r>
              <w:rPr>
                <w:rFonts w:hint="eastAsia"/>
                <w:color w:val="000000" w:themeColor="text1"/>
                <w:sz w:val="24"/>
                <w:highlight w:val="none"/>
              </w:rPr>
              <w:t>相符，</w:t>
            </w:r>
            <w:r>
              <w:rPr>
                <w:color w:val="000000" w:themeColor="text1"/>
                <w:sz w:val="24"/>
                <w:highlight w:val="none"/>
              </w:rPr>
              <w:t>项目具有良好的社会效益，可带动当地经济发展，促进就业等。项目在运行中产生一定程度的废水、废气、噪声及固体废物的污染，建设单位加强营运期管理，严格遵循环保“三同时”制度，在切实落实本报告提出的各项污染防治措施前提下，项目对周围环境的影响可以控制在国家有关标准和要求的允许范围以内。本项目采取的污染防治措施从技术上和经济上均可行。从环境保护角度分析，该项目建设可行。</w:t>
            </w:r>
          </w:p>
          <w:p>
            <w:pPr>
              <w:pStyle w:val="2"/>
              <w:spacing w:line="360" w:lineRule="auto"/>
              <w:ind w:firstLine="480"/>
              <w:rPr>
                <w:color w:val="000000" w:themeColor="text1"/>
                <w:highlight w:val="none"/>
              </w:rPr>
            </w:pPr>
            <w:r>
              <w:rPr>
                <w:color w:val="000000" w:themeColor="text1"/>
                <w:highlight w:val="none"/>
              </w:rPr>
              <w:t>二、建议</w:t>
            </w:r>
          </w:p>
          <w:p>
            <w:pPr>
              <w:pStyle w:val="71"/>
              <w:rPr>
                <w:rFonts w:ascii="Times New Roman" w:hAnsi="Times New Roman"/>
                <w:color w:val="000000" w:themeColor="text1"/>
                <w:highlight w:val="none"/>
              </w:rPr>
            </w:pPr>
            <w:r>
              <w:rPr>
                <w:rFonts w:ascii="Times New Roman" w:hAnsi="Times New Roman"/>
                <w:color w:val="000000" w:themeColor="text1"/>
                <w:highlight w:val="none"/>
              </w:rPr>
              <w:t>1、本项目涉及的消防、安全及卫生问题，不属于本项目环境影响环评范围，按国家有关法律、法规和相关标准执行。</w:t>
            </w:r>
          </w:p>
          <w:p>
            <w:pPr>
              <w:pStyle w:val="71"/>
              <w:rPr>
                <w:rFonts w:ascii="Times New Roman" w:hAnsi="Times New Roman"/>
                <w:color w:val="000000" w:themeColor="text1"/>
                <w:highlight w:val="none"/>
              </w:rPr>
            </w:pPr>
            <w:r>
              <w:rPr>
                <w:rFonts w:ascii="Times New Roman" w:hAnsi="Times New Roman"/>
                <w:color w:val="000000" w:themeColor="text1"/>
                <w:highlight w:val="none"/>
              </w:rPr>
              <w:t>2、关心并积极听取周边居民等人员、单位的反映，定期向项目最高管理者和当地环保部门汇报项目环境保护工作的情况，同时接受当地环境保护部门的监督和管理。遵守有关环境法律、法规，树立良好的企业形象，实现经济效益与社会效益、环境效益相统一。</w:t>
            </w:r>
          </w:p>
          <w:p>
            <w:pPr>
              <w:pStyle w:val="71"/>
              <w:rPr>
                <w:rFonts w:ascii="Times New Roman" w:hAnsi="Times New Roman"/>
                <w:color w:val="000000" w:themeColor="text1"/>
                <w:highlight w:val="none"/>
              </w:rPr>
            </w:pPr>
            <w:r>
              <w:rPr>
                <w:rFonts w:ascii="Times New Roman" w:hAnsi="Times New Roman"/>
                <w:color w:val="000000" w:themeColor="text1"/>
                <w:highlight w:val="none"/>
              </w:rPr>
              <w:t>3、加强本项目的环境管理和环境监测。设专职环境管理人员，按本报告表中的要求认真落实环境监测计划。</w:t>
            </w:r>
          </w:p>
          <w:p>
            <w:pPr>
              <w:pStyle w:val="71"/>
              <w:rPr>
                <w:rFonts w:ascii="Times New Roman" w:hAnsi="Times New Roman"/>
                <w:color w:val="000000" w:themeColor="text1"/>
                <w:highlight w:val="none"/>
              </w:rPr>
            </w:pPr>
            <w:r>
              <w:rPr>
                <w:rFonts w:ascii="Times New Roman" w:hAnsi="Times New Roman"/>
                <w:color w:val="000000" w:themeColor="text1"/>
                <w:highlight w:val="none"/>
              </w:rPr>
              <w:t>4、加强环保设施管理，提高各环节操作的规范性，以保证环保设施的正常运营，从而减少污染物的产生量。</w:t>
            </w:r>
          </w:p>
          <w:p>
            <w:pPr>
              <w:pStyle w:val="2"/>
              <w:spacing w:line="360" w:lineRule="auto"/>
              <w:ind w:firstLine="480"/>
              <w:rPr>
                <w:color w:val="000000" w:themeColor="text1"/>
                <w:highlight w:val="none"/>
              </w:rPr>
            </w:pPr>
            <w:r>
              <w:rPr>
                <w:color w:val="000000" w:themeColor="text1"/>
                <w:highlight w:val="none"/>
              </w:rPr>
              <w:t>5、公司目前</w:t>
            </w:r>
            <w:r>
              <w:rPr>
                <w:rFonts w:hint="eastAsia"/>
                <w:color w:val="000000" w:themeColor="text1"/>
                <w:highlight w:val="none"/>
              </w:rPr>
              <w:t>检测服务范围主要是环境检测及研究等</w:t>
            </w:r>
            <w:r>
              <w:rPr>
                <w:color w:val="000000" w:themeColor="text1"/>
                <w:highlight w:val="none"/>
              </w:rPr>
              <w:t>。环评主要是针对项目的</w:t>
            </w:r>
            <w:r>
              <w:rPr>
                <w:rFonts w:hint="eastAsia"/>
                <w:color w:val="000000" w:themeColor="text1"/>
                <w:highlight w:val="none"/>
              </w:rPr>
              <w:t>环境检测</w:t>
            </w:r>
            <w:r>
              <w:rPr>
                <w:color w:val="000000" w:themeColor="text1"/>
                <w:highlight w:val="none"/>
              </w:rPr>
              <w:t>进行分析，建设单位后期如扩大检测范围，需另做环评。</w:t>
            </w:r>
          </w:p>
          <w:p>
            <w:pPr>
              <w:pStyle w:val="2"/>
              <w:spacing w:line="360" w:lineRule="auto"/>
              <w:ind w:firstLine="480"/>
              <w:rPr>
                <w:color w:val="000000" w:themeColor="text1"/>
                <w:highlight w:val="none"/>
              </w:rPr>
            </w:pPr>
            <w:r>
              <w:rPr>
                <w:color w:val="000000" w:themeColor="text1"/>
                <w:highlight w:val="none"/>
              </w:rPr>
              <w:t>6、建设单位必须严格执行</w:t>
            </w:r>
            <w:r>
              <w:rPr>
                <w:rFonts w:hint="eastAsia"/>
                <w:color w:val="000000" w:themeColor="text1"/>
                <w:highlight w:val="none"/>
              </w:rPr>
              <w:t>“</w:t>
            </w:r>
            <w:r>
              <w:rPr>
                <w:color w:val="000000" w:themeColor="text1"/>
                <w:highlight w:val="none"/>
              </w:rPr>
              <w:t>三同时</w:t>
            </w:r>
            <w:r>
              <w:rPr>
                <w:rFonts w:hint="eastAsia"/>
                <w:color w:val="000000" w:themeColor="text1"/>
                <w:highlight w:val="none"/>
              </w:rPr>
              <w:t>”</w:t>
            </w:r>
            <w:r>
              <w:rPr>
                <w:color w:val="000000" w:themeColor="text1"/>
                <w:highlight w:val="none"/>
              </w:rPr>
              <w:t>，切实做到环保治理设施与主体工程同时设计、同时施工、同时投产使用。</w:t>
            </w:r>
          </w:p>
          <w:p>
            <w:pPr>
              <w:pStyle w:val="2"/>
              <w:ind w:firstLine="0" w:firstLineChars="0"/>
              <w:rPr>
                <w:bCs/>
                <w:color w:val="000000" w:themeColor="text1"/>
                <w:highlight w:val="red"/>
              </w:rPr>
            </w:pPr>
          </w:p>
          <w:p>
            <w:pPr>
              <w:pStyle w:val="2"/>
              <w:ind w:firstLine="0" w:firstLineChars="0"/>
              <w:rPr>
                <w:bCs/>
                <w:color w:val="000000" w:themeColor="text1"/>
                <w:highlight w:val="red"/>
              </w:rPr>
            </w:pPr>
          </w:p>
          <w:p>
            <w:pPr>
              <w:pStyle w:val="2"/>
              <w:ind w:firstLine="0" w:firstLineChars="0"/>
              <w:rPr>
                <w:bCs/>
                <w:color w:val="000000" w:themeColor="text1"/>
                <w:highlight w:val="red"/>
              </w:rPr>
            </w:pPr>
          </w:p>
          <w:p>
            <w:pPr>
              <w:pStyle w:val="2"/>
              <w:ind w:firstLine="0" w:firstLineChars="0"/>
              <w:rPr>
                <w:bCs/>
                <w:color w:val="000000" w:themeColor="text1"/>
                <w:highlight w:val="red"/>
              </w:rPr>
            </w:pPr>
          </w:p>
          <w:p>
            <w:pPr>
              <w:pStyle w:val="2"/>
              <w:ind w:firstLine="0" w:firstLineChars="0"/>
              <w:rPr>
                <w:bCs/>
                <w:color w:val="000000" w:themeColor="text1"/>
                <w:highlight w:val="red"/>
              </w:rPr>
            </w:pPr>
          </w:p>
        </w:tc>
      </w:tr>
    </w:tbl>
    <w:p>
      <w:pPr>
        <w:pStyle w:val="2"/>
        <w:spacing w:line="600" w:lineRule="exact"/>
        <w:ind w:firstLine="0" w:firstLineChars="0"/>
        <w:rPr>
          <w:color w:val="000000" w:themeColor="text1"/>
          <w:highlight w:val="red"/>
        </w:rPr>
        <w:sectPr>
          <w:pgSz w:w="11907" w:h="16840"/>
          <w:pgMar w:top="1418" w:right="1418" w:bottom="1134" w:left="1418" w:header="1134" w:footer="1134" w:gutter="0"/>
          <w:pgNumType w:fmt="decimal"/>
          <w:cols w:space="720" w:num="1"/>
          <w:docGrid w:type="linesAndChars" w:linePitch="312" w:charSpace="0"/>
        </w:sectPr>
      </w:pPr>
    </w:p>
    <w:p>
      <w:pPr>
        <w:spacing w:line="360" w:lineRule="auto"/>
        <w:outlineLvl w:val="0"/>
        <w:rPr>
          <w:rFonts w:eastAsia="微软雅黑"/>
          <w:b/>
          <w:bCs/>
          <w:color w:val="000000" w:themeColor="text1"/>
          <w:sz w:val="24"/>
          <w:highlight w:val="none"/>
        </w:rPr>
      </w:pPr>
      <w:bookmarkStart w:id="27" w:name="_Toc21891_WPSOffice_Level1"/>
      <w:bookmarkStart w:id="28" w:name="_Toc60_WPSOffice_Level1"/>
      <w:bookmarkStart w:id="29" w:name="_Toc29050_WPSOffice_Level1"/>
      <w:bookmarkStart w:id="30" w:name="_Toc10517"/>
      <w:r>
        <w:rPr>
          <w:rFonts w:hint="eastAsia"/>
          <w:b/>
          <w:bCs/>
          <w:color w:val="000000" w:themeColor="text1"/>
          <w:sz w:val="24"/>
          <w:highlight w:val="none"/>
        </w:rPr>
        <w:t>附图</w:t>
      </w:r>
      <w:bookmarkEnd w:id="27"/>
      <w:bookmarkEnd w:id="28"/>
      <w:bookmarkEnd w:id="29"/>
      <w:bookmarkEnd w:id="30"/>
    </w:p>
    <w:p>
      <w:pPr>
        <w:spacing w:line="360" w:lineRule="auto"/>
        <w:jc w:val="center"/>
        <w:outlineLvl w:val="1"/>
        <w:rPr>
          <w:color w:val="000000" w:themeColor="text1"/>
          <w:sz w:val="24"/>
          <w:highlight w:val="red"/>
        </w:rPr>
        <w:sectPr>
          <w:pgSz w:w="16840" w:h="11907" w:orient="landscape"/>
          <w:pgMar w:top="1418" w:right="1418" w:bottom="1418" w:left="1134" w:header="1134" w:footer="1134" w:gutter="0"/>
          <w:pgNumType w:fmt="decimal"/>
          <w:cols w:space="720" w:num="1"/>
          <w:docGrid w:type="linesAndChars" w:linePitch="312" w:charSpace="0"/>
        </w:sectPr>
      </w:pPr>
      <w:r>
        <w:drawing>
          <wp:inline distT="0" distB="0" distL="114300" distR="114300">
            <wp:extent cx="8199755" cy="4618990"/>
            <wp:effectExtent l="0" t="0" r="10795" b="1016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23"/>
                    <a:stretch>
                      <a:fillRect/>
                    </a:stretch>
                  </pic:blipFill>
                  <pic:spPr>
                    <a:xfrm>
                      <a:off x="0" y="0"/>
                      <a:ext cx="8199755" cy="4618990"/>
                    </a:xfrm>
                    <a:prstGeom prst="rect">
                      <a:avLst/>
                    </a:prstGeom>
                    <a:noFill/>
                    <a:ln w="9525">
                      <a:noFill/>
                    </a:ln>
                  </pic:spPr>
                </pic:pic>
              </a:graphicData>
            </a:graphic>
          </wp:inline>
        </w:drawing>
      </w:r>
      <w:r>
        <w:rPr>
          <w:rFonts w:hint="default" w:ascii="Times New Roman" w:hAnsi="Times New Roman" w:cs="Times New Roman"/>
        </w:rPr>
        <w:drawing>
          <wp:anchor distT="0" distB="0" distL="114300" distR="114300" simplePos="0" relativeHeight="255802368" behindDoc="0" locked="0" layoutInCell="1" allowOverlap="1">
            <wp:simplePos x="0" y="0"/>
            <wp:positionH relativeFrom="column">
              <wp:posOffset>402590</wp:posOffset>
            </wp:positionH>
            <wp:positionV relativeFrom="paragraph">
              <wp:posOffset>116840</wp:posOffset>
            </wp:positionV>
            <wp:extent cx="496570" cy="647700"/>
            <wp:effectExtent l="0" t="0" r="17780" b="0"/>
            <wp:wrapNone/>
            <wp:docPr id="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0"/>
                    <pic:cNvPicPr>
                      <a:picLocks noChangeAspect="1"/>
                    </pic:cNvPicPr>
                  </pic:nvPicPr>
                  <pic:blipFill>
                    <a:blip r:embed="rId24"/>
                    <a:stretch>
                      <a:fillRect/>
                    </a:stretch>
                  </pic:blipFill>
                  <pic:spPr>
                    <a:xfrm>
                      <a:off x="0" y="0"/>
                      <a:ext cx="496570" cy="647700"/>
                    </a:xfrm>
                    <a:prstGeom prst="rect">
                      <a:avLst/>
                    </a:prstGeom>
                    <a:noFill/>
                    <a:ln w="9525">
                      <a:noFill/>
                    </a:ln>
                  </pic:spPr>
                </pic:pic>
              </a:graphicData>
            </a:graphic>
          </wp:anchor>
        </w:drawing>
      </w:r>
      <w:r>
        <w:rPr>
          <w:color w:val="000000" w:themeColor="text1"/>
          <w:sz w:val="24"/>
          <w:highlight w:val="red"/>
        </w:rPr>
        <w:pict>
          <v:shape id="_x0000_s1056" o:spid="_x0000_s1056" o:spt="202" type="#_x0000_t202" style="position:absolute;left:0pt;margin-left:271.15pt;margin-top:396.6pt;height:29.25pt;width:238.5pt;z-index:253014016;mso-width-relative:page;mso-height-relative:page;" fillcolor="#FFFFFF" filled="t" stroked="f" coordsize="21600,21600" o:gfxdata="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3PR772AAAAAwBAAAPAAAAAAAAAAEAIAAAACIAAABk&#10;cnMvZG93bnJldi54bWxQSwECFAAUAAAACACHTuJAl5IDBz8CAABPBAAADgAAAAAAAAABACAAAAAn&#10;AQAAZHJzL2Uyb0RvYy54bWxQSwUGAAAAAAYABgBZAQAA2AUAAAAA&#10;">
            <v:path/>
            <v:fill on="t" focussize="0,0"/>
            <v:stroke on="f" weight="0.5pt" joinstyle="miter"/>
            <v:imagedata o:title=""/>
            <o:lock v:ext="edit"/>
            <v:textbox>
              <w:txbxContent>
                <w:p>
                  <w:pPr>
                    <w:rPr>
                      <w:b/>
                      <w:bCs/>
                      <w:sz w:val="24"/>
                    </w:rPr>
                  </w:pPr>
                  <w:r>
                    <w:rPr>
                      <w:rFonts w:hint="eastAsia"/>
                      <w:b/>
                      <w:bCs/>
                      <w:sz w:val="24"/>
                    </w:rPr>
                    <w:t>附图1建设项目地理位置示意图</w:t>
                  </w:r>
                </w:p>
              </w:txbxContent>
            </v:textbox>
          </v:shape>
        </w:pict>
      </w:r>
    </w:p>
    <w:tbl>
      <w:tblPr>
        <w:tblStyle w:val="35"/>
        <w:tblW w:w="92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0"/>
        <w:gridCol w:w="4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1" w:hRule="atLeast"/>
        </w:trPr>
        <w:tc>
          <w:tcPr>
            <w:tcW w:w="4620" w:type="dxa"/>
            <w:vAlign w:val="center"/>
          </w:tcPr>
          <w:p>
            <w:pPr>
              <w:jc w:val="center"/>
              <w:rPr>
                <w:sz w:val="21"/>
                <w:szCs w:val="21"/>
              </w:rPr>
            </w:pPr>
            <w:r>
              <w:rPr>
                <w:sz w:val="21"/>
                <w:szCs w:val="21"/>
              </w:rPr>
              <w:pict>
                <v:shape id="流程图: 过程 21" o:spid="_x0000_s1053" o:spt="109" type="#_x0000_t109" style="position:absolute;left:0pt;margin-left:118.65pt;margin-top:660.35pt;height:32.8pt;width:211.35pt;z-index:251675648;mso-width-relative:page;mso-height-relative:page;" filled="f" stroked="f" coordsize="21600,21600" o:gfxdata="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jxLu42QAAAA0BAAAPAAAAAAAAAAEAIAAAACIAAABkcnMvZG93bnJldi54bWxQSwECFAAU&#10;AAAACACHTuJAw25qWbcBAABAAwAADgAAAAAAAAABACAAAAAoAQAAZHJzL2Uyb0RvYy54bWxQSwUG&#10;AAAAAAYABgBZAQAAUQUAAAAA&#10;">
                  <v:path/>
                  <v:fill on="f" focussize="0,0"/>
                  <v:stroke on="f" joinstyle="miter"/>
                  <v:imagedata o:title=""/>
                  <o:lock v:ext="edit"/>
                  <v:textbox inset="7.19992125984252pt,1.27mm,7.19992125984252pt,1.27mm">
                    <w:txbxContent>
                      <w:p>
                        <w:pPr>
                          <w:jc w:val="center"/>
                          <w:outlineLvl w:val="1"/>
                          <w:rPr>
                            <w:b/>
                            <w:bCs/>
                            <w:sz w:val="24"/>
                          </w:rPr>
                        </w:pPr>
                        <w:r>
                          <w:rPr>
                            <w:rFonts w:hint="eastAsia"/>
                            <w:b/>
                            <w:bCs/>
                            <w:sz w:val="24"/>
                          </w:rPr>
                          <w:t>附图2建设项目周围环境现状图</w:t>
                        </w:r>
                      </w:p>
                    </w:txbxContent>
                  </v:textbox>
                </v:shape>
              </w:pict>
            </w:r>
            <w:r>
              <w:rPr>
                <w:sz w:val="21"/>
                <w:szCs w:val="21"/>
              </w:rPr>
              <w:drawing>
                <wp:inline distT="0" distB="0" distL="114300" distR="114300">
                  <wp:extent cx="2809875" cy="3148965"/>
                  <wp:effectExtent l="0" t="0" r="9525" b="1333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25"/>
                          <a:stretch>
                            <a:fillRect/>
                          </a:stretch>
                        </pic:blipFill>
                        <pic:spPr>
                          <a:xfrm>
                            <a:off x="0" y="0"/>
                            <a:ext cx="2809875" cy="3148965"/>
                          </a:xfrm>
                          <a:prstGeom prst="rect">
                            <a:avLst/>
                          </a:prstGeom>
                          <a:noFill/>
                          <a:ln w="9525">
                            <a:noFill/>
                          </a:ln>
                        </pic:spPr>
                      </pic:pic>
                    </a:graphicData>
                  </a:graphic>
                </wp:inline>
              </w:drawing>
            </w:r>
          </w:p>
        </w:tc>
        <w:tc>
          <w:tcPr>
            <w:tcW w:w="4620" w:type="dxa"/>
            <w:vAlign w:val="center"/>
          </w:tcPr>
          <w:p>
            <w:pPr>
              <w:jc w:val="center"/>
              <w:rPr>
                <w:sz w:val="21"/>
                <w:szCs w:val="21"/>
              </w:rPr>
            </w:pPr>
            <w:r>
              <w:rPr>
                <w:rFonts w:hint="default" w:ascii="Times New Roman" w:hAnsi="Times New Roman" w:cs="Times New Roman"/>
                <w:b/>
                <w:color w:val="000000"/>
                <w:sz w:val="21"/>
                <w:szCs w:val="21"/>
              </w:rPr>
              <w:drawing>
                <wp:inline distT="0" distB="0" distL="114300" distR="114300">
                  <wp:extent cx="2918460" cy="3054985"/>
                  <wp:effectExtent l="0" t="0" r="15240" b="12065"/>
                  <wp:docPr id="23" name="图片 95" descr="IMG_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5" descr="IMG_1718"/>
                          <pic:cNvPicPr>
                            <a:picLocks noChangeAspect="1"/>
                          </pic:cNvPicPr>
                        </pic:nvPicPr>
                        <pic:blipFill>
                          <a:blip r:embed="rId26"/>
                          <a:stretch>
                            <a:fillRect/>
                          </a:stretch>
                        </pic:blipFill>
                        <pic:spPr>
                          <a:xfrm>
                            <a:off x="0" y="0"/>
                            <a:ext cx="2918460" cy="30549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4620" w:type="dxa"/>
            <w:vAlign w:val="center"/>
          </w:tcPr>
          <w:p>
            <w:pPr>
              <w:jc w:val="center"/>
              <w:rPr>
                <w:rFonts w:hint="eastAsia" w:eastAsia="宋体"/>
                <w:sz w:val="21"/>
                <w:szCs w:val="21"/>
                <w:lang w:val="en-US" w:eastAsia="zh-CN"/>
              </w:rPr>
            </w:pPr>
            <w:r>
              <w:rPr>
                <w:rFonts w:hint="eastAsia"/>
                <w:sz w:val="21"/>
                <w:szCs w:val="21"/>
                <w:lang w:val="en-US" w:eastAsia="zh-CN"/>
              </w:rPr>
              <w:t>项目西面</w:t>
            </w:r>
          </w:p>
        </w:tc>
        <w:tc>
          <w:tcPr>
            <w:tcW w:w="4620" w:type="dxa"/>
            <w:vAlign w:val="center"/>
          </w:tcPr>
          <w:p>
            <w:pPr>
              <w:jc w:val="center"/>
              <w:rPr>
                <w:rFonts w:hint="eastAsia" w:eastAsia="宋体"/>
                <w:sz w:val="21"/>
                <w:szCs w:val="21"/>
                <w:lang w:val="en-US" w:eastAsia="zh-CN"/>
              </w:rPr>
            </w:pPr>
            <w:r>
              <w:rPr>
                <w:rFonts w:hint="eastAsia"/>
                <w:sz w:val="21"/>
                <w:szCs w:val="21"/>
                <w:lang w:val="en-US" w:eastAsia="zh-CN"/>
              </w:rPr>
              <w:t>项目南面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1" w:hRule="atLeast"/>
        </w:trPr>
        <w:tc>
          <w:tcPr>
            <w:tcW w:w="4620" w:type="dxa"/>
            <w:vAlign w:val="center"/>
          </w:tcPr>
          <w:p>
            <w:pPr>
              <w:jc w:val="center"/>
              <w:rPr>
                <w:sz w:val="21"/>
                <w:szCs w:val="21"/>
              </w:rPr>
            </w:pPr>
            <w:r>
              <w:rPr>
                <w:rFonts w:hint="default" w:ascii="Times New Roman" w:hAnsi="Times New Roman" w:cs="Times New Roman"/>
                <w:b/>
                <w:color w:val="000000"/>
                <w:sz w:val="21"/>
                <w:szCs w:val="21"/>
              </w:rPr>
              <w:drawing>
                <wp:inline distT="0" distB="0" distL="114300" distR="114300">
                  <wp:extent cx="2947670" cy="3546475"/>
                  <wp:effectExtent l="0" t="0" r="5080" b="15875"/>
                  <wp:docPr id="24" name="图片 96" descr="IMG_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6" descr="IMG_1745"/>
                          <pic:cNvPicPr>
                            <a:picLocks noChangeAspect="1"/>
                          </pic:cNvPicPr>
                        </pic:nvPicPr>
                        <pic:blipFill>
                          <a:blip r:embed="rId27"/>
                          <a:stretch>
                            <a:fillRect/>
                          </a:stretch>
                        </pic:blipFill>
                        <pic:spPr>
                          <a:xfrm>
                            <a:off x="0" y="0"/>
                            <a:ext cx="2947670" cy="3546475"/>
                          </a:xfrm>
                          <a:prstGeom prst="rect">
                            <a:avLst/>
                          </a:prstGeom>
                          <a:noFill/>
                          <a:ln w="9525">
                            <a:noFill/>
                          </a:ln>
                        </pic:spPr>
                      </pic:pic>
                    </a:graphicData>
                  </a:graphic>
                </wp:inline>
              </w:drawing>
            </w:r>
          </w:p>
        </w:tc>
        <w:tc>
          <w:tcPr>
            <w:tcW w:w="4620" w:type="dxa"/>
            <w:vAlign w:val="center"/>
          </w:tcPr>
          <w:p>
            <w:pPr>
              <w:jc w:val="center"/>
              <w:rPr>
                <w:sz w:val="21"/>
                <w:szCs w:val="21"/>
              </w:rPr>
            </w:pPr>
            <w:r>
              <w:rPr>
                <w:rFonts w:hint="default" w:ascii="Times New Roman" w:hAnsi="Times New Roman" w:cs="Times New Roman"/>
                <w:b/>
                <w:color w:val="000000"/>
                <w:sz w:val="21"/>
                <w:szCs w:val="21"/>
              </w:rPr>
              <w:drawing>
                <wp:inline distT="0" distB="0" distL="114300" distR="114300">
                  <wp:extent cx="2918460" cy="3493135"/>
                  <wp:effectExtent l="0" t="0" r="15240" b="12065"/>
                  <wp:docPr id="25" name="图片 97" descr="IMG_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7" descr="IMG_1755"/>
                          <pic:cNvPicPr>
                            <a:picLocks noChangeAspect="1"/>
                          </pic:cNvPicPr>
                        </pic:nvPicPr>
                        <pic:blipFill>
                          <a:blip r:embed="rId28"/>
                          <a:stretch>
                            <a:fillRect/>
                          </a:stretch>
                        </pic:blipFill>
                        <pic:spPr>
                          <a:xfrm>
                            <a:off x="0" y="0"/>
                            <a:ext cx="2918460" cy="34931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620" w:type="dxa"/>
            <w:vAlign w:val="center"/>
          </w:tcPr>
          <w:p>
            <w:pPr>
              <w:jc w:val="center"/>
              <w:rPr>
                <w:rFonts w:hint="eastAsia" w:eastAsia="宋体"/>
                <w:sz w:val="21"/>
                <w:szCs w:val="21"/>
                <w:lang w:val="en-US" w:eastAsia="zh-CN"/>
              </w:rPr>
            </w:pPr>
            <w:r>
              <w:rPr>
                <w:rFonts w:hint="eastAsia"/>
                <w:sz w:val="21"/>
                <w:szCs w:val="21"/>
                <w:lang w:val="en-US" w:eastAsia="zh-CN"/>
              </w:rPr>
              <w:t>项目北面</w:t>
            </w:r>
          </w:p>
        </w:tc>
        <w:tc>
          <w:tcPr>
            <w:tcW w:w="4620" w:type="dxa"/>
            <w:vAlign w:val="center"/>
          </w:tcPr>
          <w:p>
            <w:pPr>
              <w:jc w:val="center"/>
              <w:rPr>
                <w:rFonts w:hint="eastAsia" w:eastAsia="宋体"/>
                <w:sz w:val="21"/>
                <w:szCs w:val="21"/>
                <w:lang w:val="en-US" w:eastAsia="zh-CN"/>
              </w:rPr>
            </w:pPr>
            <w:r>
              <w:rPr>
                <w:rFonts w:hint="eastAsia"/>
                <w:sz w:val="21"/>
                <w:szCs w:val="21"/>
                <w:lang w:val="en-US" w:eastAsia="zh-CN"/>
              </w:rPr>
              <w:t>项目东面</w:t>
            </w:r>
          </w:p>
        </w:tc>
      </w:tr>
    </w:tbl>
    <w:p/>
    <w:p>
      <w:pPr>
        <w:sectPr>
          <w:pgSz w:w="11907" w:h="16840"/>
          <w:pgMar w:top="1418" w:right="1418" w:bottom="1134" w:left="1418" w:header="1134" w:footer="1134" w:gutter="0"/>
          <w:pgNumType w:fmt="decimal"/>
          <w:cols w:space="720" w:num="1"/>
          <w:docGrid w:type="linesAndChars" w:linePitch="312" w:charSpace="0"/>
        </w:sectPr>
      </w:pPr>
    </w:p>
    <w:p>
      <w:pPr>
        <w:sectPr>
          <w:pgSz w:w="16840" w:h="11907" w:orient="landscape"/>
          <w:pgMar w:top="1418" w:right="1418" w:bottom="1418" w:left="1134" w:header="1134" w:footer="1134" w:gutter="0"/>
          <w:pgNumType w:fmt="decimal"/>
          <w:cols w:space="720" w:num="1"/>
          <w:docGrid w:type="linesAndChars" w:linePitch="312" w:charSpace="0"/>
        </w:sectPr>
      </w:pPr>
      <w:r>
        <w:pict>
          <v:shape id="_x0000_s1122" o:spid="_x0000_s1122" style="position:absolute;left:0pt;margin-left:329.6pt;margin-top:239.25pt;height:11.65pt;width:9.2pt;z-index:255827968;mso-width-relative:page;mso-height-relative:page;" fillcolor="#FF0000" filled="t" stroked="f" coordsize="116840,147955" o:gfxdata="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I+UhXrbAAAACwEA&#10;AA8AAAAAAAAAAQAgAAAAIgAAAGRycy9kb3ducmV2LnhtbFBLAQIUABQAAAAIAIdO4kB51XpqpQEA&#10;ABoDAAAOAAAAAAAAAAEAIAAAACoBAABkcnMvZTJvRG9jLnhtbFBLBQYAAAAABgAGAFkBAABBBQAA&#10;AAA=&#10;" path="m0,56513l44629,56514,58420,0,72210,56514,116839,56513,80734,91440,94525,147954,58420,113026,22314,147954,36105,91440xe">
            <v:path o:connectlocs="58420,0;0,56513;22314,147954;94525,147954;116839,56513" o:connectangles="247,164,82,82,0"/>
            <v:fill on="t" focussize="0,0"/>
            <v:stroke on="f"/>
            <v:imagedata o:title=""/>
            <o:lock v:ext="edit"/>
          </v:shape>
        </w:pict>
      </w:r>
      <w:r>
        <w:pict>
          <v:shape id="自选图形 147" o:spid="_x0000_s1044" style="position:absolute;left:0pt;margin-left:362.6pt;margin-top:229.5pt;height:11.65pt;width:9.2pt;z-index:251682816;mso-width-relative:page;mso-height-relative:page;" fillcolor="#FF0000" filled="t" stroked="f" coordsize="116840,147955" o:gfxdata="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I+UhXrbAAAACwEA&#10;AA8AAAAAAAAAAQAgAAAAIgAAAGRycy9kb3ducmV2LnhtbFBLAQIUABQAAAAIAIdO4kB51XpqpQEA&#10;ABoDAAAOAAAAAAAAAAEAIAAAACoBAABkcnMvZTJvRG9jLnhtbFBLBQYAAAAABgAGAFkBAABBBQAA&#10;AAA=&#10;" path="m0,56513l44629,56514,58420,0,72210,56514,116839,56513,80734,91440,94525,147954,58420,113026,22314,147954,36105,91440xe">
            <v:path o:connectlocs="58420,0;0,56513;22314,147954;94525,147954;116839,56513" o:connectangles="247,164,82,82,0"/>
            <v:fill on="t" focussize="0,0"/>
            <v:stroke on="f"/>
            <v:imagedata o:title=""/>
            <o:lock v:ext="edit"/>
          </v:shape>
        </w:pict>
      </w:r>
      <w:r>
        <w:pict>
          <v:shape id="自选图形 143" o:spid="_x0000_s1047" style="position:absolute;left:0pt;margin-left:348.45pt;margin-top:217.75pt;height:11.65pt;width:9.2pt;z-index:251679744;mso-width-relative:page;mso-height-relative:page;" fillcolor="#FF0000" filled="t" stroked="f" coordsize="116840,147955" o:gfxdata="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LdejCDcAAAA&#10;CwEAAA8AAAAAAAAAAQAgAAAAIgAAAGRycy9kb3ducmV2LnhtbFBLAQIUABQAAAAIAIdO4kDXmfl8&#10;pwEAABoDAAAOAAAAAAAAAAEAIAAAACsBAABkcnMvZTJvRG9jLnhtbFBLBQYAAAAABgAGAFkBAABE&#10;BQAAAAA=&#10;" path="m0,56513l44629,56514,58420,0,72210,56514,116839,56513,80734,91440,94525,147954,58420,113026,22314,147954,36105,91440xe">
            <v:path o:connectlocs="58420,0;0,56513;22314,147954;94525,147954;116839,56513" o:connectangles="247,164,82,82,0"/>
            <v:fill on="t" focussize="0,0"/>
            <v:stroke on="f"/>
            <v:imagedata o:title=""/>
            <o:lock v:ext="edit"/>
          </v:shape>
        </w:pict>
      </w:r>
      <w:r>
        <w:pict>
          <v:shape id="自选图形 157" o:spid="_x0000_s1052" style="position:absolute;left:0pt;margin-left:121.6pt;margin-top:373.45pt;height:11.65pt;width:9.2pt;z-index:251693056;mso-width-relative:page;mso-height-relative:page;" fillcolor="#FF0000" filled="t" stroked="f" coordsize="116840,147955" o:gfxdata="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Y5/II2wAAAA0B&#10;AAAPAAAAAAAAAAEAIAAAACIAAABkcnMvZG93bnJldi54bWxQSwECFAAUAAAACACHTuJATtotOaYB&#10;AAAaAwAADgAAAAAAAAABACAAAAAqAQAAZHJzL2Uyb0RvYy54bWxQSwUGAAAAAAYABgBZAQAAQgUA&#10;AAAA&#10;" path="m0,56513l44629,56514,58420,0,72210,56514,116839,56513,80734,91440,94525,147954,58420,113026,22314,147954,36105,91440xe">
            <v:path o:connectlocs="58420,0;0,56513;22314,147954;94525,147954;116839,56513" o:connectangles="247,164,82,82,0"/>
            <v:fill on="t" focussize="0,0"/>
            <v:stroke on="f"/>
            <v:imagedata o:title=""/>
            <o:lock v:ext="edit"/>
          </v:shape>
        </w:pict>
      </w:r>
      <w:r>
        <w:pict>
          <v:shape id="自选图形 145" o:spid="_x0000_s1046" style="position:absolute;left:0pt;margin-left:367.25pt;margin-top:210.8pt;height:11.65pt;width:9.2pt;z-index:251680768;mso-width-relative:page;mso-height-relative:page;" fillcolor="#FF0000" filled="t" stroked="f" coordsize="116840,147955" o:gfxdata="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H4Wx4bcAAAA&#10;CwEAAA8AAAAAAAAAAQAgAAAAIgAAAGRycy9kb3ducmV2LnhtbFBLAQIUABQAAAAIAIdO4kDc3DN4&#10;pwEAABoDAAAOAAAAAAAAAAEAIAAAACsBAABkcnMvZTJvRG9jLnhtbFBLBQYAAAAABgAGAFkBAABE&#10;BQAAAAA=&#10;" path="m0,56513l44629,56514,58420,0,72210,56514,116839,56513,80734,91440,94525,147954,58420,113026,22314,147954,36105,91440xe">
            <v:path o:connectlocs="58420,0;0,56513;22314,147954;94525,147954;116839,56513" o:connectangles="247,164,82,82,0"/>
            <v:fill on="t" focussize="0,0"/>
            <v:stroke on="f"/>
            <v:imagedata o:title=""/>
            <o:lock v:ext="edit"/>
          </v:shape>
        </w:pict>
      </w:r>
      <w:r>
        <w:pict>
          <v:shape id="文本框 156" o:spid="_x0000_s1051" o:spt="202" type="#_x0000_t202" style="position:absolute;left:0pt;margin-left:113.6pt;margin-top:368pt;height:25pt;width:108.85pt;z-index:251692032;mso-width-relative:page;mso-height-relative:page;" stroked="t" coordsize="21600,21600" o:gfxdata="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YAxS+2AAAAA0BAAAPAAAAAAAAAAEAIAAAACIAAABkcnMvZG93bnJldi54bWxQ&#10;SwECFAAUAAAACACHTuJA5HV8vfcBAADrAwAADgAAAAAAAAABACAAAAAnAQAAZHJzL2Uyb0RvYy54&#10;bWxQSwUGAAAAAAYABgBZAQAAkAUAAAAA&#10;">
            <v:path/>
            <v:fill focussize="0,0"/>
            <v:stroke weight="0.5pt" color="#000001" joinstyle="miter"/>
            <v:imagedata o:title=""/>
            <o:lock v:ext="edit"/>
            <v:textbox>
              <w:txbxContent>
                <w:p>
                  <w:pPr>
                    <w:ind w:firstLine="211" w:firstLineChars="100"/>
                    <w:rPr>
                      <w:b/>
                      <w:bCs/>
                      <w:sz w:val="21"/>
                      <w:szCs w:val="21"/>
                    </w:rPr>
                  </w:pPr>
                  <w:r>
                    <w:rPr>
                      <w:rFonts w:hint="eastAsia"/>
                      <w:b/>
                      <w:bCs/>
                      <w:sz w:val="21"/>
                      <w:szCs w:val="21"/>
                    </w:rPr>
                    <w:t>声环境监测位点</w:t>
                  </w:r>
                </w:p>
              </w:txbxContent>
            </v:textbox>
          </v:shape>
        </w:pict>
      </w:r>
      <w:r>
        <w:drawing>
          <wp:inline distT="0" distB="0" distL="114300" distR="114300">
            <wp:extent cx="8218805" cy="4971415"/>
            <wp:effectExtent l="0" t="0" r="10795" b="63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29"/>
                    <a:stretch>
                      <a:fillRect/>
                    </a:stretch>
                  </pic:blipFill>
                  <pic:spPr>
                    <a:xfrm>
                      <a:off x="0" y="0"/>
                      <a:ext cx="8218805" cy="4971415"/>
                    </a:xfrm>
                    <a:prstGeom prst="rect">
                      <a:avLst/>
                    </a:prstGeom>
                    <a:noFill/>
                    <a:ln w="9525">
                      <a:noFill/>
                    </a:ln>
                  </pic:spPr>
                </pic:pic>
              </a:graphicData>
            </a:graphic>
          </wp:inline>
        </w:drawing>
      </w:r>
      <w:r>
        <w:pict>
          <v:shape id="文本框 124" o:spid="_x0000_s1037" o:spt="202" type="#_x0000_t202" style="position:absolute;left:0pt;margin-left:206.55pt;margin-top:409.65pt;height:42.35pt;width:233.6pt;mso-wrap-distance-bottom:0pt;mso-wrap-distance-left:9pt;mso-wrap-distance-right:9pt;mso-wrap-distance-top:0pt;z-index:251676672;mso-width-relative:page;mso-height-relative:page;" filled="f" stroked="f" coordsize="21600,21600" o:gfxdata="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T5f3H2wAAAAsBAAAPAAAAAAAA&#10;AAEAIAAAACIAAABkcnMvZG93bnJldi54bWxQSwECFAAUAAAACACHTuJAzQ3wrZ0BAAAMAwAADgAA&#10;AAAAAAABACAAAAAqAQAAZHJzL2Uyb0RvYy54bWxQSwUGAAAAAAYABgBZAQAAOQUAAAAA&#10;">
            <v:path/>
            <v:fill on="f" focussize="0,0"/>
            <v:stroke on="f" weight="0.5pt" joinstyle="miter"/>
            <v:imagedata o:title=""/>
            <o:lock v:ext="edit"/>
            <v:textbox>
              <w:txbxContent>
                <w:p>
                  <w:pPr>
                    <w:pStyle w:val="7"/>
                    <w:snapToGrid w:val="0"/>
                    <w:ind w:firstLine="241"/>
                    <w:jc w:val="center"/>
                    <w:outlineLvl w:val="1"/>
                    <w:rPr>
                      <w:b/>
                    </w:rPr>
                  </w:pPr>
                  <w:r>
                    <w:rPr>
                      <w:rFonts w:hint="eastAsia"/>
                      <w:b/>
                    </w:rPr>
                    <w:t>附图</w:t>
                  </w:r>
                  <w:r>
                    <w:rPr>
                      <w:b/>
                    </w:rPr>
                    <w:t xml:space="preserve">3 </w:t>
                  </w:r>
                  <w:r>
                    <w:rPr>
                      <w:rFonts w:hint="eastAsia"/>
                      <w:b/>
                    </w:rPr>
                    <w:t>环保目标及声环境监测示意图</w:t>
                  </w:r>
                </w:p>
              </w:txbxContent>
            </v:textbox>
            <w10:wrap type="square"/>
          </v:shape>
        </w:pict>
      </w:r>
    </w:p>
    <w:p>
      <w:pPr>
        <w:jc w:val="center"/>
      </w:pPr>
      <w:r>
        <w:rPr>
          <w:sz w:val="32"/>
        </w:rPr>
        <w:pict>
          <v:shape id="_x0000_s1124" o:spid="_x0000_s1124" o:spt="123" type="#_x0000_t123" style="position:absolute;left:0pt;margin-left:402.55pt;margin-top:39pt;height:19.5pt;width:24pt;z-index:255804416;mso-width-relative:page;mso-height-relative:page;" fillcolor="#FFFFFF" filled="t" stroked="t" coordsize="21600,21600">
            <v:path/>
            <v:fill on="t" color2="#FFFFFF" focussize="0,0"/>
            <v:stroke color="#FF0000"/>
            <v:imagedata o:title=""/>
            <o:lock v:ext="edit" aspectratio="f"/>
          </v:shape>
        </w:pict>
      </w:r>
      <w:r>
        <w:rPr>
          <w:sz w:val="32"/>
        </w:rPr>
        <w:pict>
          <v:shape id="_x0000_s1123" o:spid="_x0000_s1123" o:spt="202" type="#_x0000_t202" style="position:absolute;left:0pt;margin-left:434.8pt;margin-top:32.25pt;height:30.75pt;width:85.4pt;z-index:255803392;mso-width-relative:page;mso-height-relative:page;" filled="f" stroked="f" coordsize="21600,21600">
            <v:path/>
            <v:fill on="f" focussize="0,0"/>
            <v:stroke on="f"/>
            <v:imagedata o:title=""/>
            <o:lock v:ext="edit" aspectratio="f"/>
            <v:textbox>
              <w:txbxContent>
                <w:p>
                  <w:pPr>
                    <w:rPr>
                      <w:rFonts w:hint="default" w:eastAsia="宋体"/>
                      <w:lang w:val="en-US" w:eastAsia="zh-CN"/>
                    </w:rPr>
                  </w:pPr>
                  <w:r>
                    <w:rPr>
                      <w:rFonts w:hint="eastAsia"/>
                      <w:lang w:val="en-US" w:eastAsia="zh-CN"/>
                    </w:rPr>
                    <w:t>通风橱窗</w:t>
                  </w:r>
                </w:p>
              </w:txbxContent>
            </v:textbox>
          </v:shape>
        </w:pict>
      </w:r>
      <w:r>
        <w:drawing>
          <wp:inline distT="0" distB="0" distL="114300" distR="114300">
            <wp:extent cx="7647940" cy="5245100"/>
            <wp:effectExtent l="0" t="0" r="10160" b="1270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30"/>
                    <a:stretch>
                      <a:fillRect/>
                    </a:stretch>
                  </pic:blipFill>
                  <pic:spPr>
                    <a:xfrm>
                      <a:off x="0" y="0"/>
                      <a:ext cx="7647940" cy="5245100"/>
                    </a:xfrm>
                    <a:prstGeom prst="rect">
                      <a:avLst/>
                    </a:prstGeom>
                    <a:noFill/>
                    <a:ln w="9525">
                      <a:noFill/>
                    </a:ln>
                  </pic:spPr>
                </pic:pic>
              </a:graphicData>
            </a:graphic>
          </wp:inline>
        </w:drawing>
      </w:r>
      <w:r>
        <w:pict>
          <v:shape id="自选图形 127" o:spid="_x0000_s1038" o:spt="187" type="#_x0000_t187" style="position:absolute;left:0pt;margin-left:329.15pt;margin-top:207.6pt;height:12.5pt;width:7.5pt;z-index:251677696;mso-width-relative:page;mso-height-relative:page;" filled="f" stroked="f" coordsize="21600,21600" o:gfxdata="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LiS8tkAAAALAQAADwAAAAAA&#10;AAABACAAAAAiAAAAZHJzL2Rvd25yZXYueG1sUEsBAhQAFAAAAAgAh07iQL4si7mgAQAAGAMAAA4A&#10;AAAAAAAAAQAgAAAAKAEAAGRycy9lMm9Eb2MueG1sUEsFBgAAAAAGAAYAWQEAADoFAAAAAA==&#10;" adj="10800">
            <v:path/>
            <v:fill on="f" focussize="0,0"/>
            <v:stroke on="f" joinstyle="miter"/>
            <v:imagedata o:title=""/>
            <o:lock v:ext="edit"/>
            <v:textbox>
              <w:txbxContent>
                <w:p/>
              </w:txbxContent>
            </v:textbox>
          </v:shape>
        </w:pict>
      </w:r>
    </w:p>
    <w:p>
      <w:pPr>
        <w:pStyle w:val="2"/>
        <w:spacing w:line="600" w:lineRule="exact"/>
        <w:ind w:firstLine="0" w:firstLineChars="0"/>
        <w:jc w:val="center"/>
        <w:rPr>
          <w:color w:val="000000" w:themeColor="text1"/>
          <w:highlight w:val="none"/>
        </w:rPr>
      </w:pPr>
      <w:r>
        <w:rPr>
          <w:color w:val="000000" w:themeColor="text1"/>
          <w:highlight w:val="none"/>
        </w:rPr>
        <w:pict>
          <v:rect id="矩形 160" o:spid="_x0000_s1034" o:spt="1" style="height:34pt;width:209.35pt;" filled="f" stroked="f" coordsize="21600,21600" o:gfxdata="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GMPmb3XAAAACgEAAA8AAAAAAAAA&#10;AQAgAAAAIgAAAGRycy9kb3ducmV2LnhtbFBLAQIUABQAAAAIAIdO4kA0FozwoAEAACwDAAAOAAAA&#10;AAAAAAEAIAAAACYBAABkcnMvZTJvRG9jLnhtbFBLBQYAAAAABgAGAFkBAAA4BQAAAAA=&#10;">
            <v:path/>
            <v:fill on="f" focussize="0,0"/>
            <v:stroke on="f"/>
            <v:imagedata o:title=""/>
            <o:lock v:ext="edit"/>
            <v:textbox inset="4.5mm,1.27mm,4.5mm,1.27mm">
              <w:txbxContent>
                <w:p>
                  <w:pPr>
                    <w:jc w:val="center"/>
                    <w:outlineLvl w:val="1"/>
                    <w:rPr>
                      <w:rFonts w:ascii="宋体" w:hAnsi="宋体"/>
                      <w:b/>
                      <w:sz w:val="24"/>
                    </w:rPr>
                  </w:pPr>
                  <w:r>
                    <w:rPr>
                      <w:b/>
                      <w:sz w:val="24"/>
                    </w:rPr>
                    <w:t xml:space="preserve">附图4  </w:t>
                  </w:r>
                  <w:r>
                    <w:rPr>
                      <w:rFonts w:hint="eastAsia"/>
                      <w:b/>
                      <w:sz w:val="24"/>
                    </w:rPr>
                    <w:t>平面布置图</w:t>
                  </w:r>
                  <w:r>
                    <w:rPr>
                      <w:b/>
                      <w:sz w:val="24"/>
                    </w:rPr>
                    <w:t>（</w:t>
                  </w:r>
                  <w:r>
                    <w:rPr>
                      <w:rFonts w:hint="eastAsia"/>
                      <w:b/>
                      <w:sz w:val="24"/>
                    </w:rPr>
                    <w:t>1层</w:t>
                  </w:r>
                  <w:r>
                    <w:rPr>
                      <w:b/>
                      <w:sz w:val="24"/>
                    </w:rPr>
                    <w:t>）</w:t>
                  </w:r>
                </w:p>
              </w:txbxContent>
            </v:textbox>
            <w10:wrap type="none"/>
            <w10:anchorlock/>
          </v:rect>
        </w:pict>
      </w:r>
    </w:p>
    <w:p>
      <w:pPr>
        <w:jc w:val="center"/>
        <w:sectPr>
          <w:pgSz w:w="16840" w:h="11907" w:orient="landscape"/>
          <w:pgMar w:top="1418" w:right="1418" w:bottom="1418" w:left="1134" w:header="1134" w:footer="1134" w:gutter="0"/>
          <w:pgNumType w:fmt="decimal"/>
          <w:cols w:space="720" w:num="1"/>
          <w:docGrid w:type="linesAndChars" w:linePitch="312" w:charSpace="0"/>
        </w:sectPr>
      </w:pPr>
      <w:r>
        <w:rPr>
          <w:sz w:val="32"/>
        </w:rPr>
        <w:pict>
          <v:shape id="_x0000_s1126" o:spid="_x0000_s1126" o:spt="202" type="#_x0000_t202" style="position:absolute;left:0pt;margin-left:440.05pt;margin-top:36.25pt;height:30.75pt;width:85.4pt;z-index:264121344;mso-width-relative:page;mso-height-relative:page;" filled="f" stroked="f" coordsize="21600,21600">
            <v:path/>
            <v:fill on="f" focussize="0,0"/>
            <v:stroke on="f"/>
            <v:imagedata o:title=""/>
            <o:lock v:ext="edit" aspectratio="f"/>
            <v:textbox>
              <w:txbxContent>
                <w:p>
                  <w:pPr>
                    <w:rPr>
                      <w:rFonts w:hint="default" w:eastAsia="宋体"/>
                      <w:lang w:val="en-US" w:eastAsia="zh-CN"/>
                    </w:rPr>
                  </w:pPr>
                  <w:r>
                    <w:rPr>
                      <w:rFonts w:hint="eastAsia"/>
                      <w:lang w:val="en-US" w:eastAsia="zh-CN"/>
                    </w:rPr>
                    <w:t>通风橱窗</w:t>
                  </w:r>
                </w:p>
              </w:txbxContent>
            </v:textbox>
          </v:shape>
        </w:pict>
      </w:r>
      <w:r>
        <w:rPr>
          <w:sz w:val="32"/>
        </w:rPr>
        <w:pict>
          <v:shape id="_x0000_s1125" o:spid="_x0000_s1125" o:spt="123" type="#_x0000_t123" style="position:absolute;left:0pt;margin-left:410.8pt;margin-top:46.75pt;height:19.5pt;width:24pt;z-index:259975168;mso-width-relative:page;mso-height-relative:page;" fillcolor="#FFFFFF" filled="t" stroked="t" coordsize="21600,21600">
            <v:path/>
            <v:fill on="t" color2="#FFFFFF" focussize="0,0"/>
            <v:stroke color="#FF0000"/>
            <v:imagedata o:title=""/>
            <o:lock v:ext="edit" aspectratio="f"/>
          </v:shape>
        </w:pict>
      </w:r>
      <w:r>
        <w:pict>
          <v:rect id="_x0000_s1035" o:spid="_x0000_s1035" o:spt="1" style="position:absolute;left:0pt;margin-left:-414.1pt;margin-top:349.25pt;height:31.05pt;width:213.5pt;z-index:253012992;mso-width-relative:page;mso-height-relative:page;" filled="f" stroked="f" coordsize="21600,21600" o:gfxdata="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P5RjV2QAAAA0BAAAPAAAAAAAA&#10;AAEAIAAAACIAAABkcnMvZG93bnJldi54bWxQSwECFAAUAAAACACHTuJAV7EoMZ8BAAAsAwAADgAA&#10;AAAAAAABACAAAAAoAQAAZHJzL2Uyb0RvYy54bWxQSwUGAAAAAAYABgBZAQAAOQUAAAAA&#10;">
            <v:path/>
            <v:fill on="f" focussize="0,0"/>
            <v:stroke on="f"/>
            <v:imagedata o:title=""/>
            <o:lock v:ext="edit"/>
            <v:textbox inset="4.5mm,1.27mm,4.5mm,1.27mm">
              <w:txbxContent>
                <w:p>
                  <w:pPr>
                    <w:rPr>
                      <w:rFonts w:ascii="宋体" w:hAnsi="宋体"/>
                      <w:bCs/>
                      <w:sz w:val="24"/>
                    </w:rPr>
                  </w:pPr>
                  <w:r>
                    <w:rPr>
                      <w:bCs/>
                      <w:sz w:val="24"/>
                    </w:rPr>
                    <w:t xml:space="preserve">附图4  </w:t>
                  </w:r>
                  <w:r>
                    <w:rPr>
                      <w:rFonts w:hint="eastAsia"/>
                      <w:bCs/>
                      <w:sz w:val="24"/>
                    </w:rPr>
                    <w:t>平面布置图</w:t>
                  </w:r>
                  <w:r>
                    <w:rPr>
                      <w:bCs/>
                      <w:sz w:val="24"/>
                    </w:rPr>
                    <w:t>（</w:t>
                  </w:r>
                  <w:r>
                    <w:rPr>
                      <w:rFonts w:hint="eastAsia"/>
                      <w:bCs/>
                      <w:sz w:val="24"/>
                    </w:rPr>
                    <w:t>2层</w:t>
                  </w:r>
                  <w:r>
                    <w:rPr>
                      <w:bCs/>
                      <w:sz w:val="24"/>
                    </w:rPr>
                    <w:t>）</w:t>
                  </w:r>
                </w:p>
              </w:txbxContent>
            </v:textbox>
          </v:rect>
        </w:pict>
      </w:r>
      <w:r>
        <w:drawing>
          <wp:inline distT="0" distB="0" distL="114300" distR="114300">
            <wp:extent cx="7929245" cy="5178425"/>
            <wp:effectExtent l="0" t="0" r="14605" b="317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31"/>
                    <a:stretch>
                      <a:fillRect/>
                    </a:stretch>
                  </pic:blipFill>
                  <pic:spPr>
                    <a:xfrm>
                      <a:off x="0" y="0"/>
                      <a:ext cx="7929245" cy="5178425"/>
                    </a:xfrm>
                    <a:prstGeom prst="rect">
                      <a:avLst/>
                    </a:prstGeom>
                    <a:noFill/>
                    <a:ln w="9525">
                      <a:noFill/>
                    </a:ln>
                  </pic:spPr>
                </pic:pic>
              </a:graphicData>
            </a:graphic>
          </wp:inline>
        </w:drawing>
      </w:r>
      <w:r>
        <w:pict>
          <v:rect id="矩形 170" o:spid="_x0000_s1033" o:spt="1" style="height:31.05pt;width:213.5pt;" filled="f" stroked="f" coordsize="21600,21600" o:gfxdata="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WixqFdYAAAALAQAADwAAAAAAAAAB&#10;ACAAAAAiAAAAZHJzL2Rvd25yZXYueG1sUEsBAhQAFAAAAAgAh07iQDZh+fSgAQAALAMAAA4AAAAA&#10;AAAAAQAgAAAAJQEAAGRycy9lMm9Eb2MueG1sUEsFBgAAAAAGAAYAWQEAADcFAAAAAA==&#10;">
            <v:path/>
            <v:fill on="f" focussize="0,0"/>
            <v:stroke on="f"/>
            <v:imagedata o:title=""/>
            <o:lock v:ext="edit"/>
            <v:textbox inset="4.5mm,1.27mm,4.5mm,1.27mm">
              <w:txbxContent>
                <w:p>
                  <w:pPr>
                    <w:rPr>
                      <w:rFonts w:ascii="宋体" w:hAnsi="宋体"/>
                      <w:b/>
                      <w:sz w:val="24"/>
                    </w:rPr>
                  </w:pPr>
                  <w:r>
                    <w:rPr>
                      <w:b/>
                      <w:sz w:val="24"/>
                    </w:rPr>
                    <w:t xml:space="preserve">附图4  </w:t>
                  </w:r>
                  <w:r>
                    <w:rPr>
                      <w:rFonts w:hint="eastAsia"/>
                      <w:b/>
                      <w:sz w:val="24"/>
                    </w:rPr>
                    <w:t>平面布置图</w:t>
                  </w:r>
                  <w:r>
                    <w:rPr>
                      <w:b/>
                      <w:sz w:val="24"/>
                    </w:rPr>
                    <w:t>（</w:t>
                  </w:r>
                  <w:r>
                    <w:rPr>
                      <w:rFonts w:hint="eastAsia"/>
                      <w:b/>
                      <w:sz w:val="24"/>
                    </w:rPr>
                    <w:t>2层</w:t>
                  </w:r>
                  <w:r>
                    <w:rPr>
                      <w:b/>
                      <w:sz w:val="24"/>
                    </w:rPr>
                    <w:t>）</w:t>
                  </w:r>
                </w:p>
              </w:txbxContent>
            </v:textbox>
            <w10:wrap type="none"/>
            <w10:anchorlock/>
          </v:rect>
        </w:pict>
      </w:r>
    </w:p>
    <w:p>
      <w:pPr>
        <w:pStyle w:val="2"/>
        <w:spacing w:line="600" w:lineRule="exact"/>
        <w:ind w:firstLine="0" w:firstLineChars="0"/>
        <w:outlineLvl w:val="0"/>
        <w:rPr>
          <w:rFonts w:hint="eastAsia"/>
          <w:b/>
          <w:bCs/>
          <w:color w:val="000000" w:themeColor="text1"/>
          <w:highlight w:val="none"/>
        </w:rPr>
      </w:pPr>
      <w:bookmarkStart w:id="31" w:name="_Toc28759"/>
      <w:r>
        <w:rPr>
          <w:rFonts w:hint="eastAsia"/>
          <w:b/>
          <w:bCs/>
          <w:color w:val="000000" w:themeColor="text1"/>
          <w:highlight w:val="none"/>
        </w:rPr>
        <w:t>附件</w:t>
      </w:r>
      <w:bookmarkEnd w:id="31"/>
    </w:p>
    <w:p>
      <w:pPr>
        <w:rPr>
          <w:b/>
          <w:bCs/>
          <w:sz w:val="24"/>
          <w:szCs w:val="24"/>
        </w:rPr>
      </w:pPr>
      <w:r>
        <w:rPr>
          <w:rFonts w:hint="eastAsia"/>
          <w:b/>
          <w:bCs/>
          <w:sz w:val="24"/>
          <w:szCs w:val="24"/>
        </w:rPr>
        <w:t>附件1营业执照</w:t>
      </w:r>
    </w:p>
    <w:p>
      <w:pPr>
        <w:rPr>
          <w:rFonts w:hint="eastAsia"/>
          <w:lang w:eastAsia="zh-CN"/>
        </w:rPr>
        <w:sectPr>
          <w:pgSz w:w="11906" w:h="16838"/>
          <w:pgMar w:top="1440" w:right="1797" w:bottom="1440" w:left="1797" w:header="851" w:footer="992" w:gutter="0"/>
          <w:pgNumType w:fmt="decimal"/>
          <w:cols w:space="720" w:num="1"/>
          <w:docGrid w:type="lines" w:linePitch="312" w:charSpace="0"/>
        </w:sectPr>
      </w:pPr>
      <w:r>
        <w:rPr>
          <w:rFonts w:hint="eastAsia"/>
          <w:lang w:eastAsia="zh-CN"/>
        </w:rPr>
        <w:drawing>
          <wp:inline distT="0" distB="0" distL="114300" distR="114300">
            <wp:extent cx="5513705" cy="7351395"/>
            <wp:effectExtent l="0" t="0" r="10795" b="1905"/>
            <wp:docPr id="29" name="图片 29" descr="3ff49962fb29299454172f19a05d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ff49962fb29299454172f19a05d298"/>
                    <pic:cNvPicPr>
                      <a:picLocks noChangeAspect="1"/>
                    </pic:cNvPicPr>
                  </pic:nvPicPr>
                  <pic:blipFill>
                    <a:blip r:embed="rId32"/>
                    <a:stretch>
                      <a:fillRect/>
                    </a:stretch>
                  </pic:blipFill>
                  <pic:spPr>
                    <a:xfrm>
                      <a:off x="0" y="0"/>
                      <a:ext cx="5513705" cy="7351395"/>
                    </a:xfrm>
                    <a:prstGeom prst="rect">
                      <a:avLst/>
                    </a:prstGeom>
                  </pic:spPr>
                </pic:pic>
              </a:graphicData>
            </a:graphic>
          </wp:inline>
        </w:drawing>
      </w:r>
    </w:p>
    <w:p>
      <w:pPr>
        <w:rPr>
          <w:b/>
          <w:bCs/>
          <w:sz w:val="24"/>
        </w:rPr>
      </w:pPr>
      <w:r>
        <w:rPr>
          <w:rFonts w:hint="eastAsia"/>
          <w:b/>
          <w:bCs/>
          <w:sz w:val="24"/>
        </w:rPr>
        <w:t>附件2 法人身份证复印件</w:t>
      </w:r>
    </w:p>
    <w:p>
      <w:pPr>
        <w:rPr>
          <w:rFonts w:hint="eastAsia"/>
          <w:lang w:val="en-US" w:eastAsia="zh-CN"/>
        </w:rPr>
        <w:sectPr>
          <w:pgSz w:w="11906" w:h="16838"/>
          <w:pgMar w:top="1440" w:right="1797" w:bottom="1440" w:left="1797" w:header="851" w:footer="992" w:gutter="0"/>
          <w:pgNumType w:fmt="decimal"/>
          <w:cols w:space="720" w:num="1"/>
          <w:docGrid w:type="lines" w:linePitch="312" w:charSpace="0"/>
        </w:sectPr>
      </w:pPr>
      <w:r>
        <w:rPr>
          <w:rFonts w:hint="eastAsia"/>
          <w:lang w:val="en-US" w:eastAsia="zh-CN"/>
        </w:rPr>
        <w:drawing>
          <wp:inline distT="0" distB="0" distL="114300" distR="114300">
            <wp:extent cx="4924425" cy="6334125"/>
            <wp:effectExtent l="0" t="0" r="9525" b="9525"/>
            <wp:docPr id="16" name="图片 16" descr="168022510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80225102345"/>
                    <pic:cNvPicPr>
                      <a:picLocks noChangeAspect="1"/>
                    </pic:cNvPicPr>
                  </pic:nvPicPr>
                  <pic:blipFill>
                    <a:blip r:embed="rId33"/>
                    <a:stretch>
                      <a:fillRect/>
                    </a:stretch>
                  </pic:blipFill>
                  <pic:spPr>
                    <a:xfrm>
                      <a:off x="0" y="0"/>
                      <a:ext cx="4924425" cy="6334125"/>
                    </a:xfrm>
                    <a:prstGeom prst="rect">
                      <a:avLst/>
                    </a:prstGeom>
                  </pic:spPr>
                </pic:pic>
              </a:graphicData>
            </a:graphic>
          </wp:inline>
        </w:drawing>
      </w:r>
      <w:bookmarkStart w:id="43" w:name="_GoBack"/>
      <w:bookmarkEnd w:id="43"/>
    </w:p>
    <w:p>
      <w:pPr>
        <w:pStyle w:val="2"/>
        <w:spacing w:line="600" w:lineRule="exact"/>
        <w:ind w:firstLine="0" w:firstLineChars="0"/>
        <w:rPr>
          <w:rFonts w:hint="eastAsia" w:eastAsia="宋体"/>
          <w:b/>
          <w:bCs/>
          <w:color w:val="000000" w:themeColor="text1"/>
          <w:highlight w:val="none"/>
          <w:lang w:val="en-US" w:eastAsia="zh-CN"/>
        </w:rPr>
      </w:pPr>
      <w:r>
        <w:rPr>
          <w:rFonts w:hint="eastAsia"/>
          <w:b/>
          <w:bCs/>
          <w:color w:val="000000" w:themeColor="text1"/>
          <w:highlight w:val="none"/>
          <w:lang w:val="en-US" w:eastAsia="zh-CN"/>
        </w:rPr>
        <w:t>附件3园区意见</w:t>
      </w:r>
    </w:p>
    <w:p>
      <w:pPr>
        <w:rPr>
          <w:rFonts w:hint="eastAsia"/>
          <w:lang w:eastAsia="zh-CN"/>
        </w:rPr>
      </w:pPr>
      <w:r>
        <w:drawing>
          <wp:inline distT="0" distB="0" distL="114300" distR="114300">
            <wp:extent cx="5277485" cy="7036435"/>
            <wp:effectExtent l="0" t="0" r="18415" b="1206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34"/>
                    <a:stretch>
                      <a:fillRect/>
                    </a:stretch>
                  </pic:blipFill>
                  <pic:spPr>
                    <a:xfrm>
                      <a:off x="0" y="0"/>
                      <a:ext cx="5277485" cy="7036435"/>
                    </a:xfrm>
                    <a:prstGeom prst="rect">
                      <a:avLst/>
                    </a:prstGeom>
                    <a:noFill/>
                    <a:ln>
                      <a:noFill/>
                    </a:ln>
                  </pic:spPr>
                </pic:pic>
              </a:graphicData>
            </a:graphic>
          </wp:inline>
        </w:drawing>
      </w:r>
    </w:p>
    <w:p>
      <w:pPr>
        <w:pStyle w:val="2"/>
        <w:widowControl/>
        <w:spacing w:line="600" w:lineRule="exact"/>
        <w:ind w:firstLine="0" w:firstLineChars="0"/>
        <w:jc w:val="center"/>
        <w:rPr>
          <w:color w:val="000000" w:themeColor="text1"/>
          <w:highlight w:val="red"/>
        </w:rPr>
      </w:pPr>
    </w:p>
    <w:p>
      <w:pPr>
        <w:pStyle w:val="2"/>
        <w:spacing w:line="600" w:lineRule="exact"/>
        <w:ind w:firstLine="3373" w:firstLineChars="1400"/>
        <w:rPr>
          <w:b/>
          <w:bCs/>
          <w:color w:val="000000" w:themeColor="text1"/>
          <w:highlight w:val="red"/>
        </w:rPr>
      </w:pPr>
    </w:p>
    <w:p>
      <w:pPr>
        <w:pStyle w:val="2"/>
        <w:spacing w:line="600" w:lineRule="exact"/>
        <w:ind w:firstLine="3373" w:firstLineChars="1400"/>
        <w:rPr>
          <w:b/>
          <w:bCs/>
          <w:color w:val="000000" w:themeColor="text1"/>
          <w:highlight w:val="red"/>
        </w:rPr>
      </w:pPr>
    </w:p>
    <w:p>
      <w:pPr>
        <w:pStyle w:val="2"/>
        <w:spacing w:line="600" w:lineRule="exact"/>
        <w:ind w:firstLine="0" w:firstLineChars="0"/>
        <w:rPr>
          <w:rFonts w:hint="eastAsia" w:eastAsia="宋体"/>
          <w:b/>
          <w:bCs/>
          <w:color w:val="000000" w:themeColor="text1"/>
          <w:highlight w:val="none"/>
          <w:lang w:val="en-US" w:eastAsia="zh-CN"/>
        </w:rPr>
      </w:pPr>
      <w:r>
        <w:rPr>
          <w:rFonts w:hint="eastAsia"/>
          <w:b/>
          <w:bCs/>
          <w:color w:val="000000" w:themeColor="text1"/>
          <w:highlight w:val="none"/>
          <w:lang w:val="en-US" w:eastAsia="zh-CN"/>
        </w:rPr>
        <w:t>附件4委托书</w:t>
      </w:r>
    </w:p>
    <w:p>
      <w:pPr>
        <w:pStyle w:val="27"/>
        <w:ind w:left="0" w:leftChars="0"/>
        <w:rPr>
          <w:rFonts w:ascii="宋体" w:hAnsi="宋体" w:cs="宋体"/>
          <w:b/>
          <w:color w:val="000000" w:themeColor="text1"/>
          <w:sz w:val="44"/>
          <w:highlight w:val="red"/>
        </w:rPr>
        <w:sectPr>
          <w:footerReference r:id="rId15" w:type="default"/>
          <w:pgSz w:w="11906" w:h="16838"/>
          <w:pgMar w:top="1418" w:right="1134" w:bottom="1644" w:left="1474" w:header="851" w:footer="992" w:gutter="0"/>
          <w:pgNumType w:fmt="decimal"/>
          <w:cols w:space="720" w:num="1"/>
          <w:docGrid w:linePitch="312" w:charSpace="55034"/>
        </w:sectPr>
      </w:pPr>
      <w:bookmarkStart w:id="32" w:name="_Toc30926_WPSOffice_Level1"/>
      <w:r>
        <w:drawing>
          <wp:inline distT="0" distB="0" distL="114300" distR="114300">
            <wp:extent cx="5391150" cy="7191375"/>
            <wp:effectExtent l="0" t="0" r="0"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5"/>
                    <a:stretch>
                      <a:fillRect/>
                    </a:stretch>
                  </pic:blipFill>
                  <pic:spPr>
                    <a:xfrm>
                      <a:off x="0" y="0"/>
                      <a:ext cx="5391150" cy="7191375"/>
                    </a:xfrm>
                    <a:prstGeom prst="rect">
                      <a:avLst/>
                    </a:prstGeom>
                    <a:noFill/>
                    <a:ln>
                      <a:noFill/>
                    </a:ln>
                  </pic:spPr>
                </pic:pic>
              </a:graphicData>
            </a:graphic>
          </wp:inline>
        </w:drawing>
      </w:r>
    </w:p>
    <w:p>
      <w:pPr>
        <w:pStyle w:val="2"/>
        <w:spacing w:line="600" w:lineRule="exact"/>
        <w:ind w:firstLine="0" w:firstLineChars="0"/>
        <w:rPr>
          <w:rFonts w:hint="eastAsia" w:eastAsia="宋体"/>
          <w:b/>
          <w:bCs/>
          <w:color w:val="000000" w:themeColor="text1"/>
          <w:highlight w:val="none"/>
          <w:lang w:val="en-US" w:eastAsia="zh-CN"/>
        </w:rPr>
      </w:pPr>
      <w:r>
        <w:rPr>
          <w:rFonts w:hint="eastAsia"/>
          <w:b/>
          <w:bCs/>
          <w:color w:val="000000" w:themeColor="text1"/>
          <w:highlight w:val="none"/>
          <w:lang w:val="en-US" w:eastAsia="zh-CN"/>
        </w:rPr>
        <w:t>附件5项目噪声现状检测报告</w:t>
      </w:r>
    </w:p>
    <w:p>
      <w:pPr>
        <w:sectPr>
          <w:pgSz w:w="11906" w:h="16838"/>
          <w:pgMar w:top="1418" w:right="1134" w:bottom="1644" w:left="1474" w:header="851" w:footer="992" w:gutter="0"/>
          <w:pgNumType w:fmt="decimal"/>
          <w:cols w:space="720" w:num="1"/>
          <w:docGrid w:linePitch="312" w:charSpace="55034"/>
        </w:sectPr>
      </w:pPr>
      <w:r>
        <w:drawing>
          <wp:inline distT="0" distB="0" distL="114300" distR="114300">
            <wp:extent cx="5897245" cy="8338185"/>
            <wp:effectExtent l="0" t="0" r="8255" b="571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36"/>
                    <a:stretch>
                      <a:fillRect/>
                    </a:stretch>
                  </pic:blipFill>
                  <pic:spPr>
                    <a:xfrm>
                      <a:off x="0" y="0"/>
                      <a:ext cx="5897245" cy="8338185"/>
                    </a:xfrm>
                    <a:prstGeom prst="rect">
                      <a:avLst/>
                    </a:prstGeom>
                    <a:noFill/>
                    <a:ln w="9525">
                      <a:noFill/>
                    </a:ln>
                  </pic:spPr>
                </pic:pic>
              </a:graphicData>
            </a:graphic>
          </wp:inline>
        </w:drawing>
      </w:r>
      <w:r>
        <w:drawing>
          <wp:inline distT="0" distB="0" distL="114300" distR="114300">
            <wp:extent cx="5897245" cy="8338185"/>
            <wp:effectExtent l="0" t="0" r="8255" b="571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7"/>
                    <a:stretch>
                      <a:fillRect/>
                    </a:stretch>
                  </pic:blipFill>
                  <pic:spPr>
                    <a:xfrm>
                      <a:off x="0" y="0"/>
                      <a:ext cx="5897245" cy="8338185"/>
                    </a:xfrm>
                    <a:prstGeom prst="rect">
                      <a:avLst/>
                    </a:prstGeom>
                    <a:noFill/>
                    <a:ln w="9525">
                      <a:noFill/>
                    </a:ln>
                  </pic:spPr>
                </pic:pic>
              </a:graphicData>
            </a:graphic>
          </wp:inline>
        </w:drawing>
      </w:r>
      <w:r>
        <w:drawing>
          <wp:inline distT="0" distB="0" distL="114300" distR="114300">
            <wp:extent cx="5897245" cy="8338185"/>
            <wp:effectExtent l="0" t="0" r="8255" b="571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38"/>
                    <a:stretch>
                      <a:fillRect/>
                    </a:stretch>
                  </pic:blipFill>
                  <pic:spPr>
                    <a:xfrm>
                      <a:off x="0" y="0"/>
                      <a:ext cx="5897245" cy="8338185"/>
                    </a:xfrm>
                    <a:prstGeom prst="rect">
                      <a:avLst/>
                    </a:prstGeom>
                    <a:noFill/>
                    <a:ln w="9525">
                      <a:noFill/>
                    </a:ln>
                  </pic:spPr>
                </pic:pic>
              </a:graphicData>
            </a:graphic>
          </wp:inline>
        </w:drawing>
      </w:r>
      <w:r>
        <w:drawing>
          <wp:inline distT="0" distB="0" distL="114300" distR="114300">
            <wp:extent cx="5897245" cy="8338185"/>
            <wp:effectExtent l="0" t="0" r="8255" b="571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9"/>
                    <a:stretch>
                      <a:fillRect/>
                    </a:stretch>
                  </pic:blipFill>
                  <pic:spPr>
                    <a:xfrm>
                      <a:off x="0" y="0"/>
                      <a:ext cx="5897245" cy="8338185"/>
                    </a:xfrm>
                    <a:prstGeom prst="rect">
                      <a:avLst/>
                    </a:prstGeom>
                    <a:noFill/>
                    <a:ln w="9525">
                      <a:noFill/>
                    </a:ln>
                  </pic:spPr>
                </pic:pic>
              </a:graphicData>
            </a:graphic>
          </wp:inline>
        </w:drawing>
      </w:r>
      <w:r>
        <w:drawing>
          <wp:inline distT="0" distB="0" distL="114300" distR="114300">
            <wp:extent cx="5897245" cy="8338185"/>
            <wp:effectExtent l="0" t="0" r="8255" b="571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40"/>
                    <a:stretch>
                      <a:fillRect/>
                    </a:stretch>
                  </pic:blipFill>
                  <pic:spPr>
                    <a:xfrm>
                      <a:off x="0" y="0"/>
                      <a:ext cx="5897245" cy="8338185"/>
                    </a:xfrm>
                    <a:prstGeom prst="rect">
                      <a:avLst/>
                    </a:prstGeom>
                    <a:noFill/>
                    <a:ln w="9525">
                      <a:noFill/>
                    </a:ln>
                  </pic:spPr>
                </pic:pic>
              </a:graphicData>
            </a:graphic>
          </wp:inline>
        </w:drawing>
      </w:r>
      <w:r>
        <w:drawing>
          <wp:inline distT="0" distB="0" distL="114300" distR="114300">
            <wp:extent cx="5897245" cy="8338185"/>
            <wp:effectExtent l="0" t="0" r="8255" b="571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41"/>
                    <a:stretch>
                      <a:fillRect/>
                    </a:stretch>
                  </pic:blipFill>
                  <pic:spPr>
                    <a:xfrm>
                      <a:off x="0" y="0"/>
                      <a:ext cx="5897245" cy="8338185"/>
                    </a:xfrm>
                    <a:prstGeom prst="rect">
                      <a:avLst/>
                    </a:prstGeom>
                    <a:noFill/>
                    <a:ln w="9525">
                      <a:noFill/>
                    </a:ln>
                  </pic:spPr>
                </pic:pic>
              </a:graphicData>
            </a:graphic>
          </wp:inline>
        </w:drawing>
      </w:r>
    </w:p>
    <w:p>
      <w:pPr>
        <w:jc w:val="center"/>
        <w:rPr>
          <w:rFonts w:ascii="黑体" w:hAnsi="黑体" w:eastAsia="黑体" w:cs="黑体"/>
          <w:color w:val="000000" w:themeColor="text1"/>
          <w:sz w:val="24"/>
          <w:highlight w:val="none"/>
        </w:rPr>
      </w:pPr>
      <w:r>
        <w:rPr>
          <w:rFonts w:hint="eastAsia" w:ascii="黑体" w:hAnsi="黑体" w:eastAsia="黑体" w:cs="黑体"/>
          <w:color w:val="000000" w:themeColor="text1"/>
          <w:sz w:val="24"/>
          <w:highlight w:val="none"/>
        </w:rPr>
        <w:t>建设项目大气环境影响评价自查表</w:t>
      </w:r>
      <w:bookmarkEnd w:id="32"/>
    </w:p>
    <w:p>
      <w:pPr>
        <w:jc w:val="center"/>
        <w:rPr>
          <w:rFonts w:ascii="黑体" w:hAnsi="黑体" w:eastAsia="黑体" w:cs="黑体"/>
          <w:color w:val="000000" w:themeColor="text1"/>
          <w:sz w:val="24"/>
          <w:highlight w:val="none"/>
        </w:rPr>
      </w:pPr>
      <w:bookmarkStart w:id="33" w:name="_Toc10377_WPSOffice_Level1"/>
      <w:r>
        <w:rPr>
          <w:rFonts w:hint="eastAsia" w:ascii="黑体" w:hAnsi="黑体" w:eastAsia="黑体" w:cs="黑体"/>
          <w:color w:val="000000" w:themeColor="text1"/>
          <w:sz w:val="24"/>
          <w:highlight w:val="none"/>
        </w:rPr>
        <w:t>（</w:t>
      </w:r>
      <w:r>
        <w:rPr>
          <w:rFonts w:hint="eastAsia" w:ascii="黑体" w:hAnsi="黑体" w:eastAsia="黑体" w:cs="黑体"/>
          <w:color w:val="000000" w:themeColor="text1"/>
          <w:sz w:val="24"/>
          <w:highlight w:val="none"/>
          <w:lang w:eastAsia="zh-CN"/>
        </w:rPr>
        <w:t>湖南乐思检测有限公司</w:t>
      </w:r>
      <w:r>
        <w:rPr>
          <w:rFonts w:hint="eastAsia" w:ascii="黑体" w:hAnsi="黑体" w:eastAsia="黑体" w:cs="黑体"/>
          <w:color w:val="000000" w:themeColor="text1"/>
          <w:sz w:val="24"/>
          <w:highlight w:val="none"/>
        </w:rPr>
        <w:t>）</w:t>
      </w:r>
      <w:bookmarkEnd w:id="33"/>
    </w:p>
    <w:tbl>
      <w:tblPr>
        <w:tblStyle w:val="34"/>
        <w:tblW w:w="9514"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30"/>
        <w:gridCol w:w="1772"/>
        <w:gridCol w:w="1025"/>
        <w:gridCol w:w="394"/>
        <w:gridCol w:w="120"/>
        <w:gridCol w:w="407"/>
        <w:gridCol w:w="123"/>
        <w:gridCol w:w="591"/>
        <w:gridCol w:w="279"/>
        <w:gridCol w:w="123"/>
        <w:gridCol w:w="111"/>
        <w:gridCol w:w="541"/>
        <w:gridCol w:w="438"/>
        <w:gridCol w:w="191"/>
        <w:gridCol w:w="651"/>
        <w:gridCol w:w="447"/>
        <w:gridCol w:w="512"/>
        <w:gridCol w:w="75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jc w:val="center"/>
        </w:trPr>
        <w:tc>
          <w:tcPr>
            <w:tcW w:w="2802" w:type="dxa"/>
            <w:gridSpan w:val="2"/>
            <w:tcBorders>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工作内容</w:t>
            </w:r>
          </w:p>
        </w:tc>
        <w:tc>
          <w:tcPr>
            <w:tcW w:w="6712" w:type="dxa"/>
            <w:gridSpan w:val="16"/>
            <w:tcBorders>
              <w:left w:val="single" w:color="000000" w:sz="6" w:space="0"/>
              <w:bottom w:val="single" w:color="000000" w:sz="6" w:space="0"/>
            </w:tcBorders>
            <w:vAlign w:val="center"/>
          </w:tcPr>
          <w:p>
            <w:pPr>
              <w:pStyle w:val="94"/>
              <w:rPr>
                <w:color w:val="000000" w:themeColor="text1"/>
                <w:sz w:val="18"/>
                <w:highlight w:val="none"/>
              </w:rPr>
            </w:pPr>
            <w:r>
              <w:rPr>
                <w:color w:val="000000" w:themeColor="text1"/>
                <w:sz w:val="18"/>
                <w:highlight w:val="none"/>
              </w:rPr>
              <w:t>自查项目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jc w:val="center"/>
        </w:trPr>
        <w:tc>
          <w:tcPr>
            <w:tcW w:w="1030" w:type="dxa"/>
            <w:vMerge w:val="restart"/>
            <w:tcBorders>
              <w:top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评价等级与范围</w:t>
            </w: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评价等级</w:t>
            </w:r>
          </w:p>
        </w:tc>
        <w:tc>
          <w:tcPr>
            <w:tcW w:w="2660" w:type="dxa"/>
            <w:gridSpan w:val="6"/>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一级</w:t>
            </w:r>
            <w:r>
              <w:rPr>
                <w:rFonts w:hint="eastAsia" w:ascii="仿宋" w:hAnsi="仿宋" w:eastAsia="仿宋"/>
                <w:color w:val="000000" w:themeColor="text1"/>
                <w:sz w:val="18"/>
                <w:highlight w:val="none"/>
              </w:rPr>
              <w:sym w:font="Wingdings 2" w:char="00A3"/>
            </w:r>
          </w:p>
        </w:tc>
        <w:tc>
          <w:tcPr>
            <w:tcW w:w="2334" w:type="dxa"/>
            <w:gridSpan w:val="7"/>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二级</w:t>
            </w:r>
            <w:r>
              <w:rPr>
                <w:rFonts w:hint="eastAsia" w:ascii="仿宋" w:hAnsi="仿宋" w:eastAsia="仿宋"/>
                <w:color w:val="000000" w:themeColor="text1"/>
                <w:sz w:val="18"/>
                <w:highlight w:val="none"/>
              </w:rPr>
              <w:sym w:font="Wingdings 2" w:char="00A3"/>
            </w:r>
          </w:p>
        </w:tc>
        <w:tc>
          <w:tcPr>
            <w:tcW w:w="1718" w:type="dxa"/>
            <w:gridSpan w:val="3"/>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三级</w:t>
            </w:r>
            <w:r>
              <w:rPr>
                <w:rFonts w:hint="eastAsia" w:ascii="仿宋" w:hAnsi="仿宋" w:eastAsia="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8"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评价范围</w:t>
            </w:r>
          </w:p>
        </w:tc>
        <w:tc>
          <w:tcPr>
            <w:tcW w:w="2660" w:type="dxa"/>
            <w:gridSpan w:val="6"/>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边长</w:t>
            </w:r>
            <w:r>
              <w:rPr>
                <w:rFonts w:ascii="Times New Roman" w:hAnsi="Times New Roman" w:eastAsia="Times New Roman"/>
                <w:color w:val="000000" w:themeColor="text1"/>
                <w:sz w:val="18"/>
                <w:highlight w:val="none"/>
              </w:rPr>
              <w:t>=50km</w:t>
            </w:r>
            <w:r>
              <w:rPr>
                <w:rFonts w:hint="eastAsia" w:ascii="仿宋" w:hAnsi="仿宋" w:eastAsia="仿宋"/>
                <w:color w:val="000000" w:themeColor="text1"/>
                <w:sz w:val="18"/>
                <w:highlight w:val="none"/>
              </w:rPr>
              <w:t>□</w:t>
            </w:r>
          </w:p>
        </w:tc>
        <w:tc>
          <w:tcPr>
            <w:tcW w:w="2334" w:type="dxa"/>
            <w:gridSpan w:val="7"/>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边长</w:t>
            </w:r>
            <w:r>
              <w:rPr>
                <w:rFonts w:ascii="Times New Roman" w:hAnsi="Times New Roman" w:eastAsia="Times New Roman"/>
                <w:color w:val="000000" w:themeColor="text1"/>
                <w:sz w:val="18"/>
                <w:highlight w:val="none"/>
              </w:rPr>
              <w:t>5</w:t>
            </w:r>
            <w:r>
              <w:rPr>
                <w:color w:val="000000" w:themeColor="text1"/>
                <w:sz w:val="18"/>
                <w:highlight w:val="none"/>
              </w:rPr>
              <w:t>～</w:t>
            </w:r>
            <w:r>
              <w:rPr>
                <w:rFonts w:ascii="Times New Roman" w:hAnsi="Times New Roman" w:eastAsia="Times New Roman"/>
                <w:color w:val="000000" w:themeColor="text1"/>
                <w:sz w:val="18"/>
                <w:highlight w:val="none"/>
              </w:rPr>
              <w:t>50km</w:t>
            </w:r>
            <w:r>
              <w:rPr>
                <w:rFonts w:hint="eastAsia" w:ascii="仿宋" w:hAnsi="仿宋" w:eastAsia="仿宋"/>
                <w:color w:val="000000" w:themeColor="text1"/>
                <w:sz w:val="18"/>
                <w:highlight w:val="none"/>
              </w:rPr>
              <w:sym w:font="Wingdings 2" w:char="00A3"/>
            </w:r>
          </w:p>
        </w:tc>
        <w:tc>
          <w:tcPr>
            <w:tcW w:w="1718" w:type="dxa"/>
            <w:gridSpan w:val="3"/>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边长</w:t>
            </w:r>
            <w:r>
              <w:rPr>
                <w:rFonts w:ascii="Times New Roman" w:hAnsi="Times New Roman" w:eastAsia="Times New Roman"/>
                <w:color w:val="000000" w:themeColor="text1"/>
                <w:sz w:val="18"/>
                <w:highlight w:val="none"/>
              </w:rPr>
              <w:t>=5km</w:t>
            </w:r>
            <w:r>
              <w:rPr>
                <w:rFonts w:hint="eastAsia" w:ascii="仿宋" w:hAnsi="仿宋" w:eastAsia="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1" w:hRule="atLeast"/>
          <w:jc w:val="center"/>
        </w:trPr>
        <w:tc>
          <w:tcPr>
            <w:tcW w:w="1030" w:type="dxa"/>
            <w:vMerge w:val="restart"/>
            <w:tcBorders>
              <w:top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评价因子</w:t>
            </w: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rFonts w:ascii="Times New Roman" w:eastAsia="Times New Roman"/>
                <w:color w:val="000000" w:themeColor="text1"/>
                <w:position w:val="1"/>
                <w:sz w:val="18"/>
                <w:highlight w:val="none"/>
              </w:rPr>
              <w:t>SO</w:t>
            </w:r>
            <w:r>
              <w:rPr>
                <w:rFonts w:ascii="Times New Roman" w:eastAsia="Times New Roman"/>
                <w:color w:val="000000" w:themeColor="text1"/>
                <w:position w:val="1"/>
                <w:sz w:val="18"/>
                <w:highlight w:val="none"/>
                <w:vertAlign w:val="subscript"/>
              </w:rPr>
              <w:t>2</w:t>
            </w:r>
            <w:r>
              <w:rPr>
                <w:rFonts w:ascii="Times New Roman" w:eastAsia="Times New Roman"/>
                <w:color w:val="000000" w:themeColor="text1"/>
                <w:position w:val="1"/>
                <w:sz w:val="18"/>
                <w:highlight w:val="none"/>
              </w:rPr>
              <w:t>+NO</w:t>
            </w:r>
            <w:r>
              <w:rPr>
                <w:rFonts w:ascii="Times New Roman" w:eastAsia="Times New Roman"/>
                <w:i/>
                <w:color w:val="000000" w:themeColor="text1"/>
                <w:sz w:val="12"/>
                <w:highlight w:val="none"/>
              </w:rPr>
              <w:t>x</w:t>
            </w:r>
            <w:r>
              <w:rPr>
                <w:color w:val="000000" w:themeColor="text1"/>
                <w:position w:val="1"/>
                <w:sz w:val="18"/>
                <w:highlight w:val="none"/>
              </w:rPr>
              <w:t>排放量</w:t>
            </w:r>
          </w:p>
        </w:tc>
        <w:tc>
          <w:tcPr>
            <w:tcW w:w="1419" w:type="dxa"/>
            <w:gridSpan w:val="2"/>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color w:val="000000" w:themeColor="text1"/>
                <w:sz w:val="18"/>
                <w:highlight w:val="none"/>
              </w:rPr>
            </w:pPr>
            <w:r>
              <w:rPr>
                <w:rFonts w:ascii="仿宋" w:hAnsi="仿宋"/>
                <w:color w:val="000000" w:themeColor="text1"/>
                <w:sz w:val="18"/>
                <w:highlight w:val="none"/>
              </w:rPr>
              <w:t>≥</w:t>
            </w:r>
            <w:r>
              <w:rPr>
                <w:rFonts w:ascii="Times New Roman" w:hAnsi="Times New Roman"/>
                <w:color w:val="000000" w:themeColor="text1"/>
                <w:sz w:val="18"/>
                <w:highlight w:val="none"/>
              </w:rPr>
              <w:t>2000t/a</w:t>
            </w:r>
            <w:r>
              <w:rPr>
                <w:rFonts w:ascii="仿宋" w:hAnsi="仿宋"/>
                <w:color w:val="000000" w:themeColor="text1"/>
                <w:sz w:val="18"/>
                <w:highlight w:val="none"/>
              </w:rPr>
              <w:t>□</w:t>
            </w:r>
          </w:p>
        </w:tc>
        <w:tc>
          <w:tcPr>
            <w:tcW w:w="3575" w:type="dxa"/>
            <w:gridSpan w:val="11"/>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color w:val="000000" w:themeColor="text1"/>
                <w:sz w:val="18"/>
                <w:highlight w:val="none"/>
              </w:rPr>
            </w:pPr>
            <w:r>
              <w:rPr>
                <w:rFonts w:ascii="Times New Roman" w:hAnsi="Times New Roman"/>
                <w:color w:val="000000" w:themeColor="text1"/>
                <w:sz w:val="18"/>
                <w:highlight w:val="none"/>
              </w:rPr>
              <w:t>500~2000t/a</w:t>
            </w:r>
            <w:r>
              <w:rPr>
                <w:rFonts w:ascii="仿宋" w:hAnsi="仿宋"/>
                <w:color w:val="000000" w:themeColor="text1"/>
                <w:sz w:val="18"/>
                <w:highlight w:val="none"/>
              </w:rPr>
              <w:t>□</w:t>
            </w:r>
          </w:p>
        </w:tc>
        <w:tc>
          <w:tcPr>
            <w:tcW w:w="1718" w:type="dxa"/>
            <w:gridSpan w:val="3"/>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500t/a</w:t>
            </w:r>
            <w:r>
              <w:rPr>
                <w:rFonts w:hint="eastAsia" w:ascii="仿宋" w:hAnsi="仿宋" w:eastAsia="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5"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评价因子</w:t>
            </w:r>
          </w:p>
        </w:tc>
        <w:tc>
          <w:tcPr>
            <w:tcW w:w="3714" w:type="dxa"/>
            <w:gridSpan w:val="10"/>
            <w:tcBorders>
              <w:top w:val="single" w:color="000000" w:sz="6" w:space="0"/>
              <w:left w:val="single" w:color="000000" w:sz="6" w:space="0"/>
              <w:bottom w:val="single" w:color="000000" w:sz="6" w:space="0"/>
              <w:right w:val="single" w:color="000000" w:sz="6" w:space="0"/>
            </w:tcBorders>
            <w:vAlign w:val="center"/>
          </w:tcPr>
          <w:p>
            <w:pPr>
              <w:pStyle w:val="94"/>
              <w:tabs>
                <w:tab w:val="left" w:pos="3078"/>
              </w:tabs>
              <w:rPr>
                <w:rFonts w:ascii="Times New Roman"/>
                <w:color w:val="000000" w:themeColor="text1"/>
                <w:sz w:val="18"/>
                <w:highlight w:val="none"/>
                <w:lang w:val="en-US"/>
              </w:rPr>
            </w:pPr>
            <w:r>
              <w:rPr>
                <w:color w:val="000000" w:themeColor="text1"/>
                <w:sz w:val="18"/>
                <w:highlight w:val="none"/>
              </w:rPr>
              <w:t>基本污染物</w:t>
            </w:r>
            <w:r>
              <w:rPr>
                <w:rFonts w:ascii="Times New Roman" w:eastAsia="Times New Roman"/>
                <w:color w:val="000000" w:themeColor="text1"/>
                <w:sz w:val="18"/>
                <w:highlight w:val="none"/>
                <w:lang w:val="en-US"/>
              </w:rPr>
              <w:t>(</w:t>
            </w:r>
            <w:r>
              <w:rPr>
                <w:rFonts w:hint="eastAsia"/>
                <w:color w:val="000000" w:themeColor="text1"/>
                <w:sz w:val="18"/>
                <w:highlight w:val="none"/>
              </w:rPr>
              <w:t>酸雾</w:t>
            </w:r>
            <w:r>
              <w:rPr>
                <w:rFonts w:ascii="Times New Roman" w:eastAsia="Times New Roman"/>
                <w:color w:val="000000" w:themeColor="text1"/>
                <w:sz w:val="18"/>
                <w:highlight w:val="none"/>
                <w:lang w:val="en-US"/>
              </w:rPr>
              <w:t>)</w:t>
            </w:r>
          </w:p>
          <w:p>
            <w:pPr>
              <w:pStyle w:val="94"/>
              <w:tabs>
                <w:tab w:val="left" w:pos="3078"/>
              </w:tabs>
              <w:rPr>
                <w:rFonts w:ascii="Times New Roman" w:eastAsia="Times New Roman"/>
                <w:color w:val="000000" w:themeColor="text1"/>
                <w:sz w:val="18"/>
                <w:highlight w:val="none"/>
              </w:rPr>
            </w:pPr>
            <w:r>
              <w:rPr>
                <w:color w:val="000000" w:themeColor="text1"/>
                <w:sz w:val="18"/>
                <w:highlight w:val="none"/>
              </w:rPr>
              <w:t>其他污染物</w:t>
            </w:r>
            <w:r>
              <w:rPr>
                <w:rFonts w:ascii="Times New Roman" w:eastAsia="Times New Roman"/>
                <w:color w:val="000000" w:themeColor="text1"/>
                <w:sz w:val="18"/>
                <w:highlight w:val="none"/>
              </w:rPr>
              <w:t>()</w:t>
            </w:r>
          </w:p>
        </w:tc>
        <w:tc>
          <w:tcPr>
            <w:tcW w:w="2998" w:type="dxa"/>
            <w:gridSpan w:val="6"/>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position w:val="1"/>
                <w:sz w:val="18"/>
                <w:highlight w:val="none"/>
              </w:rPr>
              <w:t>包括二次</w:t>
            </w:r>
            <w:r>
              <w:rPr>
                <w:rFonts w:ascii="Times New Roman" w:hAnsi="Times New Roman" w:eastAsia="Times New Roman"/>
                <w:color w:val="000000" w:themeColor="text1"/>
                <w:position w:val="1"/>
                <w:sz w:val="18"/>
                <w:highlight w:val="none"/>
              </w:rPr>
              <w:t>PM</w:t>
            </w:r>
            <w:r>
              <w:rPr>
                <w:rFonts w:ascii="Times New Roman" w:hAnsi="Times New Roman" w:eastAsia="Times New Roman"/>
                <w:color w:val="000000" w:themeColor="text1"/>
                <w:position w:val="1"/>
                <w:sz w:val="18"/>
                <w:highlight w:val="none"/>
                <w:vertAlign w:val="subscript"/>
              </w:rPr>
              <w:t>2.5</w:t>
            </w:r>
            <w:r>
              <w:rPr>
                <w:rFonts w:hint="eastAsia" w:ascii="仿宋" w:hAnsi="仿宋" w:eastAsia="仿宋"/>
                <w:color w:val="000000" w:themeColor="text1"/>
                <w:position w:val="1"/>
                <w:sz w:val="18"/>
                <w:highlight w:val="none"/>
              </w:rPr>
              <w:t>□</w:t>
            </w:r>
          </w:p>
          <w:p>
            <w:pPr>
              <w:pStyle w:val="94"/>
              <w:rPr>
                <w:rFonts w:ascii="仿宋" w:hAnsi="仿宋" w:eastAsia="仿宋"/>
                <w:color w:val="000000" w:themeColor="text1"/>
                <w:sz w:val="18"/>
                <w:highlight w:val="none"/>
              </w:rPr>
            </w:pPr>
            <w:r>
              <w:rPr>
                <w:color w:val="000000" w:themeColor="text1"/>
                <w:position w:val="1"/>
                <w:sz w:val="18"/>
                <w:highlight w:val="none"/>
              </w:rPr>
              <w:t>不包括二次</w:t>
            </w:r>
            <w:r>
              <w:rPr>
                <w:rFonts w:ascii="Times New Roman" w:hAnsi="Times New Roman" w:eastAsia="Times New Roman"/>
                <w:color w:val="000000" w:themeColor="text1"/>
                <w:position w:val="1"/>
                <w:sz w:val="18"/>
                <w:highlight w:val="none"/>
              </w:rPr>
              <w:t>PM</w:t>
            </w:r>
            <w:r>
              <w:rPr>
                <w:rFonts w:ascii="Times New Roman" w:hAnsi="Times New Roman" w:eastAsia="Times New Roman"/>
                <w:color w:val="000000" w:themeColor="text1"/>
                <w:position w:val="1"/>
                <w:sz w:val="18"/>
                <w:highlight w:val="none"/>
                <w:vertAlign w:val="subscript"/>
              </w:rPr>
              <w:t>2.5</w:t>
            </w:r>
            <w:r>
              <w:rPr>
                <w:rFonts w:hint="eastAsia" w:ascii="仿宋" w:hAnsi="仿宋" w:eastAsia="仿宋"/>
                <w:color w:val="000000" w:themeColor="text1"/>
                <w:position w:val="1"/>
                <w:sz w:val="18"/>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1" w:hRule="atLeast"/>
          <w:jc w:val="center"/>
        </w:trPr>
        <w:tc>
          <w:tcPr>
            <w:tcW w:w="1030" w:type="dxa"/>
            <w:tcBorders>
              <w:top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评价标准</w:t>
            </w: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评价标准</w:t>
            </w:r>
          </w:p>
        </w:tc>
        <w:tc>
          <w:tcPr>
            <w:tcW w:w="2069" w:type="dxa"/>
            <w:gridSpan w:val="5"/>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国家标准</w:t>
            </w:r>
            <w:r>
              <w:rPr>
                <w:rFonts w:hint="eastAsia" w:ascii="仿宋" w:hAnsi="仿宋" w:eastAsia="仿宋"/>
                <w:color w:val="000000" w:themeColor="text1"/>
                <w:sz w:val="18"/>
                <w:highlight w:val="none"/>
              </w:rPr>
              <w:sym w:font="Wingdings 2" w:char="0052"/>
            </w:r>
          </w:p>
        </w:tc>
        <w:tc>
          <w:tcPr>
            <w:tcW w:w="1645" w:type="dxa"/>
            <w:gridSpan w:val="5"/>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地方标准</w:t>
            </w:r>
            <w:r>
              <w:rPr>
                <w:rFonts w:hint="eastAsia" w:ascii="仿宋" w:hAnsi="仿宋" w:eastAsia="仿宋"/>
                <w:color w:val="000000" w:themeColor="text1"/>
                <w:sz w:val="18"/>
                <w:highlight w:val="none"/>
              </w:rPr>
              <w:sym w:font="Wingdings 2" w:char="00A3"/>
            </w:r>
          </w:p>
        </w:tc>
        <w:tc>
          <w:tcPr>
            <w:tcW w:w="1727" w:type="dxa"/>
            <w:gridSpan w:val="4"/>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附录</w:t>
            </w:r>
            <w:r>
              <w:rPr>
                <w:rFonts w:ascii="Times New Roman" w:hAnsi="Times New Roman" w:eastAsia="Times New Roman"/>
                <w:color w:val="000000" w:themeColor="text1"/>
                <w:sz w:val="18"/>
                <w:highlight w:val="none"/>
              </w:rPr>
              <w:t>D</w:t>
            </w:r>
            <w:r>
              <w:rPr>
                <w:rFonts w:hint="eastAsia" w:ascii="仿宋" w:hAnsi="仿宋" w:eastAsia="仿宋"/>
                <w:color w:val="000000" w:themeColor="text1"/>
                <w:sz w:val="18"/>
                <w:highlight w:val="none"/>
              </w:rPr>
              <w:sym w:font="Wingdings 2" w:char="0052"/>
            </w:r>
          </w:p>
        </w:tc>
        <w:tc>
          <w:tcPr>
            <w:tcW w:w="1271" w:type="dxa"/>
            <w:gridSpan w:val="2"/>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其他标准</w:t>
            </w:r>
            <w:r>
              <w:rPr>
                <w:rFonts w:hint="eastAsia" w:ascii="仿宋" w:hAnsi="仿宋" w:eastAsia="仿宋"/>
                <w:color w:val="000000" w:themeColor="text1"/>
                <w:sz w:val="18"/>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jc w:val="center"/>
        </w:trPr>
        <w:tc>
          <w:tcPr>
            <w:tcW w:w="1030" w:type="dxa"/>
            <w:vMerge w:val="restart"/>
            <w:tcBorders>
              <w:top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现状评价</w:t>
            </w: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环境功能区</w:t>
            </w:r>
          </w:p>
        </w:tc>
        <w:tc>
          <w:tcPr>
            <w:tcW w:w="2660" w:type="dxa"/>
            <w:gridSpan w:val="6"/>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一类区</w:t>
            </w:r>
            <w:r>
              <w:rPr>
                <w:rFonts w:hint="eastAsia" w:ascii="仿宋" w:hAnsi="仿宋" w:eastAsia="仿宋"/>
                <w:color w:val="000000" w:themeColor="text1"/>
                <w:sz w:val="18"/>
                <w:highlight w:val="none"/>
              </w:rPr>
              <w:t>□</w:t>
            </w:r>
          </w:p>
        </w:tc>
        <w:tc>
          <w:tcPr>
            <w:tcW w:w="2334" w:type="dxa"/>
            <w:gridSpan w:val="7"/>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二类区</w:t>
            </w:r>
            <w:r>
              <w:rPr>
                <w:rFonts w:hint="eastAsia" w:ascii="仿宋" w:hAnsi="仿宋" w:eastAsia="仿宋"/>
                <w:color w:val="000000" w:themeColor="text1"/>
                <w:sz w:val="18"/>
                <w:highlight w:val="none"/>
              </w:rPr>
              <w:sym w:font="Wingdings 2" w:char="0052"/>
            </w:r>
          </w:p>
        </w:tc>
        <w:tc>
          <w:tcPr>
            <w:tcW w:w="1718" w:type="dxa"/>
            <w:gridSpan w:val="3"/>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一类区和二类区</w:t>
            </w:r>
            <w:r>
              <w:rPr>
                <w:rFonts w:hint="eastAsia" w:ascii="仿宋" w:hAnsi="仿宋" w:eastAsia="仿宋"/>
                <w:color w:val="000000" w:themeColor="text1"/>
                <w:sz w:val="18"/>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8"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评价基准年</w:t>
            </w:r>
          </w:p>
        </w:tc>
        <w:tc>
          <w:tcPr>
            <w:tcW w:w="6712" w:type="dxa"/>
            <w:gridSpan w:val="16"/>
            <w:tcBorders>
              <w:top w:val="single" w:color="000000" w:sz="6" w:space="0"/>
              <w:left w:val="single" w:color="000000" w:sz="6" w:space="0"/>
              <w:bottom w:val="single" w:color="000000" w:sz="6" w:space="0"/>
            </w:tcBorders>
            <w:vAlign w:val="center"/>
          </w:tcPr>
          <w:p>
            <w:pPr>
              <w:pStyle w:val="94"/>
              <w:tabs>
                <w:tab w:val="left" w:pos="658"/>
              </w:tabs>
              <w:rPr>
                <w:color w:val="000000" w:themeColor="text1"/>
                <w:sz w:val="18"/>
                <w:highlight w:val="none"/>
              </w:rPr>
            </w:pPr>
            <w:r>
              <w:rPr>
                <w:color w:val="000000" w:themeColor="text1"/>
                <w:sz w:val="18"/>
                <w:highlight w:val="none"/>
              </w:rPr>
              <w:t>（</w:t>
            </w:r>
            <w:r>
              <w:rPr>
                <w:rFonts w:hint="eastAsia"/>
                <w:color w:val="000000" w:themeColor="text1"/>
                <w:sz w:val="18"/>
                <w:highlight w:val="none"/>
                <w:lang w:val="en-US"/>
              </w:rPr>
              <w:t>201</w:t>
            </w:r>
            <w:r>
              <w:rPr>
                <w:color w:val="000000" w:themeColor="text1"/>
                <w:sz w:val="18"/>
                <w:highlight w:val="none"/>
                <w:lang w:val="en-US"/>
              </w:rPr>
              <w:t>8</w:t>
            </w:r>
            <w:r>
              <w:rPr>
                <w:color w:val="000000" w:themeColor="text1"/>
                <w:sz w:val="18"/>
                <w:highlight w:val="none"/>
              </w:rPr>
              <w:t>）年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环境空气质量</w:t>
            </w:r>
          </w:p>
          <w:p>
            <w:pPr>
              <w:pStyle w:val="94"/>
              <w:rPr>
                <w:color w:val="000000" w:themeColor="text1"/>
                <w:sz w:val="18"/>
                <w:highlight w:val="none"/>
              </w:rPr>
            </w:pPr>
            <w:r>
              <w:rPr>
                <w:color w:val="000000" w:themeColor="text1"/>
                <w:sz w:val="18"/>
                <w:highlight w:val="none"/>
              </w:rPr>
              <w:t>现状调查数据来源</w:t>
            </w:r>
          </w:p>
        </w:tc>
        <w:tc>
          <w:tcPr>
            <w:tcW w:w="2660" w:type="dxa"/>
            <w:gridSpan w:val="6"/>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长期例行监测数据</w:t>
            </w:r>
            <w:r>
              <w:rPr>
                <w:rFonts w:hint="eastAsia" w:ascii="仿宋" w:hAnsi="仿宋" w:eastAsia="仿宋"/>
                <w:color w:val="000000" w:themeColor="text1"/>
                <w:sz w:val="18"/>
                <w:highlight w:val="none"/>
              </w:rPr>
              <w:t>□</w:t>
            </w:r>
          </w:p>
        </w:tc>
        <w:tc>
          <w:tcPr>
            <w:tcW w:w="2334" w:type="dxa"/>
            <w:gridSpan w:val="7"/>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主管部门发布的数据</w:t>
            </w:r>
            <w:r>
              <w:rPr>
                <w:rFonts w:hint="eastAsia" w:ascii="仿宋" w:hAnsi="仿宋" w:eastAsia="仿宋"/>
                <w:color w:val="000000" w:themeColor="text1"/>
                <w:sz w:val="18"/>
                <w:highlight w:val="none"/>
              </w:rPr>
              <w:sym w:font="Wingdings 2" w:char="0052"/>
            </w:r>
          </w:p>
        </w:tc>
        <w:tc>
          <w:tcPr>
            <w:tcW w:w="1718" w:type="dxa"/>
            <w:gridSpan w:val="3"/>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现状补充监测</w:t>
            </w:r>
            <w:r>
              <w:rPr>
                <w:rFonts w:hint="eastAsia" w:ascii="仿宋" w:hAnsi="仿宋" w:eastAsia="仿宋"/>
                <w:color w:val="000000" w:themeColor="text1"/>
                <w:sz w:val="18"/>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现状评价</w:t>
            </w:r>
          </w:p>
        </w:tc>
        <w:tc>
          <w:tcPr>
            <w:tcW w:w="3714" w:type="dxa"/>
            <w:gridSpan w:val="10"/>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达标区</w:t>
            </w:r>
            <w:r>
              <w:rPr>
                <w:rFonts w:hint="eastAsia" w:ascii="仿宋" w:hAnsi="仿宋" w:eastAsia="仿宋"/>
                <w:color w:val="000000" w:themeColor="text1"/>
                <w:sz w:val="18"/>
                <w:highlight w:val="none"/>
              </w:rPr>
              <w:sym w:font="Wingdings 2" w:char="00A3"/>
            </w:r>
          </w:p>
        </w:tc>
        <w:tc>
          <w:tcPr>
            <w:tcW w:w="2998" w:type="dxa"/>
            <w:gridSpan w:val="6"/>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不达标区</w:t>
            </w:r>
            <w:r>
              <w:rPr>
                <w:rFonts w:hint="eastAsia" w:ascii="仿宋" w:hAnsi="仿宋" w:eastAsia="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79" w:hRule="atLeast"/>
          <w:jc w:val="center"/>
        </w:trPr>
        <w:tc>
          <w:tcPr>
            <w:tcW w:w="1030" w:type="dxa"/>
            <w:tcBorders>
              <w:top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污染源调查</w:t>
            </w: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调查内容</w:t>
            </w:r>
          </w:p>
        </w:tc>
        <w:tc>
          <w:tcPr>
            <w:tcW w:w="2069" w:type="dxa"/>
            <w:gridSpan w:val="5"/>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本项目正常排放源</w:t>
            </w:r>
            <w:r>
              <w:rPr>
                <w:rFonts w:hint="eastAsia" w:ascii="仿宋" w:hAnsi="仿宋" w:eastAsia="仿宋"/>
                <w:color w:val="000000" w:themeColor="text1"/>
                <w:sz w:val="18"/>
                <w:highlight w:val="none"/>
              </w:rPr>
              <w:sym w:font="Wingdings 2" w:char="00A3"/>
            </w:r>
          </w:p>
          <w:p>
            <w:pPr>
              <w:pStyle w:val="94"/>
              <w:rPr>
                <w:rFonts w:ascii="仿宋" w:hAnsi="仿宋" w:eastAsia="仿宋"/>
                <w:color w:val="000000" w:themeColor="text1"/>
                <w:sz w:val="18"/>
                <w:highlight w:val="none"/>
              </w:rPr>
            </w:pPr>
            <w:r>
              <w:rPr>
                <w:color w:val="000000" w:themeColor="text1"/>
                <w:sz w:val="18"/>
                <w:highlight w:val="none"/>
              </w:rPr>
              <w:t>本项目非正常排放源</w:t>
            </w:r>
            <w:r>
              <w:rPr>
                <w:rFonts w:hint="eastAsia" w:ascii="仿宋" w:hAnsi="仿宋" w:eastAsia="仿宋"/>
                <w:color w:val="000000" w:themeColor="text1"/>
                <w:sz w:val="18"/>
                <w:highlight w:val="none"/>
              </w:rPr>
              <w:sym w:font="Wingdings 2" w:char="00A3"/>
            </w:r>
          </w:p>
          <w:p>
            <w:pPr>
              <w:pStyle w:val="94"/>
              <w:rPr>
                <w:rFonts w:ascii="仿宋" w:hAnsi="仿宋" w:eastAsia="仿宋"/>
                <w:color w:val="000000" w:themeColor="text1"/>
                <w:sz w:val="18"/>
                <w:highlight w:val="none"/>
              </w:rPr>
            </w:pPr>
            <w:r>
              <w:rPr>
                <w:color w:val="000000" w:themeColor="text1"/>
                <w:sz w:val="18"/>
                <w:highlight w:val="none"/>
              </w:rPr>
              <w:t>现有污染源</w:t>
            </w:r>
            <w:r>
              <w:rPr>
                <w:rFonts w:hint="eastAsia" w:ascii="仿宋" w:hAnsi="仿宋" w:eastAsia="仿宋"/>
                <w:color w:val="000000" w:themeColor="text1"/>
                <w:sz w:val="18"/>
                <w:highlight w:val="none"/>
              </w:rPr>
              <w:t>□</w:t>
            </w:r>
          </w:p>
        </w:tc>
        <w:tc>
          <w:tcPr>
            <w:tcW w:w="1645" w:type="dxa"/>
            <w:gridSpan w:val="5"/>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拟替代的污染源</w:t>
            </w:r>
            <w:r>
              <w:rPr>
                <w:rFonts w:hint="eastAsia" w:ascii="仿宋" w:hAnsi="仿宋" w:eastAsia="仿宋"/>
                <w:color w:val="000000" w:themeColor="text1"/>
                <w:sz w:val="18"/>
                <w:highlight w:val="none"/>
              </w:rPr>
              <w:t>□</w:t>
            </w:r>
          </w:p>
        </w:tc>
        <w:tc>
          <w:tcPr>
            <w:tcW w:w="1727" w:type="dxa"/>
            <w:gridSpan w:val="4"/>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其他在建、拟建项目污染源</w:t>
            </w:r>
            <w:r>
              <w:rPr>
                <w:rFonts w:hint="eastAsia" w:ascii="仿宋" w:hAnsi="仿宋" w:eastAsia="仿宋"/>
                <w:color w:val="000000" w:themeColor="text1"/>
                <w:sz w:val="18"/>
                <w:highlight w:val="none"/>
              </w:rPr>
              <w:t>□</w:t>
            </w:r>
          </w:p>
        </w:tc>
        <w:tc>
          <w:tcPr>
            <w:tcW w:w="1271" w:type="dxa"/>
            <w:gridSpan w:val="2"/>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区域污染源</w:t>
            </w:r>
            <w:r>
              <w:rPr>
                <w:rFonts w:hint="eastAsia" w:ascii="仿宋" w:hAnsi="仿宋" w:eastAsia="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jc w:val="center"/>
        </w:trPr>
        <w:tc>
          <w:tcPr>
            <w:tcW w:w="1030" w:type="dxa"/>
            <w:vMerge w:val="restart"/>
            <w:tcBorders>
              <w:top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大气环境影响预测与</w:t>
            </w:r>
          </w:p>
          <w:p>
            <w:pPr>
              <w:pStyle w:val="94"/>
              <w:rPr>
                <w:color w:val="000000" w:themeColor="text1"/>
                <w:sz w:val="18"/>
                <w:highlight w:val="none"/>
              </w:rPr>
            </w:pPr>
            <w:r>
              <w:rPr>
                <w:color w:val="000000" w:themeColor="text1"/>
                <w:sz w:val="18"/>
                <w:highlight w:val="none"/>
              </w:rPr>
              <w:t>评价</w:t>
            </w: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预测模型</w:t>
            </w:r>
          </w:p>
        </w:tc>
        <w:tc>
          <w:tcPr>
            <w:tcW w:w="1025" w:type="dxa"/>
            <w:tcBorders>
              <w:top w:val="single" w:color="000000" w:sz="6" w:space="0"/>
              <w:left w:val="single" w:color="000000" w:sz="6" w:space="0"/>
              <w:bottom w:val="single" w:color="000000" w:sz="6" w:space="0"/>
              <w:right w:val="single" w:color="000000" w:sz="6" w:space="0"/>
            </w:tcBorders>
            <w:vAlign w:val="center"/>
          </w:tcPr>
          <w:p>
            <w:pPr>
              <w:pStyle w:val="94"/>
              <w:rPr>
                <w:rFonts w:ascii="Times New Roman"/>
                <w:color w:val="000000" w:themeColor="text1"/>
                <w:sz w:val="18"/>
                <w:highlight w:val="none"/>
              </w:rPr>
            </w:pPr>
            <w:r>
              <w:rPr>
                <w:rFonts w:ascii="Times New Roman"/>
                <w:color w:val="000000" w:themeColor="text1"/>
                <w:sz w:val="18"/>
                <w:highlight w:val="none"/>
              </w:rPr>
              <w:t>AERMOD</w:t>
            </w:r>
          </w:p>
          <w:p>
            <w:pPr>
              <w:pStyle w:val="94"/>
              <w:rPr>
                <w:rFonts w:ascii="仿宋" w:hAnsi="仿宋"/>
                <w:color w:val="000000" w:themeColor="text1"/>
                <w:sz w:val="18"/>
                <w:highlight w:val="none"/>
              </w:rPr>
            </w:pPr>
            <w:r>
              <w:rPr>
                <w:rFonts w:ascii="仿宋" w:hAnsi="仿宋"/>
                <w:color w:val="000000" w:themeColor="text1"/>
                <w:sz w:val="18"/>
                <w:highlight w:val="none"/>
              </w:rPr>
              <w:t>□</w:t>
            </w:r>
          </w:p>
        </w:tc>
        <w:tc>
          <w:tcPr>
            <w:tcW w:w="921" w:type="dxa"/>
            <w:gridSpan w:val="3"/>
            <w:tcBorders>
              <w:top w:val="single" w:color="000000" w:sz="6" w:space="0"/>
              <w:left w:val="single" w:color="000000" w:sz="6" w:space="0"/>
              <w:bottom w:val="single" w:color="000000" w:sz="6" w:space="0"/>
              <w:right w:val="single" w:color="000000" w:sz="6" w:space="0"/>
            </w:tcBorders>
            <w:vAlign w:val="center"/>
          </w:tcPr>
          <w:p>
            <w:pPr>
              <w:pStyle w:val="94"/>
              <w:rPr>
                <w:rFonts w:ascii="Times New Roman"/>
                <w:color w:val="000000" w:themeColor="text1"/>
                <w:sz w:val="18"/>
                <w:highlight w:val="none"/>
              </w:rPr>
            </w:pPr>
            <w:r>
              <w:rPr>
                <w:rFonts w:ascii="Times New Roman"/>
                <w:color w:val="000000" w:themeColor="text1"/>
                <w:sz w:val="18"/>
                <w:highlight w:val="none"/>
              </w:rPr>
              <w:t>ADMS</w:t>
            </w:r>
          </w:p>
          <w:p>
            <w:pPr>
              <w:pStyle w:val="94"/>
              <w:rPr>
                <w:rFonts w:ascii="仿宋" w:hAnsi="仿宋"/>
                <w:color w:val="000000" w:themeColor="text1"/>
                <w:sz w:val="18"/>
                <w:highlight w:val="none"/>
              </w:rPr>
            </w:pPr>
            <w:r>
              <w:rPr>
                <w:rFonts w:ascii="仿宋" w:hAnsi="仿宋"/>
                <w:color w:val="000000" w:themeColor="text1"/>
                <w:sz w:val="18"/>
                <w:highlight w:val="none"/>
              </w:rPr>
              <w:t>□</w:t>
            </w:r>
          </w:p>
        </w:tc>
        <w:tc>
          <w:tcPr>
            <w:tcW w:w="1116" w:type="dxa"/>
            <w:gridSpan w:val="4"/>
            <w:tcBorders>
              <w:top w:val="single" w:color="000000" w:sz="6" w:space="0"/>
              <w:left w:val="single" w:color="000000" w:sz="6" w:space="0"/>
              <w:bottom w:val="single" w:color="000000" w:sz="6" w:space="0"/>
              <w:right w:val="single" w:color="000000" w:sz="6" w:space="0"/>
            </w:tcBorders>
            <w:vAlign w:val="center"/>
          </w:tcPr>
          <w:p>
            <w:pPr>
              <w:pStyle w:val="94"/>
              <w:rPr>
                <w:rFonts w:ascii="Times New Roman"/>
                <w:color w:val="000000" w:themeColor="text1"/>
                <w:sz w:val="18"/>
                <w:highlight w:val="none"/>
              </w:rPr>
            </w:pPr>
            <w:r>
              <w:rPr>
                <w:rFonts w:ascii="Times New Roman"/>
                <w:color w:val="000000" w:themeColor="text1"/>
                <w:sz w:val="18"/>
                <w:highlight w:val="none"/>
              </w:rPr>
              <w:t>AUSTAL2000</w:t>
            </w:r>
          </w:p>
          <w:p>
            <w:pPr>
              <w:pStyle w:val="94"/>
              <w:rPr>
                <w:rFonts w:ascii="仿宋" w:hAnsi="仿宋"/>
                <w:color w:val="000000" w:themeColor="text1"/>
                <w:sz w:val="18"/>
                <w:highlight w:val="none"/>
              </w:rPr>
            </w:pPr>
            <w:r>
              <w:rPr>
                <w:rFonts w:ascii="仿宋" w:hAnsi="仿宋"/>
                <w:color w:val="000000" w:themeColor="text1"/>
                <w:sz w:val="18"/>
                <w:highlight w:val="none"/>
              </w:rPr>
              <w:t>□</w:t>
            </w:r>
          </w:p>
        </w:tc>
        <w:tc>
          <w:tcPr>
            <w:tcW w:w="1090" w:type="dxa"/>
            <w:gridSpan w:val="3"/>
            <w:tcBorders>
              <w:top w:val="single" w:color="000000" w:sz="6" w:space="0"/>
              <w:left w:val="single" w:color="000000" w:sz="6" w:space="0"/>
              <w:bottom w:val="single" w:color="000000" w:sz="6" w:space="0"/>
              <w:right w:val="single" w:color="000000" w:sz="6" w:space="0"/>
            </w:tcBorders>
            <w:vAlign w:val="center"/>
          </w:tcPr>
          <w:p>
            <w:pPr>
              <w:pStyle w:val="94"/>
              <w:rPr>
                <w:rFonts w:ascii="Times New Roman"/>
                <w:color w:val="000000" w:themeColor="text1"/>
                <w:sz w:val="18"/>
                <w:highlight w:val="none"/>
              </w:rPr>
            </w:pPr>
            <w:r>
              <w:rPr>
                <w:rFonts w:ascii="Times New Roman"/>
                <w:color w:val="000000" w:themeColor="text1"/>
                <w:sz w:val="18"/>
                <w:highlight w:val="none"/>
              </w:rPr>
              <w:t>EDMS/AEDT</w:t>
            </w:r>
          </w:p>
          <w:p>
            <w:pPr>
              <w:pStyle w:val="94"/>
              <w:rPr>
                <w:rFonts w:ascii="仿宋" w:hAnsi="仿宋"/>
                <w:color w:val="000000" w:themeColor="text1"/>
                <w:sz w:val="18"/>
                <w:highlight w:val="none"/>
              </w:rPr>
            </w:pPr>
            <w:r>
              <w:rPr>
                <w:rFonts w:ascii="仿宋" w:hAnsi="仿宋"/>
                <w:color w:val="000000" w:themeColor="text1"/>
                <w:sz w:val="18"/>
                <w:highlight w:val="none"/>
              </w:rPr>
              <w:t>□</w:t>
            </w:r>
          </w:p>
        </w:tc>
        <w:tc>
          <w:tcPr>
            <w:tcW w:w="842" w:type="dxa"/>
            <w:gridSpan w:val="2"/>
            <w:tcBorders>
              <w:top w:val="single" w:color="000000" w:sz="6" w:space="0"/>
              <w:left w:val="single" w:color="000000" w:sz="6" w:space="0"/>
              <w:bottom w:val="single" w:color="000000" w:sz="6" w:space="0"/>
              <w:right w:val="single" w:color="000000" w:sz="6" w:space="0"/>
            </w:tcBorders>
            <w:vAlign w:val="center"/>
          </w:tcPr>
          <w:p>
            <w:pPr>
              <w:pStyle w:val="94"/>
              <w:rPr>
                <w:rFonts w:ascii="Times New Roman"/>
                <w:color w:val="000000" w:themeColor="text1"/>
                <w:sz w:val="18"/>
                <w:highlight w:val="none"/>
              </w:rPr>
            </w:pPr>
            <w:r>
              <w:rPr>
                <w:rFonts w:ascii="Times New Roman"/>
                <w:color w:val="000000" w:themeColor="text1"/>
                <w:sz w:val="18"/>
                <w:highlight w:val="none"/>
              </w:rPr>
              <w:t>CALPUFF</w:t>
            </w:r>
          </w:p>
          <w:p>
            <w:pPr>
              <w:pStyle w:val="94"/>
              <w:rPr>
                <w:rFonts w:ascii="仿宋" w:hAnsi="仿宋"/>
                <w:color w:val="000000" w:themeColor="text1"/>
                <w:sz w:val="18"/>
                <w:highlight w:val="none"/>
              </w:rPr>
            </w:pPr>
            <w:r>
              <w:rPr>
                <w:rFonts w:ascii="仿宋" w:hAnsi="仿宋"/>
                <w:color w:val="000000" w:themeColor="text1"/>
                <w:sz w:val="18"/>
                <w:highlight w:val="none"/>
              </w:rPr>
              <w:t>□</w:t>
            </w:r>
          </w:p>
        </w:tc>
        <w:tc>
          <w:tcPr>
            <w:tcW w:w="959" w:type="dxa"/>
            <w:gridSpan w:val="2"/>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网格模型</w:t>
            </w:r>
          </w:p>
          <w:p>
            <w:pPr>
              <w:pStyle w:val="94"/>
              <w:rPr>
                <w:rFonts w:ascii="仿宋" w:hAnsi="仿宋"/>
                <w:color w:val="000000" w:themeColor="text1"/>
                <w:sz w:val="18"/>
                <w:highlight w:val="none"/>
              </w:rPr>
            </w:pPr>
            <w:r>
              <w:rPr>
                <w:rFonts w:ascii="仿宋" w:hAnsi="仿宋"/>
                <w:color w:val="000000" w:themeColor="text1"/>
                <w:sz w:val="18"/>
                <w:highlight w:val="none"/>
              </w:rPr>
              <w:t>□</w:t>
            </w:r>
          </w:p>
        </w:tc>
        <w:tc>
          <w:tcPr>
            <w:tcW w:w="759" w:type="dxa"/>
            <w:tcBorders>
              <w:top w:val="single" w:color="000000" w:sz="6" w:space="0"/>
              <w:left w:val="single" w:color="000000" w:sz="6" w:space="0"/>
              <w:bottom w:val="single" w:color="000000" w:sz="6" w:space="0"/>
            </w:tcBorders>
            <w:vAlign w:val="center"/>
          </w:tcPr>
          <w:p>
            <w:pPr>
              <w:pStyle w:val="94"/>
              <w:rPr>
                <w:color w:val="000000" w:themeColor="text1"/>
                <w:sz w:val="18"/>
                <w:highlight w:val="none"/>
              </w:rPr>
            </w:pPr>
            <w:r>
              <w:rPr>
                <w:color w:val="000000" w:themeColor="text1"/>
                <w:sz w:val="18"/>
                <w:highlight w:val="none"/>
              </w:rPr>
              <w:t>其他</w:t>
            </w:r>
          </w:p>
          <w:p>
            <w:pPr>
              <w:pStyle w:val="94"/>
              <w:rPr>
                <w:rFonts w:ascii="仿宋" w:hAnsi="仿宋"/>
                <w:color w:val="000000" w:themeColor="text1"/>
                <w:sz w:val="18"/>
                <w:highlight w:val="none"/>
              </w:rPr>
            </w:pPr>
            <w:r>
              <w:rPr>
                <w:rFonts w:ascii="仿宋" w:hAnsi="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0"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预测范围</w:t>
            </w:r>
          </w:p>
        </w:tc>
        <w:tc>
          <w:tcPr>
            <w:tcW w:w="1946" w:type="dxa"/>
            <w:gridSpan w:val="4"/>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边长</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50km</w:t>
            </w:r>
            <w:r>
              <w:rPr>
                <w:rFonts w:hint="eastAsia" w:ascii="仿宋" w:hAnsi="仿宋" w:eastAsia="仿宋"/>
                <w:color w:val="000000" w:themeColor="text1"/>
                <w:sz w:val="18"/>
                <w:highlight w:val="none"/>
              </w:rPr>
              <w:t>□</w:t>
            </w:r>
          </w:p>
        </w:tc>
        <w:tc>
          <w:tcPr>
            <w:tcW w:w="3048" w:type="dxa"/>
            <w:gridSpan w:val="9"/>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边长</w:t>
            </w:r>
            <w:r>
              <w:rPr>
                <w:rFonts w:ascii="Times New Roman" w:hAnsi="Times New Roman" w:eastAsia="Times New Roman"/>
                <w:color w:val="000000" w:themeColor="text1"/>
                <w:sz w:val="18"/>
                <w:highlight w:val="none"/>
              </w:rPr>
              <w:t>5</w:t>
            </w:r>
            <w:r>
              <w:rPr>
                <w:color w:val="000000" w:themeColor="text1"/>
                <w:sz w:val="18"/>
                <w:highlight w:val="none"/>
              </w:rPr>
              <w:t>～</w:t>
            </w:r>
            <w:r>
              <w:rPr>
                <w:rFonts w:ascii="Times New Roman" w:hAnsi="Times New Roman" w:eastAsia="Times New Roman"/>
                <w:color w:val="000000" w:themeColor="text1"/>
                <w:sz w:val="18"/>
                <w:highlight w:val="none"/>
              </w:rPr>
              <w:t xml:space="preserve">50km </w:t>
            </w:r>
            <w:r>
              <w:rPr>
                <w:rFonts w:hint="eastAsia" w:ascii="仿宋" w:hAnsi="仿宋" w:eastAsia="仿宋"/>
                <w:color w:val="000000" w:themeColor="text1"/>
                <w:sz w:val="18"/>
                <w:highlight w:val="none"/>
              </w:rPr>
              <w:t>□</w:t>
            </w:r>
          </w:p>
        </w:tc>
        <w:tc>
          <w:tcPr>
            <w:tcW w:w="1718" w:type="dxa"/>
            <w:gridSpan w:val="3"/>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边长</w:t>
            </w:r>
            <w:r>
              <w:rPr>
                <w:rFonts w:ascii="Times New Roman" w:hAnsi="Times New Roman" w:eastAsia="Times New Roman"/>
                <w:color w:val="000000" w:themeColor="text1"/>
                <w:sz w:val="18"/>
                <w:highlight w:val="none"/>
              </w:rPr>
              <w:t>=5km</w:t>
            </w:r>
            <w:r>
              <w:rPr>
                <w:rFonts w:hint="eastAsia" w:ascii="仿宋" w:hAnsi="仿宋" w:eastAsia="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预测因子</w:t>
            </w:r>
          </w:p>
        </w:tc>
        <w:tc>
          <w:tcPr>
            <w:tcW w:w="3714" w:type="dxa"/>
            <w:gridSpan w:val="10"/>
            <w:tcBorders>
              <w:top w:val="single" w:color="000000" w:sz="6" w:space="0"/>
              <w:left w:val="single" w:color="000000" w:sz="6" w:space="0"/>
              <w:bottom w:val="single" w:color="000000" w:sz="6" w:space="0"/>
              <w:right w:val="single" w:color="000000" w:sz="6" w:space="0"/>
            </w:tcBorders>
            <w:shd w:val="clear" w:color="auto" w:fill="auto"/>
            <w:vAlign w:val="center"/>
          </w:tcPr>
          <w:p>
            <w:pPr>
              <w:pStyle w:val="94"/>
              <w:tabs>
                <w:tab w:val="left" w:pos="2989"/>
              </w:tabs>
              <w:rPr>
                <w:rFonts w:ascii="Times New Roman" w:eastAsia="Times New Roman"/>
                <w:color w:val="000000" w:themeColor="text1"/>
                <w:sz w:val="18"/>
                <w:highlight w:val="none"/>
              </w:rPr>
            </w:pPr>
            <w:r>
              <w:rPr>
                <w:color w:val="000000" w:themeColor="text1"/>
                <w:sz w:val="18"/>
                <w:highlight w:val="none"/>
              </w:rPr>
              <w:t>预测因子</w:t>
            </w:r>
            <w:r>
              <w:rPr>
                <w:rFonts w:ascii="Times New Roman" w:eastAsia="Times New Roman"/>
                <w:color w:val="000000" w:themeColor="text1"/>
                <w:sz w:val="18"/>
                <w:highlight w:val="none"/>
              </w:rPr>
              <w:t>(</w:t>
            </w:r>
            <w:r>
              <w:rPr>
                <w:rFonts w:hint="eastAsia" w:ascii="Times New Roman"/>
                <w:color w:val="000000" w:themeColor="text1"/>
                <w:sz w:val="18"/>
                <w:highlight w:val="none"/>
                <w:lang w:val="en-US"/>
              </w:rPr>
              <w:t>无</w:t>
            </w:r>
            <w:r>
              <w:rPr>
                <w:rFonts w:ascii="Times New Roman" w:eastAsia="Times New Roman"/>
                <w:color w:val="000000" w:themeColor="text1"/>
                <w:sz w:val="18"/>
                <w:highlight w:val="none"/>
              </w:rPr>
              <w:t>)</w:t>
            </w:r>
          </w:p>
        </w:tc>
        <w:tc>
          <w:tcPr>
            <w:tcW w:w="2998" w:type="dxa"/>
            <w:gridSpan w:val="6"/>
            <w:tcBorders>
              <w:top w:val="single" w:color="000000" w:sz="6" w:space="0"/>
              <w:left w:val="single" w:color="000000" w:sz="6" w:space="0"/>
              <w:bottom w:val="single" w:color="000000" w:sz="6" w:space="0"/>
            </w:tcBorders>
            <w:shd w:val="clear" w:color="auto" w:fill="auto"/>
            <w:vAlign w:val="center"/>
          </w:tcPr>
          <w:p>
            <w:pPr>
              <w:pStyle w:val="94"/>
              <w:rPr>
                <w:rFonts w:ascii="仿宋" w:hAnsi="仿宋" w:eastAsia="仿宋"/>
                <w:color w:val="000000" w:themeColor="text1"/>
                <w:sz w:val="18"/>
                <w:highlight w:val="none"/>
              </w:rPr>
            </w:pPr>
            <w:r>
              <w:rPr>
                <w:color w:val="000000" w:themeColor="text1"/>
                <w:position w:val="1"/>
                <w:sz w:val="18"/>
                <w:highlight w:val="none"/>
              </w:rPr>
              <w:t>包括二次</w:t>
            </w:r>
            <w:r>
              <w:rPr>
                <w:rFonts w:ascii="Times New Roman" w:hAnsi="Times New Roman" w:eastAsia="Times New Roman"/>
                <w:color w:val="000000" w:themeColor="text1"/>
                <w:position w:val="1"/>
                <w:sz w:val="18"/>
                <w:highlight w:val="none"/>
              </w:rPr>
              <w:t>PM</w:t>
            </w:r>
            <w:r>
              <w:rPr>
                <w:rFonts w:ascii="Times New Roman" w:hAnsi="Times New Roman" w:eastAsia="Times New Roman"/>
                <w:color w:val="000000" w:themeColor="text1"/>
                <w:position w:val="1"/>
                <w:sz w:val="18"/>
                <w:highlight w:val="none"/>
                <w:vertAlign w:val="subscript"/>
              </w:rPr>
              <w:t>2.5</w:t>
            </w:r>
            <w:r>
              <w:rPr>
                <w:rFonts w:hint="eastAsia" w:ascii="仿宋" w:hAnsi="仿宋" w:eastAsia="仿宋"/>
                <w:color w:val="000000" w:themeColor="text1"/>
                <w:position w:val="1"/>
                <w:sz w:val="18"/>
                <w:highlight w:val="none"/>
              </w:rPr>
              <w:t>□</w:t>
            </w:r>
          </w:p>
          <w:p>
            <w:pPr>
              <w:pStyle w:val="94"/>
              <w:rPr>
                <w:rFonts w:ascii="仿宋" w:hAnsi="仿宋" w:eastAsia="仿宋"/>
                <w:color w:val="000000" w:themeColor="text1"/>
                <w:sz w:val="18"/>
                <w:highlight w:val="none"/>
              </w:rPr>
            </w:pPr>
            <w:r>
              <w:rPr>
                <w:color w:val="000000" w:themeColor="text1"/>
                <w:position w:val="1"/>
                <w:sz w:val="18"/>
                <w:highlight w:val="none"/>
              </w:rPr>
              <w:t>不包括二次</w:t>
            </w:r>
            <w:r>
              <w:rPr>
                <w:rFonts w:ascii="Times New Roman" w:hAnsi="Times New Roman" w:eastAsia="Times New Roman"/>
                <w:color w:val="000000" w:themeColor="text1"/>
                <w:position w:val="1"/>
                <w:sz w:val="18"/>
                <w:highlight w:val="none"/>
              </w:rPr>
              <w:t>PM</w:t>
            </w:r>
            <w:r>
              <w:rPr>
                <w:rFonts w:ascii="Times New Roman" w:hAnsi="Times New Roman" w:eastAsia="Times New Roman"/>
                <w:color w:val="000000" w:themeColor="text1"/>
                <w:position w:val="1"/>
                <w:sz w:val="18"/>
                <w:highlight w:val="none"/>
                <w:vertAlign w:val="subscript"/>
              </w:rPr>
              <w:t>2.5</w:t>
            </w:r>
            <w:r>
              <w:rPr>
                <w:rFonts w:hint="eastAsia" w:ascii="仿宋" w:hAnsi="仿宋" w:eastAsia="仿宋"/>
                <w:color w:val="000000" w:themeColor="text1"/>
                <w:position w:val="1"/>
                <w:sz w:val="18"/>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正常排放短期浓度贡献值</w:t>
            </w:r>
          </w:p>
        </w:tc>
        <w:tc>
          <w:tcPr>
            <w:tcW w:w="3714" w:type="dxa"/>
            <w:gridSpan w:val="10"/>
            <w:tcBorders>
              <w:top w:val="single" w:color="000000" w:sz="6" w:space="0"/>
              <w:left w:val="single" w:color="000000" w:sz="6" w:space="0"/>
              <w:bottom w:val="single" w:color="000000" w:sz="6" w:space="0"/>
              <w:right w:val="single" w:color="000000" w:sz="6" w:space="0"/>
            </w:tcBorders>
            <w:shd w:val="clear" w:color="auto" w:fill="auto"/>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本项目</w:t>
            </w:r>
            <w:r>
              <w:rPr>
                <w:color w:val="000000" w:themeColor="text1"/>
                <w:sz w:val="18"/>
                <w:highlight w:val="none"/>
              </w:rPr>
              <w:t>最大占标率</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100%</w:t>
            </w:r>
            <w:r>
              <w:rPr>
                <w:rFonts w:hint="eastAsia" w:ascii="仿宋" w:hAnsi="仿宋" w:eastAsia="仿宋"/>
                <w:color w:val="000000" w:themeColor="text1"/>
                <w:sz w:val="18"/>
                <w:highlight w:val="none"/>
              </w:rPr>
              <w:sym w:font="Wingdings 2" w:char="0052"/>
            </w:r>
          </w:p>
        </w:tc>
        <w:tc>
          <w:tcPr>
            <w:tcW w:w="2998" w:type="dxa"/>
            <w:gridSpan w:val="6"/>
            <w:tcBorders>
              <w:top w:val="single" w:color="000000" w:sz="6" w:space="0"/>
              <w:left w:val="single" w:color="000000" w:sz="6" w:space="0"/>
              <w:bottom w:val="single" w:color="000000" w:sz="6" w:space="0"/>
            </w:tcBorders>
            <w:shd w:val="clear" w:color="auto" w:fill="auto"/>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本项目</w:t>
            </w:r>
            <w:r>
              <w:rPr>
                <w:color w:val="000000" w:themeColor="text1"/>
                <w:sz w:val="18"/>
                <w:highlight w:val="none"/>
              </w:rPr>
              <w:t>最大占标率</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100%</w:t>
            </w:r>
            <w:r>
              <w:rPr>
                <w:rFonts w:hint="eastAsia" w:ascii="仿宋" w:hAnsi="仿宋" w:eastAsia="仿宋"/>
                <w:color w:val="000000" w:themeColor="text1"/>
                <w:sz w:val="18"/>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vMerge w:val="restart"/>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正常排放年均浓度贡献值</w:t>
            </w:r>
          </w:p>
        </w:tc>
        <w:tc>
          <w:tcPr>
            <w:tcW w:w="1025" w:type="dxa"/>
            <w:tcBorders>
              <w:top w:val="single" w:color="000000" w:sz="6" w:space="0"/>
              <w:left w:val="single" w:color="000000" w:sz="6" w:space="0"/>
              <w:bottom w:val="single" w:color="000000" w:sz="6" w:space="0"/>
              <w:right w:val="single" w:color="000000" w:sz="4" w:space="0"/>
            </w:tcBorders>
            <w:shd w:val="clear" w:color="auto" w:fill="auto"/>
            <w:vAlign w:val="center"/>
          </w:tcPr>
          <w:p>
            <w:pPr>
              <w:pStyle w:val="94"/>
              <w:rPr>
                <w:color w:val="000000" w:themeColor="text1"/>
                <w:sz w:val="18"/>
                <w:highlight w:val="none"/>
              </w:rPr>
            </w:pPr>
            <w:r>
              <w:rPr>
                <w:color w:val="000000" w:themeColor="text1"/>
                <w:sz w:val="18"/>
                <w:highlight w:val="none"/>
              </w:rPr>
              <w:t>一类区</w:t>
            </w:r>
          </w:p>
        </w:tc>
        <w:tc>
          <w:tcPr>
            <w:tcW w:w="2689" w:type="dxa"/>
            <w:gridSpan w:val="9"/>
            <w:tcBorders>
              <w:top w:val="single" w:color="000000" w:sz="6" w:space="0"/>
              <w:left w:val="single" w:color="000000" w:sz="4" w:space="0"/>
              <w:bottom w:val="single" w:color="000000" w:sz="6" w:space="0"/>
              <w:right w:val="single" w:color="000000" w:sz="6" w:space="0"/>
            </w:tcBorders>
            <w:shd w:val="clear" w:color="auto" w:fill="auto"/>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本项目</w:t>
            </w:r>
            <w:r>
              <w:rPr>
                <w:color w:val="000000" w:themeColor="text1"/>
                <w:sz w:val="18"/>
                <w:highlight w:val="none"/>
              </w:rPr>
              <w:t>最大占标率</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10%</w:t>
            </w:r>
            <w:r>
              <w:rPr>
                <w:rFonts w:hint="eastAsia" w:ascii="仿宋" w:hAnsi="仿宋" w:eastAsia="仿宋"/>
                <w:color w:val="000000" w:themeColor="text1"/>
                <w:sz w:val="18"/>
                <w:highlight w:val="none"/>
              </w:rPr>
              <w:t>□</w:t>
            </w:r>
          </w:p>
        </w:tc>
        <w:tc>
          <w:tcPr>
            <w:tcW w:w="2998" w:type="dxa"/>
            <w:gridSpan w:val="6"/>
            <w:tcBorders>
              <w:top w:val="single" w:color="000000" w:sz="6" w:space="0"/>
              <w:left w:val="single" w:color="000000" w:sz="6" w:space="0"/>
              <w:bottom w:val="single" w:color="000000" w:sz="6" w:space="0"/>
            </w:tcBorders>
            <w:shd w:val="clear" w:color="auto" w:fill="auto"/>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本项目</w:t>
            </w:r>
            <w:r>
              <w:rPr>
                <w:color w:val="000000" w:themeColor="text1"/>
                <w:sz w:val="18"/>
                <w:highlight w:val="none"/>
              </w:rPr>
              <w:t>最大标率</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10%</w:t>
            </w:r>
            <w:r>
              <w:rPr>
                <w:rFonts w:hint="eastAsia" w:ascii="仿宋" w:hAnsi="仿宋" w:eastAsia="仿宋"/>
                <w:color w:val="000000" w:themeColor="text1"/>
                <w:sz w:val="18"/>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12"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vMerge w:val="continue"/>
            <w:tcBorders>
              <w:top w:val="nil"/>
              <w:left w:val="single" w:color="000000" w:sz="6" w:space="0"/>
              <w:bottom w:val="single" w:color="000000" w:sz="6" w:space="0"/>
              <w:right w:val="single" w:color="000000" w:sz="6" w:space="0"/>
            </w:tcBorders>
            <w:vAlign w:val="center"/>
          </w:tcPr>
          <w:p>
            <w:pPr>
              <w:jc w:val="center"/>
              <w:rPr>
                <w:color w:val="000000" w:themeColor="text1"/>
                <w:sz w:val="2"/>
                <w:szCs w:val="2"/>
                <w:highlight w:val="none"/>
              </w:rPr>
            </w:pPr>
          </w:p>
        </w:tc>
        <w:tc>
          <w:tcPr>
            <w:tcW w:w="1025" w:type="dxa"/>
            <w:tcBorders>
              <w:top w:val="single" w:color="000000" w:sz="6" w:space="0"/>
              <w:left w:val="single" w:color="000000" w:sz="6" w:space="0"/>
              <w:bottom w:val="single" w:color="000000" w:sz="6" w:space="0"/>
              <w:right w:val="single" w:color="000000" w:sz="4" w:space="0"/>
            </w:tcBorders>
            <w:shd w:val="clear" w:color="auto" w:fill="auto"/>
            <w:vAlign w:val="center"/>
          </w:tcPr>
          <w:p>
            <w:pPr>
              <w:pStyle w:val="94"/>
              <w:rPr>
                <w:color w:val="000000" w:themeColor="text1"/>
                <w:sz w:val="18"/>
                <w:highlight w:val="none"/>
              </w:rPr>
            </w:pPr>
            <w:r>
              <w:rPr>
                <w:color w:val="000000" w:themeColor="text1"/>
                <w:sz w:val="18"/>
                <w:highlight w:val="none"/>
              </w:rPr>
              <w:t>二类区</w:t>
            </w:r>
          </w:p>
        </w:tc>
        <w:tc>
          <w:tcPr>
            <w:tcW w:w="2689" w:type="dxa"/>
            <w:gridSpan w:val="9"/>
            <w:tcBorders>
              <w:top w:val="single" w:color="000000" w:sz="6" w:space="0"/>
              <w:left w:val="single" w:color="000000" w:sz="4" w:space="0"/>
              <w:bottom w:val="single" w:color="000000" w:sz="6" w:space="0"/>
              <w:right w:val="single" w:color="000000" w:sz="6" w:space="0"/>
            </w:tcBorders>
            <w:shd w:val="clear" w:color="auto" w:fill="auto"/>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本项目</w:t>
            </w:r>
            <w:r>
              <w:rPr>
                <w:color w:val="000000" w:themeColor="text1"/>
                <w:sz w:val="18"/>
                <w:highlight w:val="none"/>
              </w:rPr>
              <w:t>最大占标率</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30%</w:t>
            </w:r>
            <w:r>
              <w:rPr>
                <w:rFonts w:hint="eastAsia" w:ascii="仿宋" w:hAnsi="仿宋" w:eastAsia="仿宋"/>
                <w:color w:val="000000" w:themeColor="text1"/>
                <w:sz w:val="18"/>
                <w:highlight w:val="none"/>
              </w:rPr>
              <w:sym w:font="Wingdings 2" w:char="0052"/>
            </w:r>
          </w:p>
        </w:tc>
        <w:tc>
          <w:tcPr>
            <w:tcW w:w="2998" w:type="dxa"/>
            <w:gridSpan w:val="6"/>
            <w:tcBorders>
              <w:top w:val="single" w:color="000000" w:sz="6" w:space="0"/>
              <w:left w:val="single" w:color="000000" w:sz="6" w:space="0"/>
              <w:bottom w:val="single" w:color="000000" w:sz="6" w:space="0"/>
            </w:tcBorders>
            <w:shd w:val="clear" w:color="auto" w:fill="auto"/>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本项目</w:t>
            </w:r>
            <w:r>
              <w:rPr>
                <w:color w:val="000000" w:themeColor="text1"/>
                <w:sz w:val="18"/>
                <w:highlight w:val="none"/>
              </w:rPr>
              <w:t>最大标率</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30%</w:t>
            </w:r>
            <w:r>
              <w:rPr>
                <w:rFonts w:hint="eastAsia" w:ascii="仿宋" w:hAnsi="仿宋" w:eastAsia="仿宋"/>
                <w:color w:val="000000" w:themeColor="text1"/>
                <w:sz w:val="18"/>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非正常排放</w:t>
            </w:r>
            <w:r>
              <w:rPr>
                <w:rFonts w:ascii="Times New Roman" w:eastAsia="Times New Roman"/>
                <w:color w:val="000000" w:themeColor="text1"/>
                <w:sz w:val="18"/>
                <w:highlight w:val="none"/>
              </w:rPr>
              <w:t>1h</w:t>
            </w:r>
            <w:r>
              <w:rPr>
                <w:color w:val="000000" w:themeColor="text1"/>
                <w:sz w:val="18"/>
                <w:highlight w:val="none"/>
              </w:rPr>
              <w:t>浓度</w:t>
            </w:r>
          </w:p>
          <w:p>
            <w:pPr>
              <w:pStyle w:val="94"/>
              <w:rPr>
                <w:color w:val="000000" w:themeColor="text1"/>
                <w:sz w:val="18"/>
                <w:highlight w:val="none"/>
              </w:rPr>
            </w:pPr>
            <w:r>
              <w:rPr>
                <w:color w:val="000000" w:themeColor="text1"/>
                <w:sz w:val="18"/>
                <w:highlight w:val="none"/>
              </w:rPr>
              <w:t>贡献值</w:t>
            </w:r>
          </w:p>
        </w:tc>
        <w:tc>
          <w:tcPr>
            <w:tcW w:w="1539" w:type="dxa"/>
            <w:gridSpan w:val="3"/>
            <w:tcBorders>
              <w:top w:val="single" w:color="000000" w:sz="6" w:space="0"/>
              <w:left w:val="single" w:color="000000" w:sz="6" w:space="0"/>
              <w:bottom w:val="single" w:color="000000" w:sz="6" w:space="0"/>
              <w:right w:val="single" w:color="000000" w:sz="4" w:space="0"/>
            </w:tcBorders>
            <w:shd w:val="clear" w:color="auto" w:fill="auto"/>
            <w:vAlign w:val="center"/>
          </w:tcPr>
          <w:p>
            <w:pPr>
              <w:pStyle w:val="94"/>
              <w:rPr>
                <w:color w:val="000000" w:themeColor="text1"/>
                <w:sz w:val="18"/>
                <w:highlight w:val="none"/>
              </w:rPr>
            </w:pPr>
            <w:r>
              <w:rPr>
                <w:color w:val="000000" w:themeColor="text1"/>
                <w:sz w:val="18"/>
                <w:highlight w:val="none"/>
              </w:rPr>
              <w:t>非正常持续时长</w:t>
            </w:r>
          </w:p>
          <w:p>
            <w:pPr>
              <w:pStyle w:val="94"/>
              <w:rPr>
                <w:rFonts w:ascii="Times New Roman" w:eastAsia="Times New Roman"/>
                <w:color w:val="000000" w:themeColor="text1"/>
                <w:sz w:val="18"/>
                <w:highlight w:val="none"/>
              </w:rPr>
            </w:pPr>
            <w:r>
              <w:rPr>
                <w:color w:val="000000" w:themeColor="text1"/>
                <w:sz w:val="18"/>
                <w:highlight w:val="none"/>
              </w:rPr>
              <w:t>（）</w:t>
            </w:r>
            <w:r>
              <w:rPr>
                <w:rFonts w:ascii="Times New Roman" w:eastAsia="Times New Roman"/>
                <w:color w:val="000000" w:themeColor="text1"/>
                <w:sz w:val="18"/>
                <w:highlight w:val="none"/>
              </w:rPr>
              <w:t>h</w:t>
            </w:r>
          </w:p>
        </w:tc>
        <w:tc>
          <w:tcPr>
            <w:tcW w:w="2804" w:type="dxa"/>
            <w:gridSpan w:val="9"/>
            <w:tcBorders>
              <w:top w:val="single" w:color="000000" w:sz="6" w:space="0"/>
              <w:left w:val="single" w:color="000000" w:sz="4" w:space="0"/>
              <w:bottom w:val="single" w:color="000000" w:sz="6" w:space="0"/>
              <w:right w:val="single" w:color="000000" w:sz="6" w:space="0"/>
            </w:tcBorders>
            <w:shd w:val="clear" w:color="auto" w:fill="auto"/>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非正常</w:t>
            </w:r>
            <w:r>
              <w:rPr>
                <w:color w:val="000000" w:themeColor="text1"/>
                <w:sz w:val="18"/>
                <w:highlight w:val="none"/>
              </w:rPr>
              <w:t>占标率</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100%</w:t>
            </w:r>
            <w:r>
              <w:rPr>
                <w:rFonts w:hint="eastAsia" w:ascii="仿宋" w:hAnsi="仿宋" w:eastAsia="仿宋"/>
                <w:color w:val="000000" w:themeColor="text1"/>
                <w:sz w:val="18"/>
                <w:highlight w:val="none"/>
              </w:rPr>
              <w:sym w:font="Wingdings 2" w:char="0052"/>
            </w:r>
          </w:p>
        </w:tc>
        <w:tc>
          <w:tcPr>
            <w:tcW w:w="2369" w:type="dxa"/>
            <w:gridSpan w:val="4"/>
            <w:tcBorders>
              <w:top w:val="single" w:color="000000" w:sz="6" w:space="0"/>
              <w:left w:val="single" w:color="000000" w:sz="6" w:space="0"/>
              <w:bottom w:val="single" w:color="000000" w:sz="6" w:space="0"/>
            </w:tcBorders>
            <w:shd w:val="clear" w:color="auto" w:fill="auto"/>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非正常</w:t>
            </w:r>
            <w:r>
              <w:rPr>
                <w:color w:val="000000" w:themeColor="text1"/>
                <w:sz w:val="18"/>
                <w:highlight w:val="none"/>
              </w:rPr>
              <w:t>占标率</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100%</w:t>
            </w:r>
            <w:r>
              <w:rPr>
                <w:rFonts w:hint="eastAsia" w:ascii="仿宋" w:hAnsi="仿宋" w:eastAsia="仿宋"/>
                <w:color w:val="000000" w:themeColor="text1"/>
                <w:sz w:val="18"/>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保证率日平均浓度和年平均浓度叠加值</w:t>
            </w:r>
          </w:p>
        </w:tc>
        <w:tc>
          <w:tcPr>
            <w:tcW w:w="3173" w:type="dxa"/>
            <w:gridSpan w:val="9"/>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叠加</w:t>
            </w:r>
            <w:r>
              <w:rPr>
                <w:color w:val="000000" w:themeColor="text1"/>
                <w:sz w:val="18"/>
                <w:highlight w:val="none"/>
              </w:rPr>
              <w:t>达标</w:t>
            </w:r>
            <w:r>
              <w:rPr>
                <w:rFonts w:hint="eastAsia" w:ascii="仿宋" w:hAnsi="仿宋" w:eastAsia="仿宋"/>
                <w:color w:val="000000" w:themeColor="text1"/>
                <w:sz w:val="18"/>
                <w:highlight w:val="none"/>
              </w:rPr>
              <w:sym w:font="Wingdings 2" w:char="00A3"/>
            </w:r>
          </w:p>
        </w:tc>
        <w:tc>
          <w:tcPr>
            <w:tcW w:w="3539" w:type="dxa"/>
            <w:gridSpan w:val="7"/>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rFonts w:ascii="Cambria Math" w:hAnsi="Cambria Math" w:eastAsia="Cambria Math"/>
                <w:color w:val="000000" w:themeColor="text1"/>
                <w:sz w:val="18"/>
                <w:highlight w:val="none"/>
              </w:rPr>
              <w:t>𝐶</w:t>
            </w:r>
            <w:r>
              <w:rPr>
                <w:color w:val="000000" w:themeColor="text1"/>
                <w:position w:val="-5"/>
                <w:sz w:val="13"/>
                <w:highlight w:val="none"/>
              </w:rPr>
              <w:t>叠加</w:t>
            </w:r>
            <w:r>
              <w:rPr>
                <w:color w:val="000000" w:themeColor="text1"/>
                <w:sz w:val="18"/>
                <w:highlight w:val="none"/>
              </w:rPr>
              <w:t>不达标</w:t>
            </w:r>
            <w:r>
              <w:rPr>
                <w:rFonts w:hint="eastAsia" w:ascii="仿宋" w:hAnsi="仿宋" w:eastAsia="仿宋"/>
                <w:color w:val="000000" w:themeColor="text1"/>
                <w:sz w:val="18"/>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区域环境质量的整体变化情况</w:t>
            </w:r>
          </w:p>
        </w:tc>
        <w:tc>
          <w:tcPr>
            <w:tcW w:w="3173" w:type="dxa"/>
            <w:gridSpan w:val="9"/>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color w:val="000000" w:themeColor="text1"/>
                <w:sz w:val="18"/>
                <w:highlight w:val="none"/>
              </w:rPr>
            </w:pPr>
            <w:r>
              <w:rPr>
                <w:rFonts w:ascii="Times New Roman" w:hAnsi="Times New Roman"/>
                <w:i/>
                <w:color w:val="000000" w:themeColor="text1"/>
                <w:sz w:val="18"/>
                <w:highlight w:val="none"/>
              </w:rPr>
              <w:t>k</w:t>
            </w:r>
            <w:r>
              <w:rPr>
                <w:rFonts w:ascii="仿宋" w:hAnsi="仿宋"/>
                <w:color w:val="000000" w:themeColor="text1"/>
                <w:sz w:val="18"/>
                <w:highlight w:val="none"/>
              </w:rPr>
              <w:t>≤</w:t>
            </w:r>
            <w:r>
              <w:rPr>
                <w:rFonts w:ascii="Times New Roman" w:hAnsi="Times New Roman"/>
                <w:color w:val="000000" w:themeColor="text1"/>
                <w:sz w:val="18"/>
                <w:highlight w:val="none"/>
              </w:rPr>
              <w:t>-20%</w:t>
            </w:r>
            <w:r>
              <w:rPr>
                <w:rFonts w:ascii="仿宋" w:hAnsi="仿宋"/>
                <w:color w:val="000000" w:themeColor="text1"/>
                <w:sz w:val="18"/>
                <w:highlight w:val="none"/>
              </w:rPr>
              <w:sym w:font="Wingdings 2" w:char="0052"/>
            </w:r>
          </w:p>
        </w:tc>
        <w:tc>
          <w:tcPr>
            <w:tcW w:w="3539" w:type="dxa"/>
            <w:gridSpan w:val="7"/>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rFonts w:ascii="Times New Roman" w:hAnsi="Times New Roman" w:eastAsia="Times New Roman"/>
                <w:i/>
                <w:color w:val="000000" w:themeColor="text1"/>
                <w:sz w:val="18"/>
                <w:highlight w:val="none"/>
              </w:rPr>
              <w:t>k</w:t>
            </w:r>
            <w:r>
              <w:rPr>
                <w:rFonts w:hint="eastAsia" w:ascii="仿宋" w:hAnsi="仿宋" w:eastAsia="仿宋"/>
                <w:color w:val="000000" w:themeColor="text1"/>
                <w:sz w:val="18"/>
                <w:highlight w:val="none"/>
              </w:rPr>
              <w:t>＞</w:t>
            </w:r>
            <w:r>
              <w:rPr>
                <w:rFonts w:ascii="Times New Roman" w:hAnsi="Times New Roman" w:eastAsia="Times New Roman"/>
                <w:color w:val="000000" w:themeColor="text1"/>
                <w:sz w:val="18"/>
                <w:highlight w:val="none"/>
              </w:rPr>
              <w:t>-20%</w:t>
            </w:r>
            <w:r>
              <w:rPr>
                <w:rFonts w:hint="eastAsia" w:ascii="仿宋" w:hAnsi="仿宋" w:eastAsia="仿宋"/>
                <w:color w:val="000000" w:themeColor="text1"/>
                <w:sz w:val="18"/>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jc w:val="center"/>
        </w:trPr>
        <w:tc>
          <w:tcPr>
            <w:tcW w:w="1030" w:type="dxa"/>
            <w:vMerge w:val="restart"/>
            <w:tcBorders>
              <w:top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环境监测计划</w:t>
            </w: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污染源监测</w:t>
            </w:r>
          </w:p>
        </w:tc>
        <w:tc>
          <w:tcPr>
            <w:tcW w:w="2939" w:type="dxa"/>
            <w:gridSpan w:val="7"/>
            <w:tcBorders>
              <w:top w:val="single" w:color="000000" w:sz="6" w:space="0"/>
              <w:left w:val="single" w:color="000000" w:sz="6" w:space="0"/>
              <w:bottom w:val="single" w:color="000000" w:sz="6" w:space="0"/>
              <w:right w:val="single" w:color="000000" w:sz="6" w:space="0"/>
            </w:tcBorders>
            <w:vAlign w:val="center"/>
          </w:tcPr>
          <w:p>
            <w:pPr>
              <w:pStyle w:val="94"/>
              <w:tabs>
                <w:tab w:val="left" w:pos="2466"/>
              </w:tabs>
              <w:rPr>
                <w:color w:val="000000" w:themeColor="text1"/>
                <w:sz w:val="18"/>
                <w:highlight w:val="none"/>
              </w:rPr>
            </w:pPr>
            <w:r>
              <w:rPr>
                <w:color w:val="000000" w:themeColor="text1"/>
                <w:sz w:val="18"/>
                <w:highlight w:val="none"/>
              </w:rPr>
              <w:t>监测因子</w:t>
            </w:r>
            <w:r>
              <w:rPr>
                <w:color w:val="000000" w:themeColor="text1"/>
                <w:spacing w:val="-92"/>
                <w:sz w:val="18"/>
                <w:highlight w:val="none"/>
              </w:rPr>
              <w:t>：</w:t>
            </w:r>
            <w:r>
              <w:rPr>
                <w:color w:val="000000" w:themeColor="text1"/>
                <w:sz w:val="18"/>
                <w:highlight w:val="none"/>
              </w:rPr>
              <w:t>（）</w:t>
            </w:r>
          </w:p>
        </w:tc>
        <w:tc>
          <w:tcPr>
            <w:tcW w:w="2502" w:type="dxa"/>
            <w:gridSpan w:val="7"/>
            <w:tcBorders>
              <w:top w:val="single" w:color="000000" w:sz="6" w:space="0"/>
              <w:left w:val="single" w:color="000000" w:sz="6" w:space="0"/>
              <w:bottom w:val="single" w:color="000000" w:sz="6" w:space="0"/>
              <w:right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有组织废气监测</w:t>
            </w:r>
            <w:r>
              <w:rPr>
                <w:rFonts w:hint="eastAsia" w:ascii="仿宋" w:hAnsi="仿宋" w:eastAsia="仿宋"/>
                <w:color w:val="000000" w:themeColor="text1"/>
                <w:sz w:val="18"/>
                <w:highlight w:val="none"/>
              </w:rPr>
              <w:sym w:font="Wingdings 2" w:char="00A3"/>
            </w:r>
          </w:p>
          <w:p>
            <w:pPr>
              <w:pStyle w:val="94"/>
              <w:rPr>
                <w:rFonts w:ascii="仿宋" w:hAnsi="仿宋" w:eastAsia="仿宋"/>
                <w:color w:val="000000" w:themeColor="text1"/>
                <w:sz w:val="18"/>
                <w:highlight w:val="none"/>
              </w:rPr>
            </w:pPr>
            <w:r>
              <w:rPr>
                <w:color w:val="000000" w:themeColor="text1"/>
                <w:sz w:val="18"/>
                <w:highlight w:val="none"/>
              </w:rPr>
              <w:t>无组织废气监测</w:t>
            </w:r>
            <w:r>
              <w:rPr>
                <w:rFonts w:hint="eastAsia" w:ascii="仿宋" w:hAnsi="仿宋" w:eastAsia="仿宋"/>
                <w:color w:val="000000" w:themeColor="text1"/>
                <w:sz w:val="18"/>
                <w:highlight w:val="none"/>
              </w:rPr>
              <w:sym w:font="Wingdings 2" w:char="00A3"/>
            </w:r>
          </w:p>
        </w:tc>
        <w:tc>
          <w:tcPr>
            <w:tcW w:w="1271" w:type="dxa"/>
            <w:gridSpan w:val="2"/>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无监测</w:t>
            </w:r>
            <w:r>
              <w:rPr>
                <w:rFonts w:hint="eastAsia" w:ascii="仿宋" w:hAnsi="仿宋" w:eastAsia="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2"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环境质量监测</w:t>
            </w:r>
          </w:p>
        </w:tc>
        <w:tc>
          <w:tcPr>
            <w:tcW w:w="2939" w:type="dxa"/>
            <w:gridSpan w:val="7"/>
            <w:tcBorders>
              <w:top w:val="single" w:color="000000" w:sz="6" w:space="0"/>
              <w:left w:val="single" w:color="000000" w:sz="6" w:space="0"/>
              <w:bottom w:val="single" w:color="000000" w:sz="6" w:space="0"/>
              <w:right w:val="single" w:color="000000" w:sz="6" w:space="0"/>
            </w:tcBorders>
            <w:vAlign w:val="center"/>
          </w:tcPr>
          <w:p>
            <w:pPr>
              <w:pStyle w:val="94"/>
              <w:tabs>
                <w:tab w:val="left" w:pos="2466"/>
              </w:tabs>
              <w:rPr>
                <w:color w:val="000000" w:themeColor="text1"/>
                <w:sz w:val="18"/>
                <w:highlight w:val="none"/>
              </w:rPr>
            </w:pPr>
            <w:r>
              <w:rPr>
                <w:color w:val="000000" w:themeColor="text1"/>
                <w:sz w:val="18"/>
                <w:highlight w:val="none"/>
              </w:rPr>
              <w:t>监测因子</w:t>
            </w:r>
            <w:r>
              <w:rPr>
                <w:color w:val="000000" w:themeColor="text1"/>
                <w:spacing w:val="-92"/>
                <w:sz w:val="18"/>
                <w:highlight w:val="none"/>
              </w:rPr>
              <w:t>：</w:t>
            </w:r>
            <w:r>
              <w:rPr>
                <w:color w:val="000000" w:themeColor="text1"/>
                <w:sz w:val="18"/>
                <w:highlight w:val="none"/>
              </w:rPr>
              <w:t>（）</w:t>
            </w:r>
          </w:p>
        </w:tc>
        <w:tc>
          <w:tcPr>
            <w:tcW w:w="2502" w:type="dxa"/>
            <w:gridSpan w:val="7"/>
            <w:tcBorders>
              <w:top w:val="single" w:color="000000" w:sz="6" w:space="0"/>
              <w:left w:val="single" w:color="000000" w:sz="6" w:space="0"/>
              <w:bottom w:val="single" w:color="000000" w:sz="6" w:space="0"/>
              <w:right w:val="single" w:color="000000" w:sz="6" w:space="0"/>
            </w:tcBorders>
            <w:vAlign w:val="center"/>
          </w:tcPr>
          <w:p>
            <w:pPr>
              <w:pStyle w:val="94"/>
              <w:tabs>
                <w:tab w:val="left" w:pos="1928"/>
              </w:tabs>
              <w:rPr>
                <w:color w:val="000000" w:themeColor="text1"/>
                <w:sz w:val="18"/>
                <w:highlight w:val="none"/>
              </w:rPr>
            </w:pPr>
            <w:r>
              <w:rPr>
                <w:color w:val="000000" w:themeColor="text1"/>
                <w:sz w:val="18"/>
                <w:highlight w:val="none"/>
              </w:rPr>
              <w:t>监测点位数（</w:t>
            </w:r>
            <w:r>
              <w:rPr>
                <w:rFonts w:hint="eastAsia"/>
                <w:color w:val="000000" w:themeColor="text1"/>
                <w:sz w:val="18"/>
                <w:highlight w:val="none"/>
                <w:lang w:val="en-US"/>
              </w:rPr>
              <w:t>2</w:t>
            </w:r>
            <w:r>
              <w:rPr>
                <w:color w:val="000000" w:themeColor="text1"/>
                <w:sz w:val="18"/>
                <w:highlight w:val="none"/>
              </w:rPr>
              <w:t>）</w:t>
            </w:r>
          </w:p>
        </w:tc>
        <w:tc>
          <w:tcPr>
            <w:tcW w:w="1271" w:type="dxa"/>
            <w:gridSpan w:val="2"/>
            <w:tcBorders>
              <w:top w:val="single" w:color="000000" w:sz="6" w:space="0"/>
              <w:left w:val="single" w:color="000000" w:sz="6" w:space="0"/>
              <w:bottom w:val="single" w:color="000000" w:sz="6" w:space="0"/>
            </w:tcBorders>
            <w:vAlign w:val="center"/>
          </w:tcPr>
          <w:p>
            <w:pPr>
              <w:pStyle w:val="94"/>
              <w:rPr>
                <w:rFonts w:ascii="仿宋" w:hAnsi="仿宋" w:eastAsia="仿宋"/>
                <w:color w:val="000000" w:themeColor="text1"/>
                <w:sz w:val="18"/>
                <w:highlight w:val="none"/>
              </w:rPr>
            </w:pPr>
            <w:r>
              <w:rPr>
                <w:color w:val="000000" w:themeColor="text1"/>
                <w:sz w:val="18"/>
                <w:highlight w:val="none"/>
              </w:rPr>
              <w:t>无监测</w:t>
            </w:r>
            <w:r>
              <w:rPr>
                <w:rFonts w:hint="eastAsia" w:ascii="仿宋" w:hAnsi="仿宋" w:eastAsia="仿宋"/>
                <w:color w:val="000000" w:themeColor="text1"/>
                <w:sz w:val="18"/>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0" w:hRule="atLeast"/>
          <w:jc w:val="center"/>
        </w:trPr>
        <w:tc>
          <w:tcPr>
            <w:tcW w:w="1030" w:type="dxa"/>
            <w:vMerge w:val="restart"/>
            <w:tcBorders>
              <w:top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评价结论</w:t>
            </w: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环境影响</w:t>
            </w:r>
          </w:p>
        </w:tc>
        <w:tc>
          <w:tcPr>
            <w:tcW w:w="6712" w:type="dxa"/>
            <w:gridSpan w:val="16"/>
            <w:tcBorders>
              <w:top w:val="single" w:color="000000" w:sz="6" w:space="0"/>
              <w:left w:val="single" w:color="000000" w:sz="6" w:space="0"/>
              <w:bottom w:val="single" w:color="000000" w:sz="6" w:space="0"/>
            </w:tcBorders>
            <w:vAlign w:val="center"/>
          </w:tcPr>
          <w:p>
            <w:pPr>
              <w:pStyle w:val="94"/>
              <w:tabs>
                <w:tab w:val="left" w:pos="3582"/>
              </w:tabs>
              <w:rPr>
                <w:rFonts w:ascii="仿宋" w:hAnsi="仿宋" w:eastAsia="仿宋"/>
                <w:color w:val="000000" w:themeColor="text1"/>
                <w:sz w:val="18"/>
                <w:highlight w:val="none"/>
              </w:rPr>
            </w:pPr>
            <w:r>
              <w:rPr>
                <w:color w:val="000000" w:themeColor="text1"/>
                <w:sz w:val="18"/>
                <w:highlight w:val="none"/>
              </w:rPr>
              <w:t>可以接受</w:t>
            </w:r>
            <w:r>
              <w:rPr>
                <w:rFonts w:hint="eastAsia" w:ascii="仿宋" w:hAnsi="仿宋" w:eastAsia="仿宋"/>
                <w:color w:val="000000" w:themeColor="text1"/>
                <w:sz w:val="18"/>
                <w:highlight w:val="none"/>
              </w:rPr>
              <w:sym w:font="Wingdings 2" w:char="0052"/>
            </w:r>
            <w:r>
              <w:rPr>
                <w:rFonts w:hint="eastAsia" w:ascii="仿宋" w:hAnsi="仿宋" w:eastAsia="仿宋"/>
                <w:color w:val="000000" w:themeColor="text1"/>
                <w:sz w:val="18"/>
                <w:highlight w:val="none"/>
              </w:rPr>
              <w:tab/>
            </w:r>
            <w:r>
              <w:rPr>
                <w:color w:val="000000" w:themeColor="text1"/>
                <w:sz w:val="18"/>
                <w:highlight w:val="none"/>
              </w:rPr>
              <w:t>不可以</w:t>
            </w:r>
            <w:r>
              <w:rPr>
                <w:color w:val="000000" w:themeColor="text1"/>
                <w:spacing w:val="-3"/>
                <w:sz w:val="18"/>
                <w:highlight w:val="none"/>
              </w:rPr>
              <w:t>接</w:t>
            </w:r>
            <w:r>
              <w:rPr>
                <w:color w:val="000000" w:themeColor="text1"/>
                <w:sz w:val="18"/>
                <w:highlight w:val="none"/>
              </w:rPr>
              <w:t>受</w:t>
            </w:r>
            <w:r>
              <w:rPr>
                <w:rFonts w:hint="eastAsia" w:ascii="仿宋" w:hAnsi="仿宋" w:eastAsia="仿宋"/>
                <w:color w:val="000000" w:themeColor="text1"/>
                <w:sz w:val="18"/>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大气环境防护距离</w:t>
            </w:r>
          </w:p>
        </w:tc>
        <w:tc>
          <w:tcPr>
            <w:tcW w:w="6712" w:type="dxa"/>
            <w:gridSpan w:val="16"/>
            <w:tcBorders>
              <w:top w:val="single" w:color="000000" w:sz="6" w:space="0"/>
              <w:left w:val="single" w:color="000000" w:sz="6" w:space="0"/>
              <w:bottom w:val="single" w:color="000000" w:sz="6" w:space="0"/>
            </w:tcBorders>
            <w:vAlign w:val="center"/>
          </w:tcPr>
          <w:p>
            <w:pPr>
              <w:pStyle w:val="94"/>
              <w:tabs>
                <w:tab w:val="left" w:pos="2840"/>
                <w:tab w:val="left" w:pos="4367"/>
              </w:tabs>
              <w:rPr>
                <w:rFonts w:ascii="Times New Roman" w:eastAsia="Times New Roman"/>
                <w:color w:val="000000" w:themeColor="text1"/>
                <w:sz w:val="18"/>
                <w:highlight w:val="none"/>
              </w:rPr>
            </w:pPr>
            <w:r>
              <w:rPr>
                <w:color w:val="000000" w:themeColor="text1"/>
                <w:sz w:val="18"/>
                <w:highlight w:val="none"/>
              </w:rPr>
              <w:t>距（</w:t>
            </w:r>
            <w:r>
              <w:rPr>
                <w:rFonts w:hint="eastAsia"/>
                <w:color w:val="000000" w:themeColor="text1"/>
                <w:sz w:val="18"/>
                <w:highlight w:val="none"/>
              </w:rPr>
              <w:t>项目</w:t>
            </w:r>
            <w:r>
              <w:rPr>
                <w:color w:val="000000" w:themeColor="text1"/>
                <w:sz w:val="18"/>
                <w:highlight w:val="none"/>
              </w:rPr>
              <w:t>）厂界最远（</w:t>
            </w:r>
            <w:r>
              <w:rPr>
                <w:rFonts w:hint="eastAsia"/>
                <w:color w:val="000000" w:themeColor="text1"/>
                <w:sz w:val="18"/>
                <w:highlight w:val="none"/>
                <w:lang w:val="en-US"/>
              </w:rPr>
              <w:t>0</w:t>
            </w:r>
            <w:r>
              <w:rPr>
                <w:color w:val="000000" w:themeColor="text1"/>
                <w:sz w:val="18"/>
                <w:highlight w:val="none"/>
              </w:rPr>
              <w:t>）</w:t>
            </w:r>
            <w:r>
              <w:rPr>
                <w:rFonts w:ascii="Times New Roman" w:eastAsia="Times New Roman"/>
                <w:color w:val="000000" w:themeColor="text1"/>
                <w:sz w:val="18"/>
                <w:highlight w:val="none"/>
              </w:rPr>
              <w:t>m</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9" w:hRule="atLeast"/>
          <w:jc w:val="center"/>
        </w:trPr>
        <w:tc>
          <w:tcPr>
            <w:tcW w:w="1030" w:type="dxa"/>
            <w:vMerge w:val="continue"/>
            <w:tcBorders>
              <w:top w:val="nil"/>
              <w:bottom w:val="single" w:color="000000" w:sz="6" w:space="0"/>
              <w:right w:val="single" w:color="000000" w:sz="6" w:space="0"/>
            </w:tcBorders>
            <w:vAlign w:val="center"/>
          </w:tcPr>
          <w:p>
            <w:pPr>
              <w:jc w:val="center"/>
              <w:rPr>
                <w:color w:val="000000" w:themeColor="text1"/>
                <w:sz w:val="2"/>
                <w:szCs w:val="2"/>
                <w:highlight w:val="none"/>
              </w:rPr>
            </w:pPr>
          </w:p>
        </w:tc>
        <w:tc>
          <w:tcPr>
            <w:tcW w:w="1772" w:type="dxa"/>
            <w:tcBorders>
              <w:top w:val="single" w:color="000000" w:sz="6" w:space="0"/>
              <w:left w:val="single" w:color="000000" w:sz="6" w:space="0"/>
              <w:bottom w:val="single" w:color="000000" w:sz="6" w:space="0"/>
              <w:right w:val="single" w:color="000000" w:sz="6" w:space="0"/>
            </w:tcBorders>
            <w:vAlign w:val="center"/>
          </w:tcPr>
          <w:p>
            <w:pPr>
              <w:pStyle w:val="94"/>
              <w:rPr>
                <w:color w:val="000000" w:themeColor="text1"/>
                <w:sz w:val="18"/>
                <w:highlight w:val="none"/>
              </w:rPr>
            </w:pPr>
            <w:r>
              <w:rPr>
                <w:color w:val="000000" w:themeColor="text1"/>
                <w:sz w:val="18"/>
                <w:highlight w:val="none"/>
              </w:rPr>
              <w:t>污染源年排放量</w:t>
            </w:r>
          </w:p>
        </w:tc>
        <w:tc>
          <w:tcPr>
            <w:tcW w:w="6712" w:type="dxa"/>
            <w:gridSpan w:val="16"/>
            <w:tcBorders>
              <w:top w:val="single" w:color="000000" w:sz="6" w:space="0"/>
              <w:left w:val="single" w:color="000000" w:sz="6" w:space="0"/>
              <w:bottom w:val="single" w:color="000000" w:sz="6" w:space="0"/>
            </w:tcBorders>
            <w:vAlign w:val="center"/>
          </w:tcPr>
          <w:p>
            <w:pPr>
              <w:pStyle w:val="94"/>
              <w:tabs>
                <w:tab w:val="left" w:pos="1129"/>
              </w:tabs>
              <w:rPr>
                <w:rFonts w:ascii="Times New Roman" w:eastAsia="Times New Roman"/>
                <w:color w:val="000000" w:themeColor="text1"/>
                <w:sz w:val="18"/>
                <w:highlight w:val="none"/>
              </w:rPr>
            </w:pPr>
            <w:r>
              <w:rPr>
                <w:rFonts w:hint="eastAsia" w:ascii="Times New Roman" w:hAnsi="Times New Roman" w:eastAsia="Times New Roman"/>
                <w:color w:val="000000" w:themeColor="text1"/>
                <w:sz w:val="18"/>
                <w:highlight w:val="none"/>
                <w:lang w:val="en-US"/>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11" w:hRule="atLeast"/>
          <w:jc w:val="center"/>
        </w:trPr>
        <w:tc>
          <w:tcPr>
            <w:tcW w:w="9514" w:type="dxa"/>
            <w:gridSpan w:val="18"/>
            <w:tcBorders>
              <w:top w:val="single" w:color="000000" w:sz="6" w:space="0"/>
            </w:tcBorders>
            <w:vAlign w:val="center"/>
          </w:tcPr>
          <w:p>
            <w:pPr>
              <w:pStyle w:val="94"/>
              <w:tabs>
                <w:tab w:val="left" w:pos="3439"/>
              </w:tabs>
              <w:rPr>
                <w:color w:val="000000" w:themeColor="text1"/>
                <w:sz w:val="18"/>
                <w:highlight w:val="none"/>
              </w:rPr>
            </w:pPr>
            <w:r>
              <w:rPr>
                <w:color w:val="000000" w:themeColor="text1"/>
                <w:sz w:val="18"/>
                <w:highlight w:val="none"/>
              </w:rPr>
              <w:t>注</w:t>
            </w:r>
            <w:r>
              <w:rPr>
                <w:color w:val="000000" w:themeColor="text1"/>
                <w:spacing w:val="-92"/>
                <w:sz w:val="18"/>
                <w:highlight w:val="none"/>
              </w:rPr>
              <w:t>：</w:t>
            </w:r>
            <w:r>
              <w:rPr>
                <w:color w:val="000000" w:themeColor="text1"/>
                <w:sz w:val="18"/>
                <w:highlight w:val="none"/>
              </w:rPr>
              <w:t>“</w:t>
            </w:r>
            <w:r>
              <w:rPr>
                <w:rFonts w:hint="eastAsia" w:ascii="仿宋" w:hAnsi="仿宋" w:eastAsia="仿宋"/>
                <w:color w:val="000000" w:themeColor="text1"/>
                <w:spacing w:val="1"/>
                <w:sz w:val="18"/>
                <w:highlight w:val="none"/>
              </w:rPr>
              <w:t>□</w:t>
            </w:r>
            <w:r>
              <w:rPr>
                <w:color w:val="000000" w:themeColor="text1"/>
                <w:sz w:val="18"/>
                <w:highlight w:val="none"/>
              </w:rPr>
              <w:t>”为勾选项 ，填“</w:t>
            </w:r>
            <w:r>
              <w:rPr>
                <w:color w:val="000000" w:themeColor="text1"/>
                <w:spacing w:val="-3"/>
                <w:sz w:val="18"/>
                <w:highlight w:val="none"/>
              </w:rPr>
              <w:t>√</w:t>
            </w:r>
            <w:r>
              <w:rPr>
                <w:color w:val="000000" w:themeColor="text1"/>
                <w:sz w:val="18"/>
                <w:highlight w:val="none"/>
              </w:rPr>
              <w:t>”；</w:t>
            </w:r>
            <w:r>
              <w:rPr>
                <w:rFonts w:ascii="Times New Roman" w:hAnsi="Times New Roman" w:eastAsia="Times New Roman"/>
                <w:color w:val="000000" w:themeColor="text1"/>
                <w:spacing w:val="-1"/>
                <w:sz w:val="18"/>
                <w:highlight w:val="none"/>
              </w:rPr>
              <w:t>“</w:t>
            </w:r>
            <w:r>
              <w:rPr>
                <w:color w:val="000000" w:themeColor="text1"/>
                <w:sz w:val="18"/>
                <w:highlight w:val="none"/>
              </w:rPr>
              <w:t>（</w:t>
            </w:r>
            <w:r>
              <w:rPr>
                <w:color w:val="000000" w:themeColor="text1"/>
                <w:sz w:val="18"/>
                <w:highlight w:val="none"/>
              </w:rPr>
              <w:tab/>
            </w:r>
            <w:r>
              <w:rPr>
                <w:color w:val="000000" w:themeColor="text1"/>
                <w:sz w:val="18"/>
                <w:highlight w:val="none"/>
              </w:rPr>
              <w:t>）</w:t>
            </w:r>
            <w:r>
              <w:rPr>
                <w:rFonts w:ascii="Times New Roman" w:hAnsi="Times New Roman" w:eastAsia="Times New Roman"/>
                <w:color w:val="000000" w:themeColor="text1"/>
                <w:sz w:val="18"/>
                <w:highlight w:val="none"/>
              </w:rPr>
              <w:t>”</w:t>
            </w:r>
            <w:r>
              <w:rPr>
                <w:color w:val="000000" w:themeColor="text1"/>
                <w:sz w:val="18"/>
                <w:highlight w:val="none"/>
              </w:rPr>
              <w:t>为内容填写项</w:t>
            </w:r>
          </w:p>
        </w:tc>
      </w:tr>
    </w:tbl>
    <w:p>
      <w:pPr>
        <w:pStyle w:val="2"/>
        <w:ind w:firstLine="480"/>
        <w:rPr>
          <w:color w:val="000000" w:themeColor="text1"/>
          <w:highlight w:val="red"/>
        </w:rPr>
        <w:sectPr>
          <w:pgSz w:w="11906" w:h="16838"/>
          <w:pgMar w:top="1440" w:right="1797" w:bottom="1440" w:left="1797" w:header="851" w:footer="992" w:gutter="0"/>
          <w:pgNumType w:fmt="decimal"/>
          <w:cols w:space="720" w:num="1"/>
          <w:docGrid w:type="lines" w:linePitch="312" w:charSpace="0"/>
        </w:sectPr>
      </w:pPr>
    </w:p>
    <w:p>
      <w:pPr>
        <w:jc w:val="center"/>
        <w:rPr>
          <w:b/>
          <w:color w:val="000000" w:themeColor="text1"/>
          <w:sz w:val="24"/>
          <w:highlight w:val="none"/>
        </w:rPr>
      </w:pPr>
      <w:bookmarkStart w:id="34" w:name="_Toc30074_WPSOffice_Level1"/>
      <w:r>
        <w:rPr>
          <w:b/>
          <w:color w:val="000000" w:themeColor="text1"/>
          <w:sz w:val="24"/>
          <w:highlight w:val="none"/>
        </w:rPr>
        <w:t>建设项目地表水环境影响评价自查表</w:t>
      </w:r>
      <w:bookmarkEnd w:id="34"/>
    </w:p>
    <w:p>
      <w:pPr>
        <w:spacing w:line="280" w:lineRule="exact"/>
        <w:rPr>
          <w:color w:val="000000" w:themeColor="text1"/>
          <w:sz w:val="21"/>
          <w:highlight w:val="none"/>
        </w:rPr>
      </w:pPr>
      <w:bookmarkStart w:id="35" w:name="_Toc4248_WPSOffice_Level2"/>
      <w:r>
        <w:rPr>
          <w:color w:val="000000" w:themeColor="text1"/>
          <w:sz w:val="21"/>
          <w:highlight w:val="none"/>
        </w:rPr>
        <w:t>（</w:t>
      </w:r>
      <w:r>
        <w:rPr>
          <w:rFonts w:hint="eastAsia"/>
          <w:color w:val="000000" w:themeColor="text1"/>
          <w:sz w:val="21"/>
          <w:highlight w:val="none"/>
          <w:lang w:eastAsia="zh-CN"/>
        </w:rPr>
        <w:t>湖南乐思检测有限公司</w:t>
      </w:r>
      <w:r>
        <w:rPr>
          <w:color w:val="000000" w:themeColor="text1"/>
          <w:sz w:val="21"/>
          <w:highlight w:val="none"/>
        </w:rPr>
        <w:t>）</w:t>
      </w:r>
      <w:bookmarkEnd w:id="35"/>
    </w:p>
    <w:tbl>
      <w:tblPr>
        <w:tblStyle w:val="35"/>
        <w:tblW w:w="1388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
        <w:gridCol w:w="2530"/>
        <w:gridCol w:w="2516"/>
        <w:gridCol w:w="1035"/>
        <w:gridCol w:w="15"/>
        <w:gridCol w:w="120"/>
        <w:gridCol w:w="705"/>
        <w:gridCol w:w="1285"/>
        <w:gridCol w:w="845"/>
        <w:gridCol w:w="439"/>
        <w:gridCol w:w="401"/>
        <w:gridCol w:w="1045"/>
        <w:gridCol w:w="425"/>
        <w:gridCol w:w="60"/>
        <w:gridCol w:w="20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2962" w:type="dxa"/>
            <w:gridSpan w:val="3"/>
            <w:vAlign w:val="center"/>
          </w:tcPr>
          <w:p>
            <w:pPr>
              <w:spacing w:line="280" w:lineRule="exact"/>
              <w:rPr>
                <w:color w:val="000000" w:themeColor="text1"/>
                <w:sz w:val="21"/>
                <w:highlight w:val="none"/>
              </w:rPr>
            </w:pPr>
            <w:r>
              <w:rPr>
                <w:color w:val="000000" w:themeColor="text1"/>
                <w:sz w:val="21"/>
                <w:highlight w:val="none"/>
              </w:rPr>
              <w:t>工作内容</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2" w:type="dxa"/>
            <w:gridSpan w:val="2"/>
            <w:vMerge w:val="restart"/>
            <w:vAlign w:val="center"/>
          </w:tcPr>
          <w:p>
            <w:pPr>
              <w:spacing w:line="280" w:lineRule="exact"/>
              <w:rPr>
                <w:color w:val="000000" w:themeColor="text1"/>
                <w:sz w:val="21"/>
                <w:highlight w:val="none"/>
              </w:rPr>
            </w:pPr>
            <w:r>
              <w:rPr>
                <w:color w:val="000000" w:themeColor="text1"/>
                <w:sz w:val="21"/>
                <w:highlight w:val="none"/>
              </w:rPr>
              <w:t>影响识别</w:t>
            </w:r>
          </w:p>
        </w:tc>
        <w:tc>
          <w:tcPr>
            <w:tcW w:w="2530" w:type="dxa"/>
            <w:vAlign w:val="center"/>
          </w:tcPr>
          <w:p>
            <w:pPr>
              <w:spacing w:line="280" w:lineRule="exact"/>
              <w:rPr>
                <w:color w:val="000000" w:themeColor="text1"/>
                <w:sz w:val="21"/>
                <w:highlight w:val="none"/>
              </w:rPr>
            </w:pPr>
            <w:r>
              <w:rPr>
                <w:color w:val="000000" w:themeColor="text1"/>
                <w:sz w:val="21"/>
                <w:highlight w:val="none"/>
              </w:rPr>
              <w:t>影响类型</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水污染影响型</w:t>
            </w:r>
            <w:r>
              <w:rPr>
                <w:color w:val="000000" w:themeColor="text1"/>
                <w:sz w:val="21"/>
                <w:highlight w:val="none"/>
              </w:rPr>
              <w:sym w:font="Wingdings 2" w:char="0052"/>
            </w:r>
            <w:r>
              <w:rPr>
                <w:color w:val="000000" w:themeColor="text1"/>
                <w:sz w:val="21"/>
                <w:highlight w:val="none"/>
              </w:rPr>
              <w:t>；水文要素影响型</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2" w:type="dxa"/>
            <w:gridSpan w:val="2"/>
            <w:vMerge w:val="continue"/>
            <w:vAlign w:val="center"/>
          </w:tcPr>
          <w:p>
            <w:pPr>
              <w:spacing w:line="280" w:lineRule="exact"/>
              <w:rPr>
                <w:color w:val="000000" w:themeColor="text1"/>
                <w:sz w:val="21"/>
                <w:highlight w:val="none"/>
              </w:rPr>
            </w:pPr>
          </w:p>
        </w:tc>
        <w:tc>
          <w:tcPr>
            <w:tcW w:w="2530" w:type="dxa"/>
            <w:vAlign w:val="center"/>
          </w:tcPr>
          <w:p>
            <w:pPr>
              <w:spacing w:line="280" w:lineRule="exact"/>
              <w:rPr>
                <w:color w:val="000000" w:themeColor="text1"/>
                <w:sz w:val="21"/>
                <w:highlight w:val="none"/>
              </w:rPr>
            </w:pPr>
            <w:r>
              <w:rPr>
                <w:color w:val="000000" w:themeColor="text1"/>
                <w:sz w:val="21"/>
                <w:highlight w:val="none"/>
              </w:rPr>
              <w:t>水环境保护目标</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饮用水水源保护区 </w:t>
            </w:r>
            <w:r>
              <w:rPr>
                <w:color w:val="000000" w:themeColor="text1"/>
                <w:sz w:val="21"/>
                <w:highlight w:val="none"/>
              </w:rPr>
              <w:sym w:font="Wingdings 2" w:char="00A3"/>
            </w:r>
            <w:r>
              <w:rPr>
                <w:color w:val="000000" w:themeColor="text1"/>
                <w:sz w:val="21"/>
                <w:highlight w:val="none"/>
              </w:rPr>
              <w:t xml:space="preserve">；饮用水取水口 </w:t>
            </w:r>
            <w:r>
              <w:rPr>
                <w:color w:val="000000" w:themeColor="text1"/>
                <w:sz w:val="21"/>
                <w:highlight w:val="none"/>
              </w:rPr>
              <w:sym w:font="Wingdings 2" w:char="0052"/>
            </w:r>
            <w:r>
              <w:rPr>
                <w:color w:val="000000" w:themeColor="text1"/>
                <w:sz w:val="21"/>
                <w:highlight w:val="none"/>
              </w:rPr>
              <w:t xml:space="preserve">；涉水的自然保护区 </w:t>
            </w:r>
            <w:r>
              <w:rPr>
                <w:color w:val="000000" w:themeColor="text1"/>
                <w:sz w:val="21"/>
                <w:highlight w:val="none"/>
              </w:rPr>
              <w:sym w:font="Wingdings 2" w:char="00A3"/>
            </w:r>
            <w:r>
              <w:rPr>
                <w:color w:val="000000" w:themeColor="text1"/>
                <w:sz w:val="21"/>
                <w:highlight w:val="none"/>
              </w:rPr>
              <w:t xml:space="preserve">；重要湿地 </w:t>
            </w:r>
            <w:r>
              <w:rPr>
                <w:color w:val="000000" w:themeColor="text1"/>
                <w:sz w:val="21"/>
                <w:highlight w:val="none"/>
              </w:rPr>
              <w:sym w:font="Wingdings 2" w:char="00A3"/>
            </w:r>
            <w:r>
              <w:rPr>
                <w:color w:val="000000" w:themeColor="text1"/>
                <w:sz w:val="21"/>
                <w:highlight w:val="none"/>
              </w:rPr>
              <w:t>；</w:t>
            </w:r>
          </w:p>
          <w:p>
            <w:pPr>
              <w:spacing w:line="280" w:lineRule="exact"/>
              <w:rPr>
                <w:color w:val="000000" w:themeColor="text1"/>
                <w:sz w:val="21"/>
                <w:highlight w:val="none"/>
              </w:rPr>
            </w:pPr>
            <w:r>
              <w:rPr>
                <w:color w:val="000000" w:themeColor="text1"/>
                <w:sz w:val="21"/>
                <w:highlight w:val="none"/>
              </w:rPr>
              <w:t>重点保护与珍稀水生生物的栖息地</w:t>
            </w:r>
            <w:r>
              <w:rPr>
                <w:color w:val="000000" w:themeColor="text1"/>
                <w:sz w:val="21"/>
                <w:highlight w:val="none"/>
              </w:rPr>
              <w:sym w:font="Wingdings 2" w:char="00A3"/>
            </w:r>
            <w:r>
              <w:rPr>
                <w:color w:val="000000" w:themeColor="text1"/>
                <w:sz w:val="21"/>
                <w:highlight w:val="none"/>
              </w:rPr>
              <w:t xml:space="preserve">；重要水生生物的自然产卵场及索饵场、越冬场和洄游通道、天然渔场等渔业水体 </w:t>
            </w:r>
            <w:r>
              <w:rPr>
                <w:color w:val="000000" w:themeColor="text1"/>
                <w:sz w:val="21"/>
                <w:highlight w:val="none"/>
              </w:rPr>
              <w:sym w:font="Wingdings 2" w:char="00A3"/>
            </w:r>
            <w:r>
              <w:rPr>
                <w:color w:val="000000" w:themeColor="text1"/>
                <w:sz w:val="21"/>
                <w:highlight w:val="none"/>
              </w:rPr>
              <w:t xml:space="preserve">；涉水的风景名胜区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2" w:type="dxa"/>
            <w:gridSpan w:val="2"/>
            <w:vMerge w:val="continue"/>
            <w:vAlign w:val="center"/>
          </w:tcPr>
          <w:p>
            <w:pPr>
              <w:spacing w:line="280" w:lineRule="exact"/>
              <w:rPr>
                <w:color w:val="000000" w:themeColor="text1"/>
                <w:sz w:val="21"/>
                <w:highlight w:val="none"/>
              </w:rPr>
            </w:pPr>
          </w:p>
        </w:tc>
        <w:tc>
          <w:tcPr>
            <w:tcW w:w="2530" w:type="dxa"/>
            <w:vMerge w:val="restart"/>
            <w:vAlign w:val="center"/>
          </w:tcPr>
          <w:p>
            <w:pPr>
              <w:spacing w:line="280" w:lineRule="exact"/>
              <w:rPr>
                <w:color w:val="000000" w:themeColor="text1"/>
                <w:sz w:val="21"/>
                <w:highlight w:val="none"/>
              </w:rPr>
            </w:pPr>
            <w:r>
              <w:rPr>
                <w:color w:val="000000" w:themeColor="text1"/>
                <w:sz w:val="21"/>
                <w:highlight w:val="none"/>
              </w:rPr>
              <w:t>影响途径</w:t>
            </w: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水污染影响型</w:t>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水文要素影响型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2" w:type="dxa"/>
            <w:gridSpan w:val="2"/>
            <w:vMerge w:val="continue"/>
            <w:vAlign w:val="center"/>
          </w:tcPr>
          <w:p>
            <w:pPr>
              <w:spacing w:line="280" w:lineRule="exact"/>
              <w:rPr>
                <w:color w:val="000000" w:themeColor="text1"/>
                <w:sz w:val="21"/>
                <w:highlight w:val="none"/>
              </w:rPr>
            </w:pPr>
          </w:p>
        </w:tc>
        <w:tc>
          <w:tcPr>
            <w:tcW w:w="2530" w:type="dxa"/>
            <w:vMerge w:val="continue"/>
            <w:vAlign w:val="center"/>
          </w:tcPr>
          <w:p>
            <w:pPr>
              <w:spacing w:line="280" w:lineRule="exact"/>
              <w:rPr>
                <w:color w:val="000000" w:themeColor="text1"/>
                <w:sz w:val="21"/>
                <w:highlight w:val="none"/>
              </w:rPr>
            </w:pP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 xml:space="preserve">直接排放 </w:t>
            </w:r>
            <w:r>
              <w:rPr>
                <w:color w:val="000000" w:themeColor="text1"/>
                <w:sz w:val="21"/>
                <w:highlight w:val="none"/>
              </w:rPr>
              <w:sym w:font="Wingdings 2" w:char="00A3"/>
            </w:r>
            <w:r>
              <w:rPr>
                <w:color w:val="000000" w:themeColor="text1"/>
                <w:sz w:val="21"/>
                <w:highlight w:val="none"/>
              </w:rPr>
              <w:t xml:space="preserve">；间接排放 </w:t>
            </w:r>
            <w:r>
              <w:rPr>
                <w:color w:val="000000" w:themeColor="text1"/>
                <w:sz w:val="21"/>
                <w:highlight w:val="none"/>
              </w:rPr>
              <w:sym w:font="Wingdings 2" w:char="0052"/>
            </w:r>
            <w:r>
              <w:rPr>
                <w:color w:val="000000" w:themeColor="text1"/>
                <w:sz w:val="21"/>
                <w:highlight w:val="none"/>
              </w:rPr>
              <w:t xml:space="preserve">；其他 </w:t>
            </w:r>
            <w:r>
              <w:rPr>
                <w:color w:val="000000" w:themeColor="text1"/>
                <w:sz w:val="21"/>
                <w:highlight w:val="none"/>
              </w:rPr>
              <w:sym w:font="Wingdings 2" w:char="00A3"/>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 xml:space="preserve">水温 </w:t>
            </w:r>
            <w:r>
              <w:rPr>
                <w:color w:val="000000" w:themeColor="text1"/>
                <w:sz w:val="21"/>
                <w:highlight w:val="none"/>
              </w:rPr>
              <w:sym w:font="Wingdings 2" w:char="00A3"/>
            </w:r>
            <w:r>
              <w:rPr>
                <w:color w:val="000000" w:themeColor="text1"/>
                <w:sz w:val="21"/>
                <w:highlight w:val="none"/>
              </w:rPr>
              <w:t xml:space="preserve">；径流 </w:t>
            </w:r>
            <w:r>
              <w:rPr>
                <w:color w:val="000000" w:themeColor="text1"/>
                <w:sz w:val="21"/>
                <w:highlight w:val="none"/>
              </w:rPr>
              <w:sym w:font="Wingdings 2" w:char="00A3"/>
            </w:r>
            <w:r>
              <w:rPr>
                <w:color w:val="000000" w:themeColor="text1"/>
                <w:sz w:val="21"/>
                <w:highlight w:val="none"/>
              </w:rPr>
              <w:t xml:space="preserve">；水域面积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2" w:type="dxa"/>
            <w:gridSpan w:val="2"/>
            <w:vMerge w:val="continue"/>
            <w:vAlign w:val="center"/>
          </w:tcPr>
          <w:p>
            <w:pPr>
              <w:spacing w:line="280" w:lineRule="exact"/>
              <w:rPr>
                <w:color w:val="000000" w:themeColor="text1"/>
                <w:sz w:val="21"/>
                <w:highlight w:val="none"/>
              </w:rPr>
            </w:pPr>
          </w:p>
        </w:tc>
        <w:tc>
          <w:tcPr>
            <w:tcW w:w="2530" w:type="dxa"/>
            <w:vAlign w:val="center"/>
          </w:tcPr>
          <w:p>
            <w:pPr>
              <w:spacing w:line="280" w:lineRule="exact"/>
              <w:rPr>
                <w:color w:val="000000" w:themeColor="text1"/>
                <w:sz w:val="21"/>
                <w:highlight w:val="none"/>
              </w:rPr>
            </w:pPr>
            <w:r>
              <w:rPr>
                <w:color w:val="000000" w:themeColor="text1"/>
                <w:sz w:val="21"/>
                <w:highlight w:val="none"/>
              </w:rPr>
              <w:t>影响因子</w:t>
            </w: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 xml:space="preserve">持久性污染物 </w:t>
            </w:r>
            <w:r>
              <w:rPr>
                <w:color w:val="000000" w:themeColor="text1"/>
                <w:sz w:val="21"/>
                <w:highlight w:val="none"/>
              </w:rPr>
              <w:sym w:font="Wingdings 2" w:char="00A3"/>
            </w:r>
            <w:r>
              <w:rPr>
                <w:color w:val="000000" w:themeColor="text1"/>
                <w:sz w:val="21"/>
                <w:highlight w:val="none"/>
              </w:rPr>
              <w:t xml:space="preserve">；有毒有害污染物 </w:t>
            </w:r>
            <w:r>
              <w:rPr>
                <w:color w:val="000000" w:themeColor="text1"/>
                <w:sz w:val="21"/>
                <w:highlight w:val="none"/>
              </w:rPr>
              <w:sym w:font="Wingdings 2" w:char="00A3"/>
            </w:r>
            <w:r>
              <w:rPr>
                <w:color w:val="000000" w:themeColor="text1"/>
                <w:sz w:val="21"/>
                <w:highlight w:val="none"/>
              </w:rPr>
              <w:t xml:space="preserve">；非持久性污染物 </w:t>
            </w:r>
            <w:r>
              <w:rPr>
                <w:color w:val="000000" w:themeColor="text1"/>
                <w:sz w:val="21"/>
                <w:highlight w:val="none"/>
              </w:rPr>
              <w:sym w:font="Wingdings 2" w:char="0052"/>
            </w:r>
            <w:r>
              <w:rPr>
                <w:color w:val="000000" w:themeColor="text1"/>
                <w:sz w:val="21"/>
                <w:highlight w:val="none"/>
              </w:rPr>
              <w:t xml:space="preserve">；pH值 </w:t>
            </w:r>
            <w:r>
              <w:rPr>
                <w:color w:val="000000" w:themeColor="text1"/>
                <w:sz w:val="21"/>
                <w:highlight w:val="none"/>
              </w:rPr>
              <w:sym w:font="Wingdings 2" w:char="0052"/>
            </w:r>
            <w:r>
              <w:rPr>
                <w:color w:val="000000" w:themeColor="text1"/>
                <w:sz w:val="21"/>
                <w:highlight w:val="none"/>
              </w:rPr>
              <w:t xml:space="preserve">；热污染 </w:t>
            </w:r>
            <w:r>
              <w:rPr>
                <w:color w:val="000000" w:themeColor="text1"/>
                <w:sz w:val="21"/>
                <w:highlight w:val="none"/>
              </w:rPr>
              <w:sym w:font="Wingdings 2" w:char="00A3"/>
            </w:r>
            <w:r>
              <w:rPr>
                <w:color w:val="000000" w:themeColor="text1"/>
                <w:sz w:val="21"/>
                <w:highlight w:val="none"/>
              </w:rPr>
              <w:t xml:space="preserve">；富营养化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A3"/>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 xml:space="preserve">水温 </w:t>
            </w:r>
            <w:r>
              <w:rPr>
                <w:color w:val="000000" w:themeColor="text1"/>
                <w:sz w:val="21"/>
                <w:highlight w:val="none"/>
              </w:rPr>
              <w:sym w:font="Wingdings 2" w:char="00A3"/>
            </w:r>
            <w:r>
              <w:rPr>
                <w:color w:val="000000" w:themeColor="text1"/>
                <w:sz w:val="21"/>
                <w:highlight w:val="none"/>
              </w:rPr>
              <w:t xml:space="preserve">；水位（水深） </w:t>
            </w:r>
            <w:r>
              <w:rPr>
                <w:color w:val="000000" w:themeColor="text1"/>
                <w:sz w:val="21"/>
                <w:highlight w:val="none"/>
              </w:rPr>
              <w:sym w:font="Wingdings 2" w:char="00A3"/>
            </w:r>
            <w:r>
              <w:rPr>
                <w:color w:val="000000" w:themeColor="text1"/>
                <w:sz w:val="21"/>
                <w:highlight w:val="none"/>
              </w:rPr>
              <w:t xml:space="preserve">；流速 </w:t>
            </w:r>
            <w:r>
              <w:rPr>
                <w:color w:val="000000" w:themeColor="text1"/>
                <w:sz w:val="21"/>
                <w:highlight w:val="none"/>
              </w:rPr>
              <w:sym w:font="Wingdings 2" w:char="00A3"/>
            </w:r>
            <w:r>
              <w:rPr>
                <w:color w:val="000000" w:themeColor="text1"/>
                <w:sz w:val="21"/>
                <w:highlight w:val="none"/>
              </w:rPr>
              <w:t xml:space="preserve">；流量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62" w:type="dxa"/>
            <w:gridSpan w:val="3"/>
            <w:vMerge w:val="restart"/>
            <w:vAlign w:val="center"/>
          </w:tcPr>
          <w:p>
            <w:pPr>
              <w:spacing w:line="280" w:lineRule="exact"/>
              <w:rPr>
                <w:color w:val="000000" w:themeColor="text1"/>
                <w:sz w:val="21"/>
                <w:highlight w:val="none"/>
              </w:rPr>
            </w:pPr>
            <w:r>
              <w:rPr>
                <w:color w:val="000000" w:themeColor="text1"/>
                <w:sz w:val="21"/>
                <w:highlight w:val="none"/>
              </w:rPr>
              <w:t>评价等级</w:t>
            </w: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水污染影响型</w:t>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水文要素影响型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62" w:type="dxa"/>
            <w:gridSpan w:val="3"/>
            <w:vMerge w:val="continue"/>
            <w:vAlign w:val="center"/>
          </w:tcPr>
          <w:p>
            <w:pPr>
              <w:spacing w:line="280" w:lineRule="exact"/>
              <w:rPr>
                <w:color w:val="000000" w:themeColor="text1"/>
                <w:sz w:val="21"/>
                <w:highlight w:val="none"/>
              </w:rPr>
            </w:pP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 xml:space="preserve">一级 </w:t>
            </w:r>
            <w:r>
              <w:rPr>
                <w:color w:val="000000" w:themeColor="text1"/>
                <w:sz w:val="21"/>
                <w:highlight w:val="none"/>
              </w:rPr>
              <w:sym w:font="Wingdings 2" w:char="00A3"/>
            </w:r>
            <w:r>
              <w:rPr>
                <w:color w:val="000000" w:themeColor="text1"/>
                <w:sz w:val="21"/>
                <w:highlight w:val="none"/>
              </w:rPr>
              <w:t xml:space="preserve">；二级 </w:t>
            </w:r>
            <w:r>
              <w:rPr>
                <w:color w:val="000000" w:themeColor="text1"/>
                <w:sz w:val="21"/>
                <w:highlight w:val="none"/>
              </w:rPr>
              <w:sym w:font="Wingdings 2" w:char="00A3"/>
            </w:r>
            <w:r>
              <w:rPr>
                <w:color w:val="000000" w:themeColor="text1"/>
                <w:sz w:val="21"/>
                <w:highlight w:val="none"/>
              </w:rPr>
              <w:t xml:space="preserve">；三级A </w:t>
            </w:r>
            <w:r>
              <w:rPr>
                <w:color w:val="000000" w:themeColor="text1"/>
                <w:sz w:val="21"/>
                <w:highlight w:val="none"/>
              </w:rPr>
              <w:sym w:font="Wingdings 2" w:char="00A3"/>
            </w:r>
            <w:r>
              <w:rPr>
                <w:color w:val="000000" w:themeColor="text1"/>
                <w:sz w:val="21"/>
                <w:highlight w:val="none"/>
              </w:rPr>
              <w:t xml:space="preserve">；三级B </w:t>
            </w:r>
            <w:r>
              <w:rPr>
                <w:color w:val="000000" w:themeColor="text1"/>
                <w:sz w:val="21"/>
                <w:highlight w:val="none"/>
              </w:rPr>
              <w:sym w:font="Wingdings 2" w:char="0052"/>
            </w:r>
            <w:r>
              <w:rPr>
                <w:color w:val="000000" w:themeColor="text1"/>
                <w:sz w:val="21"/>
                <w:highlight w:val="none"/>
              </w:rPr>
              <w:t>；</w:t>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 xml:space="preserve">一级 </w:t>
            </w:r>
            <w:r>
              <w:rPr>
                <w:color w:val="000000" w:themeColor="text1"/>
                <w:sz w:val="21"/>
                <w:highlight w:val="none"/>
              </w:rPr>
              <w:sym w:font="Wingdings 2" w:char="00A3"/>
            </w:r>
            <w:r>
              <w:rPr>
                <w:color w:val="000000" w:themeColor="text1"/>
                <w:sz w:val="21"/>
                <w:highlight w:val="none"/>
              </w:rPr>
              <w:t xml:space="preserve">；二级 </w:t>
            </w:r>
            <w:r>
              <w:rPr>
                <w:color w:val="000000" w:themeColor="text1"/>
                <w:sz w:val="21"/>
                <w:highlight w:val="none"/>
              </w:rPr>
              <w:sym w:font="Wingdings 2" w:char="00A3"/>
            </w:r>
            <w:r>
              <w:rPr>
                <w:color w:val="000000" w:themeColor="text1"/>
                <w:sz w:val="21"/>
                <w:highlight w:val="none"/>
              </w:rPr>
              <w:t xml:space="preserve">；三级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restart"/>
            <w:vAlign w:val="center"/>
          </w:tcPr>
          <w:p>
            <w:pPr>
              <w:spacing w:line="280" w:lineRule="exact"/>
              <w:rPr>
                <w:color w:val="000000" w:themeColor="text1"/>
                <w:sz w:val="21"/>
                <w:highlight w:val="none"/>
              </w:rPr>
            </w:pPr>
            <w:r>
              <w:rPr>
                <w:color w:val="000000" w:themeColor="text1"/>
                <w:sz w:val="21"/>
                <w:highlight w:val="none"/>
              </w:rPr>
              <w:t>现状调查</w:t>
            </w:r>
          </w:p>
        </w:tc>
        <w:tc>
          <w:tcPr>
            <w:tcW w:w="2536" w:type="dxa"/>
            <w:gridSpan w:val="2"/>
            <w:vMerge w:val="restart"/>
            <w:vAlign w:val="center"/>
          </w:tcPr>
          <w:p>
            <w:pPr>
              <w:spacing w:line="280" w:lineRule="exact"/>
              <w:rPr>
                <w:color w:val="000000" w:themeColor="text1"/>
                <w:sz w:val="21"/>
                <w:highlight w:val="none"/>
              </w:rPr>
            </w:pPr>
            <w:r>
              <w:rPr>
                <w:color w:val="000000" w:themeColor="text1"/>
                <w:sz w:val="21"/>
                <w:highlight w:val="none"/>
              </w:rPr>
              <w:t>区域污染源</w:t>
            </w: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调查项目</w:t>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continue"/>
            <w:vAlign w:val="center"/>
          </w:tcPr>
          <w:p>
            <w:pPr>
              <w:spacing w:line="280" w:lineRule="exact"/>
              <w:rPr>
                <w:color w:val="000000" w:themeColor="text1"/>
                <w:sz w:val="21"/>
                <w:highlight w:val="none"/>
              </w:rPr>
            </w:pPr>
          </w:p>
        </w:tc>
        <w:tc>
          <w:tcPr>
            <w:tcW w:w="3686" w:type="dxa"/>
            <w:gridSpan w:val="4"/>
            <w:vAlign w:val="center"/>
          </w:tcPr>
          <w:p>
            <w:pPr>
              <w:spacing w:line="280" w:lineRule="exact"/>
              <w:rPr>
                <w:color w:val="000000" w:themeColor="text1"/>
                <w:sz w:val="21"/>
                <w:highlight w:val="none"/>
              </w:rPr>
            </w:pPr>
            <w:r>
              <w:rPr>
                <w:color w:val="000000" w:themeColor="text1"/>
                <w:sz w:val="21"/>
                <w:highlight w:val="none"/>
              </w:rPr>
              <w:t xml:space="preserve">已建 </w:t>
            </w:r>
            <w:r>
              <w:rPr>
                <w:color w:val="000000" w:themeColor="text1"/>
                <w:sz w:val="21"/>
                <w:highlight w:val="none"/>
              </w:rPr>
              <w:sym w:font="Wingdings 2" w:char="00A3"/>
            </w:r>
            <w:r>
              <w:rPr>
                <w:color w:val="000000" w:themeColor="text1"/>
                <w:sz w:val="21"/>
                <w:highlight w:val="none"/>
              </w:rPr>
              <w:t xml:space="preserve">；在建 </w:t>
            </w:r>
            <w:r>
              <w:rPr>
                <w:color w:val="000000" w:themeColor="text1"/>
                <w:sz w:val="21"/>
                <w:highlight w:val="none"/>
              </w:rPr>
              <w:sym w:font="Wingdings 2" w:char="00A3"/>
            </w:r>
            <w:r>
              <w:rPr>
                <w:color w:val="000000" w:themeColor="text1"/>
                <w:sz w:val="21"/>
                <w:highlight w:val="none"/>
              </w:rPr>
              <w:t xml:space="preserve">；拟建 </w:t>
            </w:r>
            <w:r>
              <w:rPr>
                <w:color w:val="000000" w:themeColor="text1"/>
                <w:sz w:val="21"/>
                <w:highlight w:val="none"/>
              </w:rPr>
              <w:sym w:font="Wingdings 2" w:char="00A3"/>
            </w:r>
            <w:r>
              <w:rPr>
                <w:color w:val="000000" w:themeColor="text1"/>
                <w:sz w:val="21"/>
                <w:highlight w:val="none"/>
              </w:rPr>
              <w:t>；</w:t>
            </w:r>
          </w:p>
          <w:p>
            <w:pPr>
              <w:spacing w:line="280" w:lineRule="exact"/>
              <w:rPr>
                <w:color w:val="000000" w:themeColor="text1"/>
                <w:sz w:val="21"/>
                <w:highlight w:val="none"/>
              </w:rPr>
            </w:pPr>
            <w:r>
              <w:rPr>
                <w:color w:val="000000" w:themeColor="text1"/>
                <w:sz w:val="21"/>
                <w:highlight w:val="none"/>
              </w:rPr>
              <w:t xml:space="preserve">其他 </w:t>
            </w:r>
            <w:r>
              <w:rPr>
                <w:color w:val="000000" w:themeColor="text1"/>
                <w:sz w:val="21"/>
                <w:highlight w:val="none"/>
              </w:rPr>
              <w:sym w:font="Wingdings 2" w:char="0052"/>
            </w:r>
          </w:p>
        </w:tc>
        <w:tc>
          <w:tcPr>
            <w:tcW w:w="1990" w:type="dxa"/>
            <w:gridSpan w:val="2"/>
            <w:vAlign w:val="center"/>
          </w:tcPr>
          <w:p>
            <w:pPr>
              <w:spacing w:line="280" w:lineRule="exact"/>
              <w:rPr>
                <w:color w:val="000000" w:themeColor="text1"/>
                <w:sz w:val="21"/>
                <w:highlight w:val="none"/>
              </w:rPr>
            </w:pPr>
            <w:r>
              <w:rPr>
                <w:color w:val="000000" w:themeColor="text1"/>
                <w:sz w:val="21"/>
                <w:highlight w:val="none"/>
              </w:rPr>
              <w:t xml:space="preserve">拟替代的污染物 </w:t>
            </w:r>
            <w:r>
              <w:rPr>
                <w:color w:val="000000" w:themeColor="text1"/>
                <w:sz w:val="21"/>
                <w:highlight w:val="none"/>
              </w:rPr>
              <w:sym w:font="Wingdings 2" w:char="00A3"/>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 xml:space="preserve">排污许可证 </w:t>
            </w:r>
            <w:r>
              <w:rPr>
                <w:color w:val="000000" w:themeColor="text1"/>
                <w:sz w:val="21"/>
                <w:highlight w:val="none"/>
              </w:rPr>
              <w:sym w:font="Wingdings 2" w:char="00A3"/>
            </w:r>
            <w:r>
              <w:rPr>
                <w:color w:val="000000" w:themeColor="text1"/>
                <w:sz w:val="21"/>
                <w:highlight w:val="none"/>
              </w:rPr>
              <w:t xml:space="preserve">；环评 </w:t>
            </w:r>
            <w:r>
              <w:rPr>
                <w:color w:val="000000" w:themeColor="text1"/>
                <w:sz w:val="21"/>
                <w:highlight w:val="none"/>
              </w:rPr>
              <w:sym w:font="Wingdings 2" w:char="00A3"/>
            </w:r>
            <w:r>
              <w:rPr>
                <w:color w:val="000000" w:themeColor="text1"/>
                <w:sz w:val="21"/>
                <w:highlight w:val="none"/>
              </w:rPr>
              <w:t xml:space="preserve">；环保验收 </w:t>
            </w:r>
            <w:r>
              <w:rPr>
                <w:color w:val="000000" w:themeColor="text1"/>
                <w:sz w:val="21"/>
                <w:highlight w:val="none"/>
              </w:rPr>
              <w:sym w:font="Wingdings 2" w:char="00A3"/>
            </w:r>
            <w:r>
              <w:rPr>
                <w:color w:val="000000" w:themeColor="text1"/>
                <w:sz w:val="21"/>
                <w:highlight w:val="none"/>
              </w:rPr>
              <w:t xml:space="preserve">；既有实测 </w:t>
            </w:r>
            <w:r>
              <w:rPr>
                <w:color w:val="000000" w:themeColor="text1"/>
                <w:sz w:val="21"/>
                <w:highlight w:val="none"/>
              </w:rPr>
              <w:sym w:font="Wingdings 2" w:char="00A3"/>
            </w:r>
            <w:r>
              <w:rPr>
                <w:color w:val="000000" w:themeColor="text1"/>
                <w:sz w:val="21"/>
                <w:highlight w:val="none"/>
              </w:rPr>
              <w:t xml:space="preserve">；现场监测 </w:t>
            </w:r>
            <w:r>
              <w:rPr>
                <w:color w:val="000000" w:themeColor="text1"/>
                <w:sz w:val="21"/>
                <w:highlight w:val="none"/>
              </w:rPr>
              <w:sym w:font="Wingdings 2" w:char="00A3"/>
            </w:r>
            <w:r>
              <w:rPr>
                <w:color w:val="000000" w:themeColor="text1"/>
                <w:sz w:val="21"/>
                <w:highlight w:val="none"/>
              </w:rPr>
              <w:t xml:space="preserve">；入河排放口数据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restart"/>
            <w:vAlign w:val="center"/>
          </w:tcPr>
          <w:p>
            <w:pPr>
              <w:spacing w:line="280" w:lineRule="exact"/>
              <w:rPr>
                <w:color w:val="000000" w:themeColor="text1"/>
                <w:sz w:val="21"/>
                <w:highlight w:val="none"/>
              </w:rPr>
            </w:pPr>
            <w:r>
              <w:rPr>
                <w:color w:val="000000" w:themeColor="text1"/>
                <w:sz w:val="21"/>
                <w:highlight w:val="none"/>
              </w:rPr>
              <w:t>受影响水体水环境质量</w:t>
            </w: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调查时期</w:t>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continue"/>
            <w:vAlign w:val="center"/>
          </w:tcPr>
          <w:p>
            <w:pPr>
              <w:spacing w:line="280" w:lineRule="exact"/>
              <w:rPr>
                <w:color w:val="000000" w:themeColor="text1"/>
                <w:sz w:val="21"/>
                <w:highlight w:val="none"/>
              </w:rPr>
            </w:pP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 xml:space="preserve">丰水期 </w:t>
            </w:r>
            <w:r>
              <w:rPr>
                <w:color w:val="000000" w:themeColor="text1"/>
                <w:sz w:val="21"/>
                <w:highlight w:val="none"/>
              </w:rPr>
              <w:sym w:font="Wingdings 2" w:char="0052"/>
            </w:r>
            <w:r>
              <w:rPr>
                <w:color w:val="000000" w:themeColor="text1"/>
                <w:sz w:val="21"/>
                <w:highlight w:val="none"/>
              </w:rPr>
              <w:t xml:space="preserve">；平水期 </w:t>
            </w:r>
            <w:r>
              <w:rPr>
                <w:color w:val="000000" w:themeColor="text1"/>
                <w:sz w:val="21"/>
                <w:highlight w:val="none"/>
              </w:rPr>
              <w:sym w:font="Wingdings 2" w:char="00A3"/>
            </w:r>
            <w:r>
              <w:rPr>
                <w:color w:val="000000" w:themeColor="text1"/>
                <w:sz w:val="21"/>
                <w:highlight w:val="none"/>
              </w:rPr>
              <w:t xml:space="preserve">；枯水期 </w:t>
            </w:r>
            <w:r>
              <w:rPr>
                <w:color w:val="000000" w:themeColor="text1"/>
                <w:sz w:val="21"/>
                <w:highlight w:val="none"/>
              </w:rPr>
              <w:sym w:font="Wingdings 2" w:char="00A3"/>
            </w:r>
            <w:r>
              <w:rPr>
                <w:color w:val="000000" w:themeColor="text1"/>
                <w:sz w:val="21"/>
                <w:highlight w:val="none"/>
              </w:rPr>
              <w:t xml:space="preserve">；冰封期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春季 </w:t>
            </w:r>
            <w:r>
              <w:rPr>
                <w:color w:val="000000" w:themeColor="text1"/>
                <w:sz w:val="21"/>
                <w:highlight w:val="none"/>
              </w:rPr>
              <w:sym w:font="Wingdings 2" w:char="00A3"/>
            </w:r>
            <w:r>
              <w:rPr>
                <w:color w:val="000000" w:themeColor="text1"/>
                <w:sz w:val="21"/>
                <w:highlight w:val="none"/>
              </w:rPr>
              <w:t xml:space="preserve">；夏季 </w:t>
            </w:r>
            <w:r>
              <w:rPr>
                <w:color w:val="000000" w:themeColor="text1"/>
                <w:sz w:val="21"/>
                <w:highlight w:val="none"/>
              </w:rPr>
              <w:sym w:font="Wingdings 2" w:char="0052"/>
            </w:r>
            <w:r>
              <w:rPr>
                <w:color w:val="000000" w:themeColor="text1"/>
                <w:sz w:val="21"/>
                <w:highlight w:val="none"/>
              </w:rPr>
              <w:t xml:space="preserve">；秋季 </w:t>
            </w:r>
            <w:r>
              <w:rPr>
                <w:color w:val="000000" w:themeColor="text1"/>
                <w:sz w:val="21"/>
                <w:highlight w:val="none"/>
              </w:rPr>
              <w:sym w:font="Wingdings 2" w:char="00A3"/>
            </w:r>
            <w:r>
              <w:rPr>
                <w:color w:val="000000" w:themeColor="text1"/>
                <w:sz w:val="21"/>
                <w:highlight w:val="none"/>
              </w:rPr>
              <w:t xml:space="preserve">；冬季 </w:t>
            </w:r>
            <w:r>
              <w:rPr>
                <w:color w:val="000000" w:themeColor="text1"/>
                <w:sz w:val="21"/>
                <w:highlight w:val="none"/>
              </w:rPr>
              <w:sym w:font="Wingdings 2" w:char="00A3"/>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 xml:space="preserve">生态环境保护主管部门 </w:t>
            </w:r>
            <w:r>
              <w:rPr>
                <w:color w:val="000000" w:themeColor="text1"/>
                <w:sz w:val="21"/>
                <w:highlight w:val="none"/>
              </w:rPr>
              <w:sym w:font="Wingdings 2" w:char="00A3"/>
            </w:r>
            <w:r>
              <w:rPr>
                <w:color w:val="000000" w:themeColor="text1"/>
                <w:sz w:val="21"/>
                <w:highlight w:val="none"/>
              </w:rPr>
              <w:t xml:space="preserve">；补充监测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区域水资源开发利用状况</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未开发 </w:t>
            </w:r>
            <w:r>
              <w:rPr>
                <w:color w:val="000000" w:themeColor="text1"/>
                <w:sz w:val="21"/>
                <w:highlight w:val="none"/>
              </w:rPr>
              <w:sym w:font="Wingdings 2" w:char="00A3"/>
            </w:r>
            <w:r>
              <w:rPr>
                <w:color w:val="000000" w:themeColor="text1"/>
                <w:sz w:val="21"/>
                <w:highlight w:val="none"/>
              </w:rPr>
              <w:t xml:space="preserve">；开发量40%以下 </w:t>
            </w:r>
            <w:r>
              <w:rPr>
                <w:color w:val="000000" w:themeColor="text1"/>
                <w:sz w:val="21"/>
                <w:highlight w:val="none"/>
              </w:rPr>
              <w:sym w:font="Wingdings 2" w:char="0052"/>
            </w:r>
            <w:r>
              <w:rPr>
                <w:color w:val="000000" w:themeColor="text1"/>
                <w:sz w:val="21"/>
                <w:highlight w:val="none"/>
              </w:rPr>
              <w:t xml:space="preserve">；开发量40%以上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restart"/>
            <w:vAlign w:val="center"/>
          </w:tcPr>
          <w:p>
            <w:pPr>
              <w:spacing w:line="280" w:lineRule="exact"/>
              <w:rPr>
                <w:color w:val="000000" w:themeColor="text1"/>
                <w:sz w:val="21"/>
                <w:highlight w:val="none"/>
              </w:rPr>
            </w:pPr>
            <w:r>
              <w:rPr>
                <w:color w:val="000000" w:themeColor="text1"/>
                <w:sz w:val="21"/>
                <w:highlight w:val="none"/>
              </w:rPr>
              <w:t>水文情势调查</w:t>
            </w: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调查时期</w:t>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数据来源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continue"/>
            <w:vAlign w:val="center"/>
          </w:tcPr>
          <w:p>
            <w:pPr>
              <w:spacing w:line="280" w:lineRule="exact"/>
              <w:rPr>
                <w:color w:val="000000" w:themeColor="text1"/>
                <w:sz w:val="21"/>
                <w:highlight w:val="none"/>
              </w:rPr>
            </w:pP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 xml:space="preserve">丰水期 </w:t>
            </w:r>
            <w:r>
              <w:rPr>
                <w:color w:val="000000" w:themeColor="text1"/>
                <w:sz w:val="21"/>
                <w:highlight w:val="none"/>
              </w:rPr>
              <w:sym w:font="Wingdings 2" w:char="0052"/>
            </w:r>
            <w:r>
              <w:rPr>
                <w:color w:val="000000" w:themeColor="text1"/>
                <w:sz w:val="21"/>
                <w:highlight w:val="none"/>
              </w:rPr>
              <w:t xml:space="preserve">；平水期 </w:t>
            </w:r>
            <w:r>
              <w:rPr>
                <w:color w:val="000000" w:themeColor="text1"/>
                <w:sz w:val="21"/>
                <w:highlight w:val="none"/>
              </w:rPr>
              <w:sym w:font="Wingdings 2" w:char="0052"/>
            </w:r>
            <w:r>
              <w:rPr>
                <w:color w:val="000000" w:themeColor="text1"/>
                <w:sz w:val="21"/>
                <w:highlight w:val="none"/>
              </w:rPr>
              <w:t xml:space="preserve">；枯水期 </w:t>
            </w:r>
            <w:r>
              <w:rPr>
                <w:color w:val="000000" w:themeColor="text1"/>
                <w:sz w:val="21"/>
                <w:highlight w:val="none"/>
              </w:rPr>
              <w:sym w:font="Wingdings 2" w:char="0052"/>
            </w:r>
            <w:r>
              <w:rPr>
                <w:color w:val="000000" w:themeColor="text1"/>
                <w:sz w:val="21"/>
                <w:highlight w:val="none"/>
              </w:rPr>
              <w:t xml:space="preserve">；冰封期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春季 </w:t>
            </w:r>
            <w:r>
              <w:rPr>
                <w:color w:val="000000" w:themeColor="text1"/>
                <w:sz w:val="21"/>
                <w:highlight w:val="none"/>
              </w:rPr>
              <w:sym w:font="Wingdings 2" w:char="0052"/>
            </w:r>
            <w:r>
              <w:rPr>
                <w:color w:val="000000" w:themeColor="text1"/>
                <w:sz w:val="21"/>
                <w:highlight w:val="none"/>
              </w:rPr>
              <w:t xml:space="preserve">；夏季 </w:t>
            </w:r>
            <w:r>
              <w:rPr>
                <w:color w:val="000000" w:themeColor="text1"/>
                <w:sz w:val="21"/>
                <w:highlight w:val="none"/>
              </w:rPr>
              <w:sym w:font="Wingdings 2" w:char="0052"/>
            </w:r>
            <w:r>
              <w:rPr>
                <w:color w:val="000000" w:themeColor="text1"/>
                <w:sz w:val="21"/>
                <w:highlight w:val="none"/>
              </w:rPr>
              <w:t xml:space="preserve">；秋季 </w:t>
            </w:r>
            <w:r>
              <w:rPr>
                <w:color w:val="000000" w:themeColor="text1"/>
                <w:sz w:val="21"/>
                <w:highlight w:val="none"/>
              </w:rPr>
              <w:sym w:font="Wingdings 2" w:char="0052"/>
            </w:r>
            <w:r>
              <w:rPr>
                <w:color w:val="000000" w:themeColor="text1"/>
                <w:sz w:val="21"/>
                <w:highlight w:val="none"/>
              </w:rPr>
              <w:t xml:space="preserve">；冬季 </w:t>
            </w:r>
            <w:r>
              <w:rPr>
                <w:color w:val="000000" w:themeColor="text1"/>
                <w:sz w:val="21"/>
                <w:highlight w:val="none"/>
              </w:rPr>
              <w:sym w:font="Wingdings 2" w:char="0052"/>
            </w:r>
          </w:p>
        </w:tc>
        <w:tc>
          <w:tcPr>
            <w:tcW w:w="5245" w:type="dxa"/>
            <w:gridSpan w:val="7"/>
            <w:vAlign w:val="center"/>
          </w:tcPr>
          <w:p>
            <w:pPr>
              <w:spacing w:line="280" w:lineRule="exact"/>
              <w:rPr>
                <w:color w:val="000000" w:themeColor="text1"/>
                <w:sz w:val="21"/>
                <w:highlight w:val="none"/>
              </w:rPr>
            </w:pPr>
            <w:r>
              <w:rPr>
                <w:color w:val="000000" w:themeColor="text1"/>
                <w:sz w:val="21"/>
                <w:highlight w:val="none"/>
              </w:rPr>
              <w:t xml:space="preserve">水行政主管部门 </w:t>
            </w:r>
            <w:r>
              <w:rPr>
                <w:color w:val="000000" w:themeColor="text1"/>
                <w:sz w:val="21"/>
                <w:highlight w:val="none"/>
              </w:rPr>
              <w:sym w:font="Wingdings 2" w:char="0052"/>
            </w:r>
            <w:r>
              <w:rPr>
                <w:color w:val="000000" w:themeColor="text1"/>
                <w:sz w:val="21"/>
                <w:highlight w:val="none"/>
              </w:rPr>
              <w:t xml:space="preserve">；补充监测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restart"/>
            <w:vAlign w:val="center"/>
          </w:tcPr>
          <w:p>
            <w:pPr>
              <w:spacing w:line="280" w:lineRule="exact"/>
              <w:rPr>
                <w:color w:val="000000" w:themeColor="text1"/>
                <w:sz w:val="21"/>
                <w:highlight w:val="none"/>
              </w:rPr>
            </w:pPr>
            <w:r>
              <w:rPr>
                <w:color w:val="000000" w:themeColor="text1"/>
                <w:sz w:val="21"/>
                <w:highlight w:val="none"/>
              </w:rPr>
              <w:t>补充监测</w:t>
            </w: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监测时期</w:t>
            </w:r>
          </w:p>
        </w:tc>
        <w:tc>
          <w:tcPr>
            <w:tcW w:w="2730" w:type="dxa"/>
            <w:gridSpan w:val="4"/>
            <w:vAlign w:val="center"/>
          </w:tcPr>
          <w:p>
            <w:pPr>
              <w:spacing w:line="280" w:lineRule="exact"/>
              <w:rPr>
                <w:color w:val="000000" w:themeColor="text1"/>
                <w:sz w:val="21"/>
                <w:highlight w:val="none"/>
              </w:rPr>
            </w:pPr>
            <w:r>
              <w:rPr>
                <w:color w:val="000000" w:themeColor="text1"/>
                <w:sz w:val="21"/>
                <w:highlight w:val="none"/>
              </w:rPr>
              <w:t>监测因子</w:t>
            </w:r>
          </w:p>
        </w:tc>
        <w:tc>
          <w:tcPr>
            <w:tcW w:w="2515" w:type="dxa"/>
            <w:gridSpan w:val="3"/>
            <w:vAlign w:val="center"/>
          </w:tcPr>
          <w:p>
            <w:pPr>
              <w:spacing w:line="280" w:lineRule="exact"/>
              <w:rPr>
                <w:color w:val="000000" w:themeColor="text1"/>
                <w:sz w:val="21"/>
                <w:highlight w:val="none"/>
              </w:rPr>
            </w:pPr>
            <w:r>
              <w:rPr>
                <w:color w:val="000000" w:themeColor="text1"/>
                <w:sz w:val="21"/>
                <w:highlight w:val="none"/>
              </w:rPr>
              <w:t>监测段面或点位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continue"/>
            <w:vAlign w:val="center"/>
          </w:tcPr>
          <w:p>
            <w:pPr>
              <w:spacing w:line="280" w:lineRule="exact"/>
              <w:rPr>
                <w:color w:val="000000" w:themeColor="text1"/>
                <w:sz w:val="21"/>
                <w:highlight w:val="none"/>
              </w:rPr>
            </w:pPr>
          </w:p>
        </w:tc>
        <w:tc>
          <w:tcPr>
            <w:tcW w:w="5676" w:type="dxa"/>
            <w:gridSpan w:val="6"/>
            <w:vAlign w:val="center"/>
          </w:tcPr>
          <w:p>
            <w:pPr>
              <w:spacing w:line="280" w:lineRule="exact"/>
              <w:rPr>
                <w:color w:val="000000" w:themeColor="text1"/>
                <w:sz w:val="21"/>
                <w:highlight w:val="none"/>
              </w:rPr>
            </w:pPr>
            <w:r>
              <w:rPr>
                <w:color w:val="000000" w:themeColor="text1"/>
                <w:sz w:val="21"/>
                <w:highlight w:val="none"/>
              </w:rPr>
              <w:t xml:space="preserve">丰水期 </w:t>
            </w:r>
            <w:r>
              <w:rPr>
                <w:color w:val="000000" w:themeColor="text1"/>
                <w:sz w:val="21"/>
                <w:highlight w:val="none"/>
              </w:rPr>
              <w:sym w:font="Wingdings 2" w:char="00A3"/>
            </w:r>
            <w:r>
              <w:rPr>
                <w:color w:val="000000" w:themeColor="text1"/>
                <w:sz w:val="21"/>
                <w:highlight w:val="none"/>
              </w:rPr>
              <w:t xml:space="preserve">；平水期 </w:t>
            </w:r>
            <w:r>
              <w:rPr>
                <w:color w:val="000000" w:themeColor="text1"/>
                <w:sz w:val="21"/>
                <w:highlight w:val="none"/>
              </w:rPr>
              <w:sym w:font="Wingdings 2" w:char="00A3"/>
            </w:r>
            <w:r>
              <w:rPr>
                <w:color w:val="000000" w:themeColor="text1"/>
                <w:sz w:val="21"/>
                <w:highlight w:val="none"/>
              </w:rPr>
              <w:t xml:space="preserve">；枯水期 </w:t>
            </w:r>
            <w:r>
              <w:rPr>
                <w:color w:val="000000" w:themeColor="text1"/>
                <w:sz w:val="21"/>
                <w:highlight w:val="none"/>
              </w:rPr>
              <w:sym w:font="Wingdings 2" w:char="00A3"/>
            </w:r>
            <w:r>
              <w:rPr>
                <w:color w:val="000000" w:themeColor="text1"/>
                <w:sz w:val="21"/>
                <w:highlight w:val="none"/>
              </w:rPr>
              <w:t xml:space="preserve">；冰封期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春季 </w:t>
            </w:r>
            <w:r>
              <w:rPr>
                <w:color w:val="000000" w:themeColor="text1"/>
                <w:sz w:val="21"/>
                <w:highlight w:val="none"/>
              </w:rPr>
              <w:sym w:font="Wingdings 2" w:char="00A3"/>
            </w:r>
            <w:r>
              <w:rPr>
                <w:color w:val="000000" w:themeColor="text1"/>
                <w:sz w:val="21"/>
                <w:highlight w:val="none"/>
              </w:rPr>
              <w:t xml:space="preserve">；夏季 </w:t>
            </w:r>
            <w:r>
              <w:rPr>
                <w:color w:val="000000" w:themeColor="text1"/>
                <w:sz w:val="21"/>
                <w:highlight w:val="none"/>
              </w:rPr>
              <w:sym w:font="Wingdings 2" w:char="00A3"/>
            </w:r>
            <w:r>
              <w:rPr>
                <w:color w:val="000000" w:themeColor="text1"/>
                <w:sz w:val="21"/>
                <w:highlight w:val="none"/>
              </w:rPr>
              <w:t xml:space="preserve">；秋季 </w:t>
            </w:r>
            <w:r>
              <w:rPr>
                <w:color w:val="000000" w:themeColor="text1"/>
                <w:sz w:val="21"/>
                <w:highlight w:val="none"/>
              </w:rPr>
              <w:sym w:font="Wingdings 2" w:char="00A3"/>
            </w:r>
            <w:r>
              <w:rPr>
                <w:color w:val="000000" w:themeColor="text1"/>
                <w:sz w:val="21"/>
                <w:highlight w:val="none"/>
              </w:rPr>
              <w:t xml:space="preserve">；冬季 </w:t>
            </w:r>
            <w:r>
              <w:rPr>
                <w:color w:val="000000" w:themeColor="text1"/>
                <w:sz w:val="21"/>
                <w:highlight w:val="none"/>
              </w:rPr>
              <w:sym w:font="Wingdings 2" w:char="00A3"/>
            </w:r>
          </w:p>
        </w:tc>
        <w:tc>
          <w:tcPr>
            <w:tcW w:w="2730" w:type="dxa"/>
            <w:gridSpan w:val="4"/>
            <w:vAlign w:val="center"/>
          </w:tcPr>
          <w:p>
            <w:pPr>
              <w:spacing w:line="280" w:lineRule="exact"/>
              <w:rPr>
                <w:color w:val="000000" w:themeColor="text1"/>
                <w:sz w:val="21"/>
                <w:highlight w:val="none"/>
              </w:rPr>
            </w:pPr>
            <w:r>
              <w:rPr>
                <w:color w:val="000000" w:themeColor="text1"/>
                <w:sz w:val="21"/>
                <w:highlight w:val="none"/>
              </w:rPr>
              <w:t>（  ）</w:t>
            </w:r>
          </w:p>
        </w:tc>
        <w:tc>
          <w:tcPr>
            <w:tcW w:w="2515" w:type="dxa"/>
            <w:gridSpan w:val="3"/>
            <w:vAlign w:val="center"/>
          </w:tcPr>
          <w:p>
            <w:pPr>
              <w:spacing w:line="280" w:lineRule="exact"/>
              <w:rPr>
                <w:color w:val="000000" w:themeColor="text1"/>
                <w:sz w:val="21"/>
                <w:highlight w:val="none"/>
              </w:rPr>
            </w:pPr>
            <w:r>
              <w:rPr>
                <w:color w:val="000000" w:themeColor="text1"/>
                <w:sz w:val="21"/>
                <w:highlight w:val="none"/>
              </w:rPr>
              <w:t>监测断面或点位个数（  ）个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restart"/>
            <w:vAlign w:val="center"/>
          </w:tcPr>
          <w:p>
            <w:pPr>
              <w:spacing w:line="280" w:lineRule="exact"/>
              <w:rPr>
                <w:color w:val="000000" w:themeColor="text1"/>
                <w:sz w:val="21"/>
                <w:highlight w:val="none"/>
              </w:rPr>
            </w:pPr>
            <w:r>
              <w:rPr>
                <w:color w:val="000000" w:themeColor="text1"/>
                <w:sz w:val="21"/>
                <w:highlight w:val="none"/>
              </w:rPr>
              <w:t>现状评价</w:t>
            </w: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评价范围</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河流：长度（ ）km；湖库、河口及近岸海域：面积（  ）km</w:t>
            </w:r>
            <w:r>
              <w:rPr>
                <w:color w:val="000000" w:themeColor="text1"/>
                <w:sz w:val="21"/>
                <w:highlight w:val="non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评价因子</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（pH、悬浮物、BOD</w:t>
            </w:r>
            <w:r>
              <w:rPr>
                <w:color w:val="000000" w:themeColor="text1"/>
                <w:sz w:val="21"/>
                <w:highlight w:val="none"/>
                <w:vertAlign w:val="subscript"/>
              </w:rPr>
              <w:t>5</w:t>
            </w:r>
            <w:r>
              <w:rPr>
                <w:color w:val="000000" w:themeColor="text1"/>
                <w:sz w:val="21"/>
                <w:highlight w:val="none"/>
              </w:rPr>
              <w:t>、CODCr、氨氮）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评价标准</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河流、湖库、河口：I类 </w:t>
            </w:r>
            <w:r>
              <w:rPr>
                <w:color w:val="000000" w:themeColor="text1"/>
                <w:sz w:val="21"/>
                <w:highlight w:val="none"/>
              </w:rPr>
              <w:sym w:font="Wingdings 2" w:char="00A3"/>
            </w:r>
            <w:r>
              <w:rPr>
                <w:color w:val="000000" w:themeColor="text1"/>
                <w:sz w:val="21"/>
                <w:highlight w:val="none"/>
              </w:rPr>
              <w:t xml:space="preserve">；II类 </w:t>
            </w:r>
            <w:r>
              <w:rPr>
                <w:color w:val="000000" w:themeColor="text1"/>
                <w:sz w:val="21"/>
                <w:highlight w:val="none"/>
              </w:rPr>
              <w:sym w:font="Wingdings 2" w:char="00A3"/>
            </w:r>
            <w:r>
              <w:rPr>
                <w:color w:val="000000" w:themeColor="text1"/>
                <w:sz w:val="21"/>
                <w:highlight w:val="none"/>
              </w:rPr>
              <w:t xml:space="preserve">；III类 </w:t>
            </w:r>
            <w:r>
              <w:rPr>
                <w:color w:val="000000" w:themeColor="text1"/>
                <w:sz w:val="21"/>
                <w:highlight w:val="none"/>
              </w:rPr>
              <w:sym w:font="Wingdings 2" w:char="0052"/>
            </w:r>
            <w:r>
              <w:rPr>
                <w:color w:val="000000" w:themeColor="text1"/>
                <w:sz w:val="21"/>
                <w:highlight w:val="none"/>
              </w:rPr>
              <w:t xml:space="preserve">；IV类 </w:t>
            </w:r>
            <w:r>
              <w:rPr>
                <w:color w:val="000000" w:themeColor="text1"/>
                <w:sz w:val="21"/>
                <w:highlight w:val="none"/>
              </w:rPr>
              <w:sym w:font="Wingdings 2" w:char="00A3"/>
            </w:r>
            <w:r>
              <w:rPr>
                <w:color w:val="000000" w:themeColor="text1"/>
                <w:sz w:val="21"/>
                <w:highlight w:val="none"/>
              </w:rPr>
              <w:t xml:space="preserve">；V类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近岸海域：第一类 </w:t>
            </w:r>
            <w:r>
              <w:rPr>
                <w:color w:val="000000" w:themeColor="text1"/>
                <w:sz w:val="21"/>
                <w:highlight w:val="none"/>
              </w:rPr>
              <w:sym w:font="Wingdings 2" w:char="00A3"/>
            </w:r>
            <w:r>
              <w:rPr>
                <w:color w:val="000000" w:themeColor="text1"/>
                <w:sz w:val="21"/>
                <w:highlight w:val="none"/>
              </w:rPr>
              <w:t xml:space="preserve">；第二类 </w:t>
            </w:r>
            <w:r>
              <w:rPr>
                <w:color w:val="000000" w:themeColor="text1"/>
                <w:sz w:val="21"/>
                <w:highlight w:val="none"/>
              </w:rPr>
              <w:sym w:font="Wingdings 2" w:char="00A3"/>
            </w:r>
            <w:r>
              <w:rPr>
                <w:color w:val="000000" w:themeColor="text1"/>
                <w:sz w:val="21"/>
                <w:highlight w:val="none"/>
              </w:rPr>
              <w:t xml:space="preserve">；第三类 </w:t>
            </w:r>
            <w:r>
              <w:rPr>
                <w:color w:val="000000" w:themeColor="text1"/>
                <w:sz w:val="21"/>
                <w:highlight w:val="none"/>
              </w:rPr>
              <w:sym w:font="Wingdings 2" w:char="00A3"/>
            </w:r>
            <w:r>
              <w:rPr>
                <w:color w:val="000000" w:themeColor="text1"/>
                <w:sz w:val="21"/>
                <w:highlight w:val="none"/>
              </w:rPr>
              <w:t xml:space="preserve">；第四类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规划年评价标准（GB3838-2002 </w:t>
            </w:r>
            <w:r>
              <w:rPr>
                <w:rFonts w:hint="eastAsia"/>
                <w:color w:val="000000" w:themeColor="text1"/>
                <w:sz w:val="21"/>
                <w:highlight w:val="none"/>
              </w:rPr>
              <w:t>中III类水体</w:t>
            </w:r>
            <w:r>
              <w:rPr>
                <w:color w:val="000000" w:themeColor="text1"/>
                <w:sz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评价时期</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丰水期 </w:t>
            </w:r>
            <w:r>
              <w:rPr>
                <w:color w:val="000000" w:themeColor="text1"/>
                <w:sz w:val="21"/>
                <w:highlight w:val="none"/>
              </w:rPr>
              <w:sym w:font="Wingdings 2" w:char="00A3"/>
            </w:r>
            <w:r>
              <w:rPr>
                <w:color w:val="000000" w:themeColor="text1"/>
                <w:sz w:val="21"/>
                <w:highlight w:val="none"/>
              </w:rPr>
              <w:t xml:space="preserve">；平水期 </w:t>
            </w:r>
            <w:r>
              <w:rPr>
                <w:color w:val="000000" w:themeColor="text1"/>
                <w:sz w:val="21"/>
                <w:highlight w:val="none"/>
              </w:rPr>
              <w:sym w:font="Wingdings 2" w:char="0052"/>
            </w:r>
            <w:r>
              <w:rPr>
                <w:color w:val="000000" w:themeColor="text1"/>
                <w:sz w:val="21"/>
                <w:highlight w:val="none"/>
              </w:rPr>
              <w:t xml:space="preserve">；枯水期 </w:t>
            </w:r>
            <w:r>
              <w:rPr>
                <w:color w:val="000000" w:themeColor="text1"/>
                <w:sz w:val="21"/>
                <w:highlight w:val="none"/>
              </w:rPr>
              <w:sym w:font="Wingdings 2" w:char="00A3"/>
            </w:r>
            <w:r>
              <w:rPr>
                <w:color w:val="000000" w:themeColor="text1"/>
                <w:sz w:val="21"/>
                <w:highlight w:val="none"/>
              </w:rPr>
              <w:t xml:space="preserve">；冰封期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春季 </w:t>
            </w:r>
            <w:r>
              <w:rPr>
                <w:color w:val="000000" w:themeColor="text1"/>
                <w:sz w:val="21"/>
                <w:highlight w:val="none"/>
              </w:rPr>
              <w:sym w:font="Wingdings 2" w:char="00A3"/>
            </w:r>
            <w:r>
              <w:rPr>
                <w:color w:val="000000" w:themeColor="text1"/>
                <w:sz w:val="21"/>
                <w:highlight w:val="none"/>
              </w:rPr>
              <w:t xml:space="preserve">；夏季 </w:t>
            </w:r>
            <w:r>
              <w:rPr>
                <w:color w:val="000000" w:themeColor="text1"/>
                <w:sz w:val="21"/>
                <w:highlight w:val="none"/>
              </w:rPr>
              <w:sym w:font="Wingdings 2" w:char="0052"/>
            </w:r>
            <w:r>
              <w:rPr>
                <w:color w:val="000000" w:themeColor="text1"/>
                <w:sz w:val="21"/>
                <w:highlight w:val="none"/>
              </w:rPr>
              <w:t xml:space="preserve">；秋季 </w:t>
            </w:r>
            <w:r>
              <w:rPr>
                <w:color w:val="000000" w:themeColor="text1"/>
                <w:sz w:val="21"/>
                <w:highlight w:val="none"/>
              </w:rPr>
              <w:sym w:font="Wingdings 2" w:char="00A3"/>
            </w:r>
            <w:r>
              <w:rPr>
                <w:color w:val="000000" w:themeColor="text1"/>
                <w:sz w:val="21"/>
                <w:highlight w:val="none"/>
              </w:rPr>
              <w:t xml:space="preserve">；冬季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评价结论</w:t>
            </w:r>
          </w:p>
        </w:tc>
        <w:tc>
          <w:tcPr>
            <w:tcW w:w="8891" w:type="dxa"/>
            <w:gridSpan w:val="12"/>
            <w:vAlign w:val="center"/>
          </w:tcPr>
          <w:p>
            <w:pPr>
              <w:spacing w:line="280" w:lineRule="exact"/>
              <w:rPr>
                <w:color w:val="000000" w:themeColor="text1"/>
                <w:sz w:val="21"/>
                <w:highlight w:val="none"/>
              </w:rPr>
            </w:pPr>
            <w:r>
              <w:rPr>
                <w:color w:val="000000" w:themeColor="text1"/>
                <w:sz w:val="21"/>
                <w:highlight w:val="none"/>
              </w:rPr>
              <w:t xml:space="preserve">水环境功能区或水功能区、近岸海域环境功能区水质达标情况 </w:t>
            </w:r>
            <w:r>
              <w:rPr>
                <w:color w:val="000000" w:themeColor="text1"/>
                <w:sz w:val="21"/>
                <w:highlight w:val="none"/>
              </w:rPr>
              <w:sym w:font="Wingdings 2" w:char="00A3"/>
            </w:r>
            <w:r>
              <w:rPr>
                <w:color w:val="000000" w:themeColor="text1"/>
                <w:sz w:val="21"/>
                <w:highlight w:val="none"/>
              </w:rPr>
              <w:t xml:space="preserve">：达标 </w:t>
            </w:r>
            <w:r>
              <w:rPr>
                <w:color w:val="000000" w:themeColor="text1"/>
                <w:sz w:val="21"/>
                <w:highlight w:val="none"/>
              </w:rPr>
              <w:sym w:font="Wingdings 2" w:char="0052"/>
            </w:r>
            <w:r>
              <w:rPr>
                <w:color w:val="000000" w:themeColor="text1"/>
                <w:sz w:val="21"/>
                <w:highlight w:val="none"/>
              </w:rPr>
              <w:t xml:space="preserve">；不达标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水环境控制单元或断面水质达标状况 </w:t>
            </w:r>
            <w:r>
              <w:rPr>
                <w:color w:val="000000" w:themeColor="text1"/>
                <w:sz w:val="21"/>
                <w:highlight w:val="none"/>
              </w:rPr>
              <w:sym w:font="Wingdings 2" w:char="00A3"/>
            </w:r>
            <w:r>
              <w:rPr>
                <w:color w:val="000000" w:themeColor="text1"/>
                <w:sz w:val="21"/>
                <w:highlight w:val="none"/>
              </w:rPr>
              <w:t xml:space="preserve">：达标 </w:t>
            </w:r>
            <w:r>
              <w:rPr>
                <w:color w:val="000000" w:themeColor="text1"/>
                <w:sz w:val="21"/>
                <w:highlight w:val="none"/>
              </w:rPr>
              <w:sym w:font="Wingdings 2" w:char="0052"/>
            </w:r>
            <w:r>
              <w:rPr>
                <w:color w:val="000000" w:themeColor="text1"/>
                <w:sz w:val="21"/>
                <w:highlight w:val="none"/>
              </w:rPr>
              <w:t xml:space="preserve">；不达标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水环境保护目标质量状况 </w:t>
            </w:r>
            <w:r>
              <w:rPr>
                <w:color w:val="000000" w:themeColor="text1"/>
                <w:sz w:val="21"/>
                <w:highlight w:val="none"/>
              </w:rPr>
              <w:sym w:font="Wingdings 2" w:char="00A3"/>
            </w:r>
            <w:r>
              <w:rPr>
                <w:color w:val="000000" w:themeColor="text1"/>
                <w:sz w:val="21"/>
                <w:highlight w:val="none"/>
              </w:rPr>
              <w:t xml:space="preserve">：达标 </w:t>
            </w:r>
            <w:r>
              <w:rPr>
                <w:color w:val="000000" w:themeColor="text1"/>
                <w:sz w:val="21"/>
                <w:highlight w:val="none"/>
              </w:rPr>
              <w:sym w:font="Wingdings 2" w:char="0052"/>
            </w:r>
            <w:r>
              <w:rPr>
                <w:color w:val="000000" w:themeColor="text1"/>
                <w:sz w:val="21"/>
                <w:highlight w:val="none"/>
              </w:rPr>
              <w:t xml:space="preserve">；不达标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对照断面、控制断面等代表性断面的水质状况</w:t>
            </w:r>
            <w:r>
              <w:rPr>
                <w:color w:val="000000" w:themeColor="text1"/>
                <w:sz w:val="21"/>
                <w:highlight w:val="none"/>
              </w:rPr>
              <w:sym w:font="Wingdings 2" w:char="00A3"/>
            </w:r>
            <w:r>
              <w:rPr>
                <w:color w:val="000000" w:themeColor="text1"/>
                <w:sz w:val="21"/>
                <w:highlight w:val="none"/>
              </w:rPr>
              <w:t xml:space="preserve">：达标 </w:t>
            </w:r>
            <w:r>
              <w:rPr>
                <w:color w:val="000000" w:themeColor="text1"/>
                <w:sz w:val="21"/>
                <w:highlight w:val="none"/>
              </w:rPr>
              <w:sym w:font="Wingdings 2" w:char="0052"/>
            </w:r>
            <w:r>
              <w:rPr>
                <w:color w:val="000000" w:themeColor="text1"/>
                <w:sz w:val="21"/>
                <w:highlight w:val="none"/>
              </w:rPr>
              <w:t xml:space="preserve">；不达标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底泥污染评价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水资源与开发利用程度及其水文情势评价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水环境质量回顾评价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流域（区域）水资源（包括水能资源）与开发利用总体状况、生态流量管理要求与现状满足程度、建设项目占用水域空间的水流状况与河湖演变状况 </w:t>
            </w:r>
            <w:r>
              <w:rPr>
                <w:color w:val="000000" w:themeColor="text1"/>
                <w:sz w:val="21"/>
                <w:highlight w:val="none"/>
              </w:rPr>
              <w:sym w:font="Wingdings 2" w:char="00A3"/>
            </w:r>
          </w:p>
        </w:tc>
        <w:tc>
          <w:tcPr>
            <w:tcW w:w="2030" w:type="dxa"/>
            <w:vAlign w:val="center"/>
          </w:tcPr>
          <w:p>
            <w:pPr>
              <w:spacing w:line="280" w:lineRule="exact"/>
              <w:rPr>
                <w:color w:val="000000" w:themeColor="text1"/>
                <w:sz w:val="21"/>
                <w:highlight w:val="none"/>
              </w:rPr>
            </w:pPr>
            <w:r>
              <w:rPr>
                <w:color w:val="000000" w:themeColor="text1"/>
                <w:sz w:val="21"/>
                <w:highlight w:val="none"/>
              </w:rPr>
              <w:t xml:space="preserve">达标区 </w:t>
            </w:r>
            <w:r>
              <w:rPr>
                <w:color w:val="000000" w:themeColor="text1"/>
                <w:sz w:val="21"/>
                <w:highlight w:val="none"/>
              </w:rPr>
              <w:sym w:font="Wingdings 2" w:char="0052"/>
            </w:r>
          </w:p>
          <w:p>
            <w:pPr>
              <w:spacing w:line="280" w:lineRule="exact"/>
              <w:rPr>
                <w:color w:val="000000" w:themeColor="text1"/>
                <w:sz w:val="21"/>
                <w:highlight w:val="none"/>
              </w:rPr>
            </w:pPr>
            <w:r>
              <w:rPr>
                <w:color w:val="000000" w:themeColor="text1"/>
                <w:sz w:val="21"/>
                <w:highlight w:val="none"/>
              </w:rPr>
              <w:t xml:space="preserve">不达标区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restart"/>
            <w:vAlign w:val="center"/>
          </w:tcPr>
          <w:p>
            <w:pPr>
              <w:spacing w:line="280" w:lineRule="exact"/>
              <w:rPr>
                <w:color w:val="000000" w:themeColor="text1"/>
                <w:sz w:val="21"/>
                <w:highlight w:val="none"/>
              </w:rPr>
            </w:pPr>
            <w:r>
              <w:rPr>
                <w:color w:val="000000" w:themeColor="text1"/>
                <w:sz w:val="21"/>
                <w:highlight w:val="none"/>
              </w:rPr>
              <w:t>影响预测</w:t>
            </w: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预测范围</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河流：长度（  ）km；湖库、河口及近岸海域：面积（  ）km</w:t>
            </w:r>
            <w:r>
              <w:rPr>
                <w:color w:val="000000" w:themeColor="text1"/>
                <w:sz w:val="21"/>
                <w:highlight w:val="non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预测因子</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预测时期</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丰水期</w:t>
            </w:r>
            <w:r>
              <w:rPr>
                <w:color w:val="000000" w:themeColor="text1"/>
                <w:sz w:val="21"/>
                <w:highlight w:val="none"/>
              </w:rPr>
              <w:sym w:font="Wingdings 2" w:char="00A3"/>
            </w:r>
            <w:r>
              <w:rPr>
                <w:color w:val="000000" w:themeColor="text1"/>
                <w:sz w:val="21"/>
                <w:highlight w:val="none"/>
              </w:rPr>
              <w:t>；平水期</w:t>
            </w:r>
            <w:r>
              <w:rPr>
                <w:color w:val="000000" w:themeColor="text1"/>
                <w:sz w:val="21"/>
                <w:highlight w:val="none"/>
              </w:rPr>
              <w:sym w:font="Wingdings 2" w:char="00A3"/>
            </w:r>
            <w:r>
              <w:rPr>
                <w:color w:val="000000" w:themeColor="text1"/>
                <w:sz w:val="21"/>
                <w:highlight w:val="none"/>
              </w:rPr>
              <w:t>；枯水期</w:t>
            </w:r>
            <w:r>
              <w:rPr>
                <w:color w:val="000000" w:themeColor="text1"/>
                <w:sz w:val="21"/>
                <w:highlight w:val="none"/>
              </w:rPr>
              <w:sym w:font="Wingdings 2" w:char="00A3"/>
            </w:r>
            <w:r>
              <w:rPr>
                <w:color w:val="000000" w:themeColor="text1"/>
                <w:sz w:val="21"/>
                <w:highlight w:val="none"/>
              </w:rPr>
              <w:t>；冰封期</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春季</w:t>
            </w:r>
            <w:r>
              <w:rPr>
                <w:color w:val="000000" w:themeColor="text1"/>
                <w:sz w:val="21"/>
                <w:highlight w:val="none"/>
              </w:rPr>
              <w:sym w:font="Wingdings 2" w:char="00A3"/>
            </w:r>
            <w:r>
              <w:rPr>
                <w:color w:val="000000" w:themeColor="text1"/>
                <w:sz w:val="21"/>
                <w:highlight w:val="none"/>
              </w:rPr>
              <w:t>；夏季</w:t>
            </w:r>
            <w:r>
              <w:rPr>
                <w:color w:val="000000" w:themeColor="text1"/>
                <w:sz w:val="21"/>
                <w:highlight w:val="none"/>
              </w:rPr>
              <w:sym w:font="Wingdings 2" w:char="00A3"/>
            </w:r>
            <w:r>
              <w:rPr>
                <w:color w:val="000000" w:themeColor="text1"/>
                <w:sz w:val="21"/>
                <w:highlight w:val="none"/>
              </w:rPr>
              <w:t>；秋季</w:t>
            </w:r>
            <w:r>
              <w:rPr>
                <w:color w:val="000000" w:themeColor="text1"/>
                <w:sz w:val="21"/>
                <w:highlight w:val="none"/>
              </w:rPr>
              <w:sym w:font="Wingdings 2" w:char="00A3"/>
            </w:r>
            <w:r>
              <w:rPr>
                <w:color w:val="000000" w:themeColor="text1"/>
                <w:sz w:val="21"/>
                <w:highlight w:val="none"/>
              </w:rPr>
              <w:t>；冬季</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设计水文条件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预测情景</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建设期 </w:t>
            </w:r>
            <w:r>
              <w:rPr>
                <w:color w:val="000000" w:themeColor="text1"/>
                <w:sz w:val="21"/>
                <w:highlight w:val="none"/>
              </w:rPr>
              <w:sym w:font="Wingdings 2" w:char="00A3"/>
            </w:r>
            <w:r>
              <w:rPr>
                <w:color w:val="000000" w:themeColor="text1"/>
                <w:sz w:val="21"/>
                <w:highlight w:val="none"/>
              </w:rPr>
              <w:t xml:space="preserve">；生产运行期 </w:t>
            </w:r>
            <w:r>
              <w:rPr>
                <w:color w:val="000000" w:themeColor="text1"/>
                <w:sz w:val="21"/>
                <w:highlight w:val="none"/>
              </w:rPr>
              <w:sym w:font="Wingdings 2" w:char="00A3"/>
            </w:r>
            <w:r>
              <w:rPr>
                <w:color w:val="000000" w:themeColor="text1"/>
                <w:sz w:val="21"/>
                <w:highlight w:val="none"/>
              </w:rPr>
              <w:t xml:space="preserve">；服务期满后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正常工况 </w:t>
            </w:r>
            <w:r>
              <w:rPr>
                <w:color w:val="000000" w:themeColor="text1"/>
                <w:sz w:val="21"/>
                <w:highlight w:val="none"/>
              </w:rPr>
              <w:sym w:font="Wingdings 2" w:char="00A3"/>
            </w:r>
            <w:r>
              <w:rPr>
                <w:color w:val="000000" w:themeColor="text1"/>
                <w:sz w:val="21"/>
                <w:highlight w:val="none"/>
              </w:rPr>
              <w:t xml:space="preserve">；非正常工况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污染控制和减缓措施方案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区（流）域环境指廊改善目标要求情景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预测方法</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数值解 </w:t>
            </w:r>
            <w:r>
              <w:rPr>
                <w:color w:val="000000" w:themeColor="text1"/>
                <w:sz w:val="21"/>
                <w:highlight w:val="none"/>
              </w:rPr>
              <w:sym w:font="Wingdings 2" w:char="00A3"/>
            </w:r>
            <w:r>
              <w:rPr>
                <w:color w:val="000000" w:themeColor="text1"/>
                <w:sz w:val="21"/>
                <w:highlight w:val="none"/>
              </w:rPr>
              <w:t xml:space="preserve">；解析解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导则推荐模式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dxa"/>
            <w:vMerge w:val="restart"/>
            <w:vAlign w:val="center"/>
          </w:tcPr>
          <w:p>
            <w:pPr>
              <w:spacing w:line="280" w:lineRule="exact"/>
              <w:rPr>
                <w:color w:val="000000" w:themeColor="text1"/>
                <w:sz w:val="21"/>
                <w:highlight w:val="none"/>
              </w:rPr>
            </w:pPr>
            <w:r>
              <w:rPr>
                <w:color w:val="000000" w:themeColor="text1"/>
                <w:sz w:val="21"/>
                <w:highlight w:val="none"/>
              </w:rPr>
              <w:t>影响评价</w:t>
            </w: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水污染控制和水环境影响减缓措施有效性评价</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区（流）域水环境质量改善目标 </w:t>
            </w:r>
            <w:r>
              <w:rPr>
                <w:color w:val="000000" w:themeColor="text1"/>
                <w:sz w:val="21"/>
                <w:highlight w:val="none"/>
              </w:rPr>
              <w:sym w:font="Wingdings 2" w:char="00A3"/>
            </w:r>
            <w:r>
              <w:rPr>
                <w:color w:val="000000" w:themeColor="text1"/>
                <w:sz w:val="21"/>
                <w:highlight w:val="none"/>
              </w:rPr>
              <w:t xml:space="preserve">；替代削减源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水环境影响评价</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排放口混合区外满足水环境管理要求 </w:t>
            </w:r>
            <w:r>
              <w:rPr>
                <w:color w:val="000000" w:themeColor="text1"/>
                <w:sz w:val="21"/>
                <w:highlight w:val="none"/>
              </w:rPr>
              <w:sym w:font="Wingdings 2" w:char="0052"/>
            </w:r>
          </w:p>
          <w:p>
            <w:pPr>
              <w:spacing w:line="280" w:lineRule="exact"/>
              <w:rPr>
                <w:color w:val="000000" w:themeColor="text1"/>
                <w:sz w:val="21"/>
                <w:highlight w:val="none"/>
              </w:rPr>
            </w:pPr>
            <w:r>
              <w:rPr>
                <w:color w:val="000000" w:themeColor="text1"/>
                <w:sz w:val="21"/>
                <w:highlight w:val="none"/>
              </w:rPr>
              <w:t xml:space="preserve">水环境功能区或水功能区、近岸海域环境功能区水质达标 </w:t>
            </w:r>
            <w:r>
              <w:rPr>
                <w:color w:val="000000" w:themeColor="text1"/>
                <w:sz w:val="21"/>
                <w:highlight w:val="none"/>
              </w:rPr>
              <w:sym w:font="Wingdings 2" w:char="0052"/>
            </w:r>
          </w:p>
          <w:p>
            <w:pPr>
              <w:spacing w:line="280" w:lineRule="exact"/>
              <w:rPr>
                <w:color w:val="000000" w:themeColor="text1"/>
                <w:sz w:val="21"/>
                <w:highlight w:val="none"/>
              </w:rPr>
            </w:pPr>
            <w:r>
              <w:rPr>
                <w:color w:val="000000" w:themeColor="text1"/>
                <w:sz w:val="21"/>
                <w:highlight w:val="none"/>
              </w:rPr>
              <w:t xml:space="preserve">满足水环境保护目标水域水环境质量要求 </w:t>
            </w:r>
            <w:r>
              <w:rPr>
                <w:color w:val="000000" w:themeColor="text1"/>
                <w:sz w:val="21"/>
                <w:highlight w:val="none"/>
              </w:rPr>
              <w:sym w:font="Wingdings 2" w:char="0052"/>
            </w:r>
          </w:p>
          <w:p>
            <w:pPr>
              <w:spacing w:line="280" w:lineRule="exact"/>
              <w:rPr>
                <w:color w:val="000000" w:themeColor="text1"/>
                <w:sz w:val="21"/>
                <w:highlight w:val="none"/>
              </w:rPr>
            </w:pPr>
            <w:r>
              <w:rPr>
                <w:color w:val="000000" w:themeColor="text1"/>
                <w:sz w:val="21"/>
                <w:highlight w:val="none"/>
              </w:rPr>
              <w:t xml:space="preserve">水环境控制单元或断面水质达标 </w:t>
            </w:r>
            <w:r>
              <w:rPr>
                <w:color w:val="000000" w:themeColor="text1"/>
                <w:sz w:val="21"/>
                <w:highlight w:val="none"/>
              </w:rPr>
              <w:sym w:font="Wingdings 2" w:char="0052"/>
            </w:r>
          </w:p>
          <w:p>
            <w:pPr>
              <w:spacing w:line="280" w:lineRule="exact"/>
              <w:rPr>
                <w:color w:val="000000" w:themeColor="text1"/>
                <w:sz w:val="21"/>
                <w:highlight w:val="none"/>
              </w:rPr>
            </w:pPr>
            <w:r>
              <w:rPr>
                <w:color w:val="000000" w:themeColor="text1"/>
                <w:sz w:val="21"/>
                <w:highlight w:val="none"/>
              </w:rPr>
              <w:t xml:space="preserve">满足重点水污染物排放总量控制指标要求，重点行业建设项目，主要污染物排放满足等量或减量替代要求 </w:t>
            </w:r>
            <w:r>
              <w:rPr>
                <w:color w:val="000000" w:themeColor="text1"/>
                <w:sz w:val="21"/>
                <w:highlight w:val="none"/>
              </w:rPr>
              <w:sym w:font="Wingdings 2" w:char="0052"/>
            </w:r>
          </w:p>
          <w:p>
            <w:pPr>
              <w:spacing w:line="280" w:lineRule="exact"/>
              <w:rPr>
                <w:color w:val="000000" w:themeColor="text1"/>
                <w:sz w:val="21"/>
                <w:highlight w:val="none"/>
              </w:rPr>
            </w:pPr>
            <w:r>
              <w:rPr>
                <w:color w:val="000000" w:themeColor="text1"/>
                <w:sz w:val="21"/>
                <w:highlight w:val="none"/>
              </w:rPr>
              <w:t xml:space="preserve">满足区（流）域水环境质量改善目标要求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水文要素影响型建设项目同时应包括水文情势变化评价、主要水文特征值影响评价、生态流量符合性评价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对于新设或调整入河（湖库、近岸海域）排放口的建设项目，应包括排放口设置的环境合理性评价 </w:t>
            </w:r>
            <w:r>
              <w:rPr>
                <w:color w:val="000000" w:themeColor="text1"/>
                <w:sz w:val="21"/>
                <w:highlight w:val="none"/>
              </w:rPr>
              <w:sym w:font="Wingdings 2" w:char="00A3"/>
            </w:r>
          </w:p>
          <w:p>
            <w:pPr>
              <w:spacing w:line="280" w:lineRule="exact"/>
              <w:rPr>
                <w:color w:val="000000" w:themeColor="text1"/>
                <w:sz w:val="21"/>
                <w:highlight w:val="none"/>
              </w:rPr>
            </w:pPr>
            <w:r>
              <w:rPr>
                <w:color w:val="000000" w:themeColor="text1"/>
                <w:sz w:val="21"/>
                <w:highlight w:val="none"/>
              </w:rPr>
              <w:t xml:space="preserve">满足生态保护红线、水环境质量底线、资源利用上线和环境准入清单管理要求 </w:t>
            </w:r>
            <w:r>
              <w:rPr>
                <w:color w:val="000000" w:themeColor="text1"/>
                <w:sz w:val="21"/>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restart"/>
            <w:vAlign w:val="center"/>
          </w:tcPr>
          <w:p>
            <w:pPr>
              <w:spacing w:line="280" w:lineRule="exact"/>
              <w:rPr>
                <w:color w:val="000000" w:themeColor="text1"/>
                <w:sz w:val="21"/>
                <w:highlight w:val="none"/>
              </w:rPr>
            </w:pPr>
            <w:r>
              <w:rPr>
                <w:color w:val="000000" w:themeColor="text1"/>
                <w:sz w:val="21"/>
                <w:highlight w:val="none"/>
              </w:rPr>
              <w:t>污染源排放量核算</w:t>
            </w:r>
          </w:p>
        </w:tc>
        <w:tc>
          <w:tcPr>
            <w:tcW w:w="3566" w:type="dxa"/>
            <w:gridSpan w:val="3"/>
            <w:vAlign w:val="center"/>
          </w:tcPr>
          <w:p>
            <w:pPr>
              <w:spacing w:line="280" w:lineRule="exact"/>
              <w:rPr>
                <w:color w:val="000000" w:themeColor="text1"/>
                <w:sz w:val="21"/>
                <w:highlight w:val="none"/>
              </w:rPr>
            </w:pPr>
            <w:r>
              <w:rPr>
                <w:color w:val="000000" w:themeColor="text1"/>
                <w:sz w:val="21"/>
                <w:highlight w:val="none"/>
              </w:rPr>
              <w:t>污染物名称</w:t>
            </w:r>
          </w:p>
        </w:tc>
        <w:tc>
          <w:tcPr>
            <w:tcW w:w="3795" w:type="dxa"/>
            <w:gridSpan w:val="6"/>
            <w:vAlign w:val="center"/>
          </w:tcPr>
          <w:p>
            <w:pPr>
              <w:spacing w:line="280" w:lineRule="exact"/>
              <w:rPr>
                <w:color w:val="000000" w:themeColor="text1"/>
                <w:sz w:val="21"/>
                <w:highlight w:val="none"/>
              </w:rPr>
            </w:pPr>
            <w:r>
              <w:rPr>
                <w:color w:val="000000" w:themeColor="text1"/>
                <w:sz w:val="21"/>
                <w:highlight w:val="none"/>
              </w:rPr>
              <w:t>排放量/（t/a）</w:t>
            </w:r>
          </w:p>
        </w:tc>
        <w:tc>
          <w:tcPr>
            <w:tcW w:w="3560" w:type="dxa"/>
            <w:gridSpan w:val="4"/>
            <w:vAlign w:val="center"/>
          </w:tcPr>
          <w:p>
            <w:pPr>
              <w:spacing w:line="280" w:lineRule="exact"/>
              <w:rPr>
                <w:color w:val="000000" w:themeColor="text1"/>
                <w:sz w:val="21"/>
                <w:highlight w:val="none"/>
              </w:rPr>
            </w:pPr>
            <w:r>
              <w:rPr>
                <w:color w:val="000000" w:themeColor="text1"/>
                <w:sz w:val="21"/>
                <w:highlight w:val="none"/>
              </w:rPr>
              <w:t>排放浓度/（mg/L）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continue"/>
            <w:vAlign w:val="center"/>
          </w:tcPr>
          <w:p>
            <w:pPr>
              <w:spacing w:line="280" w:lineRule="exact"/>
              <w:rPr>
                <w:color w:val="000000" w:themeColor="text1"/>
                <w:sz w:val="21"/>
                <w:highlight w:val="none"/>
              </w:rPr>
            </w:pPr>
          </w:p>
        </w:tc>
        <w:tc>
          <w:tcPr>
            <w:tcW w:w="3566" w:type="dxa"/>
            <w:gridSpan w:val="3"/>
            <w:vAlign w:val="center"/>
          </w:tcPr>
          <w:p>
            <w:pPr>
              <w:spacing w:line="280" w:lineRule="exact"/>
              <w:rPr>
                <w:color w:val="000000" w:themeColor="text1"/>
                <w:sz w:val="21"/>
                <w:highlight w:val="none"/>
              </w:rPr>
            </w:pPr>
            <w:r>
              <w:rPr>
                <w:color w:val="000000" w:themeColor="text1"/>
                <w:sz w:val="21"/>
                <w:highlight w:val="none"/>
              </w:rPr>
              <w:t>COD</w:t>
            </w:r>
          </w:p>
        </w:tc>
        <w:tc>
          <w:tcPr>
            <w:tcW w:w="3795" w:type="dxa"/>
            <w:gridSpan w:val="6"/>
          </w:tcPr>
          <w:p>
            <w:pPr>
              <w:spacing w:line="280" w:lineRule="exact"/>
              <w:rPr>
                <w:color w:val="000000" w:themeColor="text1"/>
                <w:sz w:val="21"/>
                <w:highlight w:val="none"/>
              </w:rPr>
            </w:pPr>
            <w:r>
              <w:rPr>
                <w:rFonts w:hint="eastAsia"/>
                <w:color w:val="000000" w:themeColor="text1"/>
                <w:sz w:val="21"/>
                <w:highlight w:val="none"/>
              </w:rPr>
              <w:t>0.013</w:t>
            </w:r>
          </w:p>
        </w:tc>
        <w:tc>
          <w:tcPr>
            <w:tcW w:w="3560" w:type="dxa"/>
            <w:gridSpan w:val="4"/>
            <w:vAlign w:val="center"/>
          </w:tcPr>
          <w:p>
            <w:pPr>
              <w:spacing w:line="280" w:lineRule="exact"/>
              <w:rPr>
                <w:color w:val="000000" w:themeColor="text1"/>
                <w:sz w:val="21"/>
                <w:highlight w:val="none"/>
              </w:rPr>
            </w:pPr>
            <w:r>
              <w:rPr>
                <w:rFonts w:hint="eastAsia"/>
                <w:color w:val="000000" w:themeColor="text1"/>
                <w:sz w:val="21"/>
                <w:highlight w:val="none"/>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continue"/>
            <w:vAlign w:val="center"/>
          </w:tcPr>
          <w:p>
            <w:pPr>
              <w:spacing w:line="280" w:lineRule="exact"/>
              <w:rPr>
                <w:color w:val="000000" w:themeColor="text1"/>
                <w:sz w:val="21"/>
                <w:highlight w:val="none"/>
              </w:rPr>
            </w:pPr>
          </w:p>
        </w:tc>
        <w:tc>
          <w:tcPr>
            <w:tcW w:w="3566" w:type="dxa"/>
            <w:gridSpan w:val="3"/>
            <w:vAlign w:val="center"/>
          </w:tcPr>
          <w:p>
            <w:pPr>
              <w:spacing w:line="280" w:lineRule="exact"/>
              <w:rPr>
                <w:color w:val="000000" w:themeColor="text1"/>
                <w:sz w:val="21"/>
                <w:highlight w:val="none"/>
              </w:rPr>
            </w:pPr>
            <w:r>
              <w:rPr>
                <w:color w:val="000000" w:themeColor="text1"/>
                <w:sz w:val="21"/>
                <w:highlight w:val="none"/>
              </w:rPr>
              <w:t>BOD</w:t>
            </w:r>
            <w:r>
              <w:rPr>
                <w:color w:val="000000" w:themeColor="text1"/>
                <w:sz w:val="21"/>
                <w:highlight w:val="none"/>
                <w:vertAlign w:val="subscript"/>
              </w:rPr>
              <w:t>5</w:t>
            </w:r>
          </w:p>
        </w:tc>
        <w:tc>
          <w:tcPr>
            <w:tcW w:w="3795" w:type="dxa"/>
            <w:gridSpan w:val="6"/>
          </w:tcPr>
          <w:p>
            <w:pPr>
              <w:spacing w:line="280" w:lineRule="exact"/>
              <w:rPr>
                <w:color w:val="000000" w:themeColor="text1"/>
                <w:sz w:val="21"/>
                <w:highlight w:val="none"/>
              </w:rPr>
            </w:pPr>
            <w:r>
              <w:rPr>
                <w:rFonts w:hint="eastAsia"/>
                <w:color w:val="000000" w:themeColor="text1"/>
                <w:sz w:val="21"/>
                <w:highlight w:val="none"/>
              </w:rPr>
              <w:t>0.002</w:t>
            </w:r>
          </w:p>
        </w:tc>
        <w:tc>
          <w:tcPr>
            <w:tcW w:w="3560" w:type="dxa"/>
            <w:gridSpan w:val="4"/>
            <w:vAlign w:val="center"/>
          </w:tcPr>
          <w:p>
            <w:pPr>
              <w:spacing w:line="280" w:lineRule="exact"/>
              <w:rPr>
                <w:color w:val="000000" w:themeColor="text1"/>
                <w:sz w:val="21"/>
                <w:highlight w:val="none"/>
              </w:rPr>
            </w:pPr>
            <w:r>
              <w:rPr>
                <w:rFonts w:hint="eastAsia"/>
                <w:color w:val="000000" w:themeColor="text1"/>
                <w:sz w:val="21"/>
                <w:highlight w:val="non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continue"/>
            <w:vAlign w:val="center"/>
          </w:tcPr>
          <w:p>
            <w:pPr>
              <w:spacing w:line="280" w:lineRule="exact"/>
              <w:rPr>
                <w:color w:val="000000" w:themeColor="text1"/>
                <w:sz w:val="21"/>
                <w:highlight w:val="none"/>
              </w:rPr>
            </w:pPr>
          </w:p>
        </w:tc>
        <w:tc>
          <w:tcPr>
            <w:tcW w:w="3566" w:type="dxa"/>
            <w:gridSpan w:val="3"/>
            <w:vAlign w:val="center"/>
          </w:tcPr>
          <w:p>
            <w:pPr>
              <w:spacing w:line="280" w:lineRule="exact"/>
              <w:rPr>
                <w:color w:val="000000" w:themeColor="text1"/>
                <w:sz w:val="21"/>
                <w:highlight w:val="none"/>
              </w:rPr>
            </w:pPr>
            <w:r>
              <w:rPr>
                <w:color w:val="000000" w:themeColor="text1"/>
                <w:sz w:val="21"/>
                <w:highlight w:val="none"/>
                <w:lang w:val="zh-CN"/>
              </w:rPr>
              <w:t>SS</w:t>
            </w:r>
          </w:p>
        </w:tc>
        <w:tc>
          <w:tcPr>
            <w:tcW w:w="3795" w:type="dxa"/>
            <w:gridSpan w:val="6"/>
          </w:tcPr>
          <w:p>
            <w:pPr>
              <w:spacing w:line="280" w:lineRule="exact"/>
              <w:rPr>
                <w:color w:val="000000" w:themeColor="text1"/>
                <w:sz w:val="21"/>
                <w:highlight w:val="none"/>
              </w:rPr>
            </w:pPr>
            <w:r>
              <w:rPr>
                <w:rFonts w:hint="eastAsia"/>
                <w:color w:val="000000" w:themeColor="text1"/>
                <w:sz w:val="21"/>
                <w:highlight w:val="none"/>
              </w:rPr>
              <w:t>0.002</w:t>
            </w:r>
          </w:p>
        </w:tc>
        <w:tc>
          <w:tcPr>
            <w:tcW w:w="3560" w:type="dxa"/>
            <w:gridSpan w:val="4"/>
            <w:vAlign w:val="center"/>
          </w:tcPr>
          <w:p>
            <w:pPr>
              <w:spacing w:line="280" w:lineRule="exact"/>
              <w:rPr>
                <w:color w:val="000000" w:themeColor="text1"/>
                <w:sz w:val="21"/>
                <w:highlight w:val="none"/>
              </w:rPr>
            </w:pPr>
            <w:r>
              <w:rPr>
                <w:rFonts w:hint="eastAsia"/>
                <w:color w:val="000000" w:themeColor="text1"/>
                <w:sz w:val="21"/>
                <w:highlight w:val="non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continue"/>
            <w:vAlign w:val="center"/>
          </w:tcPr>
          <w:p>
            <w:pPr>
              <w:spacing w:line="280" w:lineRule="exact"/>
              <w:rPr>
                <w:color w:val="000000" w:themeColor="text1"/>
                <w:sz w:val="21"/>
                <w:highlight w:val="none"/>
              </w:rPr>
            </w:pPr>
          </w:p>
        </w:tc>
        <w:tc>
          <w:tcPr>
            <w:tcW w:w="3566" w:type="dxa"/>
            <w:gridSpan w:val="3"/>
            <w:vAlign w:val="center"/>
          </w:tcPr>
          <w:p>
            <w:pPr>
              <w:spacing w:line="280" w:lineRule="exact"/>
              <w:rPr>
                <w:color w:val="000000" w:themeColor="text1"/>
                <w:sz w:val="21"/>
                <w:highlight w:val="none"/>
              </w:rPr>
            </w:pPr>
            <w:r>
              <w:rPr>
                <w:color w:val="000000" w:themeColor="text1"/>
                <w:sz w:val="21"/>
                <w:highlight w:val="none"/>
                <w:lang w:val="zh-CN"/>
              </w:rPr>
              <w:t>氨氮</w:t>
            </w:r>
          </w:p>
        </w:tc>
        <w:tc>
          <w:tcPr>
            <w:tcW w:w="3795" w:type="dxa"/>
            <w:gridSpan w:val="6"/>
          </w:tcPr>
          <w:p>
            <w:pPr>
              <w:spacing w:line="280" w:lineRule="exact"/>
              <w:rPr>
                <w:color w:val="000000" w:themeColor="text1"/>
                <w:sz w:val="21"/>
                <w:highlight w:val="none"/>
              </w:rPr>
            </w:pPr>
            <w:r>
              <w:rPr>
                <w:rFonts w:hint="eastAsia"/>
                <w:color w:val="000000" w:themeColor="text1"/>
                <w:sz w:val="21"/>
                <w:highlight w:val="none"/>
              </w:rPr>
              <w:t>0.001</w:t>
            </w:r>
          </w:p>
        </w:tc>
        <w:tc>
          <w:tcPr>
            <w:tcW w:w="3560" w:type="dxa"/>
            <w:gridSpan w:val="4"/>
            <w:vAlign w:val="center"/>
          </w:tcPr>
          <w:p>
            <w:pPr>
              <w:spacing w:line="280" w:lineRule="exact"/>
              <w:rPr>
                <w:color w:val="000000" w:themeColor="text1"/>
                <w:sz w:val="21"/>
                <w:highlight w:val="none"/>
              </w:rPr>
            </w:pPr>
            <w:r>
              <w:rPr>
                <w:rFonts w:hint="eastAsia"/>
                <w:color w:val="000000" w:themeColor="text1"/>
                <w:sz w:val="21"/>
                <w:highlight w:val="none"/>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restart"/>
            <w:vAlign w:val="center"/>
          </w:tcPr>
          <w:p>
            <w:pPr>
              <w:spacing w:line="280" w:lineRule="exact"/>
              <w:rPr>
                <w:color w:val="000000" w:themeColor="text1"/>
                <w:sz w:val="21"/>
                <w:highlight w:val="none"/>
              </w:rPr>
            </w:pPr>
            <w:r>
              <w:rPr>
                <w:color w:val="000000" w:themeColor="text1"/>
                <w:sz w:val="21"/>
                <w:highlight w:val="none"/>
              </w:rPr>
              <w:t>替代源排放情况</w:t>
            </w:r>
          </w:p>
        </w:tc>
        <w:tc>
          <w:tcPr>
            <w:tcW w:w="2516" w:type="dxa"/>
            <w:vAlign w:val="center"/>
          </w:tcPr>
          <w:p>
            <w:pPr>
              <w:spacing w:line="280" w:lineRule="exact"/>
              <w:rPr>
                <w:color w:val="000000" w:themeColor="text1"/>
                <w:sz w:val="21"/>
                <w:highlight w:val="none"/>
              </w:rPr>
            </w:pPr>
            <w:r>
              <w:rPr>
                <w:color w:val="000000" w:themeColor="text1"/>
                <w:sz w:val="21"/>
                <w:highlight w:val="none"/>
              </w:rPr>
              <w:t>污染源名称</w:t>
            </w:r>
          </w:p>
        </w:tc>
        <w:tc>
          <w:tcPr>
            <w:tcW w:w="1875" w:type="dxa"/>
            <w:gridSpan w:val="4"/>
            <w:vAlign w:val="center"/>
          </w:tcPr>
          <w:p>
            <w:pPr>
              <w:spacing w:line="280" w:lineRule="exact"/>
              <w:rPr>
                <w:color w:val="000000" w:themeColor="text1"/>
                <w:sz w:val="21"/>
                <w:highlight w:val="none"/>
              </w:rPr>
            </w:pPr>
            <w:r>
              <w:rPr>
                <w:color w:val="000000" w:themeColor="text1"/>
                <w:sz w:val="21"/>
                <w:highlight w:val="none"/>
              </w:rPr>
              <w:t>排污许可证编号</w:t>
            </w:r>
          </w:p>
        </w:tc>
        <w:tc>
          <w:tcPr>
            <w:tcW w:w="2130" w:type="dxa"/>
            <w:gridSpan w:val="2"/>
            <w:vAlign w:val="center"/>
          </w:tcPr>
          <w:p>
            <w:pPr>
              <w:spacing w:line="280" w:lineRule="exact"/>
              <w:rPr>
                <w:color w:val="000000" w:themeColor="text1"/>
                <w:sz w:val="21"/>
                <w:highlight w:val="none"/>
              </w:rPr>
            </w:pPr>
            <w:r>
              <w:rPr>
                <w:color w:val="000000" w:themeColor="text1"/>
                <w:sz w:val="21"/>
                <w:highlight w:val="none"/>
              </w:rPr>
              <w:t>污染物名称</w:t>
            </w:r>
          </w:p>
        </w:tc>
        <w:tc>
          <w:tcPr>
            <w:tcW w:w="2310" w:type="dxa"/>
            <w:gridSpan w:val="4"/>
            <w:vAlign w:val="center"/>
          </w:tcPr>
          <w:p>
            <w:pPr>
              <w:spacing w:line="280" w:lineRule="exact"/>
              <w:rPr>
                <w:color w:val="000000" w:themeColor="text1"/>
                <w:sz w:val="21"/>
                <w:highlight w:val="none"/>
              </w:rPr>
            </w:pPr>
            <w:r>
              <w:rPr>
                <w:color w:val="000000" w:themeColor="text1"/>
                <w:sz w:val="21"/>
                <w:highlight w:val="none"/>
              </w:rPr>
              <w:t>排放量/（t/a）</w:t>
            </w:r>
          </w:p>
        </w:tc>
        <w:tc>
          <w:tcPr>
            <w:tcW w:w="2090" w:type="dxa"/>
            <w:gridSpan w:val="2"/>
            <w:vAlign w:val="center"/>
          </w:tcPr>
          <w:p>
            <w:pPr>
              <w:spacing w:line="280" w:lineRule="exact"/>
              <w:rPr>
                <w:color w:val="000000" w:themeColor="text1"/>
                <w:sz w:val="21"/>
                <w:highlight w:val="none"/>
              </w:rPr>
            </w:pPr>
            <w:r>
              <w:rPr>
                <w:color w:val="000000" w:themeColor="text1"/>
                <w:sz w:val="21"/>
                <w:highlight w:val="none"/>
              </w:rPr>
              <w:t>排放浓度/（mg/L）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Merge w:val="continue"/>
            <w:vAlign w:val="center"/>
          </w:tcPr>
          <w:p>
            <w:pPr>
              <w:spacing w:line="280" w:lineRule="exact"/>
              <w:rPr>
                <w:color w:val="000000" w:themeColor="text1"/>
                <w:sz w:val="21"/>
                <w:highlight w:val="none"/>
              </w:rPr>
            </w:pPr>
          </w:p>
        </w:tc>
        <w:tc>
          <w:tcPr>
            <w:tcW w:w="2516" w:type="dxa"/>
            <w:vAlign w:val="center"/>
          </w:tcPr>
          <w:p>
            <w:pPr>
              <w:spacing w:line="280" w:lineRule="exact"/>
              <w:rPr>
                <w:color w:val="000000" w:themeColor="text1"/>
                <w:sz w:val="21"/>
                <w:highlight w:val="none"/>
              </w:rPr>
            </w:pPr>
            <w:r>
              <w:rPr>
                <w:color w:val="000000" w:themeColor="text1"/>
                <w:sz w:val="21"/>
                <w:highlight w:val="none"/>
              </w:rPr>
              <w:t>（  ）</w:t>
            </w:r>
          </w:p>
        </w:tc>
        <w:tc>
          <w:tcPr>
            <w:tcW w:w="1875" w:type="dxa"/>
            <w:gridSpan w:val="4"/>
            <w:vAlign w:val="center"/>
          </w:tcPr>
          <w:p>
            <w:pPr>
              <w:spacing w:line="280" w:lineRule="exact"/>
              <w:rPr>
                <w:color w:val="000000" w:themeColor="text1"/>
                <w:sz w:val="21"/>
                <w:highlight w:val="none"/>
              </w:rPr>
            </w:pPr>
            <w:r>
              <w:rPr>
                <w:color w:val="000000" w:themeColor="text1"/>
                <w:sz w:val="21"/>
                <w:highlight w:val="none"/>
              </w:rPr>
              <w:t>（  ）</w:t>
            </w:r>
          </w:p>
        </w:tc>
        <w:tc>
          <w:tcPr>
            <w:tcW w:w="2130" w:type="dxa"/>
            <w:gridSpan w:val="2"/>
            <w:vAlign w:val="center"/>
          </w:tcPr>
          <w:p>
            <w:pPr>
              <w:spacing w:line="280" w:lineRule="exact"/>
              <w:rPr>
                <w:color w:val="000000" w:themeColor="text1"/>
                <w:sz w:val="21"/>
                <w:highlight w:val="none"/>
              </w:rPr>
            </w:pPr>
            <w:r>
              <w:rPr>
                <w:color w:val="000000" w:themeColor="text1"/>
                <w:sz w:val="21"/>
                <w:highlight w:val="none"/>
              </w:rPr>
              <w:t>（  ）</w:t>
            </w:r>
          </w:p>
        </w:tc>
        <w:tc>
          <w:tcPr>
            <w:tcW w:w="2310" w:type="dxa"/>
            <w:gridSpan w:val="4"/>
            <w:vAlign w:val="center"/>
          </w:tcPr>
          <w:p>
            <w:pPr>
              <w:spacing w:line="280" w:lineRule="exact"/>
              <w:rPr>
                <w:color w:val="000000" w:themeColor="text1"/>
                <w:sz w:val="21"/>
                <w:highlight w:val="none"/>
              </w:rPr>
            </w:pPr>
            <w:r>
              <w:rPr>
                <w:color w:val="000000" w:themeColor="text1"/>
                <w:sz w:val="21"/>
                <w:highlight w:val="none"/>
              </w:rPr>
              <w:t>（  ）</w:t>
            </w:r>
          </w:p>
        </w:tc>
        <w:tc>
          <w:tcPr>
            <w:tcW w:w="2090" w:type="dxa"/>
            <w:gridSpan w:val="2"/>
            <w:vAlign w:val="center"/>
          </w:tcPr>
          <w:p>
            <w:pPr>
              <w:spacing w:line="280" w:lineRule="exact"/>
              <w:rPr>
                <w:color w:val="000000" w:themeColor="text1"/>
                <w:sz w:val="21"/>
                <w:highlight w:val="none"/>
              </w:rPr>
            </w:pPr>
            <w:r>
              <w:rPr>
                <w:color w:val="000000" w:themeColor="text1"/>
                <w:sz w:val="21"/>
                <w:highlight w:val="none"/>
              </w:rPr>
              <w:t>（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jc w:val="center"/>
              <w:rPr>
                <w:color w:val="000000" w:themeColor="text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生态流量确定</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生态流量：一般水期（  ）m</w:t>
            </w:r>
            <w:r>
              <w:rPr>
                <w:color w:val="000000" w:themeColor="text1"/>
                <w:sz w:val="21"/>
                <w:highlight w:val="none"/>
                <w:vertAlign w:val="superscript"/>
              </w:rPr>
              <w:t>3</w:t>
            </w:r>
            <w:r>
              <w:rPr>
                <w:color w:val="000000" w:themeColor="text1"/>
                <w:sz w:val="21"/>
                <w:highlight w:val="none"/>
              </w:rPr>
              <w:t>/s；鱼类繁殖期（  ）m</w:t>
            </w:r>
            <w:r>
              <w:rPr>
                <w:color w:val="000000" w:themeColor="text1"/>
                <w:sz w:val="21"/>
                <w:highlight w:val="none"/>
                <w:vertAlign w:val="superscript"/>
              </w:rPr>
              <w:t>3</w:t>
            </w:r>
            <w:r>
              <w:rPr>
                <w:color w:val="000000" w:themeColor="text1"/>
                <w:sz w:val="21"/>
                <w:highlight w:val="none"/>
              </w:rPr>
              <w:t>/s；其他（  ）m</w:t>
            </w:r>
            <w:r>
              <w:rPr>
                <w:color w:val="000000" w:themeColor="text1"/>
                <w:sz w:val="21"/>
                <w:highlight w:val="none"/>
                <w:vertAlign w:val="superscript"/>
              </w:rPr>
              <w:t>3</w:t>
            </w:r>
            <w:r>
              <w:rPr>
                <w:color w:val="000000" w:themeColor="text1"/>
                <w:sz w:val="21"/>
                <w:highlight w:val="none"/>
              </w:rPr>
              <w:t>/s</w:t>
            </w:r>
          </w:p>
          <w:p>
            <w:pPr>
              <w:spacing w:line="280" w:lineRule="exact"/>
              <w:rPr>
                <w:color w:val="000000" w:themeColor="text1"/>
                <w:sz w:val="21"/>
                <w:highlight w:val="none"/>
              </w:rPr>
            </w:pPr>
            <w:r>
              <w:rPr>
                <w:color w:val="000000" w:themeColor="text1"/>
                <w:sz w:val="21"/>
                <w:highlight w:val="none"/>
              </w:rPr>
              <w:t>生态水位：一般水期（  ）m；鱼类繁殖期（  ）m；其他（  ）m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restart"/>
            <w:vAlign w:val="center"/>
          </w:tcPr>
          <w:p>
            <w:pPr>
              <w:spacing w:line="280" w:lineRule="exact"/>
              <w:rPr>
                <w:color w:val="000000" w:themeColor="text1"/>
                <w:sz w:val="21"/>
                <w:highlight w:val="none"/>
              </w:rPr>
            </w:pPr>
            <w:r>
              <w:rPr>
                <w:color w:val="000000" w:themeColor="text1"/>
                <w:sz w:val="21"/>
                <w:highlight w:val="none"/>
              </w:rPr>
              <w:t>防治措施</w:t>
            </w: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环保措施</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t xml:space="preserve">污水处理措施 </w:t>
            </w:r>
            <w:r>
              <w:rPr>
                <w:color w:val="000000" w:themeColor="text1"/>
                <w:sz w:val="21"/>
                <w:highlight w:val="none"/>
              </w:rPr>
              <w:sym w:font="Wingdings 2" w:char="0052"/>
            </w:r>
            <w:r>
              <w:rPr>
                <w:color w:val="000000" w:themeColor="text1"/>
                <w:sz w:val="21"/>
                <w:highlight w:val="none"/>
              </w:rPr>
              <w:t xml:space="preserve">；水文减缓措施 </w:t>
            </w:r>
            <w:r>
              <w:rPr>
                <w:color w:val="000000" w:themeColor="text1"/>
                <w:sz w:val="21"/>
                <w:highlight w:val="none"/>
              </w:rPr>
              <w:sym w:font="Wingdings 2" w:char="00A3"/>
            </w:r>
            <w:r>
              <w:rPr>
                <w:color w:val="000000" w:themeColor="text1"/>
                <w:sz w:val="21"/>
                <w:highlight w:val="none"/>
              </w:rPr>
              <w:t xml:space="preserve">；生态流量保障措施 </w:t>
            </w:r>
            <w:r>
              <w:rPr>
                <w:color w:val="000000" w:themeColor="text1"/>
                <w:sz w:val="21"/>
                <w:highlight w:val="none"/>
              </w:rPr>
              <w:sym w:font="Wingdings 2" w:char="00A3"/>
            </w:r>
            <w:r>
              <w:rPr>
                <w:color w:val="000000" w:themeColor="text1"/>
                <w:sz w:val="21"/>
                <w:highlight w:val="none"/>
              </w:rPr>
              <w:t xml:space="preserve">；区域削减 </w:t>
            </w:r>
            <w:r>
              <w:rPr>
                <w:color w:val="000000" w:themeColor="text1"/>
                <w:sz w:val="21"/>
                <w:highlight w:val="none"/>
              </w:rPr>
              <w:sym w:font="Wingdings 2" w:char="00A3"/>
            </w:r>
            <w:r>
              <w:rPr>
                <w:color w:val="000000" w:themeColor="text1"/>
                <w:sz w:val="21"/>
                <w:highlight w:val="none"/>
              </w:rPr>
              <w:t xml:space="preserve">；依托其他工程措施 </w:t>
            </w:r>
            <w:r>
              <w:rPr>
                <w:color w:val="000000" w:themeColor="text1"/>
                <w:sz w:val="21"/>
                <w:highlight w:val="none"/>
              </w:rPr>
              <w:sym w:font="Wingdings 2" w:char="00A3"/>
            </w:r>
            <w:r>
              <w:rPr>
                <w:color w:val="000000" w:themeColor="text1"/>
                <w:sz w:val="21"/>
                <w:highlight w:val="none"/>
              </w:rPr>
              <w:t xml:space="preserve">；其他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restart"/>
            <w:vAlign w:val="center"/>
          </w:tcPr>
          <w:p>
            <w:pPr>
              <w:spacing w:line="280" w:lineRule="exact"/>
              <w:rPr>
                <w:color w:val="000000" w:themeColor="text1"/>
                <w:sz w:val="21"/>
                <w:highlight w:val="none"/>
              </w:rPr>
            </w:pPr>
            <w:r>
              <w:rPr>
                <w:color w:val="000000" w:themeColor="text1"/>
                <w:sz w:val="21"/>
                <w:highlight w:val="none"/>
              </w:rPr>
              <w:t>监测计划</w:t>
            </w:r>
          </w:p>
        </w:tc>
        <w:tc>
          <w:tcPr>
            <w:tcW w:w="3551" w:type="dxa"/>
            <w:gridSpan w:val="2"/>
            <w:vAlign w:val="center"/>
          </w:tcPr>
          <w:p>
            <w:pPr>
              <w:spacing w:line="280" w:lineRule="exact"/>
              <w:rPr>
                <w:color w:val="000000" w:themeColor="text1"/>
                <w:sz w:val="21"/>
                <w:highlight w:val="none"/>
              </w:rPr>
            </w:pPr>
          </w:p>
        </w:tc>
        <w:tc>
          <w:tcPr>
            <w:tcW w:w="3409" w:type="dxa"/>
            <w:gridSpan w:val="6"/>
            <w:vAlign w:val="center"/>
          </w:tcPr>
          <w:p>
            <w:pPr>
              <w:spacing w:line="280" w:lineRule="exact"/>
              <w:rPr>
                <w:color w:val="000000" w:themeColor="text1"/>
                <w:sz w:val="21"/>
                <w:highlight w:val="none"/>
              </w:rPr>
            </w:pPr>
            <w:r>
              <w:rPr>
                <w:color w:val="000000" w:themeColor="text1"/>
                <w:sz w:val="21"/>
                <w:highlight w:val="none"/>
              </w:rPr>
              <w:t>环境质量</w:t>
            </w:r>
          </w:p>
        </w:tc>
        <w:tc>
          <w:tcPr>
            <w:tcW w:w="3961" w:type="dxa"/>
            <w:gridSpan w:val="5"/>
            <w:vAlign w:val="center"/>
          </w:tcPr>
          <w:p>
            <w:pPr>
              <w:spacing w:line="280" w:lineRule="exact"/>
              <w:rPr>
                <w:color w:val="000000" w:themeColor="text1"/>
                <w:sz w:val="21"/>
                <w:highlight w:val="none"/>
              </w:rPr>
            </w:pPr>
            <w:r>
              <w:rPr>
                <w:color w:val="000000" w:themeColor="text1"/>
                <w:sz w:val="21"/>
                <w:highlight w:val="none"/>
              </w:rPr>
              <w:t>污染源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continue"/>
            <w:vAlign w:val="center"/>
          </w:tcPr>
          <w:p>
            <w:pPr>
              <w:spacing w:line="280" w:lineRule="exact"/>
              <w:rPr>
                <w:color w:val="000000" w:themeColor="text1"/>
                <w:sz w:val="21"/>
                <w:highlight w:val="none"/>
              </w:rPr>
            </w:pPr>
          </w:p>
        </w:tc>
        <w:tc>
          <w:tcPr>
            <w:tcW w:w="3551" w:type="dxa"/>
            <w:gridSpan w:val="2"/>
            <w:vAlign w:val="center"/>
          </w:tcPr>
          <w:p>
            <w:pPr>
              <w:spacing w:line="280" w:lineRule="exact"/>
              <w:rPr>
                <w:color w:val="000000" w:themeColor="text1"/>
                <w:sz w:val="21"/>
                <w:highlight w:val="none"/>
              </w:rPr>
            </w:pPr>
            <w:r>
              <w:rPr>
                <w:color w:val="000000" w:themeColor="text1"/>
                <w:sz w:val="21"/>
                <w:highlight w:val="none"/>
              </w:rPr>
              <w:t>监测方式</w:t>
            </w:r>
          </w:p>
        </w:tc>
        <w:tc>
          <w:tcPr>
            <w:tcW w:w="3409" w:type="dxa"/>
            <w:gridSpan w:val="6"/>
            <w:vAlign w:val="center"/>
          </w:tcPr>
          <w:p>
            <w:pPr>
              <w:spacing w:line="280" w:lineRule="exact"/>
              <w:rPr>
                <w:color w:val="000000" w:themeColor="text1"/>
                <w:sz w:val="21"/>
                <w:highlight w:val="none"/>
              </w:rPr>
            </w:pPr>
            <w:r>
              <w:rPr>
                <w:color w:val="000000" w:themeColor="text1"/>
                <w:sz w:val="21"/>
                <w:highlight w:val="none"/>
              </w:rPr>
              <w:t xml:space="preserve">手动 </w:t>
            </w:r>
            <w:r>
              <w:rPr>
                <w:color w:val="000000" w:themeColor="text1"/>
                <w:sz w:val="21"/>
                <w:highlight w:val="none"/>
              </w:rPr>
              <w:sym w:font="Wingdings 2" w:char="00A3"/>
            </w:r>
            <w:r>
              <w:rPr>
                <w:color w:val="000000" w:themeColor="text1"/>
                <w:sz w:val="21"/>
                <w:highlight w:val="none"/>
              </w:rPr>
              <w:t xml:space="preserve">；自动 </w:t>
            </w:r>
            <w:r>
              <w:rPr>
                <w:color w:val="000000" w:themeColor="text1"/>
                <w:sz w:val="21"/>
                <w:highlight w:val="none"/>
              </w:rPr>
              <w:sym w:font="Wingdings 2" w:char="00A3"/>
            </w:r>
            <w:r>
              <w:rPr>
                <w:color w:val="000000" w:themeColor="text1"/>
                <w:sz w:val="21"/>
                <w:highlight w:val="none"/>
              </w:rPr>
              <w:t xml:space="preserve">；无监测 </w:t>
            </w:r>
            <w:r>
              <w:rPr>
                <w:color w:val="000000" w:themeColor="text1"/>
                <w:sz w:val="21"/>
                <w:highlight w:val="none"/>
              </w:rPr>
              <w:sym w:font="Wingdings 2" w:char="00A3"/>
            </w:r>
          </w:p>
        </w:tc>
        <w:tc>
          <w:tcPr>
            <w:tcW w:w="3961" w:type="dxa"/>
            <w:gridSpan w:val="5"/>
            <w:vAlign w:val="center"/>
          </w:tcPr>
          <w:p>
            <w:pPr>
              <w:spacing w:line="280" w:lineRule="exact"/>
              <w:rPr>
                <w:color w:val="000000" w:themeColor="text1"/>
                <w:sz w:val="21"/>
                <w:highlight w:val="none"/>
              </w:rPr>
            </w:pPr>
            <w:r>
              <w:rPr>
                <w:color w:val="000000" w:themeColor="text1"/>
                <w:sz w:val="21"/>
                <w:highlight w:val="none"/>
              </w:rPr>
              <w:t xml:space="preserve">手动 </w:t>
            </w:r>
            <w:r>
              <w:rPr>
                <w:color w:val="000000" w:themeColor="text1"/>
                <w:sz w:val="21"/>
                <w:highlight w:val="none"/>
              </w:rPr>
              <w:sym w:font="Wingdings 2" w:char="0052"/>
            </w:r>
            <w:r>
              <w:rPr>
                <w:color w:val="000000" w:themeColor="text1"/>
                <w:sz w:val="21"/>
                <w:highlight w:val="none"/>
              </w:rPr>
              <w:t xml:space="preserve">；自动 </w:t>
            </w:r>
            <w:r>
              <w:rPr>
                <w:color w:val="000000" w:themeColor="text1"/>
                <w:sz w:val="21"/>
                <w:highlight w:val="none"/>
              </w:rPr>
              <w:sym w:font="Wingdings 2" w:char="00A3"/>
            </w:r>
            <w:r>
              <w:rPr>
                <w:color w:val="000000" w:themeColor="text1"/>
                <w:sz w:val="21"/>
                <w:highlight w:val="none"/>
              </w:rPr>
              <w:t xml:space="preserve">；无监测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continue"/>
            <w:vAlign w:val="center"/>
          </w:tcPr>
          <w:p>
            <w:pPr>
              <w:spacing w:line="280" w:lineRule="exact"/>
              <w:rPr>
                <w:color w:val="000000" w:themeColor="text1"/>
                <w:sz w:val="21"/>
                <w:highlight w:val="none"/>
              </w:rPr>
            </w:pPr>
          </w:p>
        </w:tc>
        <w:tc>
          <w:tcPr>
            <w:tcW w:w="3551" w:type="dxa"/>
            <w:gridSpan w:val="2"/>
            <w:vAlign w:val="center"/>
          </w:tcPr>
          <w:p>
            <w:pPr>
              <w:spacing w:line="280" w:lineRule="exact"/>
              <w:rPr>
                <w:color w:val="000000" w:themeColor="text1"/>
                <w:sz w:val="21"/>
                <w:highlight w:val="none"/>
              </w:rPr>
            </w:pPr>
            <w:r>
              <w:rPr>
                <w:color w:val="000000" w:themeColor="text1"/>
                <w:sz w:val="21"/>
                <w:highlight w:val="none"/>
              </w:rPr>
              <w:t>监测点位</w:t>
            </w:r>
          </w:p>
        </w:tc>
        <w:tc>
          <w:tcPr>
            <w:tcW w:w="3409" w:type="dxa"/>
            <w:gridSpan w:val="6"/>
            <w:vMerge w:val="restart"/>
            <w:vAlign w:val="center"/>
          </w:tcPr>
          <w:p>
            <w:pPr>
              <w:spacing w:line="280" w:lineRule="exact"/>
              <w:rPr>
                <w:color w:val="000000" w:themeColor="text1"/>
                <w:sz w:val="21"/>
                <w:highlight w:val="none"/>
              </w:rPr>
            </w:pPr>
            <w:r>
              <w:rPr>
                <w:color w:val="000000" w:themeColor="text1"/>
                <w:sz w:val="21"/>
                <w:highlight w:val="none"/>
              </w:rPr>
              <w:t>（</w:t>
            </w:r>
            <w:r>
              <w:rPr>
                <w:rFonts w:hint="eastAsia"/>
                <w:color w:val="000000" w:themeColor="text1"/>
                <w:sz w:val="21"/>
                <w:highlight w:val="none"/>
              </w:rPr>
              <w:t>将本项目地表水环境监测计划纳入园区污水处理厂监测计划中</w:t>
            </w:r>
            <w:r>
              <w:rPr>
                <w:color w:val="000000" w:themeColor="text1"/>
                <w:sz w:val="21"/>
                <w:highlight w:val="none"/>
              </w:rPr>
              <w:t>）</w:t>
            </w:r>
          </w:p>
        </w:tc>
        <w:tc>
          <w:tcPr>
            <w:tcW w:w="3961" w:type="dxa"/>
            <w:gridSpan w:val="5"/>
            <w:vAlign w:val="center"/>
          </w:tcPr>
          <w:p>
            <w:pPr>
              <w:spacing w:line="280" w:lineRule="exact"/>
              <w:rPr>
                <w:color w:val="000000" w:themeColor="text1"/>
                <w:sz w:val="21"/>
                <w:highlight w:val="none"/>
              </w:rPr>
            </w:pPr>
            <w:r>
              <w:rPr>
                <w:color w:val="000000" w:themeColor="text1"/>
                <w:sz w:val="21"/>
                <w:highlight w:val="none"/>
              </w:rPr>
              <w:t>（ 企业废水排口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Merge w:val="continue"/>
            <w:vAlign w:val="center"/>
          </w:tcPr>
          <w:p>
            <w:pPr>
              <w:spacing w:line="280" w:lineRule="exact"/>
              <w:rPr>
                <w:color w:val="000000" w:themeColor="text1"/>
                <w:sz w:val="21"/>
                <w:highlight w:val="none"/>
              </w:rPr>
            </w:pPr>
          </w:p>
        </w:tc>
        <w:tc>
          <w:tcPr>
            <w:tcW w:w="3551" w:type="dxa"/>
            <w:gridSpan w:val="2"/>
            <w:vAlign w:val="center"/>
          </w:tcPr>
          <w:p>
            <w:pPr>
              <w:spacing w:line="280" w:lineRule="exact"/>
              <w:rPr>
                <w:color w:val="000000" w:themeColor="text1"/>
                <w:sz w:val="21"/>
                <w:highlight w:val="none"/>
              </w:rPr>
            </w:pPr>
            <w:r>
              <w:rPr>
                <w:color w:val="000000" w:themeColor="text1"/>
                <w:sz w:val="21"/>
                <w:highlight w:val="none"/>
              </w:rPr>
              <w:t>监测因子</w:t>
            </w:r>
          </w:p>
        </w:tc>
        <w:tc>
          <w:tcPr>
            <w:tcW w:w="3409" w:type="dxa"/>
            <w:gridSpan w:val="6"/>
            <w:vMerge w:val="continue"/>
            <w:vAlign w:val="center"/>
          </w:tcPr>
          <w:p>
            <w:pPr>
              <w:spacing w:line="280" w:lineRule="exact"/>
              <w:rPr>
                <w:color w:val="000000" w:themeColor="text1"/>
                <w:sz w:val="21"/>
                <w:highlight w:val="none"/>
              </w:rPr>
            </w:pPr>
          </w:p>
        </w:tc>
        <w:tc>
          <w:tcPr>
            <w:tcW w:w="3961" w:type="dxa"/>
            <w:gridSpan w:val="5"/>
            <w:vAlign w:val="center"/>
          </w:tcPr>
          <w:p>
            <w:pPr>
              <w:spacing w:line="280" w:lineRule="exact"/>
              <w:rPr>
                <w:color w:val="000000" w:themeColor="text1"/>
                <w:sz w:val="21"/>
                <w:highlight w:val="none"/>
              </w:rPr>
            </w:pPr>
            <w:r>
              <w:rPr>
                <w:color w:val="000000" w:themeColor="text1"/>
                <w:sz w:val="21"/>
                <w:highlight w:val="none"/>
              </w:rPr>
              <w:t>（</w:t>
            </w:r>
            <w:r>
              <w:rPr>
                <w:rFonts w:hint="eastAsia"/>
                <w:color w:val="000000" w:themeColor="text1"/>
                <w:sz w:val="21"/>
                <w:highlight w:val="none"/>
              </w:rPr>
              <w:t>COD、BOD</w:t>
            </w:r>
            <w:r>
              <w:rPr>
                <w:rFonts w:hint="eastAsia"/>
                <w:color w:val="000000" w:themeColor="text1"/>
                <w:sz w:val="21"/>
                <w:highlight w:val="none"/>
                <w:vertAlign w:val="subscript"/>
              </w:rPr>
              <w:t>5</w:t>
            </w:r>
            <w:r>
              <w:rPr>
                <w:rFonts w:hint="eastAsia"/>
                <w:color w:val="000000" w:themeColor="text1"/>
                <w:sz w:val="21"/>
                <w:highlight w:val="none"/>
              </w:rPr>
              <w:t>、SS、pH、氨氮</w:t>
            </w:r>
            <w:r>
              <w:rPr>
                <w:color w:val="000000" w:themeColor="text1"/>
                <w:sz w:val="21"/>
                <w:highlight w:val="none"/>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spacing w:line="280" w:lineRule="exact"/>
              <w:rPr>
                <w:color w:val="000000" w:themeColor="text1"/>
                <w:sz w:val="21"/>
                <w:highlight w:val="none"/>
              </w:rPr>
            </w:pPr>
          </w:p>
        </w:tc>
        <w:tc>
          <w:tcPr>
            <w:tcW w:w="2536" w:type="dxa"/>
            <w:gridSpan w:val="2"/>
            <w:vAlign w:val="center"/>
          </w:tcPr>
          <w:p>
            <w:pPr>
              <w:spacing w:line="280" w:lineRule="exact"/>
              <w:rPr>
                <w:color w:val="000000" w:themeColor="text1"/>
                <w:sz w:val="21"/>
                <w:highlight w:val="none"/>
              </w:rPr>
            </w:pPr>
            <w:r>
              <w:rPr>
                <w:color w:val="000000" w:themeColor="text1"/>
                <w:sz w:val="21"/>
                <w:highlight w:val="none"/>
              </w:rPr>
              <w:t>污染物排放清单</w:t>
            </w:r>
          </w:p>
        </w:tc>
        <w:tc>
          <w:tcPr>
            <w:tcW w:w="10921" w:type="dxa"/>
            <w:gridSpan w:val="13"/>
            <w:vAlign w:val="center"/>
          </w:tcPr>
          <w:p>
            <w:pPr>
              <w:spacing w:line="280" w:lineRule="exact"/>
              <w:rPr>
                <w:color w:val="000000" w:themeColor="text1"/>
                <w:sz w:val="21"/>
                <w:highlight w:val="none"/>
              </w:rPr>
            </w:pPr>
            <w:r>
              <w:rPr>
                <w:color w:val="000000" w:themeColor="text1"/>
                <w:sz w:val="21"/>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962" w:type="dxa"/>
            <w:gridSpan w:val="3"/>
            <w:tcBorders>
              <w:bottom w:val="single" w:color="auto" w:sz="12" w:space="0"/>
            </w:tcBorders>
            <w:vAlign w:val="center"/>
          </w:tcPr>
          <w:p>
            <w:pPr>
              <w:spacing w:line="280" w:lineRule="exact"/>
              <w:rPr>
                <w:color w:val="000000" w:themeColor="text1"/>
                <w:sz w:val="21"/>
                <w:highlight w:val="none"/>
              </w:rPr>
            </w:pPr>
            <w:r>
              <w:rPr>
                <w:color w:val="000000" w:themeColor="text1"/>
                <w:sz w:val="21"/>
                <w:highlight w:val="none"/>
              </w:rPr>
              <w:t>评价结论</w:t>
            </w:r>
          </w:p>
        </w:tc>
        <w:tc>
          <w:tcPr>
            <w:tcW w:w="10921" w:type="dxa"/>
            <w:gridSpan w:val="13"/>
            <w:tcBorders>
              <w:bottom w:val="single" w:color="auto" w:sz="12" w:space="0"/>
            </w:tcBorders>
            <w:vAlign w:val="center"/>
          </w:tcPr>
          <w:p>
            <w:pPr>
              <w:spacing w:line="280" w:lineRule="exact"/>
              <w:rPr>
                <w:color w:val="000000" w:themeColor="text1"/>
                <w:sz w:val="21"/>
                <w:highlight w:val="none"/>
              </w:rPr>
            </w:pPr>
            <w:r>
              <w:rPr>
                <w:color w:val="000000" w:themeColor="text1"/>
                <w:sz w:val="21"/>
                <w:highlight w:val="none"/>
              </w:rPr>
              <w:t xml:space="preserve">可以接受 </w:t>
            </w:r>
            <w:r>
              <w:rPr>
                <w:color w:val="000000" w:themeColor="text1"/>
                <w:sz w:val="21"/>
                <w:highlight w:val="none"/>
              </w:rPr>
              <w:sym w:font="Wingdings 2" w:char="0052"/>
            </w:r>
            <w:r>
              <w:rPr>
                <w:color w:val="000000" w:themeColor="text1"/>
                <w:sz w:val="21"/>
                <w:highlight w:val="none"/>
              </w:rPr>
              <w:t xml:space="preserve">；不可接受 </w:t>
            </w:r>
            <w:r>
              <w:rPr>
                <w:color w:val="000000" w:themeColor="text1"/>
                <w:sz w:val="21"/>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3883" w:type="dxa"/>
            <w:gridSpan w:val="16"/>
            <w:tcBorders>
              <w:top w:val="single" w:color="auto" w:sz="12" w:space="0"/>
            </w:tcBorders>
            <w:vAlign w:val="center"/>
          </w:tcPr>
          <w:p>
            <w:pPr>
              <w:spacing w:line="280" w:lineRule="exact"/>
              <w:rPr>
                <w:color w:val="000000" w:themeColor="text1"/>
                <w:sz w:val="21"/>
                <w:highlight w:val="none"/>
              </w:rPr>
            </w:pPr>
            <w:r>
              <w:rPr>
                <w:color w:val="000000" w:themeColor="text1"/>
                <w:sz w:val="21"/>
                <w:highlight w:val="none"/>
              </w:rPr>
              <w:t>注：“</w:t>
            </w:r>
            <w:r>
              <w:rPr>
                <w:color w:val="000000" w:themeColor="text1"/>
                <w:sz w:val="21"/>
                <w:highlight w:val="none"/>
              </w:rPr>
              <w:sym w:font="Wingdings 2" w:char="00A3"/>
            </w:r>
            <w:r>
              <w:rPr>
                <w:color w:val="000000" w:themeColor="text1"/>
                <w:sz w:val="21"/>
                <w:highlight w:val="none"/>
              </w:rPr>
              <w:t>”为勾选项，可√；“（ ）”为内容填写项；“备注”为其他补充内容</w:t>
            </w:r>
          </w:p>
        </w:tc>
      </w:tr>
    </w:tbl>
    <w:p>
      <w:pPr>
        <w:pStyle w:val="2"/>
        <w:ind w:firstLine="480"/>
        <w:rPr>
          <w:color w:val="000000" w:themeColor="text1"/>
          <w:highlight w:val="none"/>
        </w:rPr>
        <w:sectPr>
          <w:pgSz w:w="16838" w:h="11906" w:orient="landscape"/>
          <w:pgMar w:top="1797" w:right="1440" w:bottom="1797" w:left="1440" w:header="851" w:footer="992" w:gutter="0"/>
          <w:pgNumType w:fmt="decimal"/>
          <w:cols w:space="720" w:num="1"/>
          <w:docGrid w:type="linesAndChars" w:linePitch="312" w:charSpace="0"/>
        </w:sectPr>
      </w:pPr>
    </w:p>
    <w:p>
      <w:pPr>
        <w:jc w:val="center"/>
        <w:rPr>
          <w:b/>
          <w:color w:val="000000" w:themeColor="text1"/>
          <w:sz w:val="24"/>
          <w:highlight w:val="none"/>
        </w:rPr>
      </w:pPr>
      <w:bookmarkStart w:id="36" w:name="_Toc16624_WPSOffice_Level1"/>
      <w:r>
        <w:rPr>
          <w:rFonts w:hint="eastAsia"/>
          <w:b/>
          <w:color w:val="000000" w:themeColor="text1"/>
          <w:sz w:val="24"/>
          <w:highlight w:val="none"/>
        </w:rPr>
        <w:t>环境</w:t>
      </w:r>
      <w:r>
        <w:rPr>
          <w:b/>
          <w:color w:val="000000" w:themeColor="text1"/>
          <w:sz w:val="24"/>
          <w:highlight w:val="none"/>
        </w:rPr>
        <w:t>风险评价自查表</w:t>
      </w:r>
      <w:bookmarkEnd w:id="36"/>
    </w:p>
    <w:p>
      <w:pPr>
        <w:jc w:val="center"/>
        <w:rPr>
          <w:b/>
          <w:color w:val="000000" w:themeColor="text1"/>
          <w:highlight w:val="none"/>
        </w:rPr>
      </w:pPr>
      <w:bookmarkStart w:id="37" w:name="_Toc13214_WPSOffice_Level1"/>
      <w:r>
        <w:rPr>
          <w:rFonts w:hint="eastAsia"/>
          <w:b/>
          <w:color w:val="000000" w:themeColor="text1"/>
          <w:highlight w:val="none"/>
        </w:rPr>
        <w:t>（</w:t>
      </w:r>
      <w:r>
        <w:rPr>
          <w:rFonts w:hint="eastAsia"/>
          <w:b/>
          <w:color w:val="000000" w:themeColor="text1"/>
          <w:highlight w:val="none"/>
          <w:lang w:eastAsia="zh-CN"/>
        </w:rPr>
        <w:t>湖南乐思检测有限公司</w:t>
      </w:r>
      <w:r>
        <w:rPr>
          <w:rFonts w:hint="eastAsia"/>
          <w:b/>
          <w:color w:val="000000" w:themeColor="text1"/>
          <w:highlight w:val="none"/>
        </w:rPr>
        <w:t>）</w:t>
      </w:r>
      <w:bookmarkEnd w:id="37"/>
    </w:p>
    <w:tbl>
      <w:tblPr>
        <w:tblStyle w:val="35"/>
        <w:tblW w:w="975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104"/>
        <w:gridCol w:w="1403"/>
        <w:gridCol w:w="1055"/>
        <w:gridCol w:w="624"/>
        <w:gridCol w:w="509"/>
        <w:gridCol w:w="468"/>
        <w:gridCol w:w="525"/>
        <w:gridCol w:w="851"/>
        <w:gridCol w:w="1005"/>
        <w:gridCol w:w="837"/>
        <w:gridCol w:w="8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Align w:val="center"/>
          </w:tcPr>
          <w:p>
            <w:pPr>
              <w:jc w:val="center"/>
              <w:rPr>
                <w:color w:val="000000" w:themeColor="text1"/>
                <w:sz w:val="18"/>
                <w:szCs w:val="18"/>
                <w:highlight w:val="none"/>
              </w:rPr>
            </w:pPr>
            <w:r>
              <w:rPr>
                <w:color w:val="000000" w:themeColor="text1"/>
                <w:sz w:val="18"/>
                <w:szCs w:val="18"/>
                <w:highlight w:val="none"/>
              </w:rPr>
              <w:t>工作内容</w:t>
            </w:r>
          </w:p>
        </w:tc>
        <w:tc>
          <w:tcPr>
            <w:tcW w:w="8116" w:type="dxa"/>
            <w:gridSpan w:val="10"/>
            <w:vAlign w:val="center"/>
          </w:tcPr>
          <w:p>
            <w:pPr>
              <w:jc w:val="center"/>
              <w:rPr>
                <w:color w:val="000000" w:themeColor="text1"/>
                <w:sz w:val="18"/>
                <w:szCs w:val="18"/>
                <w:highlight w:val="none"/>
              </w:rPr>
            </w:pPr>
            <w:r>
              <w:rPr>
                <w:color w:val="000000" w:themeColor="text1"/>
                <w:sz w:val="18"/>
                <w:szCs w:val="18"/>
                <w:highlight w:val="none"/>
              </w:rPr>
              <w:t>完成情况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restart"/>
            <w:vAlign w:val="center"/>
          </w:tcPr>
          <w:p>
            <w:pPr>
              <w:jc w:val="center"/>
              <w:rPr>
                <w:color w:val="000000" w:themeColor="text1"/>
                <w:sz w:val="18"/>
                <w:szCs w:val="18"/>
                <w:highlight w:val="none"/>
              </w:rPr>
            </w:pPr>
            <w:r>
              <w:rPr>
                <w:color w:val="000000" w:themeColor="text1"/>
                <w:sz w:val="18"/>
                <w:szCs w:val="18"/>
                <w:highlight w:val="none"/>
              </w:rPr>
              <w:t>风险调查</w:t>
            </w:r>
          </w:p>
        </w:tc>
        <w:tc>
          <w:tcPr>
            <w:tcW w:w="1104" w:type="dxa"/>
            <w:vMerge w:val="restart"/>
            <w:vAlign w:val="center"/>
          </w:tcPr>
          <w:p>
            <w:pPr>
              <w:jc w:val="center"/>
              <w:rPr>
                <w:color w:val="000000" w:themeColor="text1"/>
                <w:sz w:val="18"/>
                <w:szCs w:val="18"/>
                <w:highlight w:val="none"/>
              </w:rPr>
            </w:pPr>
            <w:r>
              <w:rPr>
                <w:color w:val="000000" w:themeColor="text1"/>
                <w:sz w:val="18"/>
                <w:szCs w:val="18"/>
                <w:highlight w:val="none"/>
              </w:rPr>
              <w:t>危险物质</w:t>
            </w:r>
          </w:p>
        </w:tc>
        <w:tc>
          <w:tcPr>
            <w:tcW w:w="1403" w:type="dxa"/>
            <w:vAlign w:val="center"/>
          </w:tcPr>
          <w:p>
            <w:pPr>
              <w:jc w:val="center"/>
              <w:rPr>
                <w:color w:val="000000" w:themeColor="text1"/>
                <w:sz w:val="18"/>
                <w:szCs w:val="18"/>
                <w:highlight w:val="none"/>
              </w:rPr>
            </w:pPr>
            <w:r>
              <w:rPr>
                <w:color w:val="000000" w:themeColor="text1"/>
                <w:sz w:val="18"/>
                <w:szCs w:val="18"/>
                <w:highlight w:val="none"/>
              </w:rPr>
              <w:t>名称</w:t>
            </w:r>
          </w:p>
        </w:tc>
        <w:tc>
          <w:tcPr>
            <w:tcW w:w="1055" w:type="dxa"/>
            <w:vAlign w:val="center"/>
          </w:tcPr>
          <w:p>
            <w:pPr>
              <w:jc w:val="center"/>
              <w:rPr>
                <w:color w:val="000000" w:themeColor="text1"/>
                <w:sz w:val="18"/>
                <w:szCs w:val="18"/>
                <w:highlight w:val="none"/>
              </w:rPr>
            </w:pPr>
            <w:r>
              <w:rPr>
                <w:rFonts w:hint="eastAsia"/>
                <w:color w:val="000000" w:themeColor="text1"/>
                <w:sz w:val="18"/>
                <w:szCs w:val="18"/>
                <w:highlight w:val="none"/>
              </w:rPr>
              <w:t>硝酸</w:t>
            </w:r>
          </w:p>
        </w:tc>
        <w:tc>
          <w:tcPr>
            <w:tcW w:w="1133" w:type="dxa"/>
            <w:gridSpan w:val="2"/>
            <w:vAlign w:val="center"/>
          </w:tcPr>
          <w:p>
            <w:pPr>
              <w:jc w:val="center"/>
              <w:rPr>
                <w:color w:val="000000" w:themeColor="text1"/>
                <w:sz w:val="18"/>
                <w:szCs w:val="18"/>
                <w:highlight w:val="none"/>
              </w:rPr>
            </w:pPr>
            <w:r>
              <w:rPr>
                <w:rFonts w:hint="eastAsia"/>
                <w:color w:val="000000" w:themeColor="text1"/>
                <w:sz w:val="18"/>
                <w:szCs w:val="18"/>
                <w:highlight w:val="none"/>
              </w:rPr>
              <w:t>硫酸</w:t>
            </w:r>
          </w:p>
        </w:tc>
        <w:tc>
          <w:tcPr>
            <w:tcW w:w="993" w:type="dxa"/>
            <w:gridSpan w:val="2"/>
            <w:vAlign w:val="center"/>
          </w:tcPr>
          <w:p>
            <w:pPr>
              <w:jc w:val="center"/>
              <w:rPr>
                <w:color w:val="000000" w:themeColor="text1"/>
                <w:sz w:val="18"/>
                <w:szCs w:val="18"/>
                <w:highlight w:val="none"/>
              </w:rPr>
            </w:pPr>
            <w:r>
              <w:rPr>
                <w:rFonts w:hint="eastAsia"/>
                <w:color w:val="000000" w:themeColor="text1"/>
                <w:sz w:val="18"/>
                <w:szCs w:val="18"/>
                <w:highlight w:val="none"/>
              </w:rPr>
              <w:t>盐酸</w:t>
            </w:r>
          </w:p>
        </w:tc>
        <w:tc>
          <w:tcPr>
            <w:tcW w:w="851" w:type="dxa"/>
            <w:vAlign w:val="center"/>
          </w:tcPr>
          <w:p>
            <w:pPr>
              <w:jc w:val="center"/>
              <w:rPr>
                <w:color w:val="000000" w:themeColor="text1"/>
                <w:sz w:val="18"/>
                <w:szCs w:val="18"/>
                <w:highlight w:val="none"/>
              </w:rPr>
            </w:pPr>
            <w:r>
              <w:rPr>
                <w:rFonts w:hint="eastAsia"/>
                <w:color w:val="000000" w:themeColor="text1"/>
                <w:sz w:val="18"/>
                <w:szCs w:val="18"/>
                <w:highlight w:val="none"/>
              </w:rPr>
              <w:t>甲苯</w:t>
            </w:r>
          </w:p>
        </w:tc>
        <w:tc>
          <w:tcPr>
            <w:tcW w:w="1005" w:type="dxa"/>
            <w:vAlign w:val="center"/>
          </w:tcPr>
          <w:p>
            <w:pPr>
              <w:jc w:val="center"/>
              <w:rPr>
                <w:color w:val="000000" w:themeColor="text1"/>
                <w:sz w:val="18"/>
                <w:szCs w:val="18"/>
                <w:highlight w:val="none"/>
              </w:rPr>
            </w:pPr>
            <w:r>
              <w:rPr>
                <w:rFonts w:hint="eastAsia"/>
                <w:color w:val="000000" w:themeColor="text1"/>
                <w:sz w:val="18"/>
                <w:szCs w:val="18"/>
                <w:highlight w:val="none"/>
              </w:rPr>
              <w:t>石油醚</w:t>
            </w:r>
          </w:p>
        </w:tc>
        <w:tc>
          <w:tcPr>
            <w:tcW w:w="837" w:type="dxa"/>
            <w:vAlign w:val="center"/>
          </w:tcPr>
          <w:p>
            <w:pPr>
              <w:jc w:val="center"/>
              <w:rPr>
                <w:color w:val="000000" w:themeColor="text1"/>
                <w:sz w:val="18"/>
                <w:szCs w:val="18"/>
                <w:highlight w:val="none"/>
              </w:rPr>
            </w:pPr>
          </w:p>
        </w:tc>
        <w:tc>
          <w:tcPr>
            <w:tcW w:w="839" w:type="dxa"/>
            <w:vAlign w:val="center"/>
          </w:tcPr>
          <w:p>
            <w:pPr>
              <w:jc w:val="center"/>
              <w:rPr>
                <w:color w:val="000000" w:themeColor="text1"/>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1403" w:type="dxa"/>
            <w:vAlign w:val="center"/>
          </w:tcPr>
          <w:p>
            <w:pPr>
              <w:jc w:val="center"/>
              <w:rPr>
                <w:color w:val="000000" w:themeColor="text1"/>
                <w:sz w:val="18"/>
                <w:szCs w:val="18"/>
                <w:highlight w:val="none"/>
              </w:rPr>
            </w:pPr>
            <w:r>
              <w:rPr>
                <w:color w:val="000000" w:themeColor="text1"/>
                <w:sz w:val="18"/>
                <w:szCs w:val="18"/>
                <w:highlight w:val="none"/>
              </w:rPr>
              <w:t>存在总量/t</w:t>
            </w:r>
          </w:p>
        </w:tc>
        <w:tc>
          <w:tcPr>
            <w:tcW w:w="1055" w:type="dxa"/>
            <w:vAlign w:val="center"/>
          </w:tcPr>
          <w:p>
            <w:pPr>
              <w:jc w:val="center"/>
              <w:rPr>
                <w:color w:val="000000" w:themeColor="text1"/>
                <w:sz w:val="18"/>
                <w:szCs w:val="18"/>
                <w:highlight w:val="none"/>
              </w:rPr>
            </w:pPr>
            <w:r>
              <w:rPr>
                <w:rFonts w:hint="eastAsia"/>
                <w:color w:val="000000" w:themeColor="text1"/>
                <w:sz w:val="18"/>
                <w:szCs w:val="18"/>
                <w:highlight w:val="none"/>
              </w:rPr>
              <w:t>0.001</w:t>
            </w:r>
          </w:p>
        </w:tc>
        <w:tc>
          <w:tcPr>
            <w:tcW w:w="1133" w:type="dxa"/>
            <w:gridSpan w:val="2"/>
            <w:vAlign w:val="center"/>
          </w:tcPr>
          <w:p>
            <w:pPr>
              <w:jc w:val="center"/>
              <w:rPr>
                <w:color w:val="000000" w:themeColor="text1"/>
                <w:sz w:val="18"/>
                <w:szCs w:val="18"/>
                <w:highlight w:val="none"/>
              </w:rPr>
            </w:pPr>
            <w:r>
              <w:rPr>
                <w:rFonts w:hint="eastAsia"/>
                <w:color w:val="000000" w:themeColor="text1"/>
                <w:sz w:val="18"/>
                <w:szCs w:val="18"/>
                <w:highlight w:val="none"/>
              </w:rPr>
              <w:t>0.001</w:t>
            </w:r>
          </w:p>
        </w:tc>
        <w:tc>
          <w:tcPr>
            <w:tcW w:w="993" w:type="dxa"/>
            <w:gridSpan w:val="2"/>
            <w:vAlign w:val="center"/>
          </w:tcPr>
          <w:p>
            <w:pPr>
              <w:jc w:val="center"/>
              <w:rPr>
                <w:color w:val="000000" w:themeColor="text1"/>
                <w:sz w:val="18"/>
                <w:szCs w:val="18"/>
                <w:highlight w:val="none"/>
              </w:rPr>
            </w:pPr>
            <w:r>
              <w:rPr>
                <w:rFonts w:hint="eastAsia"/>
                <w:color w:val="000000" w:themeColor="text1"/>
                <w:sz w:val="18"/>
                <w:szCs w:val="18"/>
                <w:highlight w:val="none"/>
              </w:rPr>
              <w:t>0.001</w:t>
            </w:r>
          </w:p>
        </w:tc>
        <w:tc>
          <w:tcPr>
            <w:tcW w:w="851" w:type="dxa"/>
            <w:vAlign w:val="center"/>
          </w:tcPr>
          <w:p>
            <w:pPr>
              <w:jc w:val="center"/>
              <w:rPr>
                <w:color w:val="000000" w:themeColor="text1"/>
                <w:sz w:val="18"/>
                <w:szCs w:val="18"/>
                <w:highlight w:val="none"/>
              </w:rPr>
            </w:pPr>
            <w:r>
              <w:rPr>
                <w:rFonts w:hint="eastAsia"/>
                <w:color w:val="000000" w:themeColor="text1"/>
                <w:sz w:val="18"/>
                <w:szCs w:val="18"/>
                <w:highlight w:val="none"/>
              </w:rPr>
              <w:t>0.0005</w:t>
            </w:r>
          </w:p>
        </w:tc>
        <w:tc>
          <w:tcPr>
            <w:tcW w:w="1005" w:type="dxa"/>
            <w:vAlign w:val="center"/>
          </w:tcPr>
          <w:p>
            <w:pPr>
              <w:jc w:val="center"/>
              <w:rPr>
                <w:color w:val="000000" w:themeColor="text1"/>
                <w:sz w:val="18"/>
                <w:szCs w:val="18"/>
                <w:highlight w:val="none"/>
              </w:rPr>
            </w:pPr>
            <w:r>
              <w:rPr>
                <w:rFonts w:hint="eastAsia"/>
                <w:color w:val="000000" w:themeColor="text1"/>
                <w:sz w:val="18"/>
                <w:szCs w:val="18"/>
                <w:highlight w:val="none"/>
              </w:rPr>
              <w:t>0.002</w:t>
            </w:r>
          </w:p>
        </w:tc>
        <w:tc>
          <w:tcPr>
            <w:tcW w:w="837" w:type="dxa"/>
            <w:vAlign w:val="center"/>
          </w:tcPr>
          <w:p>
            <w:pPr>
              <w:jc w:val="center"/>
              <w:rPr>
                <w:color w:val="000000" w:themeColor="text1"/>
                <w:sz w:val="18"/>
                <w:szCs w:val="18"/>
                <w:highlight w:val="none"/>
              </w:rPr>
            </w:pPr>
          </w:p>
        </w:tc>
        <w:tc>
          <w:tcPr>
            <w:tcW w:w="839" w:type="dxa"/>
            <w:vAlign w:val="center"/>
          </w:tcPr>
          <w:p>
            <w:pPr>
              <w:jc w:val="center"/>
              <w:rPr>
                <w:color w:val="000000" w:themeColor="text1"/>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restart"/>
            <w:vAlign w:val="center"/>
          </w:tcPr>
          <w:p>
            <w:pPr>
              <w:jc w:val="center"/>
              <w:rPr>
                <w:color w:val="000000" w:themeColor="text1"/>
                <w:sz w:val="18"/>
                <w:szCs w:val="18"/>
                <w:highlight w:val="none"/>
              </w:rPr>
            </w:pPr>
            <w:r>
              <w:rPr>
                <w:color w:val="000000" w:themeColor="text1"/>
                <w:sz w:val="18"/>
                <w:szCs w:val="18"/>
                <w:highlight w:val="none"/>
              </w:rPr>
              <w:t>环境敏感性</w:t>
            </w:r>
          </w:p>
        </w:tc>
        <w:tc>
          <w:tcPr>
            <w:tcW w:w="1403" w:type="dxa"/>
            <w:vMerge w:val="restart"/>
            <w:vAlign w:val="center"/>
          </w:tcPr>
          <w:p>
            <w:pPr>
              <w:jc w:val="center"/>
              <w:rPr>
                <w:color w:val="000000" w:themeColor="text1"/>
                <w:sz w:val="18"/>
                <w:szCs w:val="18"/>
                <w:highlight w:val="none"/>
              </w:rPr>
            </w:pPr>
            <w:r>
              <w:rPr>
                <w:color w:val="000000" w:themeColor="text1"/>
                <w:sz w:val="18"/>
                <w:szCs w:val="18"/>
                <w:highlight w:val="none"/>
              </w:rPr>
              <w:t>大气</w:t>
            </w:r>
          </w:p>
        </w:tc>
        <w:tc>
          <w:tcPr>
            <w:tcW w:w="3181" w:type="dxa"/>
            <w:gridSpan w:val="5"/>
            <w:vAlign w:val="center"/>
          </w:tcPr>
          <w:p>
            <w:pPr>
              <w:jc w:val="center"/>
              <w:rPr>
                <w:color w:val="000000" w:themeColor="text1"/>
                <w:sz w:val="18"/>
                <w:szCs w:val="18"/>
                <w:highlight w:val="none"/>
              </w:rPr>
            </w:pPr>
            <w:r>
              <w:rPr>
                <w:color w:val="000000" w:themeColor="text1"/>
                <w:sz w:val="18"/>
                <w:szCs w:val="18"/>
                <w:highlight w:val="none"/>
              </w:rPr>
              <w:t>500m范围内人口数</w:t>
            </w:r>
            <w:r>
              <w:rPr>
                <w:rFonts w:hint="eastAsia"/>
                <w:color w:val="000000" w:themeColor="text1"/>
                <w:sz w:val="18"/>
                <w:szCs w:val="18"/>
                <w:highlight w:val="none"/>
                <w:u w:val="single"/>
                <w:lang w:val="en-US" w:eastAsia="zh-CN"/>
              </w:rPr>
              <w:t>1</w:t>
            </w:r>
            <w:r>
              <w:rPr>
                <w:rFonts w:hint="eastAsia"/>
                <w:color w:val="000000" w:themeColor="text1"/>
                <w:sz w:val="18"/>
                <w:szCs w:val="18"/>
                <w:highlight w:val="none"/>
                <w:u w:val="single"/>
              </w:rPr>
              <w:t>000</w:t>
            </w:r>
            <w:r>
              <w:rPr>
                <w:color w:val="000000" w:themeColor="text1"/>
                <w:sz w:val="18"/>
                <w:szCs w:val="18"/>
                <w:highlight w:val="none"/>
              </w:rPr>
              <w:t>人</w:t>
            </w:r>
          </w:p>
        </w:tc>
        <w:tc>
          <w:tcPr>
            <w:tcW w:w="3532" w:type="dxa"/>
            <w:gridSpan w:val="4"/>
            <w:vAlign w:val="center"/>
          </w:tcPr>
          <w:p>
            <w:pPr>
              <w:jc w:val="center"/>
              <w:rPr>
                <w:color w:val="000000" w:themeColor="text1"/>
                <w:sz w:val="18"/>
                <w:szCs w:val="18"/>
                <w:highlight w:val="none"/>
              </w:rPr>
            </w:pPr>
            <w:r>
              <w:rPr>
                <w:color w:val="000000" w:themeColor="text1"/>
                <w:sz w:val="18"/>
                <w:szCs w:val="18"/>
                <w:highlight w:val="none"/>
              </w:rPr>
              <w:t>5km范围内人口数</w:t>
            </w:r>
            <w:r>
              <w:rPr>
                <w:rFonts w:hint="eastAsia"/>
                <w:color w:val="000000" w:themeColor="text1"/>
                <w:sz w:val="18"/>
                <w:szCs w:val="18"/>
                <w:highlight w:val="none"/>
                <w:u w:val="single"/>
                <w:lang w:val="en-US" w:eastAsia="zh-CN"/>
              </w:rPr>
              <w:t>2</w:t>
            </w:r>
            <w:r>
              <w:rPr>
                <w:rFonts w:hint="eastAsia"/>
                <w:color w:val="000000" w:themeColor="text1"/>
                <w:sz w:val="18"/>
                <w:szCs w:val="18"/>
                <w:highlight w:val="none"/>
                <w:u w:val="single"/>
              </w:rPr>
              <w:t>0000</w:t>
            </w:r>
            <w:r>
              <w:rPr>
                <w:color w:val="000000" w:themeColor="text1"/>
                <w:sz w:val="18"/>
                <w:szCs w:val="18"/>
                <w:highlight w:val="none"/>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1403" w:type="dxa"/>
            <w:vMerge w:val="continue"/>
            <w:vAlign w:val="center"/>
          </w:tcPr>
          <w:p>
            <w:pPr>
              <w:jc w:val="center"/>
              <w:rPr>
                <w:color w:val="000000" w:themeColor="text1"/>
                <w:sz w:val="18"/>
                <w:szCs w:val="18"/>
                <w:highlight w:val="none"/>
              </w:rPr>
            </w:pPr>
          </w:p>
        </w:tc>
        <w:tc>
          <w:tcPr>
            <w:tcW w:w="5037" w:type="dxa"/>
            <w:gridSpan w:val="7"/>
            <w:vAlign w:val="center"/>
          </w:tcPr>
          <w:p>
            <w:pPr>
              <w:jc w:val="center"/>
              <w:rPr>
                <w:color w:val="000000" w:themeColor="text1"/>
                <w:sz w:val="18"/>
                <w:szCs w:val="18"/>
                <w:highlight w:val="none"/>
              </w:rPr>
            </w:pPr>
            <w:r>
              <w:rPr>
                <w:color w:val="000000" w:themeColor="text1"/>
                <w:sz w:val="18"/>
                <w:szCs w:val="18"/>
                <w:highlight w:val="none"/>
              </w:rPr>
              <w:t>每公里管段周边200m范围内人口数（最大）</w:t>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1403" w:type="dxa"/>
            <w:vMerge w:val="restart"/>
            <w:vAlign w:val="center"/>
          </w:tcPr>
          <w:p>
            <w:pPr>
              <w:jc w:val="center"/>
              <w:rPr>
                <w:color w:val="000000" w:themeColor="text1"/>
                <w:sz w:val="18"/>
                <w:szCs w:val="18"/>
                <w:highlight w:val="none"/>
              </w:rPr>
            </w:pPr>
            <w:r>
              <w:rPr>
                <w:color w:val="000000" w:themeColor="text1"/>
                <w:sz w:val="18"/>
                <w:szCs w:val="18"/>
                <w:highlight w:val="none"/>
              </w:rPr>
              <w:t>地表水</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地表水功能敏感性</w:t>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F1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F2 </w:t>
            </w:r>
            <w:r>
              <w:rPr>
                <w:color w:val="000000" w:themeColor="text1"/>
                <w:sz w:val="18"/>
                <w:highlight w:val="none"/>
              </w:rPr>
              <w:sym w:font="Wingdings 2" w:char="00A3"/>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F3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1403" w:type="dxa"/>
            <w:vMerge w:val="continue"/>
            <w:vAlign w:val="center"/>
          </w:tcPr>
          <w:p>
            <w:pPr>
              <w:jc w:val="center"/>
              <w:rPr>
                <w:color w:val="000000" w:themeColor="text1"/>
                <w:sz w:val="18"/>
                <w:szCs w:val="18"/>
                <w:highlight w:val="none"/>
              </w:rPr>
            </w:pP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环境敏感目标分级</w:t>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S1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S2 </w:t>
            </w:r>
            <w:r>
              <w:rPr>
                <w:color w:val="000000" w:themeColor="text1"/>
                <w:sz w:val="18"/>
                <w:highlight w:val="none"/>
              </w:rPr>
              <w:sym w:font="Wingdings 2" w:char="00A3"/>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S3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1403" w:type="dxa"/>
            <w:vMerge w:val="restart"/>
            <w:vAlign w:val="center"/>
          </w:tcPr>
          <w:p>
            <w:pPr>
              <w:jc w:val="center"/>
              <w:rPr>
                <w:color w:val="000000" w:themeColor="text1"/>
                <w:sz w:val="18"/>
                <w:szCs w:val="18"/>
                <w:highlight w:val="none"/>
              </w:rPr>
            </w:pPr>
            <w:r>
              <w:rPr>
                <w:color w:val="000000" w:themeColor="text1"/>
                <w:sz w:val="18"/>
                <w:szCs w:val="18"/>
                <w:highlight w:val="none"/>
              </w:rPr>
              <w:t>地下水</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地下水功能敏感性</w:t>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G1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G2 </w:t>
            </w:r>
            <w:r>
              <w:rPr>
                <w:color w:val="000000" w:themeColor="text1"/>
                <w:sz w:val="18"/>
                <w:highlight w:val="none"/>
              </w:rPr>
              <w:sym w:font="Wingdings 2" w:char="00A3"/>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G3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1403" w:type="dxa"/>
            <w:vMerge w:val="continue"/>
            <w:vAlign w:val="center"/>
          </w:tcPr>
          <w:p>
            <w:pPr>
              <w:jc w:val="center"/>
              <w:rPr>
                <w:color w:val="000000" w:themeColor="text1"/>
                <w:sz w:val="18"/>
                <w:szCs w:val="18"/>
                <w:highlight w:val="none"/>
              </w:rPr>
            </w:pP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包气带防污性能</w:t>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D1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D2 </w:t>
            </w:r>
            <w:r>
              <w:rPr>
                <w:color w:val="000000" w:themeColor="text1"/>
                <w:sz w:val="18"/>
                <w:highlight w:val="none"/>
              </w:rPr>
              <w:sym w:font="Wingdings 2" w:char="0052"/>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D3 </w:t>
            </w:r>
            <w:r>
              <w:rPr>
                <w:color w:val="000000" w:themeColor="text1"/>
                <w:sz w:val="18"/>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Merge w:val="restart"/>
            <w:vAlign w:val="center"/>
          </w:tcPr>
          <w:p>
            <w:pPr>
              <w:jc w:val="center"/>
              <w:rPr>
                <w:color w:val="000000" w:themeColor="text1"/>
                <w:sz w:val="18"/>
                <w:szCs w:val="18"/>
                <w:highlight w:val="none"/>
              </w:rPr>
            </w:pPr>
            <w:r>
              <w:rPr>
                <w:color w:val="000000" w:themeColor="text1"/>
                <w:sz w:val="18"/>
                <w:szCs w:val="18"/>
                <w:highlight w:val="none"/>
              </w:rPr>
              <w:t>物质及工艺系统危险性</w:t>
            </w:r>
          </w:p>
        </w:tc>
        <w:tc>
          <w:tcPr>
            <w:tcW w:w="1403" w:type="dxa"/>
            <w:vAlign w:val="center"/>
          </w:tcPr>
          <w:p>
            <w:pPr>
              <w:jc w:val="center"/>
              <w:rPr>
                <w:color w:val="000000" w:themeColor="text1"/>
                <w:sz w:val="18"/>
                <w:szCs w:val="18"/>
                <w:highlight w:val="none"/>
              </w:rPr>
            </w:pPr>
            <w:r>
              <w:rPr>
                <w:color w:val="000000" w:themeColor="text1"/>
                <w:sz w:val="18"/>
                <w:szCs w:val="18"/>
                <w:highlight w:val="none"/>
              </w:rPr>
              <w:t>Q值</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Q＜1</w:t>
            </w:r>
            <w:r>
              <w:rPr>
                <w:color w:val="000000" w:themeColor="text1"/>
                <w:sz w:val="18"/>
                <w:highlight w:val="none"/>
              </w:rPr>
              <w:sym w:font="Wingdings 2" w:char="0052"/>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1≤Q＜10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10≤Q＜100 </w:t>
            </w:r>
            <w:r>
              <w:rPr>
                <w:color w:val="000000" w:themeColor="text1"/>
                <w:sz w:val="18"/>
                <w:highlight w:val="none"/>
              </w:rPr>
              <w:sym w:font="Wingdings 2" w:char="00A3"/>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Q＞100 </w:t>
            </w:r>
            <w:r>
              <w:rPr>
                <w:color w:val="000000" w:themeColor="text1"/>
                <w:sz w:val="18"/>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Merge w:val="continue"/>
            <w:vAlign w:val="center"/>
          </w:tcPr>
          <w:p>
            <w:pPr>
              <w:jc w:val="center"/>
              <w:rPr>
                <w:color w:val="000000" w:themeColor="text1"/>
                <w:sz w:val="18"/>
                <w:szCs w:val="18"/>
                <w:highlight w:val="none"/>
              </w:rPr>
            </w:pPr>
          </w:p>
        </w:tc>
        <w:tc>
          <w:tcPr>
            <w:tcW w:w="1403" w:type="dxa"/>
            <w:vAlign w:val="center"/>
          </w:tcPr>
          <w:p>
            <w:pPr>
              <w:jc w:val="center"/>
              <w:rPr>
                <w:color w:val="000000" w:themeColor="text1"/>
                <w:sz w:val="18"/>
                <w:szCs w:val="18"/>
                <w:highlight w:val="none"/>
              </w:rPr>
            </w:pPr>
            <w:r>
              <w:rPr>
                <w:color w:val="000000" w:themeColor="text1"/>
                <w:sz w:val="18"/>
                <w:szCs w:val="18"/>
                <w:highlight w:val="none"/>
              </w:rPr>
              <w:t>M值</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 xml:space="preserve">M1 </w:t>
            </w:r>
            <w:r>
              <w:rPr>
                <w:color w:val="000000" w:themeColor="text1"/>
                <w:sz w:val="18"/>
                <w:highlight w:val="none"/>
              </w:rPr>
              <w:sym w:font="Wingdings 2" w:char="00A3"/>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M2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M3 </w:t>
            </w:r>
            <w:r>
              <w:rPr>
                <w:color w:val="000000" w:themeColor="text1"/>
                <w:sz w:val="18"/>
                <w:highlight w:val="none"/>
              </w:rPr>
              <w:sym w:font="Wingdings 2" w:char="00A3"/>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M4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Merge w:val="continue"/>
            <w:vAlign w:val="center"/>
          </w:tcPr>
          <w:p>
            <w:pPr>
              <w:jc w:val="center"/>
              <w:rPr>
                <w:color w:val="000000" w:themeColor="text1"/>
                <w:sz w:val="18"/>
                <w:szCs w:val="18"/>
                <w:highlight w:val="none"/>
              </w:rPr>
            </w:pPr>
          </w:p>
        </w:tc>
        <w:tc>
          <w:tcPr>
            <w:tcW w:w="1403" w:type="dxa"/>
            <w:vAlign w:val="center"/>
          </w:tcPr>
          <w:p>
            <w:pPr>
              <w:jc w:val="center"/>
              <w:rPr>
                <w:color w:val="000000" w:themeColor="text1"/>
                <w:sz w:val="18"/>
                <w:szCs w:val="18"/>
                <w:highlight w:val="none"/>
              </w:rPr>
            </w:pPr>
            <w:r>
              <w:rPr>
                <w:color w:val="000000" w:themeColor="text1"/>
                <w:sz w:val="18"/>
                <w:szCs w:val="18"/>
                <w:highlight w:val="none"/>
              </w:rPr>
              <w:t>P值</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 xml:space="preserve">P1 </w:t>
            </w:r>
            <w:r>
              <w:rPr>
                <w:color w:val="000000" w:themeColor="text1"/>
                <w:sz w:val="18"/>
                <w:highlight w:val="none"/>
              </w:rPr>
              <w:sym w:font="Wingdings 2" w:char="00A3"/>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P2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P3 </w:t>
            </w:r>
            <w:r>
              <w:rPr>
                <w:color w:val="000000" w:themeColor="text1"/>
                <w:sz w:val="18"/>
                <w:highlight w:val="none"/>
              </w:rPr>
              <w:sym w:font="Wingdings 2" w:char="00A3"/>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P4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Merge w:val="restart"/>
            <w:vAlign w:val="center"/>
          </w:tcPr>
          <w:p>
            <w:pPr>
              <w:jc w:val="center"/>
              <w:rPr>
                <w:color w:val="000000" w:themeColor="text1"/>
                <w:sz w:val="18"/>
                <w:szCs w:val="18"/>
                <w:highlight w:val="none"/>
              </w:rPr>
            </w:pPr>
            <w:r>
              <w:rPr>
                <w:color w:val="000000" w:themeColor="text1"/>
                <w:sz w:val="18"/>
                <w:szCs w:val="18"/>
                <w:highlight w:val="none"/>
              </w:rPr>
              <w:t>环境敏感程度</w:t>
            </w:r>
          </w:p>
        </w:tc>
        <w:tc>
          <w:tcPr>
            <w:tcW w:w="1403" w:type="dxa"/>
            <w:vAlign w:val="center"/>
          </w:tcPr>
          <w:p>
            <w:pPr>
              <w:jc w:val="center"/>
              <w:rPr>
                <w:color w:val="000000" w:themeColor="text1"/>
                <w:sz w:val="18"/>
                <w:szCs w:val="18"/>
                <w:highlight w:val="none"/>
              </w:rPr>
            </w:pPr>
            <w:r>
              <w:rPr>
                <w:color w:val="000000" w:themeColor="text1"/>
                <w:sz w:val="18"/>
                <w:szCs w:val="18"/>
                <w:highlight w:val="none"/>
              </w:rPr>
              <w:t>大气</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 xml:space="preserve">E1 </w:t>
            </w:r>
            <w:r>
              <w:rPr>
                <w:color w:val="000000" w:themeColor="text1"/>
                <w:sz w:val="18"/>
                <w:highlight w:val="none"/>
              </w:rPr>
              <w:sym w:font="Wingdings 2" w:char="00A3"/>
            </w:r>
          </w:p>
        </w:tc>
        <w:tc>
          <w:tcPr>
            <w:tcW w:w="2353" w:type="dxa"/>
            <w:gridSpan w:val="4"/>
            <w:vAlign w:val="center"/>
          </w:tcPr>
          <w:p>
            <w:pPr>
              <w:jc w:val="center"/>
              <w:rPr>
                <w:color w:val="000000" w:themeColor="text1"/>
                <w:sz w:val="18"/>
                <w:szCs w:val="18"/>
                <w:highlight w:val="none"/>
              </w:rPr>
            </w:pPr>
            <w:r>
              <w:rPr>
                <w:color w:val="000000" w:themeColor="text1"/>
                <w:sz w:val="18"/>
                <w:szCs w:val="18"/>
                <w:highlight w:val="none"/>
              </w:rPr>
              <w:t xml:space="preserve">E2 </w:t>
            </w:r>
            <w:r>
              <w:rPr>
                <w:color w:val="000000" w:themeColor="text1"/>
                <w:sz w:val="18"/>
                <w:highlight w:val="none"/>
              </w:rPr>
              <w:sym w:font="Wingdings 2" w:char="0052"/>
            </w:r>
          </w:p>
        </w:tc>
        <w:tc>
          <w:tcPr>
            <w:tcW w:w="2681" w:type="dxa"/>
            <w:gridSpan w:val="3"/>
            <w:vAlign w:val="center"/>
          </w:tcPr>
          <w:p>
            <w:pPr>
              <w:jc w:val="center"/>
              <w:rPr>
                <w:color w:val="000000" w:themeColor="text1"/>
                <w:sz w:val="18"/>
                <w:szCs w:val="18"/>
                <w:highlight w:val="none"/>
              </w:rPr>
            </w:pPr>
            <w:r>
              <w:rPr>
                <w:color w:val="000000" w:themeColor="text1"/>
                <w:sz w:val="18"/>
                <w:szCs w:val="18"/>
                <w:highlight w:val="none"/>
              </w:rPr>
              <w:t xml:space="preserve">E3 </w:t>
            </w:r>
            <w:r>
              <w:rPr>
                <w:color w:val="000000" w:themeColor="text1"/>
                <w:sz w:val="18"/>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Merge w:val="continue"/>
            <w:vAlign w:val="center"/>
          </w:tcPr>
          <w:p>
            <w:pPr>
              <w:jc w:val="center"/>
              <w:rPr>
                <w:color w:val="000000" w:themeColor="text1"/>
                <w:sz w:val="18"/>
                <w:szCs w:val="18"/>
                <w:highlight w:val="none"/>
              </w:rPr>
            </w:pPr>
          </w:p>
        </w:tc>
        <w:tc>
          <w:tcPr>
            <w:tcW w:w="1403" w:type="dxa"/>
            <w:vAlign w:val="center"/>
          </w:tcPr>
          <w:p>
            <w:pPr>
              <w:jc w:val="center"/>
              <w:rPr>
                <w:color w:val="000000" w:themeColor="text1"/>
                <w:sz w:val="18"/>
                <w:szCs w:val="18"/>
                <w:highlight w:val="none"/>
              </w:rPr>
            </w:pPr>
            <w:r>
              <w:rPr>
                <w:color w:val="000000" w:themeColor="text1"/>
                <w:sz w:val="18"/>
                <w:szCs w:val="18"/>
                <w:highlight w:val="none"/>
              </w:rPr>
              <w:t>地表水</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 xml:space="preserve">E1 </w:t>
            </w:r>
            <w:r>
              <w:rPr>
                <w:color w:val="000000" w:themeColor="text1"/>
                <w:sz w:val="18"/>
                <w:highlight w:val="none"/>
              </w:rPr>
              <w:sym w:font="Wingdings 2" w:char="00A3"/>
            </w:r>
          </w:p>
        </w:tc>
        <w:tc>
          <w:tcPr>
            <w:tcW w:w="2353" w:type="dxa"/>
            <w:gridSpan w:val="4"/>
            <w:vAlign w:val="center"/>
          </w:tcPr>
          <w:p>
            <w:pPr>
              <w:jc w:val="center"/>
              <w:rPr>
                <w:color w:val="000000" w:themeColor="text1"/>
                <w:sz w:val="18"/>
                <w:szCs w:val="18"/>
                <w:highlight w:val="none"/>
              </w:rPr>
            </w:pPr>
            <w:r>
              <w:rPr>
                <w:color w:val="000000" w:themeColor="text1"/>
                <w:sz w:val="18"/>
                <w:szCs w:val="18"/>
                <w:highlight w:val="none"/>
              </w:rPr>
              <w:t xml:space="preserve">E2 </w:t>
            </w:r>
            <w:r>
              <w:rPr>
                <w:color w:val="000000" w:themeColor="text1"/>
                <w:sz w:val="18"/>
                <w:highlight w:val="none"/>
              </w:rPr>
              <w:sym w:font="Wingdings 2" w:char="00A3"/>
            </w:r>
          </w:p>
        </w:tc>
        <w:tc>
          <w:tcPr>
            <w:tcW w:w="2681" w:type="dxa"/>
            <w:gridSpan w:val="3"/>
            <w:vAlign w:val="center"/>
          </w:tcPr>
          <w:p>
            <w:pPr>
              <w:jc w:val="center"/>
              <w:rPr>
                <w:color w:val="000000" w:themeColor="text1"/>
                <w:sz w:val="18"/>
                <w:szCs w:val="18"/>
                <w:highlight w:val="none"/>
              </w:rPr>
            </w:pPr>
            <w:r>
              <w:rPr>
                <w:color w:val="000000" w:themeColor="text1"/>
                <w:sz w:val="18"/>
                <w:szCs w:val="18"/>
                <w:highlight w:val="none"/>
              </w:rPr>
              <w:t xml:space="preserve">E3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Merge w:val="continue"/>
            <w:vAlign w:val="center"/>
          </w:tcPr>
          <w:p>
            <w:pPr>
              <w:jc w:val="center"/>
              <w:rPr>
                <w:color w:val="000000" w:themeColor="text1"/>
                <w:sz w:val="18"/>
                <w:szCs w:val="18"/>
                <w:highlight w:val="none"/>
              </w:rPr>
            </w:pPr>
          </w:p>
        </w:tc>
        <w:tc>
          <w:tcPr>
            <w:tcW w:w="1403" w:type="dxa"/>
            <w:vAlign w:val="center"/>
          </w:tcPr>
          <w:p>
            <w:pPr>
              <w:jc w:val="center"/>
              <w:rPr>
                <w:color w:val="000000" w:themeColor="text1"/>
                <w:sz w:val="18"/>
                <w:szCs w:val="18"/>
                <w:highlight w:val="none"/>
              </w:rPr>
            </w:pPr>
            <w:r>
              <w:rPr>
                <w:color w:val="000000" w:themeColor="text1"/>
                <w:sz w:val="18"/>
                <w:szCs w:val="18"/>
                <w:highlight w:val="none"/>
              </w:rPr>
              <w:t>地下水</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 xml:space="preserve">E1 </w:t>
            </w:r>
            <w:r>
              <w:rPr>
                <w:color w:val="000000" w:themeColor="text1"/>
                <w:sz w:val="18"/>
                <w:highlight w:val="none"/>
              </w:rPr>
              <w:sym w:font="Wingdings 2" w:char="00A3"/>
            </w:r>
          </w:p>
        </w:tc>
        <w:tc>
          <w:tcPr>
            <w:tcW w:w="2353" w:type="dxa"/>
            <w:gridSpan w:val="4"/>
            <w:vAlign w:val="center"/>
          </w:tcPr>
          <w:p>
            <w:pPr>
              <w:jc w:val="center"/>
              <w:rPr>
                <w:color w:val="000000" w:themeColor="text1"/>
                <w:sz w:val="18"/>
                <w:szCs w:val="18"/>
                <w:highlight w:val="none"/>
              </w:rPr>
            </w:pPr>
            <w:r>
              <w:rPr>
                <w:color w:val="000000" w:themeColor="text1"/>
                <w:sz w:val="18"/>
                <w:szCs w:val="18"/>
                <w:highlight w:val="none"/>
              </w:rPr>
              <w:t xml:space="preserve">E2 </w:t>
            </w:r>
            <w:r>
              <w:rPr>
                <w:color w:val="000000" w:themeColor="text1"/>
                <w:sz w:val="18"/>
                <w:highlight w:val="none"/>
              </w:rPr>
              <w:sym w:font="Wingdings 2" w:char="00A3"/>
            </w:r>
          </w:p>
        </w:tc>
        <w:tc>
          <w:tcPr>
            <w:tcW w:w="2681" w:type="dxa"/>
            <w:gridSpan w:val="3"/>
            <w:vAlign w:val="center"/>
          </w:tcPr>
          <w:p>
            <w:pPr>
              <w:jc w:val="center"/>
              <w:rPr>
                <w:color w:val="000000" w:themeColor="text1"/>
                <w:sz w:val="18"/>
                <w:szCs w:val="18"/>
                <w:highlight w:val="none"/>
              </w:rPr>
            </w:pPr>
            <w:r>
              <w:rPr>
                <w:color w:val="000000" w:themeColor="text1"/>
                <w:sz w:val="18"/>
                <w:szCs w:val="18"/>
                <w:highlight w:val="none"/>
              </w:rPr>
              <w:t xml:space="preserve">E3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Align w:val="center"/>
          </w:tcPr>
          <w:p>
            <w:pPr>
              <w:jc w:val="center"/>
              <w:rPr>
                <w:color w:val="000000" w:themeColor="text1"/>
                <w:sz w:val="18"/>
                <w:szCs w:val="18"/>
                <w:highlight w:val="none"/>
              </w:rPr>
            </w:pPr>
            <w:r>
              <w:rPr>
                <w:color w:val="000000" w:themeColor="text1"/>
                <w:sz w:val="18"/>
                <w:szCs w:val="18"/>
                <w:highlight w:val="none"/>
              </w:rPr>
              <w:t>环境风险潜势</w:t>
            </w:r>
          </w:p>
        </w:tc>
        <w:tc>
          <w:tcPr>
            <w:tcW w:w="1403" w:type="dxa"/>
            <w:vAlign w:val="center"/>
          </w:tcPr>
          <w:p>
            <w:pPr>
              <w:jc w:val="center"/>
              <w:rPr>
                <w:color w:val="000000" w:themeColor="text1"/>
                <w:sz w:val="18"/>
                <w:szCs w:val="18"/>
                <w:highlight w:val="none"/>
              </w:rPr>
            </w:pPr>
            <w:r>
              <w:rPr>
                <w:color w:val="000000" w:themeColor="text1"/>
                <w:sz w:val="18"/>
                <w:szCs w:val="18"/>
                <w:highlight w:val="none"/>
              </w:rPr>
              <w:t>IV</w:t>
            </w:r>
            <w:r>
              <w:rPr>
                <w:color w:val="000000" w:themeColor="text1"/>
                <w:sz w:val="18"/>
                <w:szCs w:val="18"/>
                <w:highlight w:val="none"/>
                <w:vertAlign w:val="superscript"/>
              </w:rPr>
              <w:t>+</w:t>
            </w:r>
            <w:r>
              <w:rPr>
                <w:color w:val="000000" w:themeColor="text1"/>
                <w:sz w:val="18"/>
                <w:highlight w:val="none"/>
              </w:rPr>
              <w:sym w:font="Wingdings 2" w:char="00A3"/>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 xml:space="preserve">IV </w:t>
            </w:r>
            <w:r>
              <w:rPr>
                <w:color w:val="000000" w:themeColor="text1"/>
                <w:sz w:val="18"/>
                <w:highlight w:val="none"/>
              </w:rPr>
              <w:sym w:font="Wingdings 2" w:char="00A3"/>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III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II </w:t>
            </w:r>
            <w:r>
              <w:rPr>
                <w:color w:val="000000" w:themeColor="text1"/>
                <w:sz w:val="18"/>
                <w:highlight w:val="none"/>
              </w:rPr>
              <w:sym w:font="Wingdings 2" w:char="00A3"/>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I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Align w:val="center"/>
          </w:tcPr>
          <w:p>
            <w:pPr>
              <w:jc w:val="center"/>
              <w:rPr>
                <w:color w:val="000000" w:themeColor="text1"/>
                <w:sz w:val="18"/>
                <w:szCs w:val="18"/>
                <w:highlight w:val="none"/>
              </w:rPr>
            </w:pPr>
            <w:r>
              <w:rPr>
                <w:color w:val="000000" w:themeColor="text1"/>
                <w:sz w:val="18"/>
                <w:szCs w:val="18"/>
                <w:highlight w:val="none"/>
              </w:rPr>
              <w:t>评价等级</w:t>
            </w:r>
          </w:p>
        </w:tc>
        <w:tc>
          <w:tcPr>
            <w:tcW w:w="308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一级 </w:t>
            </w:r>
            <w:r>
              <w:rPr>
                <w:color w:val="000000" w:themeColor="text1"/>
                <w:sz w:val="18"/>
                <w:highlight w:val="none"/>
              </w:rPr>
              <w:sym w:font="Wingdings 2" w:char="00A3"/>
            </w:r>
          </w:p>
        </w:tc>
        <w:tc>
          <w:tcPr>
            <w:tcW w:w="150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二级 </w:t>
            </w:r>
            <w:r>
              <w:rPr>
                <w:color w:val="000000" w:themeColor="text1"/>
                <w:sz w:val="18"/>
                <w:highlight w:val="none"/>
              </w:rPr>
              <w:sym w:font="Wingdings 2" w:char="00A3"/>
            </w:r>
          </w:p>
        </w:tc>
        <w:tc>
          <w:tcPr>
            <w:tcW w:w="185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三级 </w:t>
            </w:r>
            <w:r>
              <w:rPr>
                <w:color w:val="000000" w:themeColor="text1"/>
                <w:sz w:val="18"/>
                <w:highlight w:val="none"/>
              </w:rPr>
              <w:sym w:font="Wingdings 2" w:char="00A3"/>
            </w:r>
          </w:p>
        </w:tc>
        <w:tc>
          <w:tcPr>
            <w:tcW w:w="1676" w:type="dxa"/>
            <w:gridSpan w:val="2"/>
            <w:vAlign w:val="center"/>
          </w:tcPr>
          <w:p>
            <w:pPr>
              <w:jc w:val="center"/>
              <w:rPr>
                <w:color w:val="000000" w:themeColor="text1"/>
                <w:sz w:val="18"/>
                <w:szCs w:val="18"/>
                <w:highlight w:val="none"/>
              </w:rPr>
            </w:pPr>
            <w:r>
              <w:rPr>
                <w:color w:val="000000" w:themeColor="text1"/>
                <w:sz w:val="18"/>
                <w:szCs w:val="18"/>
                <w:highlight w:val="none"/>
              </w:rPr>
              <w:t xml:space="preserve">简单分析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restart"/>
            <w:textDirection w:val="tbRlV"/>
            <w:vAlign w:val="center"/>
          </w:tcPr>
          <w:p>
            <w:pPr>
              <w:ind w:left="113" w:right="113"/>
              <w:jc w:val="center"/>
              <w:rPr>
                <w:color w:val="000000" w:themeColor="text1"/>
                <w:sz w:val="18"/>
                <w:szCs w:val="18"/>
                <w:highlight w:val="none"/>
              </w:rPr>
            </w:pPr>
            <w:r>
              <w:rPr>
                <w:color w:val="000000" w:themeColor="text1"/>
                <w:sz w:val="18"/>
                <w:szCs w:val="18"/>
                <w:highlight w:val="none"/>
              </w:rPr>
              <w:t>风 险 识 别</w:t>
            </w:r>
          </w:p>
        </w:tc>
        <w:tc>
          <w:tcPr>
            <w:tcW w:w="1104" w:type="dxa"/>
            <w:vAlign w:val="center"/>
          </w:tcPr>
          <w:p>
            <w:pPr>
              <w:jc w:val="center"/>
              <w:rPr>
                <w:color w:val="000000" w:themeColor="text1"/>
                <w:sz w:val="18"/>
                <w:szCs w:val="18"/>
                <w:highlight w:val="none"/>
              </w:rPr>
            </w:pPr>
            <w:r>
              <w:rPr>
                <w:color w:val="000000" w:themeColor="text1"/>
                <w:sz w:val="18"/>
                <w:szCs w:val="18"/>
                <w:highlight w:val="none"/>
              </w:rPr>
              <w:t>物质危险性</w:t>
            </w:r>
          </w:p>
        </w:tc>
        <w:tc>
          <w:tcPr>
            <w:tcW w:w="4059" w:type="dxa"/>
            <w:gridSpan w:val="5"/>
            <w:vAlign w:val="center"/>
          </w:tcPr>
          <w:p>
            <w:pPr>
              <w:jc w:val="center"/>
              <w:rPr>
                <w:color w:val="000000" w:themeColor="text1"/>
                <w:sz w:val="18"/>
                <w:szCs w:val="18"/>
                <w:highlight w:val="none"/>
              </w:rPr>
            </w:pPr>
            <w:r>
              <w:rPr>
                <w:color w:val="000000" w:themeColor="text1"/>
                <w:sz w:val="18"/>
                <w:szCs w:val="18"/>
                <w:highlight w:val="none"/>
              </w:rPr>
              <w:t xml:space="preserve">有毒有害 </w:t>
            </w:r>
            <w:r>
              <w:rPr>
                <w:color w:val="000000" w:themeColor="text1"/>
                <w:sz w:val="18"/>
                <w:highlight w:val="none"/>
              </w:rPr>
              <w:sym w:font="Wingdings 2" w:char="00A3"/>
            </w:r>
          </w:p>
        </w:tc>
        <w:tc>
          <w:tcPr>
            <w:tcW w:w="4057" w:type="dxa"/>
            <w:gridSpan w:val="5"/>
            <w:vAlign w:val="center"/>
          </w:tcPr>
          <w:p>
            <w:pPr>
              <w:jc w:val="center"/>
              <w:rPr>
                <w:color w:val="000000" w:themeColor="text1"/>
                <w:sz w:val="18"/>
                <w:szCs w:val="18"/>
                <w:highlight w:val="none"/>
              </w:rPr>
            </w:pPr>
            <w:r>
              <w:rPr>
                <w:color w:val="000000" w:themeColor="text1"/>
                <w:sz w:val="18"/>
                <w:szCs w:val="18"/>
                <w:highlight w:val="none"/>
              </w:rPr>
              <w:t xml:space="preserve">易燃易爆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Align w:val="center"/>
          </w:tcPr>
          <w:p>
            <w:pPr>
              <w:jc w:val="center"/>
              <w:rPr>
                <w:color w:val="000000" w:themeColor="text1"/>
                <w:sz w:val="18"/>
                <w:szCs w:val="18"/>
                <w:highlight w:val="none"/>
              </w:rPr>
            </w:pPr>
            <w:r>
              <w:rPr>
                <w:color w:val="000000" w:themeColor="text1"/>
                <w:sz w:val="18"/>
                <w:szCs w:val="18"/>
                <w:highlight w:val="none"/>
              </w:rPr>
              <w:t>环境风险类型</w:t>
            </w:r>
          </w:p>
        </w:tc>
        <w:tc>
          <w:tcPr>
            <w:tcW w:w="308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泄漏 </w:t>
            </w:r>
            <w:r>
              <w:rPr>
                <w:color w:val="000000" w:themeColor="text1"/>
                <w:sz w:val="18"/>
                <w:highlight w:val="none"/>
              </w:rPr>
              <w:sym w:font="Wingdings 2" w:char="0052"/>
            </w:r>
          </w:p>
        </w:tc>
        <w:tc>
          <w:tcPr>
            <w:tcW w:w="5034" w:type="dxa"/>
            <w:gridSpan w:val="7"/>
            <w:vAlign w:val="center"/>
          </w:tcPr>
          <w:p>
            <w:pPr>
              <w:jc w:val="center"/>
              <w:rPr>
                <w:color w:val="000000" w:themeColor="text1"/>
                <w:sz w:val="18"/>
                <w:szCs w:val="18"/>
                <w:highlight w:val="none"/>
              </w:rPr>
            </w:pPr>
            <w:r>
              <w:rPr>
                <w:color w:val="000000" w:themeColor="text1"/>
                <w:sz w:val="18"/>
                <w:szCs w:val="18"/>
                <w:highlight w:val="none"/>
              </w:rPr>
              <w:t xml:space="preserve">火灾、爆炸引发伴生/次生污染物排放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Align w:val="center"/>
          </w:tcPr>
          <w:p>
            <w:pPr>
              <w:jc w:val="center"/>
              <w:rPr>
                <w:color w:val="000000" w:themeColor="text1"/>
                <w:sz w:val="18"/>
                <w:szCs w:val="18"/>
                <w:highlight w:val="none"/>
              </w:rPr>
            </w:pPr>
            <w:r>
              <w:rPr>
                <w:color w:val="000000" w:themeColor="text1"/>
                <w:sz w:val="18"/>
                <w:szCs w:val="18"/>
                <w:highlight w:val="none"/>
              </w:rPr>
              <w:t>影响途径</w:t>
            </w:r>
          </w:p>
        </w:tc>
        <w:tc>
          <w:tcPr>
            <w:tcW w:w="3082" w:type="dxa"/>
            <w:gridSpan w:val="3"/>
            <w:vAlign w:val="center"/>
          </w:tcPr>
          <w:p>
            <w:pPr>
              <w:jc w:val="center"/>
              <w:rPr>
                <w:color w:val="000000" w:themeColor="text1"/>
                <w:sz w:val="18"/>
                <w:szCs w:val="18"/>
                <w:highlight w:val="none"/>
              </w:rPr>
            </w:pPr>
            <w:r>
              <w:rPr>
                <w:color w:val="000000" w:themeColor="text1"/>
                <w:sz w:val="18"/>
                <w:szCs w:val="18"/>
                <w:highlight w:val="none"/>
              </w:rPr>
              <w:t xml:space="preserve">大气 </w:t>
            </w:r>
            <w:r>
              <w:rPr>
                <w:color w:val="000000" w:themeColor="text1"/>
                <w:sz w:val="18"/>
                <w:highlight w:val="none"/>
              </w:rPr>
              <w:sym w:font="Wingdings 2" w:char="0052"/>
            </w:r>
          </w:p>
        </w:tc>
        <w:tc>
          <w:tcPr>
            <w:tcW w:w="2353" w:type="dxa"/>
            <w:gridSpan w:val="4"/>
            <w:vAlign w:val="center"/>
          </w:tcPr>
          <w:p>
            <w:pPr>
              <w:jc w:val="center"/>
              <w:rPr>
                <w:color w:val="000000" w:themeColor="text1"/>
                <w:sz w:val="18"/>
                <w:szCs w:val="18"/>
                <w:highlight w:val="none"/>
              </w:rPr>
            </w:pPr>
            <w:r>
              <w:rPr>
                <w:color w:val="000000" w:themeColor="text1"/>
                <w:sz w:val="18"/>
                <w:szCs w:val="18"/>
                <w:highlight w:val="none"/>
              </w:rPr>
              <w:t xml:space="preserve">地表水 </w:t>
            </w:r>
            <w:r>
              <w:rPr>
                <w:color w:val="000000" w:themeColor="text1"/>
                <w:sz w:val="18"/>
                <w:highlight w:val="none"/>
              </w:rPr>
              <w:sym w:font="Wingdings 2" w:char="00A3"/>
            </w:r>
          </w:p>
        </w:tc>
        <w:tc>
          <w:tcPr>
            <w:tcW w:w="2681" w:type="dxa"/>
            <w:gridSpan w:val="3"/>
            <w:vAlign w:val="center"/>
          </w:tcPr>
          <w:p>
            <w:pPr>
              <w:jc w:val="center"/>
              <w:rPr>
                <w:color w:val="000000" w:themeColor="text1"/>
                <w:sz w:val="18"/>
                <w:szCs w:val="18"/>
                <w:highlight w:val="none"/>
              </w:rPr>
            </w:pPr>
            <w:r>
              <w:rPr>
                <w:color w:val="000000" w:themeColor="text1"/>
                <w:sz w:val="18"/>
                <w:szCs w:val="18"/>
                <w:highlight w:val="none"/>
              </w:rPr>
              <w:t xml:space="preserve">地下水 </w:t>
            </w:r>
            <w:r>
              <w:rPr>
                <w:color w:val="000000" w:themeColor="text1"/>
                <w:sz w:val="18"/>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Align w:val="center"/>
          </w:tcPr>
          <w:p>
            <w:pPr>
              <w:jc w:val="center"/>
              <w:rPr>
                <w:color w:val="000000" w:themeColor="text1"/>
                <w:sz w:val="18"/>
                <w:szCs w:val="18"/>
                <w:highlight w:val="none"/>
              </w:rPr>
            </w:pPr>
            <w:r>
              <w:rPr>
                <w:color w:val="000000" w:themeColor="text1"/>
                <w:sz w:val="18"/>
                <w:szCs w:val="18"/>
                <w:highlight w:val="none"/>
              </w:rPr>
              <w:t>事故情形分析</w:t>
            </w:r>
          </w:p>
        </w:tc>
        <w:tc>
          <w:tcPr>
            <w:tcW w:w="1403" w:type="dxa"/>
            <w:vAlign w:val="center"/>
          </w:tcPr>
          <w:p>
            <w:pPr>
              <w:jc w:val="center"/>
              <w:rPr>
                <w:color w:val="000000" w:themeColor="text1"/>
                <w:sz w:val="18"/>
                <w:szCs w:val="18"/>
                <w:highlight w:val="none"/>
              </w:rPr>
            </w:pPr>
            <w:r>
              <w:rPr>
                <w:color w:val="000000" w:themeColor="text1"/>
                <w:sz w:val="18"/>
                <w:szCs w:val="18"/>
                <w:highlight w:val="none"/>
              </w:rPr>
              <w:t>源强设定方法</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 xml:space="preserve">计算法 </w:t>
            </w:r>
            <w:r>
              <w:rPr>
                <w:color w:val="000000" w:themeColor="text1"/>
                <w:sz w:val="18"/>
                <w:highlight w:val="none"/>
              </w:rPr>
              <w:sym w:font="Wingdings 2" w:char="00A3"/>
            </w:r>
          </w:p>
        </w:tc>
        <w:tc>
          <w:tcPr>
            <w:tcW w:w="2353" w:type="dxa"/>
            <w:gridSpan w:val="4"/>
            <w:vAlign w:val="center"/>
          </w:tcPr>
          <w:p>
            <w:pPr>
              <w:jc w:val="center"/>
              <w:rPr>
                <w:color w:val="000000" w:themeColor="text1"/>
                <w:sz w:val="18"/>
                <w:szCs w:val="18"/>
                <w:highlight w:val="none"/>
              </w:rPr>
            </w:pPr>
            <w:r>
              <w:rPr>
                <w:color w:val="000000" w:themeColor="text1"/>
                <w:sz w:val="18"/>
                <w:szCs w:val="18"/>
                <w:highlight w:val="none"/>
              </w:rPr>
              <w:t xml:space="preserve">经验估算法 </w:t>
            </w:r>
            <w:r>
              <w:rPr>
                <w:color w:val="000000" w:themeColor="text1"/>
                <w:sz w:val="18"/>
                <w:highlight w:val="none"/>
              </w:rPr>
              <w:sym w:font="Wingdings 2" w:char="00A3"/>
            </w:r>
          </w:p>
        </w:tc>
        <w:tc>
          <w:tcPr>
            <w:tcW w:w="2681" w:type="dxa"/>
            <w:gridSpan w:val="3"/>
            <w:vAlign w:val="center"/>
          </w:tcPr>
          <w:p>
            <w:pPr>
              <w:jc w:val="center"/>
              <w:rPr>
                <w:color w:val="000000" w:themeColor="text1"/>
                <w:sz w:val="18"/>
                <w:szCs w:val="18"/>
                <w:highlight w:val="none"/>
              </w:rPr>
            </w:pPr>
            <w:r>
              <w:rPr>
                <w:color w:val="000000" w:themeColor="text1"/>
                <w:sz w:val="18"/>
                <w:szCs w:val="18"/>
                <w:highlight w:val="none"/>
              </w:rPr>
              <w:t xml:space="preserve">其他估算法 </w:t>
            </w:r>
            <w:r>
              <w:rPr>
                <w:color w:val="000000" w:themeColor="text1"/>
                <w:sz w:val="18"/>
                <w:highlight w:val="none"/>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restart"/>
            <w:textDirection w:val="tbRlV"/>
            <w:vAlign w:val="center"/>
          </w:tcPr>
          <w:p>
            <w:pPr>
              <w:jc w:val="center"/>
              <w:rPr>
                <w:color w:val="000000" w:themeColor="text1"/>
                <w:sz w:val="18"/>
                <w:szCs w:val="18"/>
                <w:highlight w:val="none"/>
              </w:rPr>
            </w:pPr>
            <w:r>
              <w:rPr>
                <w:color w:val="000000" w:themeColor="text1"/>
                <w:sz w:val="18"/>
                <w:szCs w:val="18"/>
                <w:highlight w:val="none"/>
              </w:rPr>
              <w:t>风 险 预 测 与 评 价</w:t>
            </w:r>
          </w:p>
        </w:tc>
        <w:tc>
          <w:tcPr>
            <w:tcW w:w="1104" w:type="dxa"/>
            <w:vMerge w:val="restart"/>
            <w:vAlign w:val="center"/>
          </w:tcPr>
          <w:p>
            <w:pPr>
              <w:jc w:val="center"/>
              <w:rPr>
                <w:color w:val="000000" w:themeColor="text1"/>
                <w:sz w:val="18"/>
                <w:szCs w:val="18"/>
                <w:highlight w:val="none"/>
              </w:rPr>
            </w:pPr>
            <w:r>
              <w:rPr>
                <w:color w:val="000000" w:themeColor="text1"/>
                <w:sz w:val="18"/>
                <w:szCs w:val="18"/>
                <w:highlight w:val="none"/>
              </w:rPr>
              <w:t>大气</w:t>
            </w:r>
          </w:p>
        </w:tc>
        <w:tc>
          <w:tcPr>
            <w:tcW w:w="1403" w:type="dxa"/>
            <w:vAlign w:val="center"/>
          </w:tcPr>
          <w:p>
            <w:pPr>
              <w:jc w:val="center"/>
              <w:rPr>
                <w:color w:val="000000" w:themeColor="text1"/>
                <w:sz w:val="18"/>
                <w:szCs w:val="18"/>
                <w:highlight w:val="none"/>
              </w:rPr>
            </w:pPr>
            <w:r>
              <w:rPr>
                <w:color w:val="000000" w:themeColor="text1"/>
                <w:sz w:val="18"/>
                <w:szCs w:val="18"/>
                <w:highlight w:val="none"/>
              </w:rPr>
              <w:t>预测模型</w:t>
            </w:r>
          </w:p>
        </w:tc>
        <w:tc>
          <w:tcPr>
            <w:tcW w:w="1679" w:type="dxa"/>
            <w:gridSpan w:val="2"/>
            <w:vAlign w:val="center"/>
          </w:tcPr>
          <w:p>
            <w:pPr>
              <w:jc w:val="center"/>
              <w:rPr>
                <w:color w:val="000000" w:themeColor="text1"/>
                <w:sz w:val="18"/>
                <w:szCs w:val="18"/>
                <w:highlight w:val="none"/>
              </w:rPr>
            </w:pPr>
            <w:r>
              <w:rPr>
                <w:color w:val="000000" w:themeColor="text1"/>
                <w:sz w:val="18"/>
                <w:szCs w:val="18"/>
                <w:highlight w:val="none"/>
              </w:rPr>
              <w:t xml:space="preserve">SLAB </w:t>
            </w:r>
            <w:r>
              <w:rPr>
                <w:color w:val="000000" w:themeColor="text1"/>
                <w:sz w:val="18"/>
                <w:highlight w:val="none"/>
              </w:rPr>
              <w:sym w:font="Wingdings 2" w:char="00A3"/>
            </w:r>
          </w:p>
        </w:tc>
        <w:tc>
          <w:tcPr>
            <w:tcW w:w="2353" w:type="dxa"/>
            <w:gridSpan w:val="4"/>
            <w:vAlign w:val="center"/>
          </w:tcPr>
          <w:p>
            <w:pPr>
              <w:jc w:val="center"/>
              <w:rPr>
                <w:color w:val="000000" w:themeColor="text1"/>
                <w:sz w:val="18"/>
                <w:szCs w:val="18"/>
                <w:highlight w:val="none"/>
              </w:rPr>
            </w:pPr>
            <w:r>
              <w:rPr>
                <w:color w:val="000000" w:themeColor="text1"/>
                <w:sz w:val="18"/>
                <w:szCs w:val="18"/>
                <w:highlight w:val="none"/>
              </w:rPr>
              <w:t xml:space="preserve">AFTOX </w:t>
            </w:r>
            <w:r>
              <w:rPr>
                <w:color w:val="000000" w:themeColor="text1"/>
                <w:sz w:val="18"/>
                <w:highlight w:val="none"/>
              </w:rPr>
              <w:sym w:font="Wingdings 2" w:char="00A3"/>
            </w:r>
          </w:p>
        </w:tc>
        <w:tc>
          <w:tcPr>
            <w:tcW w:w="2681" w:type="dxa"/>
            <w:gridSpan w:val="3"/>
            <w:vAlign w:val="center"/>
          </w:tcPr>
          <w:p>
            <w:pPr>
              <w:jc w:val="center"/>
              <w:rPr>
                <w:color w:val="000000" w:themeColor="text1"/>
                <w:sz w:val="18"/>
                <w:szCs w:val="18"/>
                <w:highlight w:val="none"/>
              </w:rPr>
            </w:pPr>
            <w:r>
              <w:rPr>
                <w:color w:val="000000" w:themeColor="text1"/>
                <w:sz w:val="18"/>
                <w:szCs w:val="18"/>
                <w:highlight w:val="none"/>
              </w:rPr>
              <w:t xml:space="preserve">其他 </w:t>
            </w:r>
            <w:r>
              <w:rPr>
                <w:color w:val="000000" w:themeColor="text1"/>
                <w:sz w:val="18"/>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1403" w:type="dxa"/>
            <w:vMerge w:val="restart"/>
            <w:vAlign w:val="center"/>
          </w:tcPr>
          <w:p>
            <w:pPr>
              <w:jc w:val="center"/>
              <w:rPr>
                <w:color w:val="000000" w:themeColor="text1"/>
                <w:sz w:val="18"/>
                <w:szCs w:val="18"/>
                <w:highlight w:val="none"/>
              </w:rPr>
            </w:pPr>
            <w:r>
              <w:rPr>
                <w:color w:val="000000" w:themeColor="text1"/>
                <w:sz w:val="18"/>
                <w:szCs w:val="18"/>
                <w:highlight w:val="none"/>
              </w:rPr>
              <w:t>预测结果</w:t>
            </w:r>
          </w:p>
        </w:tc>
        <w:tc>
          <w:tcPr>
            <w:tcW w:w="6713" w:type="dxa"/>
            <w:gridSpan w:val="9"/>
            <w:vAlign w:val="center"/>
          </w:tcPr>
          <w:p>
            <w:pPr>
              <w:jc w:val="center"/>
              <w:rPr>
                <w:color w:val="000000" w:themeColor="text1"/>
                <w:sz w:val="18"/>
                <w:szCs w:val="18"/>
                <w:highlight w:val="none"/>
              </w:rPr>
            </w:pPr>
            <w:r>
              <w:rPr>
                <w:color w:val="000000" w:themeColor="text1"/>
                <w:sz w:val="18"/>
                <w:szCs w:val="18"/>
                <w:highlight w:val="none"/>
              </w:rPr>
              <w:t>大气毒性终点浓度-1 最大影响范围m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1403" w:type="dxa"/>
            <w:vMerge w:val="continue"/>
            <w:vAlign w:val="center"/>
          </w:tcPr>
          <w:p>
            <w:pPr>
              <w:jc w:val="center"/>
              <w:rPr>
                <w:color w:val="000000" w:themeColor="text1"/>
                <w:sz w:val="18"/>
                <w:szCs w:val="18"/>
                <w:highlight w:val="none"/>
              </w:rPr>
            </w:pPr>
          </w:p>
        </w:tc>
        <w:tc>
          <w:tcPr>
            <w:tcW w:w="6713" w:type="dxa"/>
            <w:gridSpan w:val="9"/>
            <w:vAlign w:val="center"/>
          </w:tcPr>
          <w:p>
            <w:pPr>
              <w:jc w:val="center"/>
              <w:rPr>
                <w:color w:val="000000" w:themeColor="text1"/>
                <w:sz w:val="18"/>
                <w:szCs w:val="18"/>
                <w:highlight w:val="none"/>
              </w:rPr>
            </w:pPr>
            <w:r>
              <w:rPr>
                <w:color w:val="000000" w:themeColor="text1"/>
                <w:sz w:val="18"/>
                <w:szCs w:val="18"/>
                <w:highlight w:val="none"/>
              </w:rPr>
              <w:t>大气毒性终点浓度-2 最大影响范围m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Align w:val="center"/>
          </w:tcPr>
          <w:p>
            <w:pPr>
              <w:jc w:val="center"/>
              <w:rPr>
                <w:color w:val="000000" w:themeColor="text1"/>
                <w:sz w:val="18"/>
                <w:szCs w:val="18"/>
                <w:highlight w:val="none"/>
              </w:rPr>
            </w:pPr>
            <w:r>
              <w:rPr>
                <w:color w:val="000000" w:themeColor="text1"/>
                <w:sz w:val="18"/>
                <w:szCs w:val="18"/>
                <w:highlight w:val="none"/>
              </w:rPr>
              <w:t>地表水</w:t>
            </w:r>
          </w:p>
        </w:tc>
        <w:tc>
          <w:tcPr>
            <w:tcW w:w="8116" w:type="dxa"/>
            <w:gridSpan w:val="10"/>
            <w:vAlign w:val="center"/>
          </w:tcPr>
          <w:p>
            <w:pPr>
              <w:jc w:val="center"/>
              <w:rPr>
                <w:color w:val="000000" w:themeColor="text1"/>
                <w:sz w:val="18"/>
                <w:szCs w:val="18"/>
                <w:highlight w:val="none"/>
              </w:rPr>
            </w:pPr>
            <w:r>
              <w:rPr>
                <w:color w:val="000000" w:themeColor="text1"/>
                <w:sz w:val="18"/>
                <w:szCs w:val="18"/>
                <w:highlight w:val="none"/>
              </w:rPr>
              <w:t>最近环境敏感目标，到达时间h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restart"/>
            <w:vAlign w:val="center"/>
          </w:tcPr>
          <w:p>
            <w:pPr>
              <w:jc w:val="center"/>
              <w:rPr>
                <w:color w:val="000000" w:themeColor="text1"/>
                <w:sz w:val="18"/>
                <w:szCs w:val="18"/>
                <w:highlight w:val="none"/>
              </w:rPr>
            </w:pPr>
            <w:r>
              <w:rPr>
                <w:color w:val="000000" w:themeColor="text1"/>
                <w:sz w:val="18"/>
                <w:szCs w:val="18"/>
                <w:highlight w:val="none"/>
              </w:rPr>
              <w:t>地下水</w:t>
            </w:r>
          </w:p>
        </w:tc>
        <w:tc>
          <w:tcPr>
            <w:tcW w:w="8116" w:type="dxa"/>
            <w:gridSpan w:val="10"/>
            <w:vAlign w:val="center"/>
          </w:tcPr>
          <w:p>
            <w:pPr>
              <w:jc w:val="center"/>
              <w:rPr>
                <w:color w:val="000000" w:themeColor="text1"/>
                <w:sz w:val="18"/>
                <w:szCs w:val="18"/>
                <w:highlight w:val="none"/>
              </w:rPr>
            </w:pPr>
            <w:r>
              <w:rPr>
                <w:color w:val="000000" w:themeColor="text1"/>
                <w:sz w:val="18"/>
                <w:szCs w:val="18"/>
                <w:highlight w:val="none"/>
              </w:rPr>
              <w:t>下游厂区边界到达时间d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34" w:type="dxa"/>
            <w:vMerge w:val="continue"/>
            <w:vAlign w:val="center"/>
          </w:tcPr>
          <w:p>
            <w:pPr>
              <w:jc w:val="center"/>
              <w:rPr>
                <w:color w:val="000000" w:themeColor="text1"/>
                <w:sz w:val="18"/>
                <w:szCs w:val="18"/>
                <w:highlight w:val="none"/>
              </w:rPr>
            </w:pPr>
          </w:p>
        </w:tc>
        <w:tc>
          <w:tcPr>
            <w:tcW w:w="1104" w:type="dxa"/>
            <w:vMerge w:val="continue"/>
            <w:vAlign w:val="center"/>
          </w:tcPr>
          <w:p>
            <w:pPr>
              <w:jc w:val="center"/>
              <w:rPr>
                <w:color w:val="000000" w:themeColor="text1"/>
                <w:sz w:val="18"/>
                <w:szCs w:val="18"/>
                <w:highlight w:val="none"/>
              </w:rPr>
            </w:pPr>
          </w:p>
        </w:tc>
        <w:tc>
          <w:tcPr>
            <w:tcW w:w="8116" w:type="dxa"/>
            <w:gridSpan w:val="10"/>
            <w:vAlign w:val="center"/>
          </w:tcPr>
          <w:p>
            <w:pPr>
              <w:jc w:val="center"/>
              <w:rPr>
                <w:color w:val="000000" w:themeColor="text1"/>
                <w:sz w:val="18"/>
                <w:szCs w:val="18"/>
                <w:highlight w:val="none"/>
              </w:rPr>
            </w:pPr>
            <w:r>
              <w:rPr>
                <w:color w:val="000000" w:themeColor="text1"/>
                <w:sz w:val="18"/>
                <w:szCs w:val="18"/>
                <w:highlight w:val="none"/>
              </w:rPr>
              <w:t>最近环境敏感目标，到达时间h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Align w:val="center"/>
          </w:tcPr>
          <w:p>
            <w:pPr>
              <w:jc w:val="center"/>
              <w:rPr>
                <w:color w:val="000000" w:themeColor="text1"/>
                <w:sz w:val="18"/>
                <w:szCs w:val="18"/>
                <w:highlight w:val="none"/>
              </w:rPr>
            </w:pPr>
            <w:r>
              <w:rPr>
                <w:color w:val="000000" w:themeColor="text1"/>
                <w:sz w:val="18"/>
                <w:szCs w:val="18"/>
                <w:highlight w:val="none"/>
              </w:rPr>
              <w:t>重点风险防范措施</w:t>
            </w:r>
          </w:p>
        </w:tc>
        <w:tc>
          <w:tcPr>
            <w:tcW w:w="8116" w:type="dxa"/>
            <w:gridSpan w:val="10"/>
            <w:vAlign w:val="center"/>
          </w:tcPr>
          <w:p>
            <w:pPr>
              <w:jc w:val="left"/>
              <w:rPr>
                <w:color w:val="000000" w:themeColor="text1"/>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38" w:type="dxa"/>
            <w:gridSpan w:val="2"/>
            <w:vAlign w:val="center"/>
          </w:tcPr>
          <w:p>
            <w:pPr>
              <w:jc w:val="center"/>
              <w:rPr>
                <w:color w:val="000000" w:themeColor="text1"/>
                <w:sz w:val="18"/>
                <w:szCs w:val="18"/>
                <w:highlight w:val="none"/>
              </w:rPr>
            </w:pPr>
            <w:r>
              <w:rPr>
                <w:color w:val="000000" w:themeColor="text1"/>
                <w:sz w:val="18"/>
                <w:szCs w:val="18"/>
                <w:highlight w:val="none"/>
              </w:rPr>
              <w:t>评价结论与建议</w:t>
            </w:r>
          </w:p>
        </w:tc>
        <w:tc>
          <w:tcPr>
            <w:tcW w:w="8116" w:type="dxa"/>
            <w:gridSpan w:val="10"/>
            <w:vAlign w:val="center"/>
          </w:tcPr>
          <w:p>
            <w:pPr>
              <w:jc w:val="left"/>
              <w:rPr>
                <w:color w:val="000000" w:themeColor="text1"/>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754" w:type="dxa"/>
            <w:gridSpan w:val="12"/>
            <w:vAlign w:val="center"/>
          </w:tcPr>
          <w:p>
            <w:pPr>
              <w:jc w:val="center"/>
              <w:rPr>
                <w:color w:val="000000" w:themeColor="text1"/>
                <w:sz w:val="18"/>
                <w:szCs w:val="18"/>
                <w:highlight w:val="none"/>
              </w:rPr>
            </w:pPr>
            <w:r>
              <w:rPr>
                <w:color w:val="000000" w:themeColor="text1"/>
                <w:sz w:val="18"/>
                <w:szCs w:val="18"/>
                <w:highlight w:val="none"/>
              </w:rPr>
              <w:t>注：“</w:t>
            </w:r>
            <w:r>
              <w:rPr>
                <w:color w:val="000000" w:themeColor="text1"/>
                <w:sz w:val="18"/>
                <w:highlight w:val="none"/>
              </w:rPr>
              <w:sym w:font="Wingdings 2" w:char="00A3"/>
            </w:r>
            <w:r>
              <w:rPr>
                <w:color w:val="000000" w:themeColor="text1"/>
                <w:sz w:val="18"/>
                <w:szCs w:val="18"/>
                <w:highlight w:val="none"/>
              </w:rPr>
              <w:t>”为勾选项，“”为填写项</w:t>
            </w:r>
          </w:p>
        </w:tc>
      </w:tr>
    </w:tbl>
    <w:p>
      <w:pPr>
        <w:pStyle w:val="2"/>
        <w:spacing w:line="600" w:lineRule="exact"/>
        <w:ind w:firstLine="0" w:firstLineChars="0"/>
        <w:rPr>
          <w:b/>
          <w:bCs/>
          <w:color w:val="000000" w:themeColor="text1"/>
          <w:highlight w:val="none"/>
        </w:rPr>
        <w:sectPr>
          <w:pgSz w:w="11907" w:h="16840"/>
          <w:pgMar w:top="1418" w:right="1418" w:bottom="1134" w:left="1418" w:header="1134" w:footer="1134" w:gutter="0"/>
          <w:pgNumType w:fmt="decimal"/>
          <w:cols w:space="720" w:num="1"/>
          <w:docGrid w:type="linesAndChars" w:linePitch="312" w:charSpace="0"/>
        </w:sectPr>
      </w:pPr>
    </w:p>
    <w:p>
      <w:pPr>
        <w:adjustRightInd w:val="0"/>
        <w:snapToGrid w:val="0"/>
        <w:spacing w:line="360" w:lineRule="auto"/>
        <w:jc w:val="center"/>
        <w:rPr>
          <w:b/>
          <w:bCs/>
          <w:sz w:val="32"/>
          <w:szCs w:val="32"/>
        </w:rPr>
      </w:pPr>
      <w:bookmarkStart w:id="38" w:name="_Hlk46164907"/>
      <w:bookmarkStart w:id="39" w:name="_Hlk46241212"/>
      <w:bookmarkStart w:id="40" w:name="_Hlk46173833"/>
      <w:bookmarkStart w:id="41" w:name="_Hlk46164918"/>
      <w:bookmarkStart w:id="42" w:name="_Hlk47643927"/>
      <w:r>
        <w:rPr>
          <w:rFonts w:hint="eastAsia"/>
          <w:b/>
          <w:bCs/>
          <w:sz w:val="32"/>
          <w:szCs w:val="32"/>
        </w:rPr>
        <w:t>湖南乐思检测有限公司实验室建设项目</w:t>
      </w:r>
    </w:p>
    <w:bookmarkEnd w:id="38"/>
    <w:bookmarkEnd w:id="39"/>
    <w:bookmarkEnd w:id="40"/>
    <w:bookmarkEnd w:id="41"/>
    <w:bookmarkEnd w:id="42"/>
    <w:p>
      <w:pPr>
        <w:adjustRightInd w:val="0"/>
        <w:snapToGrid w:val="0"/>
        <w:spacing w:line="360" w:lineRule="auto"/>
        <w:jc w:val="center"/>
        <w:rPr>
          <w:b/>
          <w:bCs/>
          <w:sz w:val="32"/>
          <w:szCs w:val="32"/>
        </w:rPr>
      </w:pPr>
      <w:r>
        <w:rPr>
          <w:b/>
          <w:bCs/>
          <w:sz w:val="32"/>
          <w:szCs w:val="32"/>
        </w:rPr>
        <w:t>环境影响报告表</w:t>
      </w:r>
      <w:r>
        <w:rPr>
          <w:rFonts w:hint="eastAsia"/>
          <w:b/>
          <w:bCs/>
          <w:sz w:val="32"/>
          <w:szCs w:val="32"/>
        </w:rPr>
        <w:t>技术评审会专家意见</w:t>
      </w:r>
    </w:p>
    <w:p>
      <w:pPr>
        <w:tabs>
          <w:tab w:val="left" w:pos="993"/>
        </w:tabs>
        <w:spacing w:line="360" w:lineRule="auto"/>
        <w:ind w:firstLine="562" w:firstLineChars="200"/>
        <w:rPr>
          <w:b/>
          <w:sz w:val="28"/>
          <w:szCs w:val="28"/>
        </w:rPr>
      </w:pPr>
    </w:p>
    <w:p>
      <w:pPr>
        <w:tabs>
          <w:tab w:val="left" w:pos="993"/>
        </w:tabs>
        <w:spacing w:line="360" w:lineRule="auto"/>
        <w:ind w:firstLine="562" w:firstLineChars="200"/>
        <w:rPr>
          <w:b/>
          <w:sz w:val="28"/>
          <w:szCs w:val="28"/>
        </w:rPr>
      </w:pPr>
      <w:r>
        <w:rPr>
          <w:rFonts w:hint="eastAsia"/>
          <w:b/>
          <w:sz w:val="28"/>
          <w:szCs w:val="28"/>
        </w:rPr>
        <w:t>2020年9月10日</w:t>
      </w:r>
      <w:r>
        <w:rPr>
          <w:b/>
          <w:sz w:val="28"/>
          <w:szCs w:val="28"/>
        </w:rPr>
        <w:t>，</w:t>
      </w:r>
      <w:r>
        <w:rPr>
          <w:rFonts w:hint="eastAsia"/>
          <w:b/>
          <w:sz w:val="28"/>
          <w:szCs w:val="28"/>
        </w:rPr>
        <w:t>岳阳市生态环境局湘阴分局在湘阴县主持召开了《湖南乐思检测有限公司实验室建设项目环境影响报告表》</w:t>
      </w:r>
      <w:r>
        <w:rPr>
          <w:b/>
          <w:sz w:val="28"/>
          <w:szCs w:val="28"/>
        </w:rPr>
        <w:t>技术</w:t>
      </w:r>
      <w:r>
        <w:rPr>
          <w:rFonts w:hint="eastAsia"/>
          <w:b/>
          <w:sz w:val="28"/>
          <w:szCs w:val="28"/>
        </w:rPr>
        <w:t>评审</w:t>
      </w:r>
      <w:r>
        <w:rPr>
          <w:b/>
          <w:sz w:val="28"/>
          <w:szCs w:val="28"/>
        </w:rPr>
        <w:t>会。参加会议的有</w:t>
      </w:r>
      <w:r>
        <w:rPr>
          <w:rFonts w:hint="eastAsia"/>
          <w:b/>
          <w:sz w:val="28"/>
          <w:szCs w:val="28"/>
        </w:rPr>
        <w:t>建设单位</w:t>
      </w:r>
      <w:r>
        <w:rPr>
          <w:rFonts w:hint="eastAsia"/>
          <w:b/>
          <w:bCs/>
          <w:sz w:val="28"/>
          <w:szCs w:val="28"/>
        </w:rPr>
        <w:t>湖南乐思检测有限公司</w:t>
      </w:r>
      <w:r>
        <w:rPr>
          <w:rFonts w:hint="eastAsia"/>
          <w:b/>
          <w:sz w:val="28"/>
          <w:szCs w:val="28"/>
        </w:rPr>
        <w:t>、编制单位江西展航环保科技有限公司的代表。</w:t>
      </w:r>
      <w:r>
        <w:rPr>
          <w:b/>
          <w:sz w:val="28"/>
          <w:szCs w:val="28"/>
        </w:rPr>
        <w:t>会议邀请了3位专家组成技术</w:t>
      </w:r>
      <w:r>
        <w:rPr>
          <w:rFonts w:hint="eastAsia"/>
          <w:b/>
          <w:sz w:val="28"/>
          <w:szCs w:val="28"/>
        </w:rPr>
        <w:t>评审</w:t>
      </w:r>
      <w:r>
        <w:rPr>
          <w:b/>
          <w:sz w:val="28"/>
          <w:szCs w:val="28"/>
        </w:rPr>
        <w:t>组（名单附后）。</w:t>
      </w:r>
      <w:r>
        <w:rPr>
          <w:rFonts w:hint="eastAsia"/>
          <w:b/>
          <w:sz w:val="28"/>
          <w:szCs w:val="28"/>
        </w:rPr>
        <w:t>会上建设单位介绍了项目的简要情况，编制单位汇报了环评报告的具体内容。经与会专家及代表认真讨论和评审，形成技术评审会专家意见如下：</w:t>
      </w:r>
    </w:p>
    <w:p>
      <w:pPr>
        <w:tabs>
          <w:tab w:val="left" w:pos="993"/>
        </w:tabs>
        <w:spacing w:line="360" w:lineRule="auto"/>
        <w:rPr>
          <w:b/>
          <w:sz w:val="28"/>
          <w:szCs w:val="28"/>
        </w:rPr>
      </w:pPr>
      <w:r>
        <w:rPr>
          <w:rFonts w:hint="eastAsia"/>
          <w:b/>
          <w:sz w:val="28"/>
          <w:szCs w:val="28"/>
        </w:rPr>
        <w:t xml:space="preserve"> </w:t>
      </w:r>
      <w:r>
        <w:rPr>
          <w:b/>
          <w:sz w:val="28"/>
          <w:szCs w:val="28"/>
        </w:rPr>
        <w:t>一、项目概况</w:t>
      </w:r>
    </w:p>
    <w:p>
      <w:pPr>
        <w:tabs>
          <w:tab w:val="left" w:pos="993"/>
        </w:tabs>
        <w:spacing w:line="360" w:lineRule="auto"/>
        <w:ind w:firstLine="562" w:firstLineChars="200"/>
        <w:rPr>
          <w:b/>
          <w:sz w:val="28"/>
          <w:szCs w:val="28"/>
        </w:rPr>
      </w:pPr>
      <w:r>
        <w:rPr>
          <w:rFonts w:hint="eastAsia"/>
          <w:b/>
          <w:sz w:val="28"/>
          <w:szCs w:val="28"/>
        </w:rPr>
        <w:t>详见报告。</w:t>
      </w:r>
    </w:p>
    <w:p>
      <w:pPr>
        <w:spacing w:line="360" w:lineRule="auto"/>
        <w:ind w:firstLine="480" w:firstLineChars="200"/>
        <w:jc w:val="left"/>
        <w:rPr>
          <w:sz w:val="24"/>
        </w:rPr>
      </w:pPr>
    </w:p>
    <w:p>
      <w:pPr>
        <w:numPr>
          <w:ilvl w:val="0"/>
          <w:numId w:val="12"/>
        </w:numPr>
        <w:tabs>
          <w:tab w:val="left" w:pos="993"/>
        </w:tabs>
        <w:spacing w:line="560" w:lineRule="exact"/>
        <w:rPr>
          <w:b/>
          <w:sz w:val="28"/>
          <w:szCs w:val="28"/>
        </w:rPr>
      </w:pPr>
      <w:r>
        <w:rPr>
          <w:b/>
          <w:sz w:val="28"/>
          <w:szCs w:val="28"/>
        </w:rPr>
        <w:t>报告表修改意见</w:t>
      </w:r>
    </w:p>
    <w:p>
      <w:pPr>
        <w:numPr>
          <w:ilvl w:val="0"/>
          <w:numId w:val="13"/>
        </w:numPr>
        <w:tabs>
          <w:tab w:val="left" w:pos="993"/>
        </w:tabs>
        <w:spacing w:before="156" w:beforeLines="50" w:line="560" w:lineRule="exact"/>
        <w:ind w:left="0" w:firstLine="562" w:firstLineChars="200"/>
        <w:rPr>
          <w:rFonts w:ascii="宋体"/>
          <w:b/>
          <w:sz w:val="28"/>
          <w:szCs w:val="28"/>
        </w:rPr>
      </w:pPr>
      <w:r>
        <w:rPr>
          <w:rFonts w:hint="eastAsia" w:ascii="宋体"/>
          <w:b/>
          <w:sz w:val="28"/>
          <w:szCs w:val="28"/>
        </w:rPr>
        <w:t>完善项目由来，核实项目检测内容；完善项目原辅材料储存管理要求；强化项目危废规范化暂存和管理要求，提出分类分区储存要求。</w:t>
      </w:r>
    </w:p>
    <w:p>
      <w:pPr>
        <w:numPr>
          <w:ilvl w:val="0"/>
          <w:numId w:val="13"/>
        </w:numPr>
        <w:tabs>
          <w:tab w:val="left" w:pos="993"/>
        </w:tabs>
        <w:spacing w:before="156" w:beforeLines="50" w:line="560" w:lineRule="exact"/>
        <w:ind w:left="0" w:firstLine="562" w:firstLineChars="200"/>
        <w:rPr>
          <w:rFonts w:ascii="宋体"/>
          <w:b/>
          <w:sz w:val="28"/>
          <w:szCs w:val="28"/>
        </w:rPr>
      </w:pPr>
      <w:r>
        <w:rPr>
          <w:rFonts w:hint="eastAsia" w:ascii="宋体"/>
          <w:b/>
          <w:sz w:val="28"/>
          <w:szCs w:val="28"/>
        </w:rPr>
        <w:t>完善火灾情况下的环境风险评价及风险防范措施；根据项目检测内容和最大污染污染物源强，校核项目废气处理措施；校核项目废水排放量、总量和来源，强化项目依托相关污水处理设施的可行性。</w:t>
      </w:r>
    </w:p>
    <w:p>
      <w:pPr>
        <w:numPr>
          <w:ilvl w:val="0"/>
          <w:numId w:val="13"/>
        </w:numPr>
        <w:tabs>
          <w:tab w:val="left" w:pos="993"/>
        </w:tabs>
        <w:spacing w:before="156" w:beforeLines="50" w:line="560" w:lineRule="exact"/>
        <w:ind w:left="0" w:firstLine="562" w:firstLineChars="200"/>
        <w:rPr>
          <w:rFonts w:ascii="宋体"/>
          <w:b/>
          <w:sz w:val="28"/>
          <w:szCs w:val="28"/>
        </w:rPr>
      </w:pPr>
      <w:r>
        <w:rPr>
          <w:rFonts w:hint="eastAsia" w:ascii="宋体"/>
          <w:b/>
          <w:sz w:val="28"/>
          <w:szCs w:val="28"/>
        </w:rPr>
        <w:t>校核项目环保投资，完善竣工环保验收一览表；完善项目总平面布置图等图件。</w:t>
      </w:r>
    </w:p>
    <w:p>
      <w:pPr>
        <w:tabs>
          <w:tab w:val="left" w:pos="993"/>
        </w:tabs>
        <w:spacing w:line="240" w:lineRule="exact"/>
        <w:rPr>
          <w:b/>
          <w:sz w:val="28"/>
          <w:szCs w:val="28"/>
        </w:rPr>
      </w:pPr>
    </w:p>
    <w:p>
      <w:pPr>
        <w:pStyle w:val="127"/>
        <w:snapToGrid w:val="0"/>
        <w:spacing w:before="0" w:line="360" w:lineRule="auto"/>
        <w:ind w:firstLine="0"/>
        <w:jc w:val="right"/>
        <w:rPr>
          <w:sz w:val="28"/>
          <w:szCs w:val="28"/>
        </w:rPr>
      </w:pPr>
      <w:r>
        <w:rPr>
          <w:sz w:val="28"/>
          <w:szCs w:val="28"/>
        </w:rPr>
        <w:t>评审专家：</w:t>
      </w:r>
      <w:r>
        <w:rPr>
          <w:rFonts w:hint="eastAsia"/>
          <w:sz w:val="28"/>
          <w:szCs w:val="28"/>
        </w:rPr>
        <w:t>程育芝</w:t>
      </w:r>
      <w:r>
        <w:rPr>
          <w:sz w:val="28"/>
          <w:szCs w:val="28"/>
        </w:rPr>
        <w:t>（组长）、</w:t>
      </w:r>
      <w:r>
        <w:rPr>
          <w:rFonts w:hint="eastAsia"/>
          <w:sz w:val="28"/>
          <w:szCs w:val="28"/>
        </w:rPr>
        <w:t>钟德梅</w:t>
      </w:r>
      <w:r>
        <w:rPr>
          <w:sz w:val="28"/>
          <w:szCs w:val="28"/>
        </w:rPr>
        <w:t>、周易鸣（执笔）</w:t>
      </w:r>
    </w:p>
    <w:p>
      <w:pPr>
        <w:pStyle w:val="127"/>
        <w:snapToGrid w:val="0"/>
        <w:spacing w:before="0" w:line="360" w:lineRule="auto"/>
        <w:ind w:firstLine="6081" w:firstLineChars="2172"/>
        <w:rPr>
          <w:rFonts w:hint="eastAsia"/>
          <w:sz w:val="28"/>
          <w:szCs w:val="28"/>
        </w:rPr>
        <w:sectPr>
          <w:pgSz w:w="11906" w:h="16838"/>
          <w:pgMar w:top="1440" w:right="1700" w:bottom="1276" w:left="1418" w:header="851" w:footer="992" w:gutter="0"/>
          <w:cols w:space="425" w:num="1"/>
          <w:docGrid w:type="lines" w:linePitch="312" w:charSpace="0"/>
        </w:sectPr>
      </w:pPr>
      <w:r>
        <w:rPr>
          <w:rFonts w:hint="eastAsia"/>
          <w:sz w:val="28"/>
          <w:szCs w:val="28"/>
        </w:rPr>
        <w:t>2020年8月6日</w:t>
      </w:r>
    </w:p>
    <w:p>
      <w:pPr>
        <w:rPr>
          <w:rFonts w:hint="eastAsia"/>
        </w:rPr>
      </w:pPr>
      <w:r>
        <w:drawing>
          <wp:inline distT="0" distB="0" distL="114300" distR="114300">
            <wp:extent cx="8966200" cy="5438140"/>
            <wp:effectExtent l="0" t="0" r="6350" b="1016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2"/>
                    <a:stretch>
                      <a:fillRect/>
                    </a:stretch>
                  </pic:blipFill>
                  <pic:spPr>
                    <a:xfrm>
                      <a:off x="0" y="0"/>
                      <a:ext cx="8966200" cy="5438140"/>
                    </a:xfrm>
                    <a:prstGeom prst="rect">
                      <a:avLst/>
                    </a:prstGeom>
                    <a:noFill/>
                    <a:ln>
                      <a:noFill/>
                    </a:ln>
                  </pic:spPr>
                </pic:pic>
              </a:graphicData>
            </a:graphic>
          </wp:inline>
        </w:drawing>
      </w:r>
    </w:p>
    <w:p>
      <w:pPr>
        <w:pStyle w:val="2"/>
        <w:spacing w:line="600" w:lineRule="exact"/>
        <w:ind w:firstLine="0" w:firstLineChars="0"/>
        <w:rPr>
          <w:b/>
          <w:bCs/>
          <w:color w:val="000000" w:themeColor="text1"/>
          <w:highlight w:val="none"/>
        </w:rPr>
      </w:pPr>
    </w:p>
    <w:sectPr>
      <w:pgSz w:w="16838" w:h="11906" w:orient="landscape"/>
      <w:pgMar w:top="1418" w:right="1440" w:bottom="1700" w:left="1276"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283" w:usb1="288F0000" w:usb2="00000006" w:usb3="00000000" w:csb0="00040001" w:csb1="00000000"/>
  </w:font>
  <w:font w:name="Arial Unicode MS">
    <w:panose1 w:val="020B0604020202020204"/>
    <w:charset w:val="86"/>
    <w:family w:val="roman"/>
    <w:pitch w:val="default"/>
    <w:sig w:usb0="FFFFFFFF" w:usb1="E9FFFFFF" w:usb2="0000003F" w:usb3="00000000" w:csb0="603F01FF" w:csb1="FFFF0000"/>
  </w:font>
  <w:font w:name="Verdana">
    <w:panose1 w:val="020B0604030504040204"/>
    <w:charset w:val="00"/>
    <w:family w:val="swiss"/>
    <w:pitch w:val="default"/>
    <w:sig w:usb0="A00006FF" w:usb1="4000205B" w:usb2="00000010" w:usb3="00000000" w:csb0="2000019F" w:csb1="00000000"/>
  </w:font>
  <w:font w:name="MingLiU">
    <w:altName w:val="PMingLiU-ExtB"/>
    <w:panose1 w:val="02020509000000000000"/>
    <w:charset w:val="88"/>
    <w:family w:val="modern"/>
    <w:pitch w:val="default"/>
    <w:sig w:usb0="00000000" w:usb1="00000000" w:usb2="00000016" w:usb3="00000000" w:csb0="0010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p>
    <w:pPr>
      <w:pStyle w:val="2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8"/>
      </w:rPr>
    </w:pPr>
    <w:r>
      <w:fldChar w:fldCharType="begin"/>
    </w:r>
    <w:r>
      <w:rPr>
        <w:rStyle w:val="38"/>
      </w:rPr>
      <w:instrText xml:space="preserve">PAGE  </w:instrText>
    </w:r>
    <w:r>
      <w:fldChar w:fldCharType="end"/>
    </w:r>
  </w:p>
  <w:p>
    <w:pPr>
      <w:pStyle w:val="2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p>
    <w:pPr>
      <w:pStyle w:val="2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p>
    <w:pPr>
      <w:pStyle w:val="2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rPr>
        <w:sz w:val="18"/>
      </w:rPr>
      <w:pict>
        <v:shape id="_x0000_s2049" o:spid="_x0000_s2049"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v:imagedata o:title=""/>
          <o:lock v:ext="edit" aspectratio="f"/>
          <v:textbox inset="0mm,0mm,0mm,0mm" style="mso-fit-shape-to-text:t;">
            <w:txbxContent>
              <w:p>
                <w:pPr>
                  <w:pStyle w:val="2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rPr>
        <w:rFonts w:hint="eastAsia" w:eastAsia="宋体"/>
        <w:lang w:eastAsia="zh-CN"/>
      </w:rPr>
    </w:pPr>
    <w:r>
      <w:rPr>
        <w:sz w:val="18"/>
      </w:rPr>
      <w:pict>
        <v:shape id="_x0000_s2050" o:spid="_x0000_s2050"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pStyle w:val="2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63</w:t>
                </w:r>
                <w:r>
                  <w:rPr>
                    <w:rFonts w:hint="eastAsia"/>
                    <w:lang w:eastAsia="zh-C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1"/>
      </w:pBd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1"/>
      </w:pBdr>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single" w:color="auto" w:sz="4" w:space="1"/>
      </w:pBdr>
      <w:jc w:val="center"/>
    </w:pPr>
    <w:r>
      <w:rPr>
        <w:rFonts w:hint="eastAsia"/>
        <w:lang w:eastAsia="zh-CN"/>
      </w:rPr>
      <w:t>湖南乐思检测有限公司</w:t>
    </w:r>
    <w:r>
      <w:rPr>
        <w:rFonts w:hint="eastAsia"/>
      </w:rPr>
      <w:t>实验室建设项目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4E498A"/>
    <w:multiLevelType w:val="singleLevel"/>
    <w:tmpl w:val="854E498A"/>
    <w:lvl w:ilvl="0" w:tentative="0">
      <w:start w:val="1"/>
      <w:numFmt w:val="chineseCounting"/>
      <w:suff w:val="nothing"/>
      <w:lvlText w:val="%1、"/>
      <w:lvlJc w:val="left"/>
      <w:rPr>
        <w:rFonts w:hint="eastAsia"/>
      </w:rPr>
    </w:lvl>
  </w:abstractNum>
  <w:abstractNum w:abstractNumId="1">
    <w:nsid w:val="8C602D4A"/>
    <w:multiLevelType w:val="singleLevel"/>
    <w:tmpl w:val="8C602D4A"/>
    <w:lvl w:ilvl="0" w:tentative="0">
      <w:start w:val="2"/>
      <w:numFmt w:val="chineseCounting"/>
      <w:suff w:val="nothing"/>
      <w:lvlText w:val="%1、"/>
      <w:lvlJc w:val="left"/>
      <w:rPr>
        <w:rFonts w:hint="eastAsia"/>
      </w:rPr>
    </w:lvl>
  </w:abstractNum>
  <w:abstractNum w:abstractNumId="2">
    <w:nsid w:val="F55196E8"/>
    <w:multiLevelType w:val="singleLevel"/>
    <w:tmpl w:val="F55196E8"/>
    <w:lvl w:ilvl="0" w:tentative="0">
      <w:start w:val="1"/>
      <w:numFmt w:val="decimal"/>
      <w:suff w:val="nothing"/>
      <w:lvlText w:val="（%1）"/>
      <w:lvlJc w:val="left"/>
    </w:lvl>
  </w:abstractNum>
  <w:abstractNum w:abstractNumId="3">
    <w:nsid w:val="03D885FC"/>
    <w:multiLevelType w:val="singleLevel"/>
    <w:tmpl w:val="03D885FC"/>
    <w:lvl w:ilvl="0" w:tentative="0">
      <w:start w:val="3"/>
      <w:numFmt w:val="decimal"/>
      <w:suff w:val="nothing"/>
      <w:lvlText w:val="%1、"/>
      <w:lvlJc w:val="left"/>
    </w:lvl>
  </w:abstractNum>
  <w:abstractNum w:abstractNumId="4">
    <w:nsid w:val="0CFA110E"/>
    <w:multiLevelType w:val="singleLevel"/>
    <w:tmpl w:val="0CFA110E"/>
    <w:lvl w:ilvl="0" w:tentative="0">
      <w:start w:val="2"/>
      <w:numFmt w:val="decimal"/>
      <w:suff w:val="nothing"/>
      <w:lvlText w:val="%1、"/>
      <w:lvlJc w:val="left"/>
    </w:lvl>
  </w:abstractNum>
  <w:abstractNum w:abstractNumId="5">
    <w:nsid w:val="238692B4"/>
    <w:multiLevelType w:val="singleLevel"/>
    <w:tmpl w:val="238692B4"/>
    <w:lvl w:ilvl="0" w:tentative="0">
      <w:start w:val="1"/>
      <w:numFmt w:val="decimal"/>
      <w:suff w:val="nothing"/>
      <w:lvlText w:val="%1、"/>
      <w:lvlJc w:val="left"/>
    </w:lvl>
  </w:abstractNum>
  <w:abstractNum w:abstractNumId="6">
    <w:nsid w:val="43795DEF"/>
    <w:multiLevelType w:val="singleLevel"/>
    <w:tmpl w:val="43795DEF"/>
    <w:lvl w:ilvl="0" w:tentative="0">
      <w:start w:val="9"/>
      <w:numFmt w:val="decimal"/>
      <w:suff w:val="nothing"/>
      <w:lvlText w:val="%1、"/>
      <w:lvlJc w:val="left"/>
    </w:lvl>
  </w:abstractNum>
  <w:abstractNum w:abstractNumId="7">
    <w:nsid w:val="44BB2F8C"/>
    <w:multiLevelType w:val="singleLevel"/>
    <w:tmpl w:val="44BB2F8C"/>
    <w:lvl w:ilvl="0" w:tentative="0">
      <w:start w:val="4"/>
      <w:numFmt w:val="decimal"/>
      <w:suff w:val="nothing"/>
      <w:lvlText w:val="（%1）"/>
      <w:lvlJc w:val="left"/>
    </w:lvl>
  </w:abstractNum>
  <w:abstractNum w:abstractNumId="8">
    <w:nsid w:val="58F483FD"/>
    <w:multiLevelType w:val="singleLevel"/>
    <w:tmpl w:val="58F483FD"/>
    <w:lvl w:ilvl="0" w:tentative="0">
      <w:start w:val="1"/>
      <w:numFmt w:val="decimal"/>
      <w:lvlText w:val="%1."/>
      <w:lvlJc w:val="left"/>
      <w:pPr>
        <w:ind w:left="425" w:hanging="425"/>
      </w:pPr>
      <w:rPr>
        <w:rFonts w:hint="default"/>
      </w:rPr>
    </w:lvl>
  </w:abstractNum>
  <w:abstractNum w:abstractNumId="9">
    <w:nsid w:val="6380FE3E"/>
    <w:multiLevelType w:val="singleLevel"/>
    <w:tmpl w:val="6380FE3E"/>
    <w:lvl w:ilvl="0" w:tentative="0">
      <w:start w:val="5"/>
      <w:numFmt w:val="decimal"/>
      <w:suff w:val="nothing"/>
      <w:lvlText w:val="%1、"/>
      <w:lvlJc w:val="left"/>
    </w:lvl>
  </w:abstractNum>
  <w:abstractNum w:abstractNumId="10">
    <w:nsid w:val="63AF6071"/>
    <w:multiLevelType w:val="singleLevel"/>
    <w:tmpl w:val="63AF6071"/>
    <w:lvl w:ilvl="0" w:tentative="0">
      <w:start w:val="3"/>
      <w:numFmt w:val="decimal"/>
      <w:suff w:val="nothing"/>
      <w:lvlText w:val="（%1）"/>
      <w:lvlJc w:val="left"/>
    </w:lvl>
  </w:abstractNum>
  <w:abstractNum w:abstractNumId="11">
    <w:nsid w:val="63EE8A75"/>
    <w:multiLevelType w:val="singleLevel"/>
    <w:tmpl w:val="63EE8A75"/>
    <w:lvl w:ilvl="0" w:tentative="0">
      <w:start w:val="1"/>
      <w:numFmt w:val="decimal"/>
      <w:suff w:val="nothing"/>
      <w:lvlText w:val="%1、"/>
      <w:lvlJc w:val="left"/>
    </w:lvl>
  </w:abstractNum>
  <w:abstractNum w:abstractNumId="12">
    <w:nsid w:val="6D9F297C"/>
    <w:multiLevelType w:val="multilevel"/>
    <w:tmpl w:val="6D9F297C"/>
    <w:lvl w:ilvl="0" w:tentative="0">
      <w:start w:val="1"/>
      <w:numFmt w:val="decimal"/>
      <w:lvlText w:val="%1、"/>
      <w:lvlJc w:val="left"/>
      <w:pPr>
        <w:ind w:left="562" w:hanging="420"/>
      </w:pPr>
      <w:rPr>
        <w:rFonts w:hint="default" w:ascii="Times New Roman" w:hAnsi="Times New Roman" w:eastAsia="宋体" w:cs="Times New Roman"/>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num w:numId="1">
    <w:abstractNumId w:val="0"/>
  </w:num>
  <w:num w:numId="2">
    <w:abstractNumId w:val="4"/>
  </w:num>
  <w:num w:numId="3">
    <w:abstractNumId w:val="8"/>
  </w:num>
  <w:num w:numId="4">
    <w:abstractNumId w:val="3"/>
  </w:num>
  <w:num w:numId="5">
    <w:abstractNumId w:val="9"/>
  </w:num>
  <w:num w:numId="6">
    <w:abstractNumId w:val="6"/>
  </w:num>
  <w:num w:numId="7">
    <w:abstractNumId w:val="5"/>
  </w:num>
  <w:num w:numId="8">
    <w:abstractNumId w:val="7"/>
  </w:num>
  <w:num w:numId="9">
    <w:abstractNumId w:val="10"/>
  </w:num>
  <w:num w:numId="10">
    <w:abstractNumId w:val="2"/>
  </w:num>
  <w:num w:numId="11">
    <w:abstractNumId w:val="11"/>
  </w:num>
  <w:num w:numId="12">
    <w:abstractNumId w:val="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0B1F"/>
    <w:rsid w:val="00000B7A"/>
    <w:rsid w:val="000011C4"/>
    <w:rsid w:val="00001AD7"/>
    <w:rsid w:val="00001E81"/>
    <w:rsid w:val="00002A84"/>
    <w:rsid w:val="0000321A"/>
    <w:rsid w:val="000034C5"/>
    <w:rsid w:val="000039F9"/>
    <w:rsid w:val="00003B0E"/>
    <w:rsid w:val="00003B58"/>
    <w:rsid w:val="00003DD7"/>
    <w:rsid w:val="0000469D"/>
    <w:rsid w:val="00004E10"/>
    <w:rsid w:val="00004E4E"/>
    <w:rsid w:val="00006BD3"/>
    <w:rsid w:val="00007605"/>
    <w:rsid w:val="00010173"/>
    <w:rsid w:val="000103AD"/>
    <w:rsid w:val="000108E7"/>
    <w:rsid w:val="00010A4B"/>
    <w:rsid w:val="00011E9D"/>
    <w:rsid w:val="0001212B"/>
    <w:rsid w:val="000121D1"/>
    <w:rsid w:val="00012963"/>
    <w:rsid w:val="00012A42"/>
    <w:rsid w:val="00012D82"/>
    <w:rsid w:val="00013221"/>
    <w:rsid w:val="00013C6C"/>
    <w:rsid w:val="00013EC5"/>
    <w:rsid w:val="000160C5"/>
    <w:rsid w:val="00016181"/>
    <w:rsid w:val="000161E5"/>
    <w:rsid w:val="00016BAA"/>
    <w:rsid w:val="0001709F"/>
    <w:rsid w:val="0001794F"/>
    <w:rsid w:val="00020356"/>
    <w:rsid w:val="000203A8"/>
    <w:rsid w:val="00020490"/>
    <w:rsid w:val="00020875"/>
    <w:rsid w:val="00020F88"/>
    <w:rsid w:val="0002191C"/>
    <w:rsid w:val="00022250"/>
    <w:rsid w:val="00022353"/>
    <w:rsid w:val="000224FE"/>
    <w:rsid w:val="00022517"/>
    <w:rsid w:val="00022598"/>
    <w:rsid w:val="00022B1E"/>
    <w:rsid w:val="00022C28"/>
    <w:rsid w:val="00022FFC"/>
    <w:rsid w:val="0002380E"/>
    <w:rsid w:val="00023B5D"/>
    <w:rsid w:val="00023D8E"/>
    <w:rsid w:val="000244BC"/>
    <w:rsid w:val="00024AFB"/>
    <w:rsid w:val="0002549D"/>
    <w:rsid w:val="0002600D"/>
    <w:rsid w:val="00026E9B"/>
    <w:rsid w:val="00027206"/>
    <w:rsid w:val="00027444"/>
    <w:rsid w:val="00027A87"/>
    <w:rsid w:val="00030336"/>
    <w:rsid w:val="00030DFB"/>
    <w:rsid w:val="000311B2"/>
    <w:rsid w:val="00031E70"/>
    <w:rsid w:val="00032D4C"/>
    <w:rsid w:val="00032D75"/>
    <w:rsid w:val="00032F09"/>
    <w:rsid w:val="0003320E"/>
    <w:rsid w:val="000365DD"/>
    <w:rsid w:val="0003754F"/>
    <w:rsid w:val="00037B3A"/>
    <w:rsid w:val="00040A9B"/>
    <w:rsid w:val="00040BE5"/>
    <w:rsid w:val="000410F3"/>
    <w:rsid w:val="00042189"/>
    <w:rsid w:val="0004234B"/>
    <w:rsid w:val="00042757"/>
    <w:rsid w:val="00042CA5"/>
    <w:rsid w:val="0004365F"/>
    <w:rsid w:val="00043743"/>
    <w:rsid w:val="00043FC0"/>
    <w:rsid w:val="000457BC"/>
    <w:rsid w:val="00045FA9"/>
    <w:rsid w:val="00045FEA"/>
    <w:rsid w:val="0004608D"/>
    <w:rsid w:val="0004684F"/>
    <w:rsid w:val="00046CD5"/>
    <w:rsid w:val="00047272"/>
    <w:rsid w:val="00047727"/>
    <w:rsid w:val="00047C0D"/>
    <w:rsid w:val="00047D19"/>
    <w:rsid w:val="00047EF6"/>
    <w:rsid w:val="00050039"/>
    <w:rsid w:val="0005193C"/>
    <w:rsid w:val="00052093"/>
    <w:rsid w:val="000524A8"/>
    <w:rsid w:val="00052586"/>
    <w:rsid w:val="000526EB"/>
    <w:rsid w:val="0005271F"/>
    <w:rsid w:val="00053D83"/>
    <w:rsid w:val="0005426C"/>
    <w:rsid w:val="00054689"/>
    <w:rsid w:val="0005477E"/>
    <w:rsid w:val="00054F32"/>
    <w:rsid w:val="00055627"/>
    <w:rsid w:val="000556A0"/>
    <w:rsid w:val="0005610A"/>
    <w:rsid w:val="000563C6"/>
    <w:rsid w:val="000564CF"/>
    <w:rsid w:val="00056760"/>
    <w:rsid w:val="00056C6B"/>
    <w:rsid w:val="0005710E"/>
    <w:rsid w:val="00060004"/>
    <w:rsid w:val="000603C7"/>
    <w:rsid w:val="00060B7E"/>
    <w:rsid w:val="000611CB"/>
    <w:rsid w:val="0006344B"/>
    <w:rsid w:val="00063897"/>
    <w:rsid w:val="000638D9"/>
    <w:rsid w:val="00063B97"/>
    <w:rsid w:val="00063F67"/>
    <w:rsid w:val="00064332"/>
    <w:rsid w:val="000648DE"/>
    <w:rsid w:val="00064C05"/>
    <w:rsid w:val="000654C7"/>
    <w:rsid w:val="00065ABF"/>
    <w:rsid w:val="00065B8E"/>
    <w:rsid w:val="00065C77"/>
    <w:rsid w:val="00066530"/>
    <w:rsid w:val="00066A7F"/>
    <w:rsid w:val="00066DA0"/>
    <w:rsid w:val="0006773A"/>
    <w:rsid w:val="000679F0"/>
    <w:rsid w:val="00067BE8"/>
    <w:rsid w:val="00067F13"/>
    <w:rsid w:val="000701CC"/>
    <w:rsid w:val="0007067F"/>
    <w:rsid w:val="00071569"/>
    <w:rsid w:val="0007190B"/>
    <w:rsid w:val="00071973"/>
    <w:rsid w:val="000723E4"/>
    <w:rsid w:val="000730D9"/>
    <w:rsid w:val="00074807"/>
    <w:rsid w:val="00074EA1"/>
    <w:rsid w:val="00075002"/>
    <w:rsid w:val="0007581D"/>
    <w:rsid w:val="00075A49"/>
    <w:rsid w:val="00075BE1"/>
    <w:rsid w:val="0007610F"/>
    <w:rsid w:val="00077275"/>
    <w:rsid w:val="000778CA"/>
    <w:rsid w:val="000778FB"/>
    <w:rsid w:val="00080007"/>
    <w:rsid w:val="00081461"/>
    <w:rsid w:val="000826B7"/>
    <w:rsid w:val="00082D4A"/>
    <w:rsid w:val="00082E4D"/>
    <w:rsid w:val="0008372E"/>
    <w:rsid w:val="00083E67"/>
    <w:rsid w:val="00084AC7"/>
    <w:rsid w:val="00084CD8"/>
    <w:rsid w:val="00084D9E"/>
    <w:rsid w:val="00085DC1"/>
    <w:rsid w:val="0008653B"/>
    <w:rsid w:val="00086751"/>
    <w:rsid w:val="00086F3E"/>
    <w:rsid w:val="0008751A"/>
    <w:rsid w:val="00087B63"/>
    <w:rsid w:val="00087ED1"/>
    <w:rsid w:val="0009039B"/>
    <w:rsid w:val="0009212D"/>
    <w:rsid w:val="0009217A"/>
    <w:rsid w:val="00092FF3"/>
    <w:rsid w:val="000930E0"/>
    <w:rsid w:val="00093814"/>
    <w:rsid w:val="00093B31"/>
    <w:rsid w:val="0009425B"/>
    <w:rsid w:val="00094793"/>
    <w:rsid w:val="00094CA9"/>
    <w:rsid w:val="000953BA"/>
    <w:rsid w:val="000954C1"/>
    <w:rsid w:val="00095679"/>
    <w:rsid w:val="00097348"/>
    <w:rsid w:val="00097545"/>
    <w:rsid w:val="000A050B"/>
    <w:rsid w:val="000A0993"/>
    <w:rsid w:val="000A0A09"/>
    <w:rsid w:val="000A0BA2"/>
    <w:rsid w:val="000A0CED"/>
    <w:rsid w:val="000A0DEA"/>
    <w:rsid w:val="000A0E82"/>
    <w:rsid w:val="000A12FF"/>
    <w:rsid w:val="000A141C"/>
    <w:rsid w:val="000A18AA"/>
    <w:rsid w:val="000A1AFA"/>
    <w:rsid w:val="000A20BC"/>
    <w:rsid w:val="000A28D3"/>
    <w:rsid w:val="000A2946"/>
    <w:rsid w:val="000A2B11"/>
    <w:rsid w:val="000A2D1E"/>
    <w:rsid w:val="000A2E84"/>
    <w:rsid w:val="000A2F03"/>
    <w:rsid w:val="000A33D6"/>
    <w:rsid w:val="000A3883"/>
    <w:rsid w:val="000A390C"/>
    <w:rsid w:val="000A3C5E"/>
    <w:rsid w:val="000A409D"/>
    <w:rsid w:val="000A48AC"/>
    <w:rsid w:val="000A49D5"/>
    <w:rsid w:val="000A57FE"/>
    <w:rsid w:val="000A61DF"/>
    <w:rsid w:val="000A65FE"/>
    <w:rsid w:val="000A6823"/>
    <w:rsid w:val="000A6853"/>
    <w:rsid w:val="000A7087"/>
    <w:rsid w:val="000A71C1"/>
    <w:rsid w:val="000A74E9"/>
    <w:rsid w:val="000A74F6"/>
    <w:rsid w:val="000A7CA7"/>
    <w:rsid w:val="000B00A9"/>
    <w:rsid w:val="000B0227"/>
    <w:rsid w:val="000B0388"/>
    <w:rsid w:val="000B0ABD"/>
    <w:rsid w:val="000B105B"/>
    <w:rsid w:val="000B17BB"/>
    <w:rsid w:val="000B1861"/>
    <w:rsid w:val="000B1E6B"/>
    <w:rsid w:val="000B2A3C"/>
    <w:rsid w:val="000B4C2F"/>
    <w:rsid w:val="000B59AE"/>
    <w:rsid w:val="000B5AD9"/>
    <w:rsid w:val="000B5BDD"/>
    <w:rsid w:val="000B63F0"/>
    <w:rsid w:val="000B669D"/>
    <w:rsid w:val="000B6BEF"/>
    <w:rsid w:val="000B7670"/>
    <w:rsid w:val="000B7680"/>
    <w:rsid w:val="000C0184"/>
    <w:rsid w:val="000C0551"/>
    <w:rsid w:val="000C1683"/>
    <w:rsid w:val="000C1B48"/>
    <w:rsid w:val="000C1D64"/>
    <w:rsid w:val="000C21E6"/>
    <w:rsid w:val="000C2B49"/>
    <w:rsid w:val="000C2ED1"/>
    <w:rsid w:val="000C35F8"/>
    <w:rsid w:val="000C3B9B"/>
    <w:rsid w:val="000C44CD"/>
    <w:rsid w:val="000C4800"/>
    <w:rsid w:val="000C4FB0"/>
    <w:rsid w:val="000C5152"/>
    <w:rsid w:val="000C561D"/>
    <w:rsid w:val="000C7DB8"/>
    <w:rsid w:val="000C7E9F"/>
    <w:rsid w:val="000D0066"/>
    <w:rsid w:val="000D06DB"/>
    <w:rsid w:val="000D0908"/>
    <w:rsid w:val="000D1074"/>
    <w:rsid w:val="000D10CC"/>
    <w:rsid w:val="000D1887"/>
    <w:rsid w:val="000D1D13"/>
    <w:rsid w:val="000D20F2"/>
    <w:rsid w:val="000D34B1"/>
    <w:rsid w:val="000D3E96"/>
    <w:rsid w:val="000D3E98"/>
    <w:rsid w:val="000D41B1"/>
    <w:rsid w:val="000D4E29"/>
    <w:rsid w:val="000D52B7"/>
    <w:rsid w:val="000D55A8"/>
    <w:rsid w:val="000D58EE"/>
    <w:rsid w:val="000D6154"/>
    <w:rsid w:val="000D65BB"/>
    <w:rsid w:val="000D7BBB"/>
    <w:rsid w:val="000D7F59"/>
    <w:rsid w:val="000E0355"/>
    <w:rsid w:val="000E097D"/>
    <w:rsid w:val="000E0F7A"/>
    <w:rsid w:val="000E123B"/>
    <w:rsid w:val="000E12C4"/>
    <w:rsid w:val="000E1BA9"/>
    <w:rsid w:val="000E22F4"/>
    <w:rsid w:val="000E2663"/>
    <w:rsid w:val="000E2C47"/>
    <w:rsid w:val="000E2D46"/>
    <w:rsid w:val="000E3695"/>
    <w:rsid w:val="000E3760"/>
    <w:rsid w:val="000E50A3"/>
    <w:rsid w:val="000E670E"/>
    <w:rsid w:val="000E6996"/>
    <w:rsid w:val="000E69C5"/>
    <w:rsid w:val="000E6F0A"/>
    <w:rsid w:val="000E6F98"/>
    <w:rsid w:val="000E712C"/>
    <w:rsid w:val="000E7456"/>
    <w:rsid w:val="000E764B"/>
    <w:rsid w:val="000E7ECF"/>
    <w:rsid w:val="000F03D2"/>
    <w:rsid w:val="000F0893"/>
    <w:rsid w:val="000F1218"/>
    <w:rsid w:val="000F14B8"/>
    <w:rsid w:val="000F1598"/>
    <w:rsid w:val="000F16B1"/>
    <w:rsid w:val="000F1D16"/>
    <w:rsid w:val="000F214D"/>
    <w:rsid w:val="000F2E3A"/>
    <w:rsid w:val="000F2E51"/>
    <w:rsid w:val="000F36B8"/>
    <w:rsid w:val="000F4008"/>
    <w:rsid w:val="000F512C"/>
    <w:rsid w:val="000F6B6A"/>
    <w:rsid w:val="000F7EF7"/>
    <w:rsid w:val="000F7F6A"/>
    <w:rsid w:val="000F7FE1"/>
    <w:rsid w:val="00101423"/>
    <w:rsid w:val="001017D0"/>
    <w:rsid w:val="00101BF3"/>
    <w:rsid w:val="00102998"/>
    <w:rsid w:val="001045BC"/>
    <w:rsid w:val="00104607"/>
    <w:rsid w:val="001047F7"/>
    <w:rsid w:val="00105892"/>
    <w:rsid w:val="00106811"/>
    <w:rsid w:val="00106ABE"/>
    <w:rsid w:val="00106F8E"/>
    <w:rsid w:val="00107001"/>
    <w:rsid w:val="001071F4"/>
    <w:rsid w:val="0010742F"/>
    <w:rsid w:val="00107641"/>
    <w:rsid w:val="00107764"/>
    <w:rsid w:val="0010799A"/>
    <w:rsid w:val="001100B3"/>
    <w:rsid w:val="00110A3A"/>
    <w:rsid w:val="00111758"/>
    <w:rsid w:val="001117C9"/>
    <w:rsid w:val="00111B76"/>
    <w:rsid w:val="001126FD"/>
    <w:rsid w:val="001127B2"/>
    <w:rsid w:val="00112E2F"/>
    <w:rsid w:val="00113047"/>
    <w:rsid w:val="001134FD"/>
    <w:rsid w:val="0011402C"/>
    <w:rsid w:val="00114566"/>
    <w:rsid w:val="00114789"/>
    <w:rsid w:val="00114F2C"/>
    <w:rsid w:val="001159D4"/>
    <w:rsid w:val="00116DDA"/>
    <w:rsid w:val="001171F5"/>
    <w:rsid w:val="0011773A"/>
    <w:rsid w:val="00117967"/>
    <w:rsid w:val="00117C74"/>
    <w:rsid w:val="00117E76"/>
    <w:rsid w:val="0012013F"/>
    <w:rsid w:val="001202F9"/>
    <w:rsid w:val="001205F7"/>
    <w:rsid w:val="00120656"/>
    <w:rsid w:val="00122174"/>
    <w:rsid w:val="00122F0E"/>
    <w:rsid w:val="00122FCF"/>
    <w:rsid w:val="001232B0"/>
    <w:rsid w:val="00123889"/>
    <w:rsid w:val="00123C55"/>
    <w:rsid w:val="00123F83"/>
    <w:rsid w:val="0012438E"/>
    <w:rsid w:val="0012476C"/>
    <w:rsid w:val="00124DA1"/>
    <w:rsid w:val="0012502B"/>
    <w:rsid w:val="001250F3"/>
    <w:rsid w:val="001252F8"/>
    <w:rsid w:val="00125822"/>
    <w:rsid w:val="00125E82"/>
    <w:rsid w:val="001265FC"/>
    <w:rsid w:val="00126EA0"/>
    <w:rsid w:val="00127016"/>
    <w:rsid w:val="00127893"/>
    <w:rsid w:val="0013010C"/>
    <w:rsid w:val="00130EC3"/>
    <w:rsid w:val="00132A42"/>
    <w:rsid w:val="00133033"/>
    <w:rsid w:val="00133454"/>
    <w:rsid w:val="0013434A"/>
    <w:rsid w:val="00134374"/>
    <w:rsid w:val="0013475E"/>
    <w:rsid w:val="0013611D"/>
    <w:rsid w:val="001361AA"/>
    <w:rsid w:val="0013660E"/>
    <w:rsid w:val="00136CA6"/>
    <w:rsid w:val="00136CEA"/>
    <w:rsid w:val="00136D66"/>
    <w:rsid w:val="0013747F"/>
    <w:rsid w:val="00140209"/>
    <w:rsid w:val="0014110E"/>
    <w:rsid w:val="00141843"/>
    <w:rsid w:val="00141C30"/>
    <w:rsid w:val="001420C0"/>
    <w:rsid w:val="0014258E"/>
    <w:rsid w:val="0014286F"/>
    <w:rsid w:val="00142935"/>
    <w:rsid w:val="00142F59"/>
    <w:rsid w:val="001433DD"/>
    <w:rsid w:val="0014368B"/>
    <w:rsid w:val="00143847"/>
    <w:rsid w:val="00143EC2"/>
    <w:rsid w:val="001443E2"/>
    <w:rsid w:val="00144543"/>
    <w:rsid w:val="00144C4B"/>
    <w:rsid w:val="00145951"/>
    <w:rsid w:val="00146775"/>
    <w:rsid w:val="00146977"/>
    <w:rsid w:val="00146D31"/>
    <w:rsid w:val="0014767D"/>
    <w:rsid w:val="0015003C"/>
    <w:rsid w:val="00150066"/>
    <w:rsid w:val="00150E2F"/>
    <w:rsid w:val="001515E0"/>
    <w:rsid w:val="001515EB"/>
    <w:rsid w:val="001521AE"/>
    <w:rsid w:val="001526E1"/>
    <w:rsid w:val="00154015"/>
    <w:rsid w:val="00154232"/>
    <w:rsid w:val="00154257"/>
    <w:rsid w:val="001554DE"/>
    <w:rsid w:val="00155C6F"/>
    <w:rsid w:val="00156420"/>
    <w:rsid w:val="00156635"/>
    <w:rsid w:val="001567EA"/>
    <w:rsid w:val="00156AFF"/>
    <w:rsid w:val="001578F8"/>
    <w:rsid w:val="001601E4"/>
    <w:rsid w:val="001601E9"/>
    <w:rsid w:val="0016086F"/>
    <w:rsid w:val="001614B5"/>
    <w:rsid w:val="001617C1"/>
    <w:rsid w:val="00161B94"/>
    <w:rsid w:val="00161DDB"/>
    <w:rsid w:val="00161F58"/>
    <w:rsid w:val="00162351"/>
    <w:rsid w:val="00164744"/>
    <w:rsid w:val="001647F1"/>
    <w:rsid w:val="00166388"/>
    <w:rsid w:val="00166568"/>
    <w:rsid w:val="00166972"/>
    <w:rsid w:val="00166D73"/>
    <w:rsid w:val="0016703E"/>
    <w:rsid w:val="0016777F"/>
    <w:rsid w:val="0017023C"/>
    <w:rsid w:val="00170C74"/>
    <w:rsid w:val="001713B7"/>
    <w:rsid w:val="00171517"/>
    <w:rsid w:val="001715FC"/>
    <w:rsid w:val="00171626"/>
    <w:rsid w:val="0017239E"/>
    <w:rsid w:val="00172639"/>
    <w:rsid w:val="00172A27"/>
    <w:rsid w:val="00172B98"/>
    <w:rsid w:val="00173437"/>
    <w:rsid w:val="00173694"/>
    <w:rsid w:val="00174A84"/>
    <w:rsid w:val="001752A9"/>
    <w:rsid w:val="001759E6"/>
    <w:rsid w:val="00175D15"/>
    <w:rsid w:val="00176921"/>
    <w:rsid w:val="00177510"/>
    <w:rsid w:val="0017782B"/>
    <w:rsid w:val="00180849"/>
    <w:rsid w:val="00181A42"/>
    <w:rsid w:val="00181ACE"/>
    <w:rsid w:val="00181D82"/>
    <w:rsid w:val="00182BF7"/>
    <w:rsid w:val="00182D58"/>
    <w:rsid w:val="00182EC5"/>
    <w:rsid w:val="00183177"/>
    <w:rsid w:val="00183DB8"/>
    <w:rsid w:val="001842EB"/>
    <w:rsid w:val="00184867"/>
    <w:rsid w:val="00185AFE"/>
    <w:rsid w:val="00185DB0"/>
    <w:rsid w:val="00185DCB"/>
    <w:rsid w:val="00185E2E"/>
    <w:rsid w:val="00185F61"/>
    <w:rsid w:val="00186147"/>
    <w:rsid w:val="00186916"/>
    <w:rsid w:val="00187139"/>
    <w:rsid w:val="0018789E"/>
    <w:rsid w:val="00190060"/>
    <w:rsid w:val="00190442"/>
    <w:rsid w:val="0019104D"/>
    <w:rsid w:val="001916D0"/>
    <w:rsid w:val="00191BE6"/>
    <w:rsid w:val="00192541"/>
    <w:rsid w:val="0019275D"/>
    <w:rsid w:val="00192AEA"/>
    <w:rsid w:val="00193218"/>
    <w:rsid w:val="00193663"/>
    <w:rsid w:val="00193A77"/>
    <w:rsid w:val="0019469C"/>
    <w:rsid w:val="00194F7D"/>
    <w:rsid w:val="001950F0"/>
    <w:rsid w:val="00195C4D"/>
    <w:rsid w:val="001961C3"/>
    <w:rsid w:val="0019665B"/>
    <w:rsid w:val="001967B6"/>
    <w:rsid w:val="001A0AFA"/>
    <w:rsid w:val="001A0B21"/>
    <w:rsid w:val="001A1A35"/>
    <w:rsid w:val="001A1AD2"/>
    <w:rsid w:val="001A2454"/>
    <w:rsid w:val="001A292F"/>
    <w:rsid w:val="001A2A20"/>
    <w:rsid w:val="001A2FCD"/>
    <w:rsid w:val="001A36D4"/>
    <w:rsid w:val="001A3E36"/>
    <w:rsid w:val="001A3E5D"/>
    <w:rsid w:val="001A4917"/>
    <w:rsid w:val="001A4EE0"/>
    <w:rsid w:val="001A53BC"/>
    <w:rsid w:val="001A61E5"/>
    <w:rsid w:val="001A6BE9"/>
    <w:rsid w:val="001A7234"/>
    <w:rsid w:val="001B0D1D"/>
    <w:rsid w:val="001B15D5"/>
    <w:rsid w:val="001B1D0A"/>
    <w:rsid w:val="001B32F9"/>
    <w:rsid w:val="001B33B6"/>
    <w:rsid w:val="001B34E0"/>
    <w:rsid w:val="001B38C2"/>
    <w:rsid w:val="001B4751"/>
    <w:rsid w:val="001B4A88"/>
    <w:rsid w:val="001B5506"/>
    <w:rsid w:val="001B5A90"/>
    <w:rsid w:val="001B5BE8"/>
    <w:rsid w:val="001B5BEE"/>
    <w:rsid w:val="001B5F7A"/>
    <w:rsid w:val="001B6466"/>
    <w:rsid w:val="001B6629"/>
    <w:rsid w:val="001B66AC"/>
    <w:rsid w:val="001B733F"/>
    <w:rsid w:val="001B7515"/>
    <w:rsid w:val="001B7E22"/>
    <w:rsid w:val="001C04AB"/>
    <w:rsid w:val="001C1174"/>
    <w:rsid w:val="001C1AFA"/>
    <w:rsid w:val="001C1BE8"/>
    <w:rsid w:val="001C1DD0"/>
    <w:rsid w:val="001C2746"/>
    <w:rsid w:val="001C2A63"/>
    <w:rsid w:val="001C2B27"/>
    <w:rsid w:val="001C3170"/>
    <w:rsid w:val="001C3D1B"/>
    <w:rsid w:val="001C4381"/>
    <w:rsid w:val="001C47AF"/>
    <w:rsid w:val="001C499F"/>
    <w:rsid w:val="001C4C35"/>
    <w:rsid w:val="001C4D6D"/>
    <w:rsid w:val="001C5502"/>
    <w:rsid w:val="001C5E62"/>
    <w:rsid w:val="001C6B0D"/>
    <w:rsid w:val="001C6B4F"/>
    <w:rsid w:val="001C6BBA"/>
    <w:rsid w:val="001D0031"/>
    <w:rsid w:val="001D0CEB"/>
    <w:rsid w:val="001D268F"/>
    <w:rsid w:val="001D2836"/>
    <w:rsid w:val="001D3184"/>
    <w:rsid w:val="001D3BDE"/>
    <w:rsid w:val="001D3D3B"/>
    <w:rsid w:val="001D490C"/>
    <w:rsid w:val="001D4A1E"/>
    <w:rsid w:val="001D56F2"/>
    <w:rsid w:val="001D5AA1"/>
    <w:rsid w:val="001D6BD2"/>
    <w:rsid w:val="001D6E9B"/>
    <w:rsid w:val="001D746A"/>
    <w:rsid w:val="001E005A"/>
    <w:rsid w:val="001E0168"/>
    <w:rsid w:val="001E0B86"/>
    <w:rsid w:val="001E18AF"/>
    <w:rsid w:val="001E2ED9"/>
    <w:rsid w:val="001E310E"/>
    <w:rsid w:val="001E3B1E"/>
    <w:rsid w:val="001E3F0E"/>
    <w:rsid w:val="001E3F96"/>
    <w:rsid w:val="001E5110"/>
    <w:rsid w:val="001E6190"/>
    <w:rsid w:val="001E7349"/>
    <w:rsid w:val="001F039D"/>
    <w:rsid w:val="001F0BDB"/>
    <w:rsid w:val="001F0D31"/>
    <w:rsid w:val="001F105F"/>
    <w:rsid w:val="001F15D0"/>
    <w:rsid w:val="001F173C"/>
    <w:rsid w:val="001F1867"/>
    <w:rsid w:val="001F29BF"/>
    <w:rsid w:val="001F2CC9"/>
    <w:rsid w:val="001F3853"/>
    <w:rsid w:val="001F4952"/>
    <w:rsid w:val="001F4EB8"/>
    <w:rsid w:val="001F4F1F"/>
    <w:rsid w:val="001F5174"/>
    <w:rsid w:val="001F5ADE"/>
    <w:rsid w:val="001F620F"/>
    <w:rsid w:val="001F6BD9"/>
    <w:rsid w:val="001F6C71"/>
    <w:rsid w:val="001F6C87"/>
    <w:rsid w:val="001F731C"/>
    <w:rsid w:val="001F76EE"/>
    <w:rsid w:val="001F7F62"/>
    <w:rsid w:val="0020064B"/>
    <w:rsid w:val="00200CC3"/>
    <w:rsid w:val="0020137D"/>
    <w:rsid w:val="002017D8"/>
    <w:rsid w:val="002029C7"/>
    <w:rsid w:val="0020392F"/>
    <w:rsid w:val="00204698"/>
    <w:rsid w:val="00205FCF"/>
    <w:rsid w:val="002067C1"/>
    <w:rsid w:val="00210815"/>
    <w:rsid w:val="00210DE6"/>
    <w:rsid w:val="002111A2"/>
    <w:rsid w:val="00212039"/>
    <w:rsid w:val="002122E6"/>
    <w:rsid w:val="0021241A"/>
    <w:rsid w:val="00212982"/>
    <w:rsid w:val="00212DC0"/>
    <w:rsid w:val="00212E56"/>
    <w:rsid w:val="00212EBF"/>
    <w:rsid w:val="002130AE"/>
    <w:rsid w:val="002131D3"/>
    <w:rsid w:val="002136CF"/>
    <w:rsid w:val="0021374C"/>
    <w:rsid w:val="0021416F"/>
    <w:rsid w:val="002149F1"/>
    <w:rsid w:val="0021518C"/>
    <w:rsid w:val="00215355"/>
    <w:rsid w:val="0021606E"/>
    <w:rsid w:val="002165D0"/>
    <w:rsid w:val="002171A3"/>
    <w:rsid w:val="0021772B"/>
    <w:rsid w:val="002177A2"/>
    <w:rsid w:val="00217FA9"/>
    <w:rsid w:val="00220C23"/>
    <w:rsid w:val="002211D7"/>
    <w:rsid w:val="002212A8"/>
    <w:rsid w:val="00221CE3"/>
    <w:rsid w:val="00221E1E"/>
    <w:rsid w:val="00222775"/>
    <w:rsid w:val="002230A1"/>
    <w:rsid w:val="002238D5"/>
    <w:rsid w:val="002239C1"/>
    <w:rsid w:val="00223A9F"/>
    <w:rsid w:val="00224085"/>
    <w:rsid w:val="00224B98"/>
    <w:rsid w:val="002254D2"/>
    <w:rsid w:val="002270C2"/>
    <w:rsid w:val="00227737"/>
    <w:rsid w:val="00227C28"/>
    <w:rsid w:val="00230C20"/>
    <w:rsid w:val="00231674"/>
    <w:rsid w:val="002329F3"/>
    <w:rsid w:val="0023390E"/>
    <w:rsid w:val="0023468F"/>
    <w:rsid w:val="00234BDF"/>
    <w:rsid w:val="0023547F"/>
    <w:rsid w:val="00235F12"/>
    <w:rsid w:val="00235FB9"/>
    <w:rsid w:val="002363F1"/>
    <w:rsid w:val="00236A61"/>
    <w:rsid w:val="002372B5"/>
    <w:rsid w:val="00241065"/>
    <w:rsid w:val="0024124D"/>
    <w:rsid w:val="002412D5"/>
    <w:rsid w:val="00241566"/>
    <w:rsid w:val="00242015"/>
    <w:rsid w:val="00242426"/>
    <w:rsid w:val="002425B5"/>
    <w:rsid w:val="00242764"/>
    <w:rsid w:val="00242B03"/>
    <w:rsid w:val="0024370F"/>
    <w:rsid w:val="00244368"/>
    <w:rsid w:val="00244463"/>
    <w:rsid w:val="00244A2B"/>
    <w:rsid w:val="00244B19"/>
    <w:rsid w:val="00244C5B"/>
    <w:rsid w:val="00244CCE"/>
    <w:rsid w:val="00244FD3"/>
    <w:rsid w:val="00245031"/>
    <w:rsid w:val="00245F79"/>
    <w:rsid w:val="00246258"/>
    <w:rsid w:val="00247831"/>
    <w:rsid w:val="00247D86"/>
    <w:rsid w:val="0025105A"/>
    <w:rsid w:val="002512BA"/>
    <w:rsid w:val="00251E38"/>
    <w:rsid w:val="00252162"/>
    <w:rsid w:val="002521FA"/>
    <w:rsid w:val="0025365C"/>
    <w:rsid w:val="00253DB8"/>
    <w:rsid w:val="00254361"/>
    <w:rsid w:val="00254AC5"/>
    <w:rsid w:val="00255367"/>
    <w:rsid w:val="00255559"/>
    <w:rsid w:val="00256830"/>
    <w:rsid w:val="00257736"/>
    <w:rsid w:val="00257B7C"/>
    <w:rsid w:val="002603CB"/>
    <w:rsid w:val="00260B06"/>
    <w:rsid w:val="00260E34"/>
    <w:rsid w:val="00260FA1"/>
    <w:rsid w:val="00261362"/>
    <w:rsid w:val="00261664"/>
    <w:rsid w:val="00261B14"/>
    <w:rsid w:val="00261B66"/>
    <w:rsid w:val="00262214"/>
    <w:rsid w:val="00262EB6"/>
    <w:rsid w:val="0026393F"/>
    <w:rsid w:val="00263E92"/>
    <w:rsid w:val="00263EFC"/>
    <w:rsid w:val="00263FC9"/>
    <w:rsid w:val="00264A71"/>
    <w:rsid w:val="00264BD8"/>
    <w:rsid w:val="00264C9A"/>
    <w:rsid w:val="00265997"/>
    <w:rsid w:val="00266048"/>
    <w:rsid w:val="0026637F"/>
    <w:rsid w:val="0026669F"/>
    <w:rsid w:val="00266801"/>
    <w:rsid w:val="00266FF5"/>
    <w:rsid w:val="00267856"/>
    <w:rsid w:val="00267CBB"/>
    <w:rsid w:val="00267FDF"/>
    <w:rsid w:val="002712C6"/>
    <w:rsid w:val="002712DD"/>
    <w:rsid w:val="002714F9"/>
    <w:rsid w:val="00271DA9"/>
    <w:rsid w:val="00272074"/>
    <w:rsid w:val="00272340"/>
    <w:rsid w:val="002723B1"/>
    <w:rsid w:val="00272C6E"/>
    <w:rsid w:val="00272C7B"/>
    <w:rsid w:val="002738BC"/>
    <w:rsid w:val="00273E3A"/>
    <w:rsid w:val="00273F00"/>
    <w:rsid w:val="002753C0"/>
    <w:rsid w:val="00276041"/>
    <w:rsid w:val="002761F0"/>
    <w:rsid w:val="00276543"/>
    <w:rsid w:val="00276C0F"/>
    <w:rsid w:val="00276D46"/>
    <w:rsid w:val="00277470"/>
    <w:rsid w:val="00277E28"/>
    <w:rsid w:val="00277E6F"/>
    <w:rsid w:val="00280760"/>
    <w:rsid w:val="002817FD"/>
    <w:rsid w:val="00281E7E"/>
    <w:rsid w:val="0028266E"/>
    <w:rsid w:val="00282BC2"/>
    <w:rsid w:val="0028307F"/>
    <w:rsid w:val="00283420"/>
    <w:rsid w:val="00283606"/>
    <w:rsid w:val="002836AC"/>
    <w:rsid w:val="0028377E"/>
    <w:rsid w:val="002848DA"/>
    <w:rsid w:val="00285023"/>
    <w:rsid w:val="00285669"/>
    <w:rsid w:val="00286D83"/>
    <w:rsid w:val="00287C56"/>
    <w:rsid w:val="00287F09"/>
    <w:rsid w:val="00290D68"/>
    <w:rsid w:val="00290DBE"/>
    <w:rsid w:val="0029253A"/>
    <w:rsid w:val="002926F4"/>
    <w:rsid w:val="00292D08"/>
    <w:rsid w:val="00292EB6"/>
    <w:rsid w:val="00294569"/>
    <w:rsid w:val="002945FE"/>
    <w:rsid w:val="002948FD"/>
    <w:rsid w:val="00294C3F"/>
    <w:rsid w:val="002952C6"/>
    <w:rsid w:val="002953FC"/>
    <w:rsid w:val="00295627"/>
    <w:rsid w:val="00295867"/>
    <w:rsid w:val="00295F61"/>
    <w:rsid w:val="00295FC5"/>
    <w:rsid w:val="00296723"/>
    <w:rsid w:val="0029773E"/>
    <w:rsid w:val="0029784C"/>
    <w:rsid w:val="00297BA8"/>
    <w:rsid w:val="002A0267"/>
    <w:rsid w:val="002A032C"/>
    <w:rsid w:val="002A0333"/>
    <w:rsid w:val="002A0461"/>
    <w:rsid w:val="002A079E"/>
    <w:rsid w:val="002A12E3"/>
    <w:rsid w:val="002A25A3"/>
    <w:rsid w:val="002A25D0"/>
    <w:rsid w:val="002A2C6E"/>
    <w:rsid w:val="002A3DA9"/>
    <w:rsid w:val="002A4316"/>
    <w:rsid w:val="002A4348"/>
    <w:rsid w:val="002A4375"/>
    <w:rsid w:val="002A4814"/>
    <w:rsid w:val="002A5F16"/>
    <w:rsid w:val="002A68D0"/>
    <w:rsid w:val="002A6A20"/>
    <w:rsid w:val="002A6CBC"/>
    <w:rsid w:val="002A6D32"/>
    <w:rsid w:val="002A75C4"/>
    <w:rsid w:val="002A7993"/>
    <w:rsid w:val="002A7E21"/>
    <w:rsid w:val="002B0454"/>
    <w:rsid w:val="002B0D42"/>
    <w:rsid w:val="002B1967"/>
    <w:rsid w:val="002B1E06"/>
    <w:rsid w:val="002B1F8B"/>
    <w:rsid w:val="002B227B"/>
    <w:rsid w:val="002B3742"/>
    <w:rsid w:val="002B485C"/>
    <w:rsid w:val="002B4875"/>
    <w:rsid w:val="002B4C5C"/>
    <w:rsid w:val="002B4EC9"/>
    <w:rsid w:val="002B6752"/>
    <w:rsid w:val="002B6EE9"/>
    <w:rsid w:val="002B718C"/>
    <w:rsid w:val="002C1A7D"/>
    <w:rsid w:val="002C23D0"/>
    <w:rsid w:val="002C242B"/>
    <w:rsid w:val="002C302C"/>
    <w:rsid w:val="002C3494"/>
    <w:rsid w:val="002C3524"/>
    <w:rsid w:val="002C3591"/>
    <w:rsid w:val="002C35F9"/>
    <w:rsid w:val="002C3A37"/>
    <w:rsid w:val="002C437D"/>
    <w:rsid w:val="002C5182"/>
    <w:rsid w:val="002C5312"/>
    <w:rsid w:val="002C5365"/>
    <w:rsid w:val="002C6624"/>
    <w:rsid w:val="002C679B"/>
    <w:rsid w:val="002C68E8"/>
    <w:rsid w:val="002C6EF6"/>
    <w:rsid w:val="002C7F03"/>
    <w:rsid w:val="002D0166"/>
    <w:rsid w:val="002D02FE"/>
    <w:rsid w:val="002D0DF7"/>
    <w:rsid w:val="002D0F2F"/>
    <w:rsid w:val="002D104D"/>
    <w:rsid w:val="002D1498"/>
    <w:rsid w:val="002D1881"/>
    <w:rsid w:val="002D2385"/>
    <w:rsid w:val="002D23A2"/>
    <w:rsid w:val="002D3E57"/>
    <w:rsid w:val="002D4483"/>
    <w:rsid w:val="002D48EA"/>
    <w:rsid w:val="002D4937"/>
    <w:rsid w:val="002D4C7D"/>
    <w:rsid w:val="002D4D20"/>
    <w:rsid w:val="002D5C02"/>
    <w:rsid w:val="002D6214"/>
    <w:rsid w:val="002D6824"/>
    <w:rsid w:val="002D6F3D"/>
    <w:rsid w:val="002D71FD"/>
    <w:rsid w:val="002D73D6"/>
    <w:rsid w:val="002D797C"/>
    <w:rsid w:val="002D7F00"/>
    <w:rsid w:val="002E0450"/>
    <w:rsid w:val="002E0478"/>
    <w:rsid w:val="002E07EA"/>
    <w:rsid w:val="002E0C58"/>
    <w:rsid w:val="002E11D8"/>
    <w:rsid w:val="002E13B8"/>
    <w:rsid w:val="002E15CA"/>
    <w:rsid w:val="002E1A47"/>
    <w:rsid w:val="002E2F8A"/>
    <w:rsid w:val="002E3F08"/>
    <w:rsid w:val="002E4FE6"/>
    <w:rsid w:val="002E5519"/>
    <w:rsid w:val="002E61A9"/>
    <w:rsid w:val="002E7407"/>
    <w:rsid w:val="002E77FB"/>
    <w:rsid w:val="002F2418"/>
    <w:rsid w:val="002F2769"/>
    <w:rsid w:val="002F29A2"/>
    <w:rsid w:val="002F2F81"/>
    <w:rsid w:val="002F40D8"/>
    <w:rsid w:val="002F46B1"/>
    <w:rsid w:val="002F4B33"/>
    <w:rsid w:val="002F4F0A"/>
    <w:rsid w:val="002F56A4"/>
    <w:rsid w:val="002F59A8"/>
    <w:rsid w:val="002F5BAF"/>
    <w:rsid w:val="002F5BF4"/>
    <w:rsid w:val="002F6B20"/>
    <w:rsid w:val="002F6EDA"/>
    <w:rsid w:val="00300339"/>
    <w:rsid w:val="0030045E"/>
    <w:rsid w:val="0030095A"/>
    <w:rsid w:val="00300B04"/>
    <w:rsid w:val="00301062"/>
    <w:rsid w:val="003013BF"/>
    <w:rsid w:val="00301778"/>
    <w:rsid w:val="00301993"/>
    <w:rsid w:val="003020F4"/>
    <w:rsid w:val="00302916"/>
    <w:rsid w:val="00303190"/>
    <w:rsid w:val="00303490"/>
    <w:rsid w:val="003039D5"/>
    <w:rsid w:val="00303E6E"/>
    <w:rsid w:val="003042E7"/>
    <w:rsid w:val="0030432D"/>
    <w:rsid w:val="00304D9E"/>
    <w:rsid w:val="003065E1"/>
    <w:rsid w:val="003066D1"/>
    <w:rsid w:val="00306D5B"/>
    <w:rsid w:val="00306E47"/>
    <w:rsid w:val="00307178"/>
    <w:rsid w:val="003078CC"/>
    <w:rsid w:val="00310069"/>
    <w:rsid w:val="00310149"/>
    <w:rsid w:val="0031090D"/>
    <w:rsid w:val="00310D71"/>
    <w:rsid w:val="00310DAA"/>
    <w:rsid w:val="003114A6"/>
    <w:rsid w:val="00312202"/>
    <w:rsid w:val="003132B8"/>
    <w:rsid w:val="00313763"/>
    <w:rsid w:val="003137D5"/>
    <w:rsid w:val="00313A6D"/>
    <w:rsid w:val="0031420B"/>
    <w:rsid w:val="00314644"/>
    <w:rsid w:val="003148C1"/>
    <w:rsid w:val="00314F70"/>
    <w:rsid w:val="00315111"/>
    <w:rsid w:val="003159AC"/>
    <w:rsid w:val="00315CC7"/>
    <w:rsid w:val="00315F1F"/>
    <w:rsid w:val="00315FF9"/>
    <w:rsid w:val="00316B7E"/>
    <w:rsid w:val="00316CB1"/>
    <w:rsid w:val="0031734C"/>
    <w:rsid w:val="0031784B"/>
    <w:rsid w:val="00320B87"/>
    <w:rsid w:val="00320C46"/>
    <w:rsid w:val="00320FB2"/>
    <w:rsid w:val="00321B06"/>
    <w:rsid w:val="00322150"/>
    <w:rsid w:val="003233FB"/>
    <w:rsid w:val="00323500"/>
    <w:rsid w:val="00323753"/>
    <w:rsid w:val="00323F1D"/>
    <w:rsid w:val="0032420A"/>
    <w:rsid w:val="00325068"/>
    <w:rsid w:val="003254A7"/>
    <w:rsid w:val="00325608"/>
    <w:rsid w:val="003257A5"/>
    <w:rsid w:val="003257F7"/>
    <w:rsid w:val="00325A74"/>
    <w:rsid w:val="00325E25"/>
    <w:rsid w:val="00326252"/>
    <w:rsid w:val="003265B6"/>
    <w:rsid w:val="00327B6E"/>
    <w:rsid w:val="0033030D"/>
    <w:rsid w:val="00330E15"/>
    <w:rsid w:val="00331925"/>
    <w:rsid w:val="00332D8C"/>
    <w:rsid w:val="0033345D"/>
    <w:rsid w:val="003335FD"/>
    <w:rsid w:val="0033374E"/>
    <w:rsid w:val="00334B44"/>
    <w:rsid w:val="00334C30"/>
    <w:rsid w:val="00334C4C"/>
    <w:rsid w:val="0033507C"/>
    <w:rsid w:val="0033528C"/>
    <w:rsid w:val="00336663"/>
    <w:rsid w:val="0033688D"/>
    <w:rsid w:val="00337513"/>
    <w:rsid w:val="00337660"/>
    <w:rsid w:val="00337BEF"/>
    <w:rsid w:val="003407CA"/>
    <w:rsid w:val="003413AF"/>
    <w:rsid w:val="00341D8C"/>
    <w:rsid w:val="003426FC"/>
    <w:rsid w:val="00342B4F"/>
    <w:rsid w:val="00343198"/>
    <w:rsid w:val="00343718"/>
    <w:rsid w:val="00343CDB"/>
    <w:rsid w:val="00343F23"/>
    <w:rsid w:val="00344016"/>
    <w:rsid w:val="00344799"/>
    <w:rsid w:val="00344D9A"/>
    <w:rsid w:val="003453AB"/>
    <w:rsid w:val="003456A4"/>
    <w:rsid w:val="00345986"/>
    <w:rsid w:val="00345FFE"/>
    <w:rsid w:val="003460B3"/>
    <w:rsid w:val="00346338"/>
    <w:rsid w:val="00346C1B"/>
    <w:rsid w:val="00346D83"/>
    <w:rsid w:val="00346E2F"/>
    <w:rsid w:val="00347C3F"/>
    <w:rsid w:val="003501B3"/>
    <w:rsid w:val="0035066A"/>
    <w:rsid w:val="00350B6F"/>
    <w:rsid w:val="00350C4F"/>
    <w:rsid w:val="00351DD6"/>
    <w:rsid w:val="00352214"/>
    <w:rsid w:val="00352D90"/>
    <w:rsid w:val="00353ACA"/>
    <w:rsid w:val="003547B0"/>
    <w:rsid w:val="00354AF8"/>
    <w:rsid w:val="0035519F"/>
    <w:rsid w:val="003553E2"/>
    <w:rsid w:val="00355D35"/>
    <w:rsid w:val="00355E5D"/>
    <w:rsid w:val="00355F37"/>
    <w:rsid w:val="003579C0"/>
    <w:rsid w:val="00357FDB"/>
    <w:rsid w:val="0036045B"/>
    <w:rsid w:val="0036048A"/>
    <w:rsid w:val="00360BFA"/>
    <w:rsid w:val="00360F3D"/>
    <w:rsid w:val="003618FC"/>
    <w:rsid w:val="003619A7"/>
    <w:rsid w:val="003626CB"/>
    <w:rsid w:val="00362BAC"/>
    <w:rsid w:val="00363271"/>
    <w:rsid w:val="003636A5"/>
    <w:rsid w:val="00363C95"/>
    <w:rsid w:val="00364066"/>
    <w:rsid w:val="003644E5"/>
    <w:rsid w:val="003650D6"/>
    <w:rsid w:val="00370067"/>
    <w:rsid w:val="00370119"/>
    <w:rsid w:val="003701F8"/>
    <w:rsid w:val="00372B42"/>
    <w:rsid w:val="00372D37"/>
    <w:rsid w:val="00373361"/>
    <w:rsid w:val="0037490B"/>
    <w:rsid w:val="00376E88"/>
    <w:rsid w:val="003770B6"/>
    <w:rsid w:val="003772E4"/>
    <w:rsid w:val="0038027B"/>
    <w:rsid w:val="00380B9E"/>
    <w:rsid w:val="003813B7"/>
    <w:rsid w:val="00381DC2"/>
    <w:rsid w:val="00382017"/>
    <w:rsid w:val="003840ED"/>
    <w:rsid w:val="00384B7C"/>
    <w:rsid w:val="00385CA5"/>
    <w:rsid w:val="00386477"/>
    <w:rsid w:val="00387649"/>
    <w:rsid w:val="003901B7"/>
    <w:rsid w:val="003919BD"/>
    <w:rsid w:val="00391F4C"/>
    <w:rsid w:val="00392ADB"/>
    <w:rsid w:val="00392FF0"/>
    <w:rsid w:val="00393215"/>
    <w:rsid w:val="0039435D"/>
    <w:rsid w:val="003947FD"/>
    <w:rsid w:val="00394850"/>
    <w:rsid w:val="00395751"/>
    <w:rsid w:val="00395B3C"/>
    <w:rsid w:val="00395FDB"/>
    <w:rsid w:val="0039634A"/>
    <w:rsid w:val="003968FC"/>
    <w:rsid w:val="00396D91"/>
    <w:rsid w:val="00397BE4"/>
    <w:rsid w:val="003A02BD"/>
    <w:rsid w:val="003A0FBE"/>
    <w:rsid w:val="003A159E"/>
    <w:rsid w:val="003A1AA3"/>
    <w:rsid w:val="003A2E8E"/>
    <w:rsid w:val="003A3D38"/>
    <w:rsid w:val="003A408A"/>
    <w:rsid w:val="003A48D6"/>
    <w:rsid w:val="003A4D37"/>
    <w:rsid w:val="003A4DA1"/>
    <w:rsid w:val="003A4E36"/>
    <w:rsid w:val="003A4FC4"/>
    <w:rsid w:val="003A55A7"/>
    <w:rsid w:val="003A5BF8"/>
    <w:rsid w:val="003A5D37"/>
    <w:rsid w:val="003A6E2E"/>
    <w:rsid w:val="003A78AB"/>
    <w:rsid w:val="003B0102"/>
    <w:rsid w:val="003B0231"/>
    <w:rsid w:val="003B09D3"/>
    <w:rsid w:val="003B1102"/>
    <w:rsid w:val="003B15C2"/>
    <w:rsid w:val="003B1618"/>
    <w:rsid w:val="003B18F1"/>
    <w:rsid w:val="003B1BE2"/>
    <w:rsid w:val="003B31AE"/>
    <w:rsid w:val="003B3783"/>
    <w:rsid w:val="003B3AF1"/>
    <w:rsid w:val="003B3EC2"/>
    <w:rsid w:val="003B4CE8"/>
    <w:rsid w:val="003B55B6"/>
    <w:rsid w:val="003B5BE5"/>
    <w:rsid w:val="003B616E"/>
    <w:rsid w:val="003B67C5"/>
    <w:rsid w:val="003B74EC"/>
    <w:rsid w:val="003B79CE"/>
    <w:rsid w:val="003C0A7D"/>
    <w:rsid w:val="003C0B5D"/>
    <w:rsid w:val="003C0E8F"/>
    <w:rsid w:val="003C164F"/>
    <w:rsid w:val="003C1A16"/>
    <w:rsid w:val="003C1B76"/>
    <w:rsid w:val="003C22E0"/>
    <w:rsid w:val="003C2F79"/>
    <w:rsid w:val="003C37D9"/>
    <w:rsid w:val="003C39D3"/>
    <w:rsid w:val="003C43D4"/>
    <w:rsid w:val="003C4CE7"/>
    <w:rsid w:val="003C4F8C"/>
    <w:rsid w:val="003C5AA4"/>
    <w:rsid w:val="003C5EAC"/>
    <w:rsid w:val="003C66B6"/>
    <w:rsid w:val="003C6BE0"/>
    <w:rsid w:val="003C6D00"/>
    <w:rsid w:val="003C7246"/>
    <w:rsid w:val="003C783D"/>
    <w:rsid w:val="003D08BF"/>
    <w:rsid w:val="003D0B40"/>
    <w:rsid w:val="003D117A"/>
    <w:rsid w:val="003D12D6"/>
    <w:rsid w:val="003D137B"/>
    <w:rsid w:val="003D1A42"/>
    <w:rsid w:val="003D1CFA"/>
    <w:rsid w:val="003D1D4F"/>
    <w:rsid w:val="003D1EE6"/>
    <w:rsid w:val="003D22BA"/>
    <w:rsid w:val="003D2DCA"/>
    <w:rsid w:val="003D2FDD"/>
    <w:rsid w:val="003D3CE1"/>
    <w:rsid w:val="003D42D9"/>
    <w:rsid w:val="003D44FA"/>
    <w:rsid w:val="003D6770"/>
    <w:rsid w:val="003D7547"/>
    <w:rsid w:val="003D7E5C"/>
    <w:rsid w:val="003E0C61"/>
    <w:rsid w:val="003E0DB1"/>
    <w:rsid w:val="003E1707"/>
    <w:rsid w:val="003E18F0"/>
    <w:rsid w:val="003E19C7"/>
    <w:rsid w:val="003E3A1C"/>
    <w:rsid w:val="003E3A4D"/>
    <w:rsid w:val="003E3CF1"/>
    <w:rsid w:val="003E3E1E"/>
    <w:rsid w:val="003E471F"/>
    <w:rsid w:val="003E5282"/>
    <w:rsid w:val="003E5730"/>
    <w:rsid w:val="003E5D2A"/>
    <w:rsid w:val="003E606A"/>
    <w:rsid w:val="003E66B0"/>
    <w:rsid w:val="003E7024"/>
    <w:rsid w:val="003E702D"/>
    <w:rsid w:val="003E7A15"/>
    <w:rsid w:val="003F0677"/>
    <w:rsid w:val="003F0F69"/>
    <w:rsid w:val="003F0F7D"/>
    <w:rsid w:val="003F1214"/>
    <w:rsid w:val="003F1245"/>
    <w:rsid w:val="003F1C6D"/>
    <w:rsid w:val="003F3248"/>
    <w:rsid w:val="003F34BE"/>
    <w:rsid w:val="003F43F4"/>
    <w:rsid w:val="003F4C87"/>
    <w:rsid w:val="003F4F4F"/>
    <w:rsid w:val="003F55CF"/>
    <w:rsid w:val="003F5820"/>
    <w:rsid w:val="003F6BC1"/>
    <w:rsid w:val="003F760D"/>
    <w:rsid w:val="003F770D"/>
    <w:rsid w:val="0040001C"/>
    <w:rsid w:val="0040033B"/>
    <w:rsid w:val="00400694"/>
    <w:rsid w:val="00400C62"/>
    <w:rsid w:val="00401833"/>
    <w:rsid w:val="004025CD"/>
    <w:rsid w:val="00402C25"/>
    <w:rsid w:val="00402CD0"/>
    <w:rsid w:val="0040329E"/>
    <w:rsid w:val="00403C33"/>
    <w:rsid w:val="00403EF5"/>
    <w:rsid w:val="0040419A"/>
    <w:rsid w:val="00404485"/>
    <w:rsid w:val="004046F7"/>
    <w:rsid w:val="00404CE6"/>
    <w:rsid w:val="004053F8"/>
    <w:rsid w:val="0040578A"/>
    <w:rsid w:val="0040641D"/>
    <w:rsid w:val="00407211"/>
    <w:rsid w:val="00407637"/>
    <w:rsid w:val="00407B9C"/>
    <w:rsid w:val="00407DB1"/>
    <w:rsid w:val="00410596"/>
    <w:rsid w:val="004110AB"/>
    <w:rsid w:val="00411201"/>
    <w:rsid w:val="004113C6"/>
    <w:rsid w:val="00411737"/>
    <w:rsid w:val="004119A0"/>
    <w:rsid w:val="00411CC8"/>
    <w:rsid w:val="00412160"/>
    <w:rsid w:val="004126E4"/>
    <w:rsid w:val="00413C7A"/>
    <w:rsid w:val="00414114"/>
    <w:rsid w:val="0041425C"/>
    <w:rsid w:val="00414374"/>
    <w:rsid w:val="00414B51"/>
    <w:rsid w:val="00415405"/>
    <w:rsid w:val="00415E1E"/>
    <w:rsid w:val="00416238"/>
    <w:rsid w:val="00416293"/>
    <w:rsid w:val="004169ED"/>
    <w:rsid w:val="00416F6C"/>
    <w:rsid w:val="00417880"/>
    <w:rsid w:val="0042072E"/>
    <w:rsid w:val="00420E4E"/>
    <w:rsid w:val="00420FD0"/>
    <w:rsid w:val="0042130C"/>
    <w:rsid w:val="00423573"/>
    <w:rsid w:val="00423809"/>
    <w:rsid w:val="00423E72"/>
    <w:rsid w:val="004245B6"/>
    <w:rsid w:val="0042481D"/>
    <w:rsid w:val="004256DF"/>
    <w:rsid w:val="0042572C"/>
    <w:rsid w:val="004262D9"/>
    <w:rsid w:val="004302E0"/>
    <w:rsid w:val="00430902"/>
    <w:rsid w:val="00430C31"/>
    <w:rsid w:val="004312A6"/>
    <w:rsid w:val="0043443D"/>
    <w:rsid w:val="004347F4"/>
    <w:rsid w:val="00435929"/>
    <w:rsid w:val="00436330"/>
    <w:rsid w:val="004379A8"/>
    <w:rsid w:val="00437B77"/>
    <w:rsid w:val="00440030"/>
    <w:rsid w:val="0044026F"/>
    <w:rsid w:val="0044039B"/>
    <w:rsid w:val="004406B8"/>
    <w:rsid w:val="004409B2"/>
    <w:rsid w:val="00440CBA"/>
    <w:rsid w:val="00441096"/>
    <w:rsid w:val="004416C6"/>
    <w:rsid w:val="004419F7"/>
    <w:rsid w:val="004433AB"/>
    <w:rsid w:val="004434DC"/>
    <w:rsid w:val="004434F7"/>
    <w:rsid w:val="0044360D"/>
    <w:rsid w:val="00445986"/>
    <w:rsid w:val="00445D65"/>
    <w:rsid w:val="00445F58"/>
    <w:rsid w:val="004461B3"/>
    <w:rsid w:val="004461E4"/>
    <w:rsid w:val="0044641B"/>
    <w:rsid w:val="00446472"/>
    <w:rsid w:val="0044655D"/>
    <w:rsid w:val="00446F53"/>
    <w:rsid w:val="00447124"/>
    <w:rsid w:val="00447E2A"/>
    <w:rsid w:val="00447E94"/>
    <w:rsid w:val="0045052B"/>
    <w:rsid w:val="004509E9"/>
    <w:rsid w:val="00450C9F"/>
    <w:rsid w:val="004519BD"/>
    <w:rsid w:val="00451AA4"/>
    <w:rsid w:val="00451B9D"/>
    <w:rsid w:val="00451DC5"/>
    <w:rsid w:val="00452057"/>
    <w:rsid w:val="00452FB8"/>
    <w:rsid w:val="004537A4"/>
    <w:rsid w:val="00453A3B"/>
    <w:rsid w:val="00453D52"/>
    <w:rsid w:val="00453DF7"/>
    <w:rsid w:val="00454344"/>
    <w:rsid w:val="00454766"/>
    <w:rsid w:val="00454912"/>
    <w:rsid w:val="00454DE6"/>
    <w:rsid w:val="00454F04"/>
    <w:rsid w:val="004550AD"/>
    <w:rsid w:val="004553B6"/>
    <w:rsid w:val="00455836"/>
    <w:rsid w:val="00455AC5"/>
    <w:rsid w:val="00456ED5"/>
    <w:rsid w:val="0045734E"/>
    <w:rsid w:val="0046000C"/>
    <w:rsid w:val="0046007F"/>
    <w:rsid w:val="00460196"/>
    <w:rsid w:val="004601D6"/>
    <w:rsid w:val="004607AA"/>
    <w:rsid w:val="00461434"/>
    <w:rsid w:val="00461657"/>
    <w:rsid w:val="004617A2"/>
    <w:rsid w:val="00461B1F"/>
    <w:rsid w:val="00462225"/>
    <w:rsid w:val="004623A3"/>
    <w:rsid w:val="0046255F"/>
    <w:rsid w:val="00463233"/>
    <w:rsid w:val="00463B86"/>
    <w:rsid w:val="0046521D"/>
    <w:rsid w:val="00466550"/>
    <w:rsid w:val="00467AE2"/>
    <w:rsid w:val="004701CF"/>
    <w:rsid w:val="00470848"/>
    <w:rsid w:val="0047111B"/>
    <w:rsid w:val="004716BC"/>
    <w:rsid w:val="00471D73"/>
    <w:rsid w:val="0047235B"/>
    <w:rsid w:val="004729FA"/>
    <w:rsid w:val="004741BB"/>
    <w:rsid w:val="00474298"/>
    <w:rsid w:val="00475374"/>
    <w:rsid w:val="0047587E"/>
    <w:rsid w:val="00476714"/>
    <w:rsid w:val="00476897"/>
    <w:rsid w:val="004768D0"/>
    <w:rsid w:val="00476C7C"/>
    <w:rsid w:val="004774E8"/>
    <w:rsid w:val="00481050"/>
    <w:rsid w:val="00481832"/>
    <w:rsid w:val="00481C80"/>
    <w:rsid w:val="00482625"/>
    <w:rsid w:val="004828F9"/>
    <w:rsid w:val="004835AB"/>
    <w:rsid w:val="00483BE6"/>
    <w:rsid w:val="0048417D"/>
    <w:rsid w:val="004841DF"/>
    <w:rsid w:val="00484230"/>
    <w:rsid w:val="0048445C"/>
    <w:rsid w:val="00484526"/>
    <w:rsid w:val="00484B4E"/>
    <w:rsid w:val="00484B7A"/>
    <w:rsid w:val="00484C2F"/>
    <w:rsid w:val="00484D6D"/>
    <w:rsid w:val="004856BD"/>
    <w:rsid w:val="00485F8B"/>
    <w:rsid w:val="004866FB"/>
    <w:rsid w:val="00486738"/>
    <w:rsid w:val="00486DFF"/>
    <w:rsid w:val="0049061A"/>
    <w:rsid w:val="0049086B"/>
    <w:rsid w:val="00490C85"/>
    <w:rsid w:val="00491D68"/>
    <w:rsid w:val="00491F55"/>
    <w:rsid w:val="00492676"/>
    <w:rsid w:val="00492D84"/>
    <w:rsid w:val="00492DD9"/>
    <w:rsid w:val="00493056"/>
    <w:rsid w:val="00493185"/>
    <w:rsid w:val="004948A6"/>
    <w:rsid w:val="00494CEF"/>
    <w:rsid w:val="00494F5F"/>
    <w:rsid w:val="00495C08"/>
    <w:rsid w:val="00496699"/>
    <w:rsid w:val="00497107"/>
    <w:rsid w:val="004977AE"/>
    <w:rsid w:val="00497CEC"/>
    <w:rsid w:val="00497DEE"/>
    <w:rsid w:val="004A00E2"/>
    <w:rsid w:val="004A03B6"/>
    <w:rsid w:val="004A0F0B"/>
    <w:rsid w:val="004A1173"/>
    <w:rsid w:val="004A125F"/>
    <w:rsid w:val="004A12FC"/>
    <w:rsid w:val="004A1A10"/>
    <w:rsid w:val="004A1D07"/>
    <w:rsid w:val="004A1F11"/>
    <w:rsid w:val="004A24D4"/>
    <w:rsid w:val="004A329A"/>
    <w:rsid w:val="004A337B"/>
    <w:rsid w:val="004A3C36"/>
    <w:rsid w:val="004A50DC"/>
    <w:rsid w:val="004A5388"/>
    <w:rsid w:val="004A5416"/>
    <w:rsid w:val="004A5A8B"/>
    <w:rsid w:val="004A5D90"/>
    <w:rsid w:val="004A5ED2"/>
    <w:rsid w:val="004A6385"/>
    <w:rsid w:val="004A7977"/>
    <w:rsid w:val="004A7E28"/>
    <w:rsid w:val="004A7E5F"/>
    <w:rsid w:val="004B0638"/>
    <w:rsid w:val="004B0646"/>
    <w:rsid w:val="004B090F"/>
    <w:rsid w:val="004B145F"/>
    <w:rsid w:val="004B1513"/>
    <w:rsid w:val="004B1586"/>
    <w:rsid w:val="004B2B1A"/>
    <w:rsid w:val="004B2C9E"/>
    <w:rsid w:val="004B2EB8"/>
    <w:rsid w:val="004B344C"/>
    <w:rsid w:val="004B35C4"/>
    <w:rsid w:val="004B3A32"/>
    <w:rsid w:val="004B40CD"/>
    <w:rsid w:val="004B451B"/>
    <w:rsid w:val="004B4C5F"/>
    <w:rsid w:val="004B5AD2"/>
    <w:rsid w:val="004B5E45"/>
    <w:rsid w:val="004B61A1"/>
    <w:rsid w:val="004B6505"/>
    <w:rsid w:val="004B667B"/>
    <w:rsid w:val="004B68EF"/>
    <w:rsid w:val="004B6B86"/>
    <w:rsid w:val="004B7BE6"/>
    <w:rsid w:val="004C01F1"/>
    <w:rsid w:val="004C0329"/>
    <w:rsid w:val="004C0AB0"/>
    <w:rsid w:val="004C19CF"/>
    <w:rsid w:val="004C1D6F"/>
    <w:rsid w:val="004C38EC"/>
    <w:rsid w:val="004C46C5"/>
    <w:rsid w:val="004C496D"/>
    <w:rsid w:val="004C49EE"/>
    <w:rsid w:val="004C4C52"/>
    <w:rsid w:val="004C5026"/>
    <w:rsid w:val="004C5788"/>
    <w:rsid w:val="004C57E5"/>
    <w:rsid w:val="004C586C"/>
    <w:rsid w:val="004C5E3D"/>
    <w:rsid w:val="004C5EAC"/>
    <w:rsid w:val="004C6768"/>
    <w:rsid w:val="004C69A7"/>
    <w:rsid w:val="004C6A77"/>
    <w:rsid w:val="004C6CE5"/>
    <w:rsid w:val="004C7D18"/>
    <w:rsid w:val="004D242D"/>
    <w:rsid w:val="004D34DE"/>
    <w:rsid w:val="004D38C8"/>
    <w:rsid w:val="004D39BE"/>
    <w:rsid w:val="004D3E94"/>
    <w:rsid w:val="004D4308"/>
    <w:rsid w:val="004D4516"/>
    <w:rsid w:val="004D46B9"/>
    <w:rsid w:val="004D487E"/>
    <w:rsid w:val="004D4CE6"/>
    <w:rsid w:val="004D69BD"/>
    <w:rsid w:val="004D6BCD"/>
    <w:rsid w:val="004D6C6F"/>
    <w:rsid w:val="004D6C88"/>
    <w:rsid w:val="004D6CE0"/>
    <w:rsid w:val="004D775C"/>
    <w:rsid w:val="004D788D"/>
    <w:rsid w:val="004E03DA"/>
    <w:rsid w:val="004E03E2"/>
    <w:rsid w:val="004E0502"/>
    <w:rsid w:val="004E0790"/>
    <w:rsid w:val="004E0DDF"/>
    <w:rsid w:val="004E1FFD"/>
    <w:rsid w:val="004E254B"/>
    <w:rsid w:val="004E2BAC"/>
    <w:rsid w:val="004E2DBB"/>
    <w:rsid w:val="004E303B"/>
    <w:rsid w:val="004E36CD"/>
    <w:rsid w:val="004E3C30"/>
    <w:rsid w:val="004E4435"/>
    <w:rsid w:val="004E4A8A"/>
    <w:rsid w:val="004E5C58"/>
    <w:rsid w:val="004E5ED9"/>
    <w:rsid w:val="004E6063"/>
    <w:rsid w:val="004E6174"/>
    <w:rsid w:val="004E6178"/>
    <w:rsid w:val="004E64B2"/>
    <w:rsid w:val="004E65E6"/>
    <w:rsid w:val="004E68EB"/>
    <w:rsid w:val="004E6E73"/>
    <w:rsid w:val="004E78B8"/>
    <w:rsid w:val="004F0061"/>
    <w:rsid w:val="004F061C"/>
    <w:rsid w:val="004F0BD1"/>
    <w:rsid w:val="004F0C1F"/>
    <w:rsid w:val="004F0E12"/>
    <w:rsid w:val="004F163F"/>
    <w:rsid w:val="004F2541"/>
    <w:rsid w:val="004F2CD2"/>
    <w:rsid w:val="004F3379"/>
    <w:rsid w:val="004F4074"/>
    <w:rsid w:val="004F4627"/>
    <w:rsid w:val="004F4630"/>
    <w:rsid w:val="004F46A4"/>
    <w:rsid w:val="004F4E8D"/>
    <w:rsid w:val="004F52F4"/>
    <w:rsid w:val="004F557E"/>
    <w:rsid w:val="004F596F"/>
    <w:rsid w:val="004F5BB5"/>
    <w:rsid w:val="004F5C90"/>
    <w:rsid w:val="004F63ED"/>
    <w:rsid w:val="004F7643"/>
    <w:rsid w:val="004F7F72"/>
    <w:rsid w:val="00500868"/>
    <w:rsid w:val="00500936"/>
    <w:rsid w:val="0050093D"/>
    <w:rsid w:val="0050299F"/>
    <w:rsid w:val="0050329C"/>
    <w:rsid w:val="005032EE"/>
    <w:rsid w:val="00504D27"/>
    <w:rsid w:val="00505306"/>
    <w:rsid w:val="00505349"/>
    <w:rsid w:val="00505359"/>
    <w:rsid w:val="0050564A"/>
    <w:rsid w:val="00505905"/>
    <w:rsid w:val="0050598A"/>
    <w:rsid w:val="00505A2A"/>
    <w:rsid w:val="005066C8"/>
    <w:rsid w:val="0050695E"/>
    <w:rsid w:val="00506A45"/>
    <w:rsid w:val="00506AE8"/>
    <w:rsid w:val="00510792"/>
    <w:rsid w:val="005113DB"/>
    <w:rsid w:val="00511A05"/>
    <w:rsid w:val="00512AFD"/>
    <w:rsid w:val="00512B52"/>
    <w:rsid w:val="005131C8"/>
    <w:rsid w:val="00513C5F"/>
    <w:rsid w:val="00513F69"/>
    <w:rsid w:val="00514619"/>
    <w:rsid w:val="00515B08"/>
    <w:rsid w:val="00515BEC"/>
    <w:rsid w:val="00515C3E"/>
    <w:rsid w:val="00515CC6"/>
    <w:rsid w:val="005161FC"/>
    <w:rsid w:val="00516695"/>
    <w:rsid w:val="005169DA"/>
    <w:rsid w:val="005170DA"/>
    <w:rsid w:val="0051727B"/>
    <w:rsid w:val="005176E9"/>
    <w:rsid w:val="00517B3D"/>
    <w:rsid w:val="00517FA5"/>
    <w:rsid w:val="00520ECD"/>
    <w:rsid w:val="00521A71"/>
    <w:rsid w:val="005222EF"/>
    <w:rsid w:val="00522BCD"/>
    <w:rsid w:val="00522C5A"/>
    <w:rsid w:val="00523ACB"/>
    <w:rsid w:val="005244BA"/>
    <w:rsid w:val="0052465D"/>
    <w:rsid w:val="00524666"/>
    <w:rsid w:val="005249B7"/>
    <w:rsid w:val="0052518F"/>
    <w:rsid w:val="0052529F"/>
    <w:rsid w:val="00525995"/>
    <w:rsid w:val="0053027E"/>
    <w:rsid w:val="00530C9D"/>
    <w:rsid w:val="00530E66"/>
    <w:rsid w:val="00530FBE"/>
    <w:rsid w:val="0053240D"/>
    <w:rsid w:val="005328DD"/>
    <w:rsid w:val="0053366E"/>
    <w:rsid w:val="00533867"/>
    <w:rsid w:val="005338AF"/>
    <w:rsid w:val="00533DED"/>
    <w:rsid w:val="00534278"/>
    <w:rsid w:val="00534497"/>
    <w:rsid w:val="00534AD4"/>
    <w:rsid w:val="005352EE"/>
    <w:rsid w:val="00536052"/>
    <w:rsid w:val="00536338"/>
    <w:rsid w:val="0053750D"/>
    <w:rsid w:val="00540937"/>
    <w:rsid w:val="00541152"/>
    <w:rsid w:val="005411F7"/>
    <w:rsid w:val="005419BA"/>
    <w:rsid w:val="00541DB5"/>
    <w:rsid w:val="00542E8F"/>
    <w:rsid w:val="00543483"/>
    <w:rsid w:val="00543510"/>
    <w:rsid w:val="005442CD"/>
    <w:rsid w:val="005449FD"/>
    <w:rsid w:val="00544F2C"/>
    <w:rsid w:val="0054512F"/>
    <w:rsid w:val="005452C7"/>
    <w:rsid w:val="0054571E"/>
    <w:rsid w:val="005463E5"/>
    <w:rsid w:val="00546CE2"/>
    <w:rsid w:val="005502C2"/>
    <w:rsid w:val="005505DF"/>
    <w:rsid w:val="00550A7B"/>
    <w:rsid w:val="00551323"/>
    <w:rsid w:val="00552726"/>
    <w:rsid w:val="00553AA1"/>
    <w:rsid w:val="00554786"/>
    <w:rsid w:val="0055514F"/>
    <w:rsid w:val="00555774"/>
    <w:rsid w:val="005559FF"/>
    <w:rsid w:val="005601FD"/>
    <w:rsid w:val="00560308"/>
    <w:rsid w:val="005607A7"/>
    <w:rsid w:val="00560BB2"/>
    <w:rsid w:val="00560BE3"/>
    <w:rsid w:val="005611D3"/>
    <w:rsid w:val="00561A52"/>
    <w:rsid w:val="00561CC1"/>
    <w:rsid w:val="00561D19"/>
    <w:rsid w:val="00561FA3"/>
    <w:rsid w:val="005623BB"/>
    <w:rsid w:val="00562A81"/>
    <w:rsid w:val="00562CCE"/>
    <w:rsid w:val="00562FA3"/>
    <w:rsid w:val="00563392"/>
    <w:rsid w:val="005634F6"/>
    <w:rsid w:val="005640CB"/>
    <w:rsid w:val="005647E9"/>
    <w:rsid w:val="00564CE2"/>
    <w:rsid w:val="00566392"/>
    <w:rsid w:val="005668F0"/>
    <w:rsid w:val="00566CE1"/>
    <w:rsid w:val="00567847"/>
    <w:rsid w:val="00570624"/>
    <w:rsid w:val="00570E1C"/>
    <w:rsid w:val="0057102A"/>
    <w:rsid w:val="0057107A"/>
    <w:rsid w:val="00571A0B"/>
    <w:rsid w:val="00571D14"/>
    <w:rsid w:val="00571EF7"/>
    <w:rsid w:val="005725AF"/>
    <w:rsid w:val="00572676"/>
    <w:rsid w:val="005729CF"/>
    <w:rsid w:val="00573560"/>
    <w:rsid w:val="005738B4"/>
    <w:rsid w:val="0057452B"/>
    <w:rsid w:val="00574B76"/>
    <w:rsid w:val="005752FE"/>
    <w:rsid w:val="005757FE"/>
    <w:rsid w:val="00577F9E"/>
    <w:rsid w:val="00580440"/>
    <w:rsid w:val="00580598"/>
    <w:rsid w:val="005806E5"/>
    <w:rsid w:val="00580E11"/>
    <w:rsid w:val="00581EB5"/>
    <w:rsid w:val="00582BBF"/>
    <w:rsid w:val="005834B7"/>
    <w:rsid w:val="0058384C"/>
    <w:rsid w:val="00584400"/>
    <w:rsid w:val="0058496E"/>
    <w:rsid w:val="0058727E"/>
    <w:rsid w:val="00587350"/>
    <w:rsid w:val="00587CA9"/>
    <w:rsid w:val="00590570"/>
    <w:rsid w:val="00590DFF"/>
    <w:rsid w:val="005911DD"/>
    <w:rsid w:val="00591A80"/>
    <w:rsid w:val="00591B00"/>
    <w:rsid w:val="00591EAE"/>
    <w:rsid w:val="005920AB"/>
    <w:rsid w:val="00592455"/>
    <w:rsid w:val="005925A2"/>
    <w:rsid w:val="0059262F"/>
    <w:rsid w:val="00592CB0"/>
    <w:rsid w:val="005931B1"/>
    <w:rsid w:val="00593493"/>
    <w:rsid w:val="00593B01"/>
    <w:rsid w:val="00593F24"/>
    <w:rsid w:val="005947FB"/>
    <w:rsid w:val="0059571F"/>
    <w:rsid w:val="005958BE"/>
    <w:rsid w:val="005961FD"/>
    <w:rsid w:val="00596557"/>
    <w:rsid w:val="00596ECB"/>
    <w:rsid w:val="00597926"/>
    <w:rsid w:val="00597B17"/>
    <w:rsid w:val="00597F48"/>
    <w:rsid w:val="005A2A17"/>
    <w:rsid w:val="005A2B64"/>
    <w:rsid w:val="005A2D78"/>
    <w:rsid w:val="005A2E5D"/>
    <w:rsid w:val="005A2F48"/>
    <w:rsid w:val="005A38A5"/>
    <w:rsid w:val="005A6256"/>
    <w:rsid w:val="005A6677"/>
    <w:rsid w:val="005A6B1D"/>
    <w:rsid w:val="005A6ECE"/>
    <w:rsid w:val="005A7699"/>
    <w:rsid w:val="005A7B62"/>
    <w:rsid w:val="005A7DD5"/>
    <w:rsid w:val="005B05DA"/>
    <w:rsid w:val="005B0ACA"/>
    <w:rsid w:val="005B0EA9"/>
    <w:rsid w:val="005B0FF3"/>
    <w:rsid w:val="005B11C9"/>
    <w:rsid w:val="005B1396"/>
    <w:rsid w:val="005B1E64"/>
    <w:rsid w:val="005B1FDD"/>
    <w:rsid w:val="005B2464"/>
    <w:rsid w:val="005B2879"/>
    <w:rsid w:val="005B2FC2"/>
    <w:rsid w:val="005B30DD"/>
    <w:rsid w:val="005B3428"/>
    <w:rsid w:val="005B36D1"/>
    <w:rsid w:val="005B4D42"/>
    <w:rsid w:val="005B590B"/>
    <w:rsid w:val="005B5ABD"/>
    <w:rsid w:val="005B5C4E"/>
    <w:rsid w:val="005B61D8"/>
    <w:rsid w:val="005B675C"/>
    <w:rsid w:val="005B6BF4"/>
    <w:rsid w:val="005B6F2B"/>
    <w:rsid w:val="005B7680"/>
    <w:rsid w:val="005C02B3"/>
    <w:rsid w:val="005C052A"/>
    <w:rsid w:val="005C0ADE"/>
    <w:rsid w:val="005C1501"/>
    <w:rsid w:val="005C1A7D"/>
    <w:rsid w:val="005C1FD4"/>
    <w:rsid w:val="005C3ED1"/>
    <w:rsid w:val="005C5289"/>
    <w:rsid w:val="005C53D2"/>
    <w:rsid w:val="005C5F6A"/>
    <w:rsid w:val="005C627A"/>
    <w:rsid w:val="005C6739"/>
    <w:rsid w:val="005C684F"/>
    <w:rsid w:val="005C6B77"/>
    <w:rsid w:val="005C7982"/>
    <w:rsid w:val="005D01D4"/>
    <w:rsid w:val="005D0801"/>
    <w:rsid w:val="005D0F10"/>
    <w:rsid w:val="005D12C5"/>
    <w:rsid w:val="005D19CC"/>
    <w:rsid w:val="005D1A22"/>
    <w:rsid w:val="005D2004"/>
    <w:rsid w:val="005D2111"/>
    <w:rsid w:val="005D273A"/>
    <w:rsid w:val="005D28FE"/>
    <w:rsid w:val="005D3069"/>
    <w:rsid w:val="005D3342"/>
    <w:rsid w:val="005D35FB"/>
    <w:rsid w:val="005D3652"/>
    <w:rsid w:val="005D4C5A"/>
    <w:rsid w:val="005D55BD"/>
    <w:rsid w:val="005D6761"/>
    <w:rsid w:val="005D6C25"/>
    <w:rsid w:val="005D6C62"/>
    <w:rsid w:val="005D7552"/>
    <w:rsid w:val="005D7827"/>
    <w:rsid w:val="005D7B66"/>
    <w:rsid w:val="005E0235"/>
    <w:rsid w:val="005E093C"/>
    <w:rsid w:val="005E095F"/>
    <w:rsid w:val="005E1054"/>
    <w:rsid w:val="005E1F13"/>
    <w:rsid w:val="005E2DC6"/>
    <w:rsid w:val="005E3761"/>
    <w:rsid w:val="005E4AF6"/>
    <w:rsid w:val="005E55E5"/>
    <w:rsid w:val="005E5EAC"/>
    <w:rsid w:val="005E5F21"/>
    <w:rsid w:val="005E60C0"/>
    <w:rsid w:val="005E7EC7"/>
    <w:rsid w:val="005F10E1"/>
    <w:rsid w:val="005F2386"/>
    <w:rsid w:val="005F285C"/>
    <w:rsid w:val="005F2D86"/>
    <w:rsid w:val="005F2DA0"/>
    <w:rsid w:val="005F3206"/>
    <w:rsid w:val="005F36F0"/>
    <w:rsid w:val="005F3B25"/>
    <w:rsid w:val="005F3EFD"/>
    <w:rsid w:val="005F46BF"/>
    <w:rsid w:val="005F48B5"/>
    <w:rsid w:val="005F57A9"/>
    <w:rsid w:val="005F5A67"/>
    <w:rsid w:val="005F5C9E"/>
    <w:rsid w:val="005F60CB"/>
    <w:rsid w:val="005F61AC"/>
    <w:rsid w:val="005F6633"/>
    <w:rsid w:val="005F710F"/>
    <w:rsid w:val="005F756E"/>
    <w:rsid w:val="005F78A5"/>
    <w:rsid w:val="0060026C"/>
    <w:rsid w:val="006003A6"/>
    <w:rsid w:val="006003BD"/>
    <w:rsid w:val="00600C2B"/>
    <w:rsid w:val="00600C6A"/>
    <w:rsid w:val="00600E7A"/>
    <w:rsid w:val="00600F5B"/>
    <w:rsid w:val="006011F6"/>
    <w:rsid w:val="006019B5"/>
    <w:rsid w:val="00601A45"/>
    <w:rsid w:val="00601C2A"/>
    <w:rsid w:val="00602056"/>
    <w:rsid w:val="00602B45"/>
    <w:rsid w:val="00602E36"/>
    <w:rsid w:val="00603B51"/>
    <w:rsid w:val="00604643"/>
    <w:rsid w:val="00604B4F"/>
    <w:rsid w:val="00605975"/>
    <w:rsid w:val="006065EA"/>
    <w:rsid w:val="0060672F"/>
    <w:rsid w:val="00606C4A"/>
    <w:rsid w:val="00607162"/>
    <w:rsid w:val="006078EB"/>
    <w:rsid w:val="0060795D"/>
    <w:rsid w:val="00607C73"/>
    <w:rsid w:val="00611092"/>
    <w:rsid w:val="0061118C"/>
    <w:rsid w:val="006114AE"/>
    <w:rsid w:val="006119B6"/>
    <w:rsid w:val="00611AB3"/>
    <w:rsid w:val="00611B0F"/>
    <w:rsid w:val="0061216B"/>
    <w:rsid w:val="006121D2"/>
    <w:rsid w:val="00612422"/>
    <w:rsid w:val="00612B2C"/>
    <w:rsid w:val="006134C3"/>
    <w:rsid w:val="00614E39"/>
    <w:rsid w:val="00615205"/>
    <w:rsid w:val="006152AE"/>
    <w:rsid w:val="00615418"/>
    <w:rsid w:val="00615CAB"/>
    <w:rsid w:val="0061621A"/>
    <w:rsid w:val="006173A6"/>
    <w:rsid w:val="0061791F"/>
    <w:rsid w:val="00617A4D"/>
    <w:rsid w:val="00617DC6"/>
    <w:rsid w:val="00620080"/>
    <w:rsid w:val="00620B89"/>
    <w:rsid w:val="00620B8D"/>
    <w:rsid w:val="0062105E"/>
    <w:rsid w:val="00621310"/>
    <w:rsid w:val="006215F5"/>
    <w:rsid w:val="00622AA8"/>
    <w:rsid w:val="00622B03"/>
    <w:rsid w:val="00622E6E"/>
    <w:rsid w:val="0062383A"/>
    <w:rsid w:val="00623E59"/>
    <w:rsid w:val="00624097"/>
    <w:rsid w:val="00624113"/>
    <w:rsid w:val="006246F1"/>
    <w:rsid w:val="006249DD"/>
    <w:rsid w:val="00625176"/>
    <w:rsid w:val="006259F3"/>
    <w:rsid w:val="00625A2F"/>
    <w:rsid w:val="0062747A"/>
    <w:rsid w:val="00627760"/>
    <w:rsid w:val="00630B46"/>
    <w:rsid w:val="00630D9A"/>
    <w:rsid w:val="0063126A"/>
    <w:rsid w:val="00632D06"/>
    <w:rsid w:val="006330F4"/>
    <w:rsid w:val="006331B4"/>
    <w:rsid w:val="006333A3"/>
    <w:rsid w:val="00633C62"/>
    <w:rsid w:val="00634489"/>
    <w:rsid w:val="006345CA"/>
    <w:rsid w:val="00634831"/>
    <w:rsid w:val="00634EFB"/>
    <w:rsid w:val="0063521A"/>
    <w:rsid w:val="00635F64"/>
    <w:rsid w:val="0063622A"/>
    <w:rsid w:val="006370DD"/>
    <w:rsid w:val="0063743A"/>
    <w:rsid w:val="00640505"/>
    <w:rsid w:val="00641954"/>
    <w:rsid w:val="00641DDA"/>
    <w:rsid w:val="00642BD9"/>
    <w:rsid w:val="006430E4"/>
    <w:rsid w:val="0064341E"/>
    <w:rsid w:val="006439FB"/>
    <w:rsid w:val="0064503B"/>
    <w:rsid w:val="00645283"/>
    <w:rsid w:val="00645EFE"/>
    <w:rsid w:val="00646E7D"/>
    <w:rsid w:val="00647320"/>
    <w:rsid w:val="0064738E"/>
    <w:rsid w:val="00647569"/>
    <w:rsid w:val="00647AB5"/>
    <w:rsid w:val="00650600"/>
    <w:rsid w:val="00651238"/>
    <w:rsid w:val="00651B7E"/>
    <w:rsid w:val="00651EF9"/>
    <w:rsid w:val="006530D7"/>
    <w:rsid w:val="00653ACC"/>
    <w:rsid w:val="00653C87"/>
    <w:rsid w:val="0065412A"/>
    <w:rsid w:val="00654551"/>
    <w:rsid w:val="0065466D"/>
    <w:rsid w:val="006549D9"/>
    <w:rsid w:val="0065524B"/>
    <w:rsid w:val="00655A83"/>
    <w:rsid w:val="00657433"/>
    <w:rsid w:val="00657A7F"/>
    <w:rsid w:val="00657C8B"/>
    <w:rsid w:val="00660548"/>
    <w:rsid w:val="00660C80"/>
    <w:rsid w:val="00660E7B"/>
    <w:rsid w:val="00661893"/>
    <w:rsid w:val="00662C60"/>
    <w:rsid w:val="00663335"/>
    <w:rsid w:val="00663946"/>
    <w:rsid w:val="00663B9A"/>
    <w:rsid w:val="00663FAC"/>
    <w:rsid w:val="0066400F"/>
    <w:rsid w:val="006640CB"/>
    <w:rsid w:val="0066490A"/>
    <w:rsid w:val="00664CBF"/>
    <w:rsid w:val="00664E3B"/>
    <w:rsid w:val="00665794"/>
    <w:rsid w:val="00666C78"/>
    <w:rsid w:val="0066788D"/>
    <w:rsid w:val="00671A39"/>
    <w:rsid w:val="00671B7F"/>
    <w:rsid w:val="006728ED"/>
    <w:rsid w:val="006730E1"/>
    <w:rsid w:val="00673C6E"/>
    <w:rsid w:val="00674BAD"/>
    <w:rsid w:val="00674C46"/>
    <w:rsid w:val="0067631D"/>
    <w:rsid w:val="00676714"/>
    <w:rsid w:val="00676A65"/>
    <w:rsid w:val="00676BC5"/>
    <w:rsid w:val="0067753F"/>
    <w:rsid w:val="006776A5"/>
    <w:rsid w:val="00677711"/>
    <w:rsid w:val="0068012D"/>
    <w:rsid w:val="0068018E"/>
    <w:rsid w:val="00680F33"/>
    <w:rsid w:val="0068146F"/>
    <w:rsid w:val="00681A02"/>
    <w:rsid w:val="006825F6"/>
    <w:rsid w:val="00682B5E"/>
    <w:rsid w:val="00682E22"/>
    <w:rsid w:val="00683890"/>
    <w:rsid w:val="00683AD8"/>
    <w:rsid w:val="00683D32"/>
    <w:rsid w:val="00684066"/>
    <w:rsid w:val="00684E2C"/>
    <w:rsid w:val="00685B56"/>
    <w:rsid w:val="006865BE"/>
    <w:rsid w:val="00686C4A"/>
    <w:rsid w:val="00686F52"/>
    <w:rsid w:val="00687A21"/>
    <w:rsid w:val="00687D1B"/>
    <w:rsid w:val="0069015C"/>
    <w:rsid w:val="00690372"/>
    <w:rsid w:val="00690B00"/>
    <w:rsid w:val="00691395"/>
    <w:rsid w:val="006914F1"/>
    <w:rsid w:val="006916CC"/>
    <w:rsid w:val="00691E69"/>
    <w:rsid w:val="006920C2"/>
    <w:rsid w:val="00692125"/>
    <w:rsid w:val="006936F1"/>
    <w:rsid w:val="00693F27"/>
    <w:rsid w:val="00694120"/>
    <w:rsid w:val="00694C08"/>
    <w:rsid w:val="00695574"/>
    <w:rsid w:val="0069579E"/>
    <w:rsid w:val="006957E4"/>
    <w:rsid w:val="00695924"/>
    <w:rsid w:val="00695B70"/>
    <w:rsid w:val="00695C94"/>
    <w:rsid w:val="00695F62"/>
    <w:rsid w:val="00695FEA"/>
    <w:rsid w:val="00696459"/>
    <w:rsid w:val="00696831"/>
    <w:rsid w:val="006969FF"/>
    <w:rsid w:val="00696F3C"/>
    <w:rsid w:val="00697241"/>
    <w:rsid w:val="006A05F4"/>
    <w:rsid w:val="006A0AE3"/>
    <w:rsid w:val="006A1398"/>
    <w:rsid w:val="006A1AD4"/>
    <w:rsid w:val="006A1E1A"/>
    <w:rsid w:val="006A2B25"/>
    <w:rsid w:val="006A385D"/>
    <w:rsid w:val="006A4AFA"/>
    <w:rsid w:val="006A4B3B"/>
    <w:rsid w:val="006A5504"/>
    <w:rsid w:val="006A6771"/>
    <w:rsid w:val="006A79DE"/>
    <w:rsid w:val="006A7E98"/>
    <w:rsid w:val="006B0240"/>
    <w:rsid w:val="006B0471"/>
    <w:rsid w:val="006B177D"/>
    <w:rsid w:val="006B197D"/>
    <w:rsid w:val="006B2304"/>
    <w:rsid w:val="006B3F5A"/>
    <w:rsid w:val="006B4148"/>
    <w:rsid w:val="006B48A4"/>
    <w:rsid w:val="006B4B9C"/>
    <w:rsid w:val="006B7D46"/>
    <w:rsid w:val="006C00BC"/>
    <w:rsid w:val="006C15C6"/>
    <w:rsid w:val="006C1D6E"/>
    <w:rsid w:val="006C32E2"/>
    <w:rsid w:val="006C403B"/>
    <w:rsid w:val="006C408A"/>
    <w:rsid w:val="006C4803"/>
    <w:rsid w:val="006C514D"/>
    <w:rsid w:val="006C5BAF"/>
    <w:rsid w:val="006C5F11"/>
    <w:rsid w:val="006C6575"/>
    <w:rsid w:val="006C7B9F"/>
    <w:rsid w:val="006D0074"/>
    <w:rsid w:val="006D05F3"/>
    <w:rsid w:val="006D327E"/>
    <w:rsid w:val="006D435A"/>
    <w:rsid w:val="006D45A5"/>
    <w:rsid w:val="006D51E0"/>
    <w:rsid w:val="006D5E56"/>
    <w:rsid w:val="006D6BCF"/>
    <w:rsid w:val="006D7483"/>
    <w:rsid w:val="006D76D7"/>
    <w:rsid w:val="006D76FF"/>
    <w:rsid w:val="006D7F81"/>
    <w:rsid w:val="006E0DDE"/>
    <w:rsid w:val="006E1A90"/>
    <w:rsid w:val="006E1BA8"/>
    <w:rsid w:val="006E20AB"/>
    <w:rsid w:val="006E247B"/>
    <w:rsid w:val="006E261A"/>
    <w:rsid w:val="006E2621"/>
    <w:rsid w:val="006E29E6"/>
    <w:rsid w:val="006E3714"/>
    <w:rsid w:val="006E3AF2"/>
    <w:rsid w:val="006E431D"/>
    <w:rsid w:val="006E5237"/>
    <w:rsid w:val="006E5C1E"/>
    <w:rsid w:val="006E5DDE"/>
    <w:rsid w:val="006E69DA"/>
    <w:rsid w:val="006E6BEA"/>
    <w:rsid w:val="006E73AC"/>
    <w:rsid w:val="006E7CF6"/>
    <w:rsid w:val="006E7EA5"/>
    <w:rsid w:val="006E7EA6"/>
    <w:rsid w:val="006F0654"/>
    <w:rsid w:val="006F1A9D"/>
    <w:rsid w:val="006F1B92"/>
    <w:rsid w:val="006F1DCA"/>
    <w:rsid w:val="006F3178"/>
    <w:rsid w:val="006F3470"/>
    <w:rsid w:val="006F37D3"/>
    <w:rsid w:val="006F3C44"/>
    <w:rsid w:val="006F4645"/>
    <w:rsid w:val="006F5385"/>
    <w:rsid w:val="006F5BAF"/>
    <w:rsid w:val="006F6A0C"/>
    <w:rsid w:val="006F726B"/>
    <w:rsid w:val="006F7854"/>
    <w:rsid w:val="006F7C84"/>
    <w:rsid w:val="00700394"/>
    <w:rsid w:val="007005C7"/>
    <w:rsid w:val="00700B4C"/>
    <w:rsid w:val="00700E56"/>
    <w:rsid w:val="00701153"/>
    <w:rsid w:val="00701233"/>
    <w:rsid w:val="00701B1B"/>
    <w:rsid w:val="00702760"/>
    <w:rsid w:val="00702BC1"/>
    <w:rsid w:val="00702F73"/>
    <w:rsid w:val="0070457A"/>
    <w:rsid w:val="0070534F"/>
    <w:rsid w:val="00706340"/>
    <w:rsid w:val="0070653F"/>
    <w:rsid w:val="007068C3"/>
    <w:rsid w:val="00707478"/>
    <w:rsid w:val="00707E14"/>
    <w:rsid w:val="00710D8E"/>
    <w:rsid w:val="00710ED0"/>
    <w:rsid w:val="00710F1A"/>
    <w:rsid w:val="00711292"/>
    <w:rsid w:val="007113F9"/>
    <w:rsid w:val="007119C3"/>
    <w:rsid w:val="00711EEF"/>
    <w:rsid w:val="007122EC"/>
    <w:rsid w:val="0071342C"/>
    <w:rsid w:val="00713D1E"/>
    <w:rsid w:val="007149C8"/>
    <w:rsid w:val="00714F24"/>
    <w:rsid w:val="00714FFE"/>
    <w:rsid w:val="0071522C"/>
    <w:rsid w:val="007158F2"/>
    <w:rsid w:val="00715DC4"/>
    <w:rsid w:val="00715E4D"/>
    <w:rsid w:val="00715EEE"/>
    <w:rsid w:val="007160C3"/>
    <w:rsid w:val="007168D1"/>
    <w:rsid w:val="007172A1"/>
    <w:rsid w:val="00717F7D"/>
    <w:rsid w:val="007205CA"/>
    <w:rsid w:val="0072080D"/>
    <w:rsid w:val="007210F7"/>
    <w:rsid w:val="00721229"/>
    <w:rsid w:val="00722078"/>
    <w:rsid w:val="007238EE"/>
    <w:rsid w:val="00723B3C"/>
    <w:rsid w:val="00724897"/>
    <w:rsid w:val="00725298"/>
    <w:rsid w:val="007252E6"/>
    <w:rsid w:val="0072537E"/>
    <w:rsid w:val="00725511"/>
    <w:rsid w:val="007258B1"/>
    <w:rsid w:val="00725A7B"/>
    <w:rsid w:val="00725C7C"/>
    <w:rsid w:val="00726656"/>
    <w:rsid w:val="00726687"/>
    <w:rsid w:val="007273F2"/>
    <w:rsid w:val="00727B0D"/>
    <w:rsid w:val="00730E6F"/>
    <w:rsid w:val="007316CD"/>
    <w:rsid w:val="007321A0"/>
    <w:rsid w:val="007321B6"/>
    <w:rsid w:val="007324D9"/>
    <w:rsid w:val="007325C6"/>
    <w:rsid w:val="00732795"/>
    <w:rsid w:val="00733618"/>
    <w:rsid w:val="007336FA"/>
    <w:rsid w:val="00733D4B"/>
    <w:rsid w:val="007342B9"/>
    <w:rsid w:val="0073464C"/>
    <w:rsid w:val="00734BD3"/>
    <w:rsid w:val="00735097"/>
    <w:rsid w:val="00735188"/>
    <w:rsid w:val="00735213"/>
    <w:rsid w:val="007353F3"/>
    <w:rsid w:val="00735E7F"/>
    <w:rsid w:val="00735FF3"/>
    <w:rsid w:val="007367E4"/>
    <w:rsid w:val="00736C46"/>
    <w:rsid w:val="00736C6F"/>
    <w:rsid w:val="00736E53"/>
    <w:rsid w:val="007374DE"/>
    <w:rsid w:val="00737ABF"/>
    <w:rsid w:val="00740BF6"/>
    <w:rsid w:val="00740F55"/>
    <w:rsid w:val="00740FF0"/>
    <w:rsid w:val="00741665"/>
    <w:rsid w:val="00743C71"/>
    <w:rsid w:val="00743CD2"/>
    <w:rsid w:val="00743E21"/>
    <w:rsid w:val="00744282"/>
    <w:rsid w:val="00744E6D"/>
    <w:rsid w:val="00745796"/>
    <w:rsid w:val="007459FA"/>
    <w:rsid w:val="00746FD3"/>
    <w:rsid w:val="007472D9"/>
    <w:rsid w:val="00747A5C"/>
    <w:rsid w:val="00747B1A"/>
    <w:rsid w:val="0075027D"/>
    <w:rsid w:val="00752102"/>
    <w:rsid w:val="00752D4C"/>
    <w:rsid w:val="00753313"/>
    <w:rsid w:val="007535AF"/>
    <w:rsid w:val="00753C43"/>
    <w:rsid w:val="007545BD"/>
    <w:rsid w:val="007547BA"/>
    <w:rsid w:val="00754AA7"/>
    <w:rsid w:val="00755041"/>
    <w:rsid w:val="0075515F"/>
    <w:rsid w:val="00755985"/>
    <w:rsid w:val="00755E78"/>
    <w:rsid w:val="007562A3"/>
    <w:rsid w:val="007568B4"/>
    <w:rsid w:val="00756F00"/>
    <w:rsid w:val="00757465"/>
    <w:rsid w:val="00757805"/>
    <w:rsid w:val="0075781C"/>
    <w:rsid w:val="00760AC2"/>
    <w:rsid w:val="0076185C"/>
    <w:rsid w:val="00761917"/>
    <w:rsid w:val="007622F7"/>
    <w:rsid w:val="007623F5"/>
    <w:rsid w:val="007628B7"/>
    <w:rsid w:val="00762C66"/>
    <w:rsid w:val="00763064"/>
    <w:rsid w:val="00763235"/>
    <w:rsid w:val="00763918"/>
    <w:rsid w:val="007642B0"/>
    <w:rsid w:val="007645CD"/>
    <w:rsid w:val="0076503D"/>
    <w:rsid w:val="00765217"/>
    <w:rsid w:val="0076521F"/>
    <w:rsid w:val="007653E1"/>
    <w:rsid w:val="00765B88"/>
    <w:rsid w:val="0077128C"/>
    <w:rsid w:val="007715F1"/>
    <w:rsid w:val="00773271"/>
    <w:rsid w:val="007732E5"/>
    <w:rsid w:val="00773FC8"/>
    <w:rsid w:val="00774269"/>
    <w:rsid w:val="00774F34"/>
    <w:rsid w:val="00775D70"/>
    <w:rsid w:val="00777631"/>
    <w:rsid w:val="007779E3"/>
    <w:rsid w:val="00777E23"/>
    <w:rsid w:val="0078028D"/>
    <w:rsid w:val="007802FF"/>
    <w:rsid w:val="007817AD"/>
    <w:rsid w:val="00781FFF"/>
    <w:rsid w:val="007820BA"/>
    <w:rsid w:val="00782177"/>
    <w:rsid w:val="00782A47"/>
    <w:rsid w:val="00782DD8"/>
    <w:rsid w:val="00782E14"/>
    <w:rsid w:val="00783ECD"/>
    <w:rsid w:val="00783FAF"/>
    <w:rsid w:val="00784606"/>
    <w:rsid w:val="00784C49"/>
    <w:rsid w:val="0078548B"/>
    <w:rsid w:val="00785A03"/>
    <w:rsid w:val="00786278"/>
    <w:rsid w:val="00787225"/>
    <w:rsid w:val="007873CD"/>
    <w:rsid w:val="00787679"/>
    <w:rsid w:val="00787CBD"/>
    <w:rsid w:val="00787CC9"/>
    <w:rsid w:val="007901B0"/>
    <w:rsid w:val="00790787"/>
    <w:rsid w:val="00790A75"/>
    <w:rsid w:val="00790C38"/>
    <w:rsid w:val="00791393"/>
    <w:rsid w:val="007914D3"/>
    <w:rsid w:val="0079276A"/>
    <w:rsid w:val="00792A6C"/>
    <w:rsid w:val="00792BE8"/>
    <w:rsid w:val="007940F2"/>
    <w:rsid w:val="00794442"/>
    <w:rsid w:val="00794CA7"/>
    <w:rsid w:val="00794EDE"/>
    <w:rsid w:val="00794EF9"/>
    <w:rsid w:val="007958A7"/>
    <w:rsid w:val="00796122"/>
    <w:rsid w:val="00797047"/>
    <w:rsid w:val="0079792F"/>
    <w:rsid w:val="007A0551"/>
    <w:rsid w:val="007A0685"/>
    <w:rsid w:val="007A08A0"/>
    <w:rsid w:val="007A0BC0"/>
    <w:rsid w:val="007A1AA9"/>
    <w:rsid w:val="007A286A"/>
    <w:rsid w:val="007A2B76"/>
    <w:rsid w:val="007A39A5"/>
    <w:rsid w:val="007A412E"/>
    <w:rsid w:val="007A6492"/>
    <w:rsid w:val="007A6F0A"/>
    <w:rsid w:val="007A70F1"/>
    <w:rsid w:val="007A767A"/>
    <w:rsid w:val="007B1759"/>
    <w:rsid w:val="007B17BE"/>
    <w:rsid w:val="007B1D8D"/>
    <w:rsid w:val="007B2E68"/>
    <w:rsid w:val="007B3161"/>
    <w:rsid w:val="007B3CD5"/>
    <w:rsid w:val="007B4325"/>
    <w:rsid w:val="007B4353"/>
    <w:rsid w:val="007B43ED"/>
    <w:rsid w:val="007B472B"/>
    <w:rsid w:val="007B4A71"/>
    <w:rsid w:val="007B5170"/>
    <w:rsid w:val="007B51C6"/>
    <w:rsid w:val="007B5A78"/>
    <w:rsid w:val="007B6188"/>
    <w:rsid w:val="007B6BD2"/>
    <w:rsid w:val="007B7AE8"/>
    <w:rsid w:val="007C16E4"/>
    <w:rsid w:val="007C1A90"/>
    <w:rsid w:val="007C2034"/>
    <w:rsid w:val="007C22EB"/>
    <w:rsid w:val="007C2881"/>
    <w:rsid w:val="007C2A12"/>
    <w:rsid w:val="007C2AB9"/>
    <w:rsid w:val="007C2C3D"/>
    <w:rsid w:val="007C3642"/>
    <w:rsid w:val="007C54F2"/>
    <w:rsid w:val="007C6C30"/>
    <w:rsid w:val="007C6D82"/>
    <w:rsid w:val="007C7CC8"/>
    <w:rsid w:val="007D0430"/>
    <w:rsid w:val="007D0D32"/>
    <w:rsid w:val="007D173D"/>
    <w:rsid w:val="007D185A"/>
    <w:rsid w:val="007D1B99"/>
    <w:rsid w:val="007D21A8"/>
    <w:rsid w:val="007D2369"/>
    <w:rsid w:val="007D26F9"/>
    <w:rsid w:val="007D2A23"/>
    <w:rsid w:val="007D2ADA"/>
    <w:rsid w:val="007D3AD0"/>
    <w:rsid w:val="007D523B"/>
    <w:rsid w:val="007D5461"/>
    <w:rsid w:val="007D55BB"/>
    <w:rsid w:val="007D5BAD"/>
    <w:rsid w:val="007D6D01"/>
    <w:rsid w:val="007D6EAB"/>
    <w:rsid w:val="007D7FCF"/>
    <w:rsid w:val="007E0085"/>
    <w:rsid w:val="007E00B3"/>
    <w:rsid w:val="007E02FD"/>
    <w:rsid w:val="007E05F3"/>
    <w:rsid w:val="007E0783"/>
    <w:rsid w:val="007E13DB"/>
    <w:rsid w:val="007E151A"/>
    <w:rsid w:val="007E1520"/>
    <w:rsid w:val="007E1945"/>
    <w:rsid w:val="007E1C18"/>
    <w:rsid w:val="007E1D69"/>
    <w:rsid w:val="007E295C"/>
    <w:rsid w:val="007E3B14"/>
    <w:rsid w:val="007E423D"/>
    <w:rsid w:val="007E4847"/>
    <w:rsid w:val="007E4DBD"/>
    <w:rsid w:val="007E518B"/>
    <w:rsid w:val="007E51DA"/>
    <w:rsid w:val="007E5237"/>
    <w:rsid w:val="007E5D24"/>
    <w:rsid w:val="007E5E51"/>
    <w:rsid w:val="007E632E"/>
    <w:rsid w:val="007E71B8"/>
    <w:rsid w:val="007E77CC"/>
    <w:rsid w:val="007E7A38"/>
    <w:rsid w:val="007E7ED9"/>
    <w:rsid w:val="007F0EBC"/>
    <w:rsid w:val="007F0EC7"/>
    <w:rsid w:val="007F1122"/>
    <w:rsid w:val="007F2236"/>
    <w:rsid w:val="007F2B4F"/>
    <w:rsid w:val="007F2C0B"/>
    <w:rsid w:val="007F3B58"/>
    <w:rsid w:val="007F41FA"/>
    <w:rsid w:val="007F4237"/>
    <w:rsid w:val="007F4240"/>
    <w:rsid w:val="007F44E0"/>
    <w:rsid w:val="007F4755"/>
    <w:rsid w:val="007F5811"/>
    <w:rsid w:val="007F5CD4"/>
    <w:rsid w:val="007F615D"/>
    <w:rsid w:val="007F64B1"/>
    <w:rsid w:val="007F6CDE"/>
    <w:rsid w:val="007F6E16"/>
    <w:rsid w:val="007F70D1"/>
    <w:rsid w:val="008005DF"/>
    <w:rsid w:val="00800682"/>
    <w:rsid w:val="00800A4C"/>
    <w:rsid w:val="00801205"/>
    <w:rsid w:val="00801764"/>
    <w:rsid w:val="008019B9"/>
    <w:rsid w:val="008038DE"/>
    <w:rsid w:val="00804763"/>
    <w:rsid w:val="00805A3C"/>
    <w:rsid w:val="00806701"/>
    <w:rsid w:val="008069D9"/>
    <w:rsid w:val="00806E01"/>
    <w:rsid w:val="00807CB6"/>
    <w:rsid w:val="008100B0"/>
    <w:rsid w:val="008108FF"/>
    <w:rsid w:val="00810938"/>
    <w:rsid w:val="00810CC8"/>
    <w:rsid w:val="00811853"/>
    <w:rsid w:val="0081241A"/>
    <w:rsid w:val="0081253D"/>
    <w:rsid w:val="0081283E"/>
    <w:rsid w:val="00812C4A"/>
    <w:rsid w:val="008132A4"/>
    <w:rsid w:val="00813ADC"/>
    <w:rsid w:val="00814FA2"/>
    <w:rsid w:val="008152E2"/>
    <w:rsid w:val="00815819"/>
    <w:rsid w:val="00815BF7"/>
    <w:rsid w:val="00815C61"/>
    <w:rsid w:val="00816799"/>
    <w:rsid w:val="00816A1D"/>
    <w:rsid w:val="00816B63"/>
    <w:rsid w:val="00816D52"/>
    <w:rsid w:val="00816EFB"/>
    <w:rsid w:val="00817150"/>
    <w:rsid w:val="00817389"/>
    <w:rsid w:val="00817488"/>
    <w:rsid w:val="0081753A"/>
    <w:rsid w:val="00817E1E"/>
    <w:rsid w:val="0082136A"/>
    <w:rsid w:val="008213A0"/>
    <w:rsid w:val="00821A3A"/>
    <w:rsid w:val="00822043"/>
    <w:rsid w:val="008227A8"/>
    <w:rsid w:val="0082320D"/>
    <w:rsid w:val="00823A24"/>
    <w:rsid w:val="008240D2"/>
    <w:rsid w:val="0082418C"/>
    <w:rsid w:val="0082428A"/>
    <w:rsid w:val="008242EA"/>
    <w:rsid w:val="00825095"/>
    <w:rsid w:val="008250EF"/>
    <w:rsid w:val="00825550"/>
    <w:rsid w:val="008257F4"/>
    <w:rsid w:val="008259B8"/>
    <w:rsid w:val="00826074"/>
    <w:rsid w:val="0082635F"/>
    <w:rsid w:val="00826E9C"/>
    <w:rsid w:val="00827DD1"/>
    <w:rsid w:val="00827ED4"/>
    <w:rsid w:val="0083075F"/>
    <w:rsid w:val="00831378"/>
    <w:rsid w:val="008314CC"/>
    <w:rsid w:val="008319AD"/>
    <w:rsid w:val="00831C7A"/>
    <w:rsid w:val="00831E14"/>
    <w:rsid w:val="00832515"/>
    <w:rsid w:val="008326D0"/>
    <w:rsid w:val="00832734"/>
    <w:rsid w:val="00833297"/>
    <w:rsid w:val="00834D99"/>
    <w:rsid w:val="00835906"/>
    <w:rsid w:val="00835E98"/>
    <w:rsid w:val="0083601B"/>
    <w:rsid w:val="00836D76"/>
    <w:rsid w:val="008407D1"/>
    <w:rsid w:val="00841673"/>
    <w:rsid w:val="00841B96"/>
    <w:rsid w:val="00841BAA"/>
    <w:rsid w:val="00843330"/>
    <w:rsid w:val="00843987"/>
    <w:rsid w:val="00843C52"/>
    <w:rsid w:val="00843F59"/>
    <w:rsid w:val="00845610"/>
    <w:rsid w:val="00845DD3"/>
    <w:rsid w:val="0085050B"/>
    <w:rsid w:val="00850651"/>
    <w:rsid w:val="00850A8C"/>
    <w:rsid w:val="00850E6C"/>
    <w:rsid w:val="008520F9"/>
    <w:rsid w:val="00853D4E"/>
    <w:rsid w:val="00854290"/>
    <w:rsid w:val="00854B6D"/>
    <w:rsid w:val="00855504"/>
    <w:rsid w:val="0085582A"/>
    <w:rsid w:val="00855A43"/>
    <w:rsid w:val="00855D62"/>
    <w:rsid w:val="00855DBD"/>
    <w:rsid w:val="008560EA"/>
    <w:rsid w:val="00856191"/>
    <w:rsid w:val="008561EA"/>
    <w:rsid w:val="00856B12"/>
    <w:rsid w:val="008570DA"/>
    <w:rsid w:val="00857829"/>
    <w:rsid w:val="00860AC3"/>
    <w:rsid w:val="00860B01"/>
    <w:rsid w:val="0086147E"/>
    <w:rsid w:val="008614FF"/>
    <w:rsid w:val="00861E9F"/>
    <w:rsid w:val="00862712"/>
    <w:rsid w:val="008627E2"/>
    <w:rsid w:val="008628F9"/>
    <w:rsid w:val="00863387"/>
    <w:rsid w:val="00863CB6"/>
    <w:rsid w:val="008658A3"/>
    <w:rsid w:val="00866003"/>
    <w:rsid w:val="0086669B"/>
    <w:rsid w:val="00867525"/>
    <w:rsid w:val="00870E1F"/>
    <w:rsid w:val="0087196A"/>
    <w:rsid w:val="008724C8"/>
    <w:rsid w:val="00872A96"/>
    <w:rsid w:val="00874929"/>
    <w:rsid w:val="008749E2"/>
    <w:rsid w:val="008753E6"/>
    <w:rsid w:val="00875856"/>
    <w:rsid w:val="0087708C"/>
    <w:rsid w:val="0087798D"/>
    <w:rsid w:val="008800A1"/>
    <w:rsid w:val="00880B6B"/>
    <w:rsid w:val="008812F8"/>
    <w:rsid w:val="00881C12"/>
    <w:rsid w:val="008828B4"/>
    <w:rsid w:val="00882A06"/>
    <w:rsid w:val="00883175"/>
    <w:rsid w:val="008831F6"/>
    <w:rsid w:val="0088402E"/>
    <w:rsid w:val="0088431D"/>
    <w:rsid w:val="00885574"/>
    <w:rsid w:val="0088564C"/>
    <w:rsid w:val="00886D5B"/>
    <w:rsid w:val="00886DCC"/>
    <w:rsid w:val="008874C9"/>
    <w:rsid w:val="00890F6F"/>
    <w:rsid w:val="00891CAE"/>
    <w:rsid w:val="00892A10"/>
    <w:rsid w:val="008934D7"/>
    <w:rsid w:val="00893FCA"/>
    <w:rsid w:val="00894059"/>
    <w:rsid w:val="00894562"/>
    <w:rsid w:val="00894C39"/>
    <w:rsid w:val="008957AE"/>
    <w:rsid w:val="00895DCB"/>
    <w:rsid w:val="00896247"/>
    <w:rsid w:val="00896558"/>
    <w:rsid w:val="008967D7"/>
    <w:rsid w:val="00896B78"/>
    <w:rsid w:val="00896D91"/>
    <w:rsid w:val="00896E18"/>
    <w:rsid w:val="00897310"/>
    <w:rsid w:val="00897D6D"/>
    <w:rsid w:val="008A0807"/>
    <w:rsid w:val="008A084B"/>
    <w:rsid w:val="008A104A"/>
    <w:rsid w:val="008A258E"/>
    <w:rsid w:val="008A25D2"/>
    <w:rsid w:val="008A29F6"/>
    <w:rsid w:val="008A3070"/>
    <w:rsid w:val="008A3CE9"/>
    <w:rsid w:val="008A3DE2"/>
    <w:rsid w:val="008A3F89"/>
    <w:rsid w:val="008A426C"/>
    <w:rsid w:val="008A78DD"/>
    <w:rsid w:val="008A7C96"/>
    <w:rsid w:val="008B1D2A"/>
    <w:rsid w:val="008B208B"/>
    <w:rsid w:val="008B2742"/>
    <w:rsid w:val="008B38A5"/>
    <w:rsid w:val="008B4887"/>
    <w:rsid w:val="008B4AB1"/>
    <w:rsid w:val="008B554E"/>
    <w:rsid w:val="008B603B"/>
    <w:rsid w:val="008B63C0"/>
    <w:rsid w:val="008B6604"/>
    <w:rsid w:val="008B7B8B"/>
    <w:rsid w:val="008B7FAA"/>
    <w:rsid w:val="008C0300"/>
    <w:rsid w:val="008C0464"/>
    <w:rsid w:val="008C0E9C"/>
    <w:rsid w:val="008C0F61"/>
    <w:rsid w:val="008C1025"/>
    <w:rsid w:val="008C136A"/>
    <w:rsid w:val="008C13D6"/>
    <w:rsid w:val="008C32FC"/>
    <w:rsid w:val="008C34F6"/>
    <w:rsid w:val="008C36BB"/>
    <w:rsid w:val="008C45CF"/>
    <w:rsid w:val="008C5075"/>
    <w:rsid w:val="008C5655"/>
    <w:rsid w:val="008C60F9"/>
    <w:rsid w:val="008C69CE"/>
    <w:rsid w:val="008C7207"/>
    <w:rsid w:val="008C77F6"/>
    <w:rsid w:val="008C79F1"/>
    <w:rsid w:val="008C7B61"/>
    <w:rsid w:val="008C7E7A"/>
    <w:rsid w:val="008D0610"/>
    <w:rsid w:val="008D0EF9"/>
    <w:rsid w:val="008D10F3"/>
    <w:rsid w:val="008D1858"/>
    <w:rsid w:val="008D18F4"/>
    <w:rsid w:val="008D19FB"/>
    <w:rsid w:val="008D327D"/>
    <w:rsid w:val="008D3965"/>
    <w:rsid w:val="008D48A1"/>
    <w:rsid w:val="008D4936"/>
    <w:rsid w:val="008D4DD8"/>
    <w:rsid w:val="008D4F28"/>
    <w:rsid w:val="008D4F39"/>
    <w:rsid w:val="008D51C2"/>
    <w:rsid w:val="008D5A12"/>
    <w:rsid w:val="008D68FC"/>
    <w:rsid w:val="008D724A"/>
    <w:rsid w:val="008D7325"/>
    <w:rsid w:val="008D7F6E"/>
    <w:rsid w:val="008E0BDA"/>
    <w:rsid w:val="008E12D4"/>
    <w:rsid w:val="008E1F33"/>
    <w:rsid w:val="008E20E4"/>
    <w:rsid w:val="008E33CE"/>
    <w:rsid w:val="008E34EB"/>
    <w:rsid w:val="008E4BDD"/>
    <w:rsid w:val="008E541F"/>
    <w:rsid w:val="008E58B9"/>
    <w:rsid w:val="008E6166"/>
    <w:rsid w:val="008E620C"/>
    <w:rsid w:val="008E627F"/>
    <w:rsid w:val="008E6337"/>
    <w:rsid w:val="008E69DC"/>
    <w:rsid w:val="008E6AA4"/>
    <w:rsid w:val="008E7111"/>
    <w:rsid w:val="008E72A2"/>
    <w:rsid w:val="008E7814"/>
    <w:rsid w:val="008E7980"/>
    <w:rsid w:val="008E7B3E"/>
    <w:rsid w:val="008F02C6"/>
    <w:rsid w:val="008F0BB2"/>
    <w:rsid w:val="008F0D98"/>
    <w:rsid w:val="008F1112"/>
    <w:rsid w:val="008F1401"/>
    <w:rsid w:val="008F2018"/>
    <w:rsid w:val="008F2C59"/>
    <w:rsid w:val="008F35DE"/>
    <w:rsid w:val="008F3914"/>
    <w:rsid w:val="008F413C"/>
    <w:rsid w:val="008F4CA6"/>
    <w:rsid w:val="008F4D69"/>
    <w:rsid w:val="008F4E04"/>
    <w:rsid w:val="008F5B20"/>
    <w:rsid w:val="008F5D04"/>
    <w:rsid w:val="008F6757"/>
    <w:rsid w:val="008F69C6"/>
    <w:rsid w:val="008F6B3F"/>
    <w:rsid w:val="008F6C97"/>
    <w:rsid w:val="008F7125"/>
    <w:rsid w:val="008F7176"/>
    <w:rsid w:val="008F7E0D"/>
    <w:rsid w:val="009001BA"/>
    <w:rsid w:val="00900835"/>
    <w:rsid w:val="00900903"/>
    <w:rsid w:val="009012C7"/>
    <w:rsid w:val="00901626"/>
    <w:rsid w:val="009024D7"/>
    <w:rsid w:val="0090262F"/>
    <w:rsid w:val="00902A84"/>
    <w:rsid w:val="00902EC7"/>
    <w:rsid w:val="0090303B"/>
    <w:rsid w:val="00903051"/>
    <w:rsid w:val="009046E6"/>
    <w:rsid w:val="00905117"/>
    <w:rsid w:val="00907C09"/>
    <w:rsid w:val="00907F2D"/>
    <w:rsid w:val="00910337"/>
    <w:rsid w:val="00910B46"/>
    <w:rsid w:val="00910CB1"/>
    <w:rsid w:val="00910E86"/>
    <w:rsid w:val="0091172A"/>
    <w:rsid w:val="009121A4"/>
    <w:rsid w:val="0091269E"/>
    <w:rsid w:val="00912FB7"/>
    <w:rsid w:val="009137E8"/>
    <w:rsid w:val="00913A71"/>
    <w:rsid w:val="00913A9E"/>
    <w:rsid w:val="00913C78"/>
    <w:rsid w:val="009154C2"/>
    <w:rsid w:val="00915DAC"/>
    <w:rsid w:val="00916B06"/>
    <w:rsid w:val="00916BC0"/>
    <w:rsid w:val="00916CDD"/>
    <w:rsid w:val="0091770B"/>
    <w:rsid w:val="009179D7"/>
    <w:rsid w:val="00917CF0"/>
    <w:rsid w:val="00917ECF"/>
    <w:rsid w:val="009206FB"/>
    <w:rsid w:val="00921666"/>
    <w:rsid w:val="00922E9A"/>
    <w:rsid w:val="00922FEA"/>
    <w:rsid w:val="0092337C"/>
    <w:rsid w:val="009234F3"/>
    <w:rsid w:val="009235C1"/>
    <w:rsid w:val="00923EB5"/>
    <w:rsid w:val="00924876"/>
    <w:rsid w:val="00925B92"/>
    <w:rsid w:val="00925C05"/>
    <w:rsid w:val="00926ABB"/>
    <w:rsid w:val="00926E5A"/>
    <w:rsid w:val="00926F77"/>
    <w:rsid w:val="009271C4"/>
    <w:rsid w:val="00927EE6"/>
    <w:rsid w:val="0093010A"/>
    <w:rsid w:val="00930324"/>
    <w:rsid w:val="0093046B"/>
    <w:rsid w:val="009308BD"/>
    <w:rsid w:val="00930B16"/>
    <w:rsid w:val="00930EEF"/>
    <w:rsid w:val="0093170E"/>
    <w:rsid w:val="00931D1A"/>
    <w:rsid w:val="00931FFA"/>
    <w:rsid w:val="0093306B"/>
    <w:rsid w:val="00933340"/>
    <w:rsid w:val="00933376"/>
    <w:rsid w:val="00933598"/>
    <w:rsid w:val="0093363A"/>
    <w:rsid w:val="009339D2"/>
    <w:rsid w:val="00935A05"/>
    <w:rsid w:val="00935A11"/>
    <w:rsid w:val="00935B4A"/>
    <w:rsid w:val="00935CF9"/>
    <w:rsid w:val="0093610D"/>
    <w:rsid w:val="009367AF"/>
    <w:rsid w:val="00936875"/>
    <w:rsid w:val="00936E41"/>
    <w:rsid w:val="0093759E"/>
    <w:rsid w:val="00937B61"/>
    <w:rsid w:val="009404FC"/>
    <w:rsid w:val="00940C2F"/>
    <w:rsid w:val="009410FD"/>
    <w:rsid w:val="00941207"/>
    <w:rsid w:val="00941386"/>
    <w:rsid w:val="009416E8"/>
    <w:rsid w:val="0094186F"/>
    <w:rsid w:val="00941B2A"/>
    <w:rsid w:val="00941CAA"/>
    <w:rsid w:val="00941E6F"/>
    <w:rsid w:val="0094259F"/>
    <w:rsid w:val="0094335C"/>
    <w:rsid w:val="009437D7"/>
    <w:rsid w:val="009438CA"/>
    <w:rsid w:val="0094473B"/>
    <w:rsid w:val="009449FB"/>
    <w:rsid w:val="00944B1B"/>
    <w:rsid w:val="00944E01"/>
    <w:rsid w:val="009453C4"/>
    <w:rsid w:val="00945403"/>
    <w:rsid w:val="00945459"/>
    <w:rsid w:val="00945761"/>
    <w:rsid w:val="009459C4"/>
    <w:rsid w:val="00946671"/>
    <w:rsid w:val="00946A63"/>
    <w:rsid w:val="00946A70"/>
    <w:rsid w:val="0095004A"/>
    <w:rsid w:val="0095029C"/>
    <w:rsid w:val="009509CF"/>
    <w:rsid w:val="00950E8F"/>
    <w:rsid w:val="009513E6"/>
    <w:rsid w:val="0095152D"/>
    <w:rsid w:val="009517E5"/>
    <w:rsid w:val="00951C16"/>
    <w:rsid w:val="0095241A"/>
    <w:rsid w:val="009524DA"/>
    <w:rsid w:val="00952B29"/>
    <w:rsid w:val="00953965"/>
    <w:rsid w:val="00953B49"/>
    <w:rsid w:val="00954BAD"/>
    <w:rsid w:val="00954C81"/>
    <w:rsid w:val="00954C9F"/>
    <w:rsid w:val="00954D12"/>
    <w:rsid w:val="009558AC"/>
    <w:rsid w:val="00955F4F"/>
    <w:rsid w:val="00957927"/>
    <w:rsid w:val="00957FD7"/>
    <w:rsid w:val="00960143"/>
    <w:rsid w:val="0096109E"/>
    <w:rsid w:val="00961D6C"/>
    <w:rsid w:val="00962226"/>
    <w:rsid w:val="00962246"/>
    <w:rsid w:val="00962313"/>
    <w:rsid w:val="00962442"/>
    <w:rsid w:val="00962556"/>
    <w:rsid w:val="009629A7"/>
    <w:rsid w:val="009632DC"/>
    <w:rsid w:val="009632FD"/>
    <w:rsid w:val="00963532"/>
    <w:rsid w:val="00963533"/>
    <w:rsid w:val="00964013"/>
    <w:rsid w:val="00964881"/>
    <w:rsid w:val="00964ADC"/>
    <w:rsid w:val="00964DA2"/>
    <w:rsid w:val="00964F8C"/>
    <w:rsid w:val="009653B2"/>
    <w:rsid w:val="00965ECF"/>
    <w:rsid w:val="009672EB"/>
    <w:rsid w:val="009678D1"/>
    <w:rsid w:val="009678EF"/>
    <w:rsid w:val="00967E66"/>
    <w:rsid w:val="00970707"/>
    <w:rsid w:val="00971048"/>
    <w:rsid w:val="009712F4"/>
    <w:rsid w:val="00971716"/>
    <w:rsid w:val="00971ACF"/>
    <w:rsid w:val="00971DB2"/>
    <w:rsid w:val="00972633"/>
    <w:rsid w:val="0097366B"/>
    <w:rsid w:val="00974613"/>
    <w:rsid w:val="00974A2A"/>
    <w:rsid w:val="00974DB1"/>
    <w:rsid w:val="00974ECC"/>
    <w:rsid w:val="00974F38"/>
    <w:rsid w:val="00975B02"/>
    <w:rsid w:val="00976692"/>
    <w:rsid w:val="00977148"/>
    <w:rsid w:val="009776DA"/>
    <w:rsid w:val="00977C16"/>
    <w:rsid w:val="009800EF"/>
    <w:rsid w:val="00980BA6"/>
    <w:rsid w:val="00980CEB"/>
    <w:rsid w:val="009810A4"/>
    <w:rsid w:val="0098178A"/>
    <w:rsid w:val="00982010"/>
    <w:rsid w:val="00982DF5"/>
    <w:rsid w:val="00983701"/>
    <w:rsid w:val="00984FC2"/>
    <w:rsid w:val="009856C9"/>
    <w:rsid w:val="00985D05"/>
    <w:rsid w:val="009862CE"/>
    <w:rsid w:val="00986500"/>
    <w:rsid w:val="00986A80"/>
    <w:rsid w:val="00987506"/>
    <w:rsid w:val="00987B46"/>
    <w:rsid w:val="009909CB"/>
    <w:rsid w:val="00990C99"/>
    <w:rsid w:val="00990EBF"/>
    <w:rsid w:val="0099152C"/>
    <w:rsid w:val="00991702"/>
    <w:rsid w:val="00991990"/>
    <w:rsid w:val="00992B96"/>
    <w:rsid w:val="00993064"/>
    <w:rsid w:val="00993B20"/>
    <w:rsid w:val="00994A57"/>
    <w:rsid w:val="00995D56"/>
    <w:rsid w:val="009969CB"/>
    <w:rsid w:val="00996EFC"/>
    <w:rsid w:val="00996F67"/>
    <w:rsid w:val="00997010"/>
    <w:rsid w:val="009972FF"/>
    <w:rsid w:val="0099765D"/>
    <w:rsid w:val="00997C7B"/>
    <w:rsid w:val="00997D62"/>
    <w:rsid w:val="009A0A03"/>
    <w:rsid w:val="009A0AA5"/>
    <w:rsid w:val="009A1104"/>
    <w:rsid w:val="009A13EE"/>
    <w:rsid w:val="009A154C"/>
    <w:rsid w:val="009A182D"/>
    <w:rsid w:val="009A23F9"/>
    <w:rsid w:val="009A2605"/>
    <w:rsid w:val="009A2BE6"/>
    <w:rsid w:val="009A436F"/>
    <w:rsid w:val="009A4C5B"/>
    <w:rsid w:val="009A4DB2"/>
    <w:rsid w:val="009A544C"/>
    <w:rsid w:val="009A5E1F"/>
    <w:rsid w:val="009A66D8"/>
    <w:rsid w:val="009A6977"/>
    <w:rsid w:val="009A795C"/>
    <w:rsid w:val="009A7E33"/>
    <w:rsid w:val="009B0AC4"/>
    <w:rsid w:val="009B12BA"/>
    <w:rsid w:val="009B13B0"/>
    <w:rsid w:val="009B1718"/>
    <w:rsid w:val="009B1B42"/>
    <w:rsid w:val="009B1B77"/>
    <w:rsid w:val="009B2755"/>
    <w:rsid w:val="009B2A74"/>
    <w:rsid w:val="009B2C35"/>
    <w:rsid w:val="009B3554"/>
    <w:rsid w:val="009B3A46"/>
    <w:rsid w:val="009B44E7"/>
    <w:rsid w:val="009B47A6"/>
    <w:rsid w:val="009B4A43"/>
    <w:rsid w:val="009B4C76"/>
    <w:rsid w:val="009B4D7D"/>
    <w:rsid w:val="009B4E6B"/>
    <w:rsid w:val="009B4EE9"/>
    <w:rsid w:val="009B4F2E"/>
    <w:rsid w:val="009B4F38"/>
    <w:rsid w:val="009B6042"/>
    <w:rsid w:val="009B6060"/>
    <w:rsid w:val="009B614A"/>
    <w:rsid w:val="009B6308"/>
    <w:rsid w:val="009B6B22"/>
    <w:rsid w:val="009B6D1A"/>
    <w:rsid w:val="009B7380"/>
    <w:rsid w:val="009C0E74"/>
    <w:rsid w:val="009C11D4"/>
    <w:rsid w:val="009C133F"/>
    <w:rsid w:val="009C139F"/>
    <w:rsid w:val="009C208E"/>
    <w:rsid w:val="009C2850"/>
    <w:rsid w:val="009C335C"/>
    <w:rsid w:val="009C3618"/>
    <w:rsid w:val="009C3761"/>
    <w:rsid w:val="009C3894"/>
    <w:rsid w:val="009C3CCF"/>
    <w:rsid w:val="009C3CF6"/>
    <w:rsid w:val="009C3E2B"/>
    <w:rsid w:val="009C4208"/>
    <w:rsid w:val="009C5072"/>
    <w:rsid w:val="009C54B0"/>
    <w:rsid w:val="009C6BD5"/>
    <w:rsid w:val="009D06C1"/>
    <w:rsid w:val="009D1615"/>
    <w:rsid w:val="009D2254"/>
    <w:rsid w:val="009D25A2"/>
    <w:rsid w:val="009D49CC"/>
    <w:rsid w:val="009D4EF1"/>
    <w:rsid w:val="009D597D"/>
    <w:rsid w:val="009D5D1D"/>
    <w:rsid w:val="009D6B69"/>
    <w:rsid w:val="009D6BA2"/>
    <w:rsid w:val="009D6D01"/>
    <w:rsid w:val="009D6D68"/>
    <w:rsid w:val="009D708A"/>
    <w:rsid w:val="009D70ED"/>
    <w:rsid w:val="009D7C9F"/>
    <w:rsid w:val="009E0270"/>
    <w:rsid w:val="009E04FE"/>
    <w:rsid w:val="009E098D"/>
    <w:rsid w:val="009E0CFA"/>
    <w:rsid w:val="009E261B"/>
    <w:rsid w:val="009E3427"/>
    <w:rsid w:val="009E36FE"/>
    <w:rsid w:val="009E3711"/>
    <w:rsid w:val="009E3AD3"/>
    <w:rsid w:val="009E3CC9"/>
    <w:rsid w:val="009E406C"/>
    <w:rsid w:val="009E431F"/>
    <w:rsid w:val="009E456D"/>
    <w:rsid w:val="009E46D8"/>
    <w:rsid w:val="009E47B2"/>
    <w:rsid w:val="009E59A8"/>
    <w:rsid w:val="009E5A6D"/>
    <w:rsid w:val="009E623E"/>
    <w:rsid w:val="009E6329"/>
    <w:rsid w:val="009E6852"/>
    <w:rsid w:val="009E6EEC"/>
    <w:rsid w:val="009E7032"/>
    <w:rsid w:val="009E7406"/>
    <w:rsid w:val="009E7BA6"/>
    <w:rsid w:val="009E7F49"/>
    <w:rsid w:val="009F00CA"/>
    <w:rsid w:val="009F04B5"/>
    <w:rsid w:val="009F0662"/>
    <w:rsid w:val="009F0BFC"/>
    <w:rsid w:val="009F14B8"/>
    <w:rsid w:val="009F1A46"/>
    <w:rsid w:val="009F2BD0"/>
    <w:rsid w:val="009F2D93"/>
    <w:rsid w:val="009F2EAD"/>
    <w:rsid w:val="009F3380"/>
    <w:rsid w:val="009F3560"/>
    <w:rsid w:val="009F4231"/>
    <w:rsid w:val="009F4464"/>
    <w:rsid w:val="009F44D6"/>
    <w:rsid w:val="009F491C"/>
    <w:rsid w:val="009F4B0B"/>
    <w:rsid w:val="009F4CA5"/>
    <w:rsid w:val="009F4CED"/>
    <w:rsid w:val="009F508C"/>
    <w:rsid w:val="009F5969"/>
    <w:rsid w:val="009F6590"/>
    <w:rsid w:val="009F66F5"/>
    <w:rsid w:val="009F6C72"/>
    <w:rsid w:val="009F717D"/>
    <w:rsid w:val="009F73F2"/>
    <w:rsid w:val="009F7D40"/>
    <w:rsid w:val="009F7DC3"/>
    <w:rsid w:val="009F7DD7"/>
    <w:rsid w:val="00A00288"/>
    <w:rsid w:val="00A004BC"/>
    <w:rsid w:val="00A008A0"/>
    <w:rsid w:val="00A00BD1"/>
    <w:rsid w:val="00A01013"/>
    <w:rsid w:val="00A013D7"/>
    <w:rsid w:val="00A0145E"/>
    <w:rsid w:val="00A0202B"/>
    <w:rsid w:val="00A024CE"/>
    <w:rsid w:val="00A0316B"/>
    <w:rsid w:val="00A03418"/>
    <w:rsid w:val="00A03E6D"/>
    <w:rsid w:val="00A03F9A"/>
    <w:rsid w:val="00A0465F"/>
    <w:rsid w:val="00A054DB"/>
    <w:rsid w:val="00A05BA1"/>
    <w:rsid w:val="00A05FE1"/>
    <w:rsid w:val="00A05FFC"/>
    <w:rsid w:val="00A06C40"/>
    <w:rsid w:val="00A06F38"/>
    <w:rsid w:val="00A10261"/>
    <w:rsid w:val="00A102E2"/>
    <w:rsid w:val="00A106C9"/>
    <w:rsid w:val="00A10A7C"/>
    <w:rsid w:val="00A1169C"/>
    <w:rsid w:val="00A11D39"/>
    <w:rsid w:val="00A11ECC"/>
    <w:rsid w:val="00A12145"/>
    <w:rsid w:val="00A12B21"/>
    <w:rsid w:val="00A13D92"/>
    <w:rsid w:val="00A13E74"/>
    <w:rsid w:val="00A14A06"/>
    <w:rsid w:val="00A15986"/>
    <w:rsid w:val="00A164F9"/>
    <w:rsid w:val="00A165AB"/>
    <w:rsid w:val="00A174B5"/>
    <w:rsid w:val="00A17CD2"/>
    <w:rsid w:val="00A20713"/>
    <w:rsid w:val="00A20993"/>
    <w:rsid w:val="00A2268A"/>
    <w:rsid w:val="00A22865"/>
    <w:rsid w:val="00A23F2E"/>
    <w:rsid w:val="00A24798"/>
    <w:rsid w:val="00A24930"/>
    <w:rsid w:val="00A24BE3"/>
    <w:rsid w:val="00A24C6E"/>
    <w:rsid w:val="00A252D6"/>
    <w:rsid w:val="00A253DF"/>
    <w:rsid w:val="00A259BD"/>
    <w:rsid w:val="00A25FD1"/>
    <w:rsid w:val="00A305DE"/>
    <w:rsid w:val="00A309C6"/>
    <w:rsid w:val="00A30B63"/>
    <w:rsid w:val="00A30F04"/>
    <w:rsid w:val="00A31FF4"/>
    <w:rsid w:val="00A32DAB"/>
    <w:rsid w:val="00A32F04"/>
    <w:rsid w:val="00A32FF6"/>
    <w:rsid w:val="00A33887"/>
    <w:rsid w:val="00A33A39"/>
    <w:rsid w:val="00A34B98"/>
    <w:rsid w:val="00A354C1"/>
    <w:rsid w:val="00A3577B"/>
    <w:rsid w:val="00A35C6D"/>
    <w:rsid w:val="00A36404"/>
    <w:rsid w:val="00A36AB2"/>
    <w:rsid w:val="00A36C31"/>
    <w:rsid w:val="00A36DC0"/>
    <w:rsid w:val="00A37243"/>
    <w:rsid w:val="00A372DC"/>
    <w:rsid w:val="00A373B3"/>
    <w:rsid w:val="00A37B75"/>
    <w:rsid w:val="00A37CDB"/>
    <w:rsid w:val="00A37F3D"/>
    <w:rsid w:val="00A409D2"/>
    <w:rsid w:val="00A40FD3"/>
    <w:rsid w:val="00A41A89"/>
    <w:rsid w:val="00A42312"/>
    <w:rsid w:val="00A428ED"/>
    <w:rsid w:val="00A429DF"/>
    <w:rsid w:val="00A42CC2"/>
    <w:rsid w:val="00A42DE6"/>
    <w:rsid w:val="00A43140"/>
    <w:rsid w:val="00A435AD"/>
    <w:rsid w:val="00A447AC"/>
    <w:rsid w:val="00A46640"/>
    <w:rsid w:val="00A46CD3"/>
    <w:rsid w:val="00A4718A"/>
    <w:rsid w:val="00A4730B"/>
    <w:rsid w:val="00A47917"/>
    <w:rsid w:val="00A47AE4"/>
    <w:rsid w:val="00A50426"/>
    <w:rsid w:val="00A50A53"/>
    <w:rsid w:val="00A50D47"/>
    <w:rsid w:val="00A51F9E"/>
    <w:rsid w:val="00A52397"/>
    <w:rsid w:val="00A52DF1"/>
    <w:rsid w:val="00A53927"/>
    <w:rsid w:val="00A53C1B"/>
    <w:rsid w:val="00A5509E"/>
    <w:rsid w:val="00A55458"/>
    <w:rsid w:val="00A55FD0"/>
    <w:rsid w:val="00A572BC"/>
    <w:rsid w:val="00A57AEE"/>
    <w:rsid w:val="00A57E05"/>
    <w:rsid w:val="00A60367"/>
    <w:rsid w:val="00A607FF"/>
    <w:rsid w:val="00A60A29"/>
    <w:rsid w:val="00A60ACE"/>
    <w:rsid w:val="00A60C6B"/>
    <w:rsid w:val="00A612EC"/>
    <w:rsid w:val="00A61A46"/>
    <w:rsid w:val="00A628D2"/>
    <w:rsid w:val="00A62E2E"/>
    <w:rsid w:val="00A63407"/>
    <w:rsid w:val="00A636AB"/>
    <w:rsid w:val="00A64112"/>
    <w:rsid w:val="00A6417F"/>
    <w:rsid w:val="00A64542"/>
    <w:rsid w:val="00A64686"/>
    <w:rsid w:val="00A6472D"/>
    <w:rsid w:val="00A65029"/>
    <w:rsid w:val="00A652D2"/>
    <w:rsid w:val="00A66760"/>
    <w:rsid w:val="00A66807"/>
    <w:rsid w:val="00A66E6E"/>
    <w:rsid w:val="00A67272"/>
    <w:rsid w:val="00A67BC2"/>
    <w:rsid w:val="00A67F9B"/>
    <w:rsid w:val="00A70590"/>
    <w:rsid w:val="00A711CF"/>
    <w:rsid w:val="00A71973"/>
    <w:rsid w:val="00A71C10"/>
    <w:rsid w:val="00A72684"/>
    <w:rsid w:val="00A7291F"/>
    <w:rsid w:val="00A72BEB"/>
    <w:rsid w:val="00A72E3F"/>
    <w:rsid w:val="00A73125"/>
    <w:rsid w:val="00A73E0E"/>
    <w:rsid w:val="00A743D1"/>
    <w:rsid w:val="00A74819"/>
    <w:rsid w:val="00A759C2"/>
    <w:rsid w:val="00A75E27"/>
    <w:rsid w:val="00A75FC0"/>
    <w:rsid w:val="00A77333"/>
    <w:rsid w:val="00A773B8"/>
    <w:rsid w:val="00A77512"/>
    <w:rsid w:val="00A779B0"/>
    <w:rsid w:val="00A77BFD"/>
    <w:rsid w:val="00A801A2"/>
    <w:rsid w:val="00A8053F"/>
    <w:rsid w:val="00A80695"/>
    <w:rsid w:val="00A80A90"/>
    <w:rsid w:val="00A80A94"/>
    <w:rsid w:val="00A80AD3"/>
    <w:rsid w:val="00A80C91"/>
    <w:rsid w:val="00A81677"/>
    <w:rsid w:val="00A8226C"/>
    <w:rsid w:val="00A8277F"/>
    <w:rsid w:val="00A82FE8"/>
    <w:rsid w:val="00A840FF"/>
    <w:rsid w:val="00A852E8"/>
    <w:rsid w:val="00A8596D"/>
    <w:rsid w:val="00A860CC"/>
    <w:rsid w:val="00A86F65"/>
    <w:rsid w:val="00A8772C"/>
    <w:rsid w:val="00A87926"/>
    <w:rsid w:val="00A908F3"/>
    <w:rsid w:val="00A90B33"/>
    <w:rsid w:val="00A90E1C"/>
    <w:rsid w:val="00A90E5F"/>
    <w:rsid w:val="00A91798"/>
    <w:rsid w:val="00A91F0D"/>
    <w:rsid w:val="00A9202C"/>
    <w:rsid w:val="00A924AB"/>
    <w:rsid w:val="00A92537"/>
    <w:rsid w:val="00A933AE"/>
    <w:rsid w:val="00A9422C"/>
    <w:rsid w:val="00A94309"/>
    <w:rsid w:val="00A94692"/>
    <w:rsid w:val="00A9474B"/>
    <w:rsid w:val="00A94C86"/>
    <w:rsid w:val="00A95056"/>
    <w:rsid w:val="00A9541C"/>
    <w:rsid w:val="00A9542F"/>
    <w:rsid w:val="00A9689B"/>
    <w:rsid w:val="00A9758C"/>
    <w:rsid w:val="00A975A0"/>
    <w:rsid w:val="00A978A8"/>
    <w:rsid w:val="00AA15E5"/>
    <w:rsid w:val="00AA2272"/>
    <w:rsid w:val="00AA2CFD"/>
    <w:rsid w:val="00AA2F70"/>
    <w:rsid w:val="00AA3329"/>
    <w:rsid w:val="00AA35C6"/>
    <w:rsid w:val="00AA3DA1"/>
    <w:rsid w:val="00AA3F64"/>
    <w:rsid w:val="00AA3FC3"/>
    <w:rsid w:val="00AA4F8B"/>
    <w:rsid w:val="00AA50D6"/>
    <w:rsid w:val="00AA582D"/>
    <w:rsid w:val="00AA6465"/>
    <w:rsid w:val="00AA6A0E"/>
    <w:rsid w:val="00AB0796"/>
    <w:rsid w:val="00AB0974"/>
    <w:rsid w:val="00AB0C15"/>
    <w:rsid w:val="00AB2585"/>
    <w:rsid w:val="00AB385D"/>
    <w:rsid w:val="00AB3D3B"/>
    <w:rsid w:val="00AB426D"/>
    <w:rsid w:val="00AB42EF"/>
    <w:rsid w:val="00AB48D6"/>
    <w:rsid w:val="00AB5110"/>
    <w:rsid w:val="00AB5425"/>
    <w:rsid w:val="00AB5C65"/>
    <w:rsid w:val="00AB5CB3"/>
    <w:rsid w:val="00AB62C7"/>
    <w:rsid w:val="00AB6AD1"/>
    <w:rsid w:val="00AB6F0B"/>
    <w:rsid w:val="00AB76D7"/>
    <w:rsid w:val="00AB79A2"/>
    <w:rsid w:val="00AB7CAE"/>
    <w:rsid w:val="00AB7F8D"/>
    <w:rsid w:val="00AC069D"/>
    <w:rsid w:val="00AC0B8C"/>
    <w:rsid w:val="00AC0C63"/>
    <w:rsid w:val="00AC153A"/>
    <w:rsid w:val="00AC16D8"/>
    <w:rsid w:val="00AC1D6E"/>
    <w:rsid w:val="00AC2498"/>
    <w:rsid w:val="00AC2552"/>
    <w:rsid w:val="00AC267E"/>
    <w:rsid w:val="00AC3122"/>
    <w:rsid w:val="00AC31AC"/>
    <w:rsid w:val="00AC3545"/>
    <w:rsid w:val="00AC3C86"/>
    <w:rsid w:val="00AC41AD"/>
    <w:rsid w:val="00AC43E0"/>
    <w:rsid w:val="00AC4761"/>
    <w:rsid w:val="00AC4951"/>
    <w:rsid w:val="00AC5A1A"/>
    <w:rsid w:val="00AC6E6E"/>
    <w:rsid w:val="00AC7A4C"/>
    <w:rsid w:val="00AC7AA1"/>
    <w:rsid w:val="00AC7AF1"/>
    <w:rsid w:val="00AC7D32"/>
    <w:rsid w:val="00AC7D71"/>
    <w:rsid w:val="00AC7F37"/>
    <w:rsid w:val="00AD051E"/>
    <w:rsid w:val="00AD059F"/>
    <w:rsid w:val="00AD0B4F"/>
    <w:rsid w:val="00AD120A"/>
    <w:rsid w:val="00AD13FC"/>
    <w:rsid w:val="00AD1627"/>
    <w:rsid w:val="00AD17EB"/>
    <w:rsid w:val="00AD1CB5"/>
    <w:rsid w:val="00AD1D77"/>
    <w:rsid w:val="00AD2A3D"/>
    <w:rsid w:val="00AD3170"/>
    <w:rsid w:val="00AD37FE"/>
    <w:rsid w:val="00AD3920"/>
    <w:rsid w:val="00AD475B"/>
    <w:rsid w:val="00AD4CDE"/>
    <w:rsid w:val="00AD5756"/>
    <w:rsid w:val="00AD5A2F"/>
    <w:rsid w:val="00AD60BA"/>
    <w:rsid w:val="00AD6213"/>
    <w:rsid w:val="00AD62B4"/>
    <w:rsid w:val="00AD6B44"/>
    <w:rsid w:val="00AD6C49"/>
    <w:rsid w:val="00AD7247"/>
    <w:rsid w:val="00AD725F"/>
    <w:rsid w:val="00AD7BFB"/>
    <w:rsid w:val="00AE005D"/>
    <w:rsid w:val="00AE01CC"/>
    <w:rsid w:val="00AE079E"/>
    <w:rsid w:val="00AE091A"/>
    <w:rsid w:val="00AE0FDD"/>
    <w:rsid w:val="00AE10FD"/>
    <w:rsid w:val="00AE1E81"/>
    <w:rsid w:val="00AE2D40"/>
    <w:rsid w:val="00AE2DEA"/>
    <w:rsid w:val="00AE3644"/>
    <w:rsid w:val="00AE39EE"/>
    <w:rsid w:val="00AE437F"/>
    <w:rsid w:val="00AE4B31"/>
    <w:rsid w:val="00AE4F16"/>
    <w:rsid w:val="00AE55A0"/>
    <w:rsid w:val="00AE578D"/>
    <w:rsid w:val="00AE5939"/>
    <w:rsid w:val="00AE5FA7"/>
    <w:rsid w:val="00AE61BC"/>
    <w:rsid w:val="00AE6658"/>
    <w:rsid w:val="00AE6EDE"/>
    <w:rsid w:val="00AE7E11"/>
    <w:rsid w:val="00AF0B6C"/>
    <w:rsid w:val="00AF0B9D"/>
    <w:rsid w:val="00AF0DC6"/>
    <w:rsid w:val="00AF0ED6"/>
    <w:rsid w:val="00AF190E"/>
    <w:rsid w:val="00AF1E03"/>
    <w:rsid w:val="00AF2760"/>
    <w:rsid w:val="00AF2B16"/>
    <w:rsid w:val="00AF2C37"/>
    <w:rsid w:val="00AF2D26"/>
    <w:rsid w:val="00AF33CE"/>
    <w:rsid w:val="00AF41C3"/>
    <w:rsid w:val="00AF422A"/>
    <w:rsid w:val="00AF4364"/>
    <w:rsid w:val="00AF4491"/>
    <w:rsid w:val="00AF4F0E"/>
    <w:rsid w:val="00AF5413"/>
    <w:rsid w:val="00AF5970"/>
    <w:rsid w:val="00AF5AF1"/>
    <w:rsid w:val="00AF5C37"/>
    <w:rsid w:val="00AF6DE8"/>
    <w:rsid w:val="00AF6E4F"/>
    <w:rsid w:val="00AF6E73"/>
    <w:rsid w:val="00AF724F"/>
    <w:rsid w:val="00AF77D4"/>
    <w:rsid w:val="00AF7873"/>
    <w:rsid w:val="00B00011"/>
    <w:rsid w:val="00B01243"/>
    <w:rsid w:val="00B025CF"/>
    <w:rsid w:val="00B02B32"/>
    <w:rsid w:val="00B0311A"/>
    <w:rsid w:val="00B033FF"/>
    <w:rsid w:val="00B0367D"/>
    <w:rsid w:val="00B0377B"/>
    <w:rsid w:val="00B03D06"/>
    <w:rsid w:val="00B05590"/>
    <w:rsid w:val="00B0589A"/>
    <w:rsid w:val="00B05D6D"/>
    <w:rsid w:val="00B06AD1"/>
    <w:rsid w:val="00B06B01"/>
    <w:rsid w:val="00B10056"/>
    <w:rsid w:val="00B105B2"/>
    <w:rsid w:val="00B10B3A"/>
    <w:rsid w:val="00B10E49"/>
    <w:rsid w:val="00B10F57"/>
    <w:rsid w:val="00B11BCA"/>
    <w:rsid w:val="00B122D2"/>
    <w:rsid w:val="00B125FB"/>
    <w:rsid w:val="00B126E4"/>
    <w:rsid w:val="00B14117"/>
    <w:rsid w:val="00B144CA"/>
    <w:rsid w:val="00B14B4B"/>
    <w:rsid w:val="00B153C2"/>
    <w:rsid w:val="00B15B08"/>
    <w:rsid w:val="00B165E7"/>
    <w:rsid w:val="00B166B3"/>
    <w:rsid w:val="00B17172"/>
    <w:rsid w:val="00B17773"/>
    <w:rsid w:val="00B17B44"/>
    <w:rsid w:val="00B17D68"/>
    <w:rsid w:val="00B2226E"/>
    <w:rsid w:val="00B231CB"/>
    <w:rsid w:val="00B23CA8"/>
    <w:rsid w:val="00B24A66"/>
    <w:rsid w:val="00B24E4C"/>
    <w:rsid w:val="00B256F2"/>
    <w:rsid w:val="00B258B2"/>
    <w:rsid w:val="00B25CB2"/>
    <w:rsid w:val="00B2633E"/>
    <w:rsid w:val="00B27DA0"/>
    <w:rsid w:val="00B30068"/>
    <w:rsid w:val="00B30084"/>
    <w:rsid w:val="00B307D4"/>
    <w:rsid w:val="00B30A88"/>
    <w:rsid w:val="00B30D15"/>
    <w:rsid w:val="00B311BC"/>
    <w:rsid w:val="00B315D9"/>
    <w:rsid w:val="00B31AB4"/>
    <w:rsid w:val="00B31CC7"/>
    <w:rsid w:val="00B322B2"/>
    <w:rsid w:val="00B32C5C"/>
    <w:rsid w:val="00B33AD2"/>
    <w:rsid w:val="00B34262"/>
    <w:rsid w:val="00B34DCF"/>
    <w:rsid w:val="00B352F7"/>
    <w:rsid w:val="00B359B7"/>
    <w:rsid w:val="00B35D32"/>
    <w:rsid w:val="00B35DDA"/>
    <w:rsid w:val="00B361FD"/>
    <w:rsid w:val="00B36B31"/>
    <w:rsid w:val="00B37202"/>
    <w:rsid w:val="00B40357"/>
    <w:rsid w:val="00B412A2"/>
    <w:rsid w:val="00B418F0"/>
    <w:rsid w:val="00B41F79"/>
    <w:rsid w:val="00B4234E"/>
    <w:rsid w:val="00B427F5"/>
    <w:rsid w:val="00B430D8"/>
    <w:rsid w:val="00B4349E"/>
    <w:rsid w:val="00B439F7"/>
    <w:rsid w:val="00B43BB4"/>
    <w:rsid w:val="00B43CDB"/>
    <w:rsid w:val="00B43D1B"/>
    <w:rsid w:val="00B4518C"/>
    <w:rsid w:val="00B458C6"/>
    <w:rsid w:val="00B459B4"/>
    <w:rsid w:val="00B45A06"/>
    <w:rsid w:val="00B45BF2"/>
    <w:rsid w:val="00B45EC0"/>
    <w:rsid w:val="00B45FE6"/>
    <w:rsid w:val="00B4698E"/>
    <w:rsid w:val="00B46DD1"/>
    <w:rsid w:val="00B5005D"/>
    <w:rsid w:val="00B500D5"/>
    <w:rsid w:val="00B50260"/>
    <w:rsid w:val="00B50731"/>
    <w:rsid w:val="00B50A2A"/>
    <w:rsid w:val="00B50FD0"/>
    <w:rsid w:val="00B5181A"/>
    <w:rsid w:val="00B51E77"/>
    <w:rsid w:val="00B51E85"/>
    <w:rsid w:val="00B51F9F"/>
    <w:rsid w:val="00B520A1"/>
    <w:rsid w:val="00B52760"/>
    <w:rsid w:val="00B52C8A"/>
    <w:rsid w:val="00B531F6"/>
    <w:rsid w:val="00B53499"/>
    <w:rsid w:val="00B53F5A"/>
    <w:rsid w:val="00B547D7"/>
    <w:rsid w:val="00B550EB"/>
    <w:rsid w:val="00B553A1"/>
    <w:rsid w:val="00B55AE8"/>
    <w:rsid w:val="00B55B9B"/>
    <w:rsid w:val="00B56037"/>
    <w:rsid w:val="00B56F1D"/>
    <w:rsid w:val="00B5711C"/>
    <w:rsid w:val="00B57672"/>
    <w:rsid w:val="00B578FA"/>
    <w:rsid w:val="00B57B25"/>
    <w:rsid w:val="00B57B36"/>
    <w:rsid w:val="00B601AA"/>
    <w:rsid w:val="00B6143E"/>
    <w:rsid w:val="00B61BBB"/>
    <w:rsid w:val="00B61E42"/>
    <w:rsid w:val="00B620A1"/>
    <w:rsid w:val="00B6212E"/>
    <w:rsid w:val="00B622EB"/>
    <w:rsid w:val="00B634D9"/>
    <w:rsid w:val="00B635DC"/>
    <w:rsid w:val="00B6462D"/>
    <w:rsid w:val="00B64662"/>
    <w:rsid w:val="00B64E0D"/>
    <w:rsid w:val="00B655AB"/>
    <w:rsid w:val="00B65970"/>
    <w:rsid w:val="00B65BB4"/>
    <w:rsid w:val="00B66359"/>
    <w:rsid w:val="00B66858"/>
    <w:rsid w:val="00B675AB"/>
    <w:rsid w:val="00B67C08"/>
    <w:rsid w:val="00B67EAF"/>
    <w:rsid w:val="00B70EBE"/>
    <w:rsid w:val="00B70F3B"/>
    <w:rsid w:val="00B712EC"/>
    <w:rsid w:val="00B71370"/>
    <w:rsid w:val="00B7176D"/>
    <w:rsid w:val="00B71EF2"/>
    <w:rsid w:val="00B72738"/>
    <w:rsid w:val="00B74613"/>
    <w:rsid w:val="00B74779"/>
    <w:rsid w:val="00B74DBD"/>
    <w:rsid w:val="00B74DD3"/>
    <w:rsid w:val="00B75B5E"/>
    <w:rsid w:val="00B7647B"/>
    <w:rsid w:val="00B766C2"/>
    <w:rsid w:val="00B7674F"/>
    <w:rsid w:val="00B76F47"/>
    <w:rsid w:val="00B77481"/>
    <w:rsid w:val="00B77918"/>
    <w:rsid w:val="00B77A23"/>
    <w:rsid w:val="00B804E9"/>
    <w:rsid w:val="00B80D05"/>
    <w:rsid w:val="00B81296"/>
    <w:rsid w:val="00B81845"/>
    <w:rsid w:val="00B81EAD"/>
    <w:rsid w:val="00B82213"/>
    <w:rsid w:val="00B8225B"/>
    <w:rsid w:val="00B82657"/>
    <w:rsid w:val="00B82C50"/>
    <w:rsid w:val="00B83304"/>
    <w:rsid w:val="00B83BD9"/>
    <w:rsid w:val="00B83CC6"/>
    <w:rsid w:val="00B8465A"/>
    <w:rsid w:val="00B849D9"/>
    <w:rsid w:val="00B84EF7"/>
    <w:rsid w:val="00B85604"/>
    <w:rsid w:val="00B85D13"/>
    <w:rsid w:val="00B85D4A"/>
    <w:rsid w:val="00B85E3D"/>
    <w:rsid w:val="00B85F62"/>
    <w:rsid w:val="00B85FDB"/>
    <w:rsid w:val="00B87BCE"/>
    <w:rsid w:val="00B87C00"/>
    <w:rsid w:val="00B87C5D"/>
    <w:rsid w:val="00B90537"/>
    <w:rsid w:val="00B905F8"/>
    <w:rsid w:val="00B90698"/>
    <w:rsid w:val="00B90CC0"/>
    <w:rsid w:val="00B90DAB"/>
    <w:rsid w:val="00B9194B"/>
    <w:rsid w:val="00B91B1B"/>
    <w:rsid w:val="00B926AF"/>
    <w:rsid w:val="00B92FD3"/>
    <w:rsid w:val="00B93038"/>
    <w:rsid w:val="00B9314D"/>
    <w:rsid w:val="00B93163"/>
    <w:rsid w:val="00B93738"/>
    <w:rsid w:val="00B93A08"/>
    <w:rsid w:val="00B9416D"/>
    <w:rsid w:val="00B94183"/>
    <w:rsid w:val="00B9430B"/>
    <w:rsid w:val="00B94527"/>
    <w:rsid w:val="00B946A0"/>
    <w:rsid w:val="00B94FEF"/>
    <w:rsid w:val="00B9559B"/>
    <w:rsid w:val="00B957A1"/>
    <w:rsid w:val="00B96120"/>
    <w:rsid w:val="00B9640D"/>
    <w:rsid w:val="00B96635"/>
    <w:rsid w:val="00B970C6"/>
    <w:rsid w:val="00B97470"/>
    <w:rsid w:val="00B97769"/>
    <w:rsid w:val="00B97A01"/>
    <w:rsid w:val="00BA0325"/>
    <w:rsid w:val="00BA04B1"/>
    <w:rsid w:val="00BA0752"/>
    <w:rsid w:val="00BA13D9"/>
    <w:rsid w:val="00BA1E89"/>
    <w:rsid w:val="00BA20E4"/>
    <w:rsid w:val="00BA2D05"/>
    <w:rsid w:val="00BA302A"/>
    <w:rsid w:val="00BA36B7"/>
    <w:rsid w:val="00BA39ED"/>
    <w:rsid w:val="00BA3D7E"/>
    <w:rsid w:val="00BA685C"/>
    <w:rsid w:val="00BA6862"/>
    <w:rsid w:val="00BA720A"/>
    <w:rsid w:val="00BA7728"/>
    <w:rsid w:val="00BA7A4E"/>
    <w:rsid w:val="00BA7CFF"/>
    <w:rsid w:val="00BB09B2"/>
    <w:rsid w:val="00BB147A"/>
    <w:rsid w:val="00BB19F2"/>
    <w:rsid w:val="00BB1D54"/>
    <w:rsid w:val="00BB2056"/>
    <w:rsid w:val="00BB2813"/>
    <w:rsid w:val="00BB3757"/>
    <w:rsid w:val="00BB5000"/>
    <w:rsid w:val="00BB54C6"/>
    <w:rsid w:val="00BB5D2F"/>
    <w:rsid w:val="00BB6612"/>
    <w:rsid w:val="00BB6730"/>
    <w:rsid w:val="00BB6E3D"/>
    <w:rsid w:val="00BC08F5"/>
    <w:rsid w:val="00BC0A03"/>
    <w:rsid w:val="00BC1C82"/>
    <w:rsid w:val="00BC22D4"/>
    <w:rsid w:val="00BC261D"/>
    <w:rsid w:val="00BC265C"/>
    <w:rsid w:val="00BC2BA4"/>
    <w:rsid w:val="00BC3B55"/>
    <w:rsid w:val="00BC4376"/>
    <w:rsid w:val="00BC45DC"/>
    <w:rsid w:val="00BC4D0E"/>
    <w:rsid w:val="00BC51E1"/>
    <w:rsid w:val="00BC5458"/>
    <w:rsid w:val="00BC5F77"/>
    <w:rsid w:val="00BC6024"/>
    <w:rsid w:val="00BC6073"/>
    <w:rsid w:val="00BC62D0"/>
    <w:rsid w:val="00BC752D"/>
    <w:rsid w:val="00BD05A0"/>
    <w:rsid w:val="00BD096B"/>
    <w:rsid w:val="00BD0A72"/>
    <w:rsid w:val="00BD1EEF"/>
    <w:rsid w:val="00BD2003"/>
    <w:rsid w:val="00BD26F1"/>
    <w:rsid w:val="00BD2C70"/>
    <w:rsid w:val="00BD3762"/>
    <w:rsid w:val="00BD38C1"/>
    <w:rsid w:val="00BD4B95"/>
    <w:rsid w:val="00BD50C7"/>
    <w:rsid w:val="00BD53D6"/>
    <w:rsid w:val="00BD5C61"/>
    <w:rsid w:val="00BD5FA9"/>
    <w:rsid w:val="00BD6571"/>
    <w:rsid w:val="00BD7413"/>
    <w:rsid w:val="00BD7895"/>
    <w:rsid w:val="00BD7DD8"/>
    <w:rsid w:val="00BE0156"/>
    <w:rsid w:val="00BE02FD"/>
    <w:rsid w:val="00BE098F"/>
    <w:rsid w:val="00BE0CA3"/>
    <w:rsid w:val="00BE0D77"/>
    <w:rsid w:val="00BE14EA"/>
    <w:rsid w:val="00BE1D82"/>
    <w:rsid w:val="00BE1E4F"/>
    <w:rsid w:val="00BE1F81"/>
    <w:rsid w:val="00BE2318"/>
    <w:rsid w:val="00BE2B81"/>
    <w:rsid w:val="00BE3868"/>
    <w:rsid w:val="00BE3BCF"/>
    <w:rsid w:val="00BE3D3F"/>
    <w:rsid w:val="00BE3EF8"/>
    <w:rsid w:val="00BE3F03"/>
    <w:rsid w:val="00BE4C0B"/>
    <w:rsid w:val="00BE55B3"/>
    <w:rsid w:val="00BE574B"/>
    <w:rsid w:val="00BE5AC3"/>
    <w:rsid w:val="00BE6013"/>
    <w:rsid w:val="00BE606B"/>
    <w:rsid w:val="00BE69D2"/>
    <w:rsid w:val="00BE78A8"/>
    <w:rsid w:val="00BE78CC"/>
    <w:rsid w:val="00BE7C53"/>
    <w:rsid w:val="00BF0923"/>
    <w:rsid w:val="00BF1287"/>
    <w:rsid w:val="00BF18A0"/>
    <w:rsid w:val="00BF1C33"/>
    <w:rsid w:val="00BF2A82"/>
    <w:rsid w:val="00BF2B1A"/>
    <w:rsid w:val="00BF2EB7"/>
    <w:rsid w:val="00BF2F2C"/>
    <w:rsid w:val="00BF345C"/>
    <w:rsid w:val="00BF3BB5"/>
    <w:rsid w:val="00BF439B"/>
    <w:rsid w:val="00BF5FF7"/>
    <w:rsid w:val="00BF67C8"/>
    <w:rsid w:val="00BF761A"/>
    <w:rsid w:val="00BF7BBF"/>
    <w:rsid w:val="00BF7D06"/>
    <w:rsid w:val="00BF7F4B"/>
    <w:rsid w:val="00C00320"/>
    <w:rsid w:val="00C01307"/>
    <w:rsid w:val="00C01501"/>
    <w:rsid w:val="00C01C5E"/>
    <w:rsid w:val="00C021BA"/>
    <w:rsid w:val="00C0318D"/>
    <w:rsid w:val="00C03419"/>
    <w:rsid w:val="00C04FF7"/>
    <w:rsid w:val="00C0505B"/>
    <w:rsid w:val="00C0592E"/>
    <w:rsid w:val="00C05E7E"/>
    <w:rsid w:val="00C06070"/>
    <w:rsid w:val="00C06B8F"/>
    <w:rsid w:val="00C06F83"/>
    <w:rsid w:val="00C0731F"/>
    <w:rsid w:val="00C079E2"/>
    <w:rsid w:val="00C10328"/>
    <w:rsid w:val="00C10B33"/>
    <w:rsid w:val="00C10C07"/>
    <w:rsid w:val="00C120D7"/>
    <w:rsid w:val="00C1285B"/>
    <w:rsid w:val="00C1298F"/>
    <w:rsid w:val="00C12BDD"/>
    <w:rsid w:val="00C12C19"/>
    <w:rsid w:val="00C1348B"/>
    <w:rsid w:val="00C136C6"/>
    <w:rsid w:val="00C14412"/>
    <w:rsid w:val="00C1499C"/>
    <w:rsid w:val="00C14E0A"/>
    <w:rsid w:val="00C15836"/>
    <w:rsid w:val="00C15CEB"/>
    <w:rsid w:val="00C1634F"/>
    <w:rsid w:val="00C1672F"/>
    <w:rsid w:val="00C202DA"/>
    <w:rsid w:val="00C20723"/>
    <w:rsid w:val="00C20A5C"/>
    <w:rsid w:val="00C214A8"/>
    <w:rsid w:val="00C21812"/>
    <w:rsid w:val="00C21936"/>
    <w:rsid w:val="00C22463"/>
    <w:rsid w:val="00C224E7"/>
    <w:rsid w:val="00C226E0"/>
    <w:rsid w:val="00C22D46"/>
    <w:rsid w:val="00C22D9A"/>
    <w:rsid w:val="00C23A1A"/>
    <w:rsid w:val="00C24854"/>
    <w:rsid w:val="00C252CA"/>
    <w:rsid w:val="00C25FA5"/>
    <w:rsid w:val="00C26B42"/>
    <w:rsid w:val="00C26E84"/>
    <w:rsid w:val="00C2719D"/>
    <w:rsid w:val="00C271EE"/>
    <w:rsid w:val="00C27C71"/>
    <w:rsid w:val="00C27CA3"/>
    <w:rsid w:val="00C30734"/>
    <w:rsid w:val="00C31717"/>
    <w:rsid w:val="00C31BA5"/>
    <w:rsid w:val="00C32ECB"/>
    <w:rsid w:val="00C3337F"/>
    <w:rsid w:val="00C33433"/>
    <w:rsid w:val="00C33A1C"/>
    <w:rsid w:val="00C33FE0"/>
    <w:rsid w:val="00C342F2"/>
    <w:rsid w:val="00C34331"/>
    <w:rsid w:val="00C345A2"/>
    <w:rsid w:val="00C34719"/>
    <w:rsid w:val="00C34CC9"/>
    <w:rsid w:val="00C35082"/>
    <w:rsid w:val="00C35780"/>
    <w:rsid w:val="00C36BB8"/>
    <w:rsid w:val="00C36D02"/>
    <w:rsid w:val="00C4018C"/>
    <w:rsid w:val="00C40BED"/>
    <w:rsid w:val="00C41019"/>
    <w:rsid w:val="00C416D9"/>
    <w:rsid w:val="00C41739"/>
    <w:rsid w:val="00C41B35"/>
    <w:rsid w:val="00C4202E"/>
    <w:rsid w:val="00C4234E"/>
    <w:rsid w:val="00C43D2F"/>
    <w:rsid w:val="00C446EC"/>
    <w:rsid w:val="00C447E6"/>
    <w:rsid w:val="00C45298"/>
    <w:rsid w:val="00C45A33"/>
    <w:rsid w:val="00C45D71"/>
    <w:rsid w:val="00C45E5F"/>
    <w:rsid w:val="00C45E7E"/>
    <w:rsid w:val="00C46A75"/>
    <w:rsid w:val="00C4701A"/>
    <w:rsid w:val="00C47855"/>
    <w:rsid w:val="00C47DC0"/>
    <w:rsid w:val="00C504BA"/>
    <w:rsid w:val="00C5088F"/>
    <w:rsid w:val="00C50939"/>
    <w:rsid w:val="00C51065"/>
    <w:rsid w:val="00C51922"/>
    <w:rsid w:val="00C51E81"/>
    <w:rsid w:val="00C529DB"/>
    <w:rsid w:val="00C52A4F"/>
    <w:rsid w:val="00C532AA"/>
    <w:rsid w:val="00C53899"/>
    <w:rsid w:val="00C551A9"/>
    <w:rsid w:val="00C55441"/>
    <w:rsid w:val="00C55840"/>
    <w:rsid w:val="00C55E30"/>
    <w:rsid w:val="00C55EBF"/>
    <w:rsid w:val="00C56DD0"/>
    <w:rsid w:val="00C57397"/>
    <w:rsid w:val="00C60231"/>
    <w:rsid w:val="00C60A21"/>
    <w:rsid w:val="00C60B75"/>
    <w:rsid w:val="00C61D9E"/>
    <w:rsid w:val="00C62E43"/>
    <w:rsid w:val="00C6316A"/>
    <w:rsid w:val="00C633AA"/>
    <w:rsid w:val="00C63871"/>
    <w:rsid w:val="00C63B5B"/>
    <w:rsid w:val="00C63D00"/>
    <w:rsid w:val="00C64206"/>
    <w:rsid w:val="00C64FD4"/>
    <w:rsid w:val="00C65571"/>
    <w:rsid w:val="00C65D15"/>
    <w:rsid w:val="00C664C4"/>
    <w:rsid w:val="00C668A8"/>
    <w:rsid w:val="00C66C38"/>
    <w:rsid w:val="00C66F2D"/>
    <w:rsid w:val="00C66FDB"/>
    <w:rsid w:val="00C6763B"/>
    <w:rsid w:val="00C6790D"/>
    <w:rsid w:val="00C67C19"/>
    <w:rsid w:val="00C67EB1"/>
    <w:rsid w:val="00C703CB"/>
    <w:rsid w:val="00C7063A"/>
    <w:rsid w:val="00C70824"/>
    <w:rsid w:val="00C70869"/>
    <w:rsid w:val="00C70977"/>
    <w:rsid w:val="00C71446"/>
    <w:rsid w:val="00C714C3"/>
    <w:rsid w:val="00C71B11"/>
    <w:rsid w:val="00C71B37"/>
    <w:rsid w:val="00C726DC"/>
    <w:rsid w:val="00C72A5D"/>
    <w:rsid w:val="00C72A73"/>
    <w:rsid w:val="00C72BCD"/>
    <w:rsid w:val="00C7353D"/>
    <w:rsid w:val="00C735CA"/>
    <w:rsid w:val="00C736FC"/>
    <w:rsid w:val="00C7428C"/>
    <w:rsid w:val="00C75099"/>
    <w:rsid w:val="00C75299"/>
    <w:rsid w:val="00C75BCF"/>
    <w:rsid w:val="00C7615F"/>
    <w:rsid w:val="00C7620F"/>
    <w:rsid w:val="00C767BE"/>
    <w:rsid w:val="00C76B5A"/>
    <w:rsid w:val="00C76C0C"/>
    <w:rsid w:val="00C77803"/>
    <w:rsid w:val="00C77A70"/>
    <w:rsid w:val="00C77E15"/>
    <w:rsid w:val="00C800BF"/>
    <w:rsid w:val="00C820AA"/>
    <w:rsid w:val="00C8233A"/>
    <w:rsid w:val="00C82A6B"/>
    <w:rsid w:val="00C82C68"/>
    <w:rsid w:val="00C82E4F"/>
    <w:rsid w:val="00C83450"/>
    <w:rsid w:val="00C837F8"/>
    <w:rsid w:val="00C84577"/>
    <w:rsid w:val="00C84DB5"/>
    <w:rsid w:val="00C84F7C"/>
    <w:rsid w:val="00C85A8E"/>
    <w:rsid w:val="00C85BB0"/>
    <w:rsid w:val="00C865CF"/>
    <w:rsid w:val="00C86FF5"/>
    <w:rsid w:val="00C8716C"/>
    <w:rsid w:val="00C90BB2"/>
    <w:rsid w:val="00C912B0"/>
    <w:rsid w:val="00C9176D"/>
    <w:rsid w:val="00C921E9"/>
    <w:rsid w:val="00C92F3C"/>
    <w:rsid w:val="00C92F78"/>
    <w:rsid w:val="00C92FF6"/>
    <w:rsid w:val="00C938FB"/>
    <w:rsid w:val="00C94539"/>
    <w:rsid w:val="00C94765"/>
    <w:rsid w:val="00C949DE"/>
    <w:rsid w:val="00C95464"/>
    <w:rsid w:val="00C956D8"/>
    <w:rsid w:val="00C95E80"/>
    <w:rsid w:val="00C96E71"/>
    <w:rsid w:val="00C96F11"/>
    <w:rsid w:val="00C973C3"/>
    <w:rsid w:val="00CA11A2"/>
    <w:rsid w:val="00CA1313"/>
    <w:rsid w:val="00CA19A8"/>
    <w:rsid w:val="00CA2507"/>
    <w:rsid w:val="00CA2818"/>
    <w:rsid w:val="00CA2C04"/>
    <w:rsid w:val="00CA2DFC"/>
    <w:rsid w:val="00CA33A8"/>
    <w:rsid w:val="00CA369A"/>
    <w:rsid w:val="00CA3B05"/>
    <w:rsid w:val="00CA41EA"/>
    <w:rsid w:val="00CA4AC3"/>
    <w:rsid w:val="00CA4B62"/>
    <w:rsid w:val="00CA4D42"/>
    <w:rsid w:val="00CA4F36"/>
    <w:rsid w:val="00CA5166"/>
    <w:rsid w:val="00CA5542"/>
    <w:rsid w:val="00CA60EB"/>
    <w:rsid w:val="00CA6739"/>
    <w:rsid w:val="00CA79AA"/>
    <w:rsid w:val="00CB0F92"/>
    <w:rsid w:val="00CB112D"/>
    <w:rsid w:val="00CB12A5"/>
    <w:rsid w:val="00CB21C5"/>
    <w:rsid w:val="00CB283B"/>
    <w:rsid w:val="00CB2B8F"/>
    <w:rsid w:val="00CB35DC"/>
    <w:rsid w:val="00CB370D"/>
    <w:rsid w:val="00CB38C7"/>
    <w:rsid w:val="00CB3E69"/>
    <w:rsid w:val="00CB4197"/>
    <w:rsid w:val="00CB4444"/>
    <w:rsid w:val="00CB462D"/>
    <w:rsid w:val="00CB482A"/>
    <w:rsid w:val="00CB4867"/>
    <w:rsid w:val="00CB4BB8"/>
    <w:rsid w:val="00CB4ED6"/>
    <w:rsid w:val="00CB6681"/>
    <w:rsid w:val="00CB6BD2"/>
    <w:rsid w:val="00CB789F"/>
    <w:rsid w:val="00CC18E1"/>
    <w:rsid w:val="00CC268D"/>
    <w:rsid w:val="00CC34BB"/>
    <w:rsid w:val="00CC3B84"/>
    <w:rsid w:val="00CC3D91"/>
    <w:rsid w:val="00CC44C7"/>
    <w:rsid w:val="00CC46EB"/>
    <w:rsid w:val="00CC64EA"/>
    <w:rsid w:val="00CC66CD"/>
    <w:rsid w:val="00CC6F13"/>
    <w:rsid w:val="00CC79BF"/>
    <w:rsid w:val="00CD10BF"/>
    <w:rsid w:val="00CD137A"/>
    <w:rsid w:val="00CD2155"/>
    <w:rsid w:val="00CD25F8"/>
    <w:rsid w:val="00CD26D8"/>
    <w:rsid w:val="00CD31FF"/>
    <w:rsid w:val="00CD36D6"/>
    <w:rsid w:val="00CD42A0"/>
    <w:rsid w:val="00CD53A1"/>
    <w:rsid w:val="00CD5428"/>
    <w:rsid w:val="00CD5BC7"/>
    <w:rsid w:val="00CD5E10"/>
    <w:rsid w:val="00CD5E76"/>
    <w:rsid w:val="00CD7086"/>
    <w:rsid w:val="00CD729C"/>
    <w:rsid w:val="00CD761B"/>
    <w:rsid w:val="00CD77AB"/>
    <w:rsid w:val="00CD786A"/>
    <w:rsid w:val="00CD7E8B"/>
    <w:rsid w:val="00CE00EC"/>
    <w:rsid w:val="00CE0728"/>
    <w:rsid w:val="00CE079B"/>
    <w:rsid w:val="00CE119B"/>
    <w:rsid w:val="00CE1355"/>
    <w:rsid w:val="00CE2295"/>
    <w:rsid w:val="00CE2502"/>
    <w:rsid w:val="00CE2686"/>
    <w:rsid w:val="00CE2F9E"/>
    <w:rsid w:val="00CE43F9"/>
    <w:rsid w:val="00CE4B7E"/>
    <w:rsid w:val="00CE527C"/>
    <w:rsid w:val="00CE6014"/>
    <w:rsid w:val="00CE6123"/>
    <w:rsid w:val="00CF02D4"/>
    <w:rsid w:val="00CF11C2"/>
    <w:rsid w:val="00CF162F"/>
    <w:rsid w:val="00CF2754"/>
    <w:rsid w:val="00CF2A5B"/>
    <w:rsid w:val="00CF2D14"/>
    <w:rsid w:val="00CF3AB7"/>
    <w:rsid w:val="00CF3C70"/>
    <w:rsid w:val="00CF3F3E"/>
    <w:rsid w:val="00CF4AD7"/>
    <w:rsid w:val="00CF4ED5"/>
    <w:rsid w:val="00CF5133"/>
    <w:rsid w:val="00CF5D26"/>
    <w:rsid w:val="00CF5FA3"/>
    <w:rsid w:val="00CF7635"/>
    <w:rsid w:val="00CF77D4"/>
    <w:rsid w:val="00CF78E9"/>
    <w:rsid w:val="00D00084"/>
    <w:rsid w:val="00D00415"/>
    <w:rsid w:val="00D00AA5"/>
    <w:rsid w:val="00D013AA"/>
    <w:rsid w:val="00D015BC"/>
    <w:rsid w:val="00D025D0"/>
    <w:rsid w:val="00D02B0C"/>
    <w:rsid w:val="00D02ED1"/>
    <w:rsid w:val="00D03165"/>
    <w:rsid w:val="00D033D9"/>
    <w:rsid w:val="00D03C3C"/>
    <w:rsid w:val="00D04540"/>
    <w:rsid w:val="00D048FB"/>
    <w:rsid w:val="00D04E08"/>
    <w:rsid w:val="00D05067"/>
    <w:rsid w:val="00D0565B"/>
    <w:rsid w:val="00D05D43"/>
    <w:rsid w:val="00D06079"/>
    <w:rsid w:val="00D0616A"/>
    <w:rsid w:val="00D062B3"/>
    <w:rsid w:val="00D06791"/>
    <w:rsid w:val="00D06B16"/>
    <w:rsid w:val="00D06F71"/>
    <w:rsid w:val="00D07502"/>
    <w:rsid w:val="00D10F79"/>
    <w:rsid w:val="00D11798"/>
    <w:rsid w:val="00D11E96"/>
    <w:rsid w:val="00D1234D"/>
    <w:rsid w:val="00D12ACA"/>
    <w:rsid w:val="00D1335D"/>
    <w:rsid w:val="00D13390"/>
    <w:rsid w:val="00D13424"/>
    <w:rsid w:val="00D13540"/>
    <w:rsid w:val="00D13EEA"/>
    <w:rsid w:val="00D145E4"/>
    <w:rsid w:val="00D14A9E"/>
    <w:rsid w:val="00D150E4"/>
    <w:rsid w:val="00D15402"/>
    <w:rsid w:val="00D1548E"/>
    <w:rsid w:val="00D169B8"/>
    <w:rsid w:val="00D16B58"/>
    <w:rsid w:val="00D16D5D"/>
    <w:rsid w:val="00D172E4"/>
    <w:rsid w:val="00D17416"/>
    <w:rsid w:val="00D2060E"/>
    <w:rsid w:val="00D206E5"/>
    <w:rsid w:val="00D207A6"/>
    <w:rsid w:val="00D21A53"/>
    <w:rsid w:val="00D223CB"/>
    <w:rsid w:val="00D22BD2"/>
    <w:rsid w:val="00D238F9"/>
    <w:rsid w:val="00D24113"/>
    <w:rsid w:val="00D2439A"/>
    <w:rsid w:val="00D24E2B"/>
    <w:rsid w:val="00D25359"/>
    <w:rsid w:val="00D25A6D"/>
    <w:rsid w:val="00D25AE7"/>
    <w:rsid w:val="00D26B40"/>
    <w:rsid w:val="00D26CF7"/>
    <w:rsid w:val="00D27261"/>
    <w:rsid w:val="00D277D2"/>
    <w:rsid w:val="00D27A94"/>
    <w:rsid w:val="00D30097"/>
    <w:rsid w:val="00D302F1"/>
    <w:rsid w:val="00D3055A"/>
    <w:rsid w:val="00D31AAE"/>
    <w:rsid w:val="00D31D4F"/>
    <w:rsid w:val="00D31FCD"/>
    <w:rsid w:val="00D3358B"/>
    <w:rsid w:val="00D337FE"/>
    <w:rsid w:val="00D33D2F"/>
    <w:rsid w:val="00D36E40"/>
    <w:rsid w:val="00D36F18"/>
    <w:rsid w:val="00D37D57"/>
    <w:rsid w:val="00D41C2C"/>
    <w:rsid w:val="00D4268F"/>
    <w:rsid w:val="00D42A71"/>
    <w:rsid w:val="00D42A9B"/>
    <w:rsid w:val="00D42B3C"/>
    <w:rsid w:val="00D42CA6"/>
    <w:rsid w:val="00D42EA1"/>
    <w:rsid w:val="00D43A7D"/>
    <w:rsid w:val="00D43D8A"/>
    <w:rsid w:val="00D44DE9"/>
    <w:rsid w:val="00D4553C"/>
    <w:rsid w:val="00D4605D"/>
    <w:rsid w:val="00D46D32"/>
    <w:rsid w:val="00D47783"/>
    <w:rsid w:val="00D4779A"/>
    <w:rsid w:val="00D478B4"/>
    <w:rsid w:val="00D47CDB"/>
    <w:rsid w:val="00D50682"/>
    <w:rsid w:val="00D50964"/>
    <w:rsid w:val="00D50A05"/>
    <w:rsid w:val="00D50CFF"/>
    <w:rsid w:val="00D5191A"/>
    <w:rsid w:val="00D51A43"/>
    <w:rsid w:val="00D52228"/>
    <w:rsid w:val="00D53098"/>
    <w:rsid w:val="00D53209"/>
    <w:rsid w:val="00D5342D"/>
    <w:rsid w:val="00D5358E"/>
    <w:rsid w:val="00D53CF5"/>
    <w:rsid w:val="00D544B3"/>
    <w:rsid w:val="00D545C6"/>
    <w:rsid w:val="00D54766"/>
    <w:rsid w:val="00D5550F"/>
    <w:rsid w:val="00D55631"/>
    <w:rsid w:val="00D55822"/>
    <w:rsid w:val="00D559E9"/>
    <w:rsid w:val="00D55C37"/>
    <w:rsid w:val="00D55FEE"/>
    <w:rsid w:val="00D5667F"/>
    <w:rsid w:val="00D56C5B"/>
    <w:rsid w:val="00D57E56"/>
    <w:rsid w:val="00D604E9"/>
    <w:rsid w:val="00D6055A"/>
    <w:rsid w:val="00D60763"/>
    <w:rsid w:val="00D617CE"/>
    <w:rsid w:val="00D61D7A"/>
    <w:rsid w:val="00D62BF7"/>
    <w:rsid w:val="00D63757"/>
    <w:rsid w:val="00D637AC"/>
    <w:rsid w:val="00D639C4"/>
    <w:rsid w:val="00D63EC4"/>
    <w:rsid w:val="00D642C7"/>
    <w:rsid w:val="00D645A9"/>
    <w:rsid w:val="00D64736"/>
    <w:rsid w:val="00D64743"/>
    <w:rsid w:val="00D64DCC"/>
    <w:rsid w:val="00D64E95"/>
    <w:rsid w:val="00D653E3"/>
    <w:rsid w:val="00D65772"/>
    <w:rsid w:val="00D65959"/>
    <w:rsid w:val="00D65A3D"/>
    <w:rsid w:val="00D65E4A"/>
    <w:rsid w:val="00D662C1"/>
    <w:rsid w:val="00D669EA"/>
    <w:rsid w:val="00D66C2C"/>
    <w:rsid w:val="00D66FDA"/>
    <w:rsid w:val="00D67502"/>
    <w:rsid w:val="00D677E7"/>
    <w:rsid w:val="00D67AB1"/>
    <w:rsid w:val="00D7069C"/>
    <w:rsid w:val="00D728B0"/>
    <w:rsid w:val="00D7401D"/>
    <w:rsid w:val="00D745E7"/>
    <w:rsid w:val="00D74CB9"/>
    <w:rsid w:val="00D74D0B"/>
    <w:rsid w:val="00D750DB"/>
    <w:rsid w:val="00D7569A"/>
    <w:rsid w:val="00D756CE"/>
    <w:rsid w:val="00D7622A"/>
    <w:rsid w:val="00D77B11"/>
    <w:rsid w:val="00D77DDB"/>
    <w:rsid w:val="00D8013F"/>
    <w:rsid w:val="00D8034A"/>
    <w:rsid w:val="00D80B4C"/>
    <w:rsid w:val="00D8113C"/>
    <w:rsid w:val="00D82435"/>
    <w:rsid w:val="00D82AD5"/>
    <w:rsid w:val="00D82F13"/>
    <w:rsid w:val="00D83D9D"/>
    <w:rsid w:val="00D841B0"/>
    <w:rsid w:val="00D84D75"/>
    <w:rsid w:val="00D850BA"/>
    <w:rsid w:val="00D85CAC"/>
    <w:rsid w:val="00D85F55"/>
    <w:rsid w:val="00D86DDB"/>
    <w:rsid w:val="00D87240"/>
    <w:rsid w:val="00D905BC"/>
    <w:rsid w:val="00D90B8E"/>
    <w:rsid w:val="00D90E95"/>
    <w:rsid w:val="00D90EB1"/>
    <w:rsid w:val="00D91078"/>
    <w:rsid w:val="00D91910"/>
    <w:rsid w:val="00D91DF5"/>
    <w:rsid w:val="00D91FE3"/>
    <w:rsid w:val="00D92A0E"/>
    <w:rsid w:val="00D92FC8"/>
    <w:rsid w:val="00D9387A"/>
    <w:rsid w:val="00D93C13"/>
    <w:rsid w:val="00D93EA6"/>
    <w:rsid w:val="00D942B0"/>
    <w:rsid w:val="00D94317"/>
    <w:rsid w:val="00D94400"/>
    <w:rsid w:val="00D94445"/>
    <w:rsid w:val="00D944CB"/>
    <w:rsid w:val="00D949F3"/>
    <w:rsid w:val="00D95E6F"/>
    <w:rsid w:val="00D96363"/>
    <w:rsid w:val="00D96A3B"/>
    <w:rsid w:val="00D96AAD"/>
    <w:rsid w:val="00D96BD7"/>
    <w:rsid w:val="00D97893"/>
    <w:rsid w:val="00DA0193"/>
    <w:rsid w:val="00DA0739"/>
    <w:rsid w:val="00DA11FC"/>
    <w:rsid w:val="00DA1C43"/>
    <w:rsid w:val="00DA1F26"/>
    <w:rsid w:val="00DA1FD0"/>
    <w:rsid w:val="00DA20A8"/>
    <w:rsid w:val="00DA3302"/>
    <w:rsid w:val="00DA5005"/>
    <w:rsid w:val="00DA56A4"/>
    <w:rsid w:val="00DA5A99"/>
    <w:rsid w:val="00DA62E7"/>
    <w:rsid w:val="00DA67A9"/>
    <w:rsid w:val="00DA6D13"/>
    <w:rsid w:val="00DA6E70"/>
    <w:rsid w:val="00DA7437"/>
    <w:rsid w:val="00DB0194"/>
    <w:rsid w:val="00DB03ED"/>
    <w:rsid w:val="00DB08E3"/>
    <w:rsid w:val="00DB1719"/>
    <w:rsid w:val="00DB18C8"/>
    <w:rsid w:val="00DB2243"/>
    <w:rsid w:val="00DB24BE"/>
    <w:rsid w:val="00DB288A"/>
    <w:rsid w:val="00DB2D7B"/>
    <w:rsid w:val="00DB417C"/>
    <w:rsid w:val="00DB4BC9"/>
    <w:rsid w:val="00DB5ABD"/>
    <w:rsid w:val="00DB5BDB"/>
    <w:rsid w:val="00DB5ED4"/>
    <w:rsid w:val="00DB6533"/>
    <w:rsid w:val="00DB6EB8"/>
    <w:rsid w:val="00DB7427"/>
    <w:rsid w:val="00DB74E0"/>
    <w:rsid w:val="00DC0A34"/>
    <w:rsid w:val="00DC0E1F"/>
    <w:rsid w:val="00DC1185"/>
    <w:rsid w:val="00DC1671"/>
    <w:rsid w:val="00DC1A38"/>
    <w:rsid w:val="00DC1C6C"/>
    <w:rsid w:val="00DC2A46"/>
    <w:rsid w:val="00DC3B2A"/>
    <w:rsid w:val="00DC44CC"/>
    <w:rsid w:val="00DC47D4"/>
    <w:rsid w:val="00DC4990"/>
    <w:rsid w:val="00DC506E"/>
    <w:rsid w:val="00DC52B3"/>
    <w:rsid w:val="00DC53F4"/>
    <w:rsid w:val="00DC5703"/>
    <w:rsid w:val="00DC574A"/>
    <w:rsid w:val="00DC5A60"/>
    <w:rsid w:val="00DC66A8"/>
    <w:rsid w:val="00DC6E12"/>
    <w:rsid w:val="00DC732B"/>
    <w:rsid w:val="00DC7BC7"/>
    <w:rsid w:val="00DC7CD4"/>
    <w:rsid w:val="00DD07EF"/>
    <w:rsid w:val="00DD093E"/>
    <w:rsid w:val="00DD0F0C"/>
    <w:rsid w:val="00DD20EC"/>
    <w:rsid w:val="00DD2316"/>
    <w:rsid w:val="00DD2365"/>
    <w:rsid w:val="00DD241A"/>
    <w:rsid w:val="00DD2553"/>
    <w:rsid w:val="00DD3148"/>
    <w:rsid w:val="00DD38AE"/>
    <w:rsid w:val="00DD39D6"/>
    <w:rsid w:val="00DD4A07"/>
    <w:rsid w:val="00DD556E"/>
    <w:rsid w:val="00DE0B30"/>
    <w:rsid w:val="00DE0FD7"/>
    <w:rsid w:val="00DE17AB"/>
    <w:rsid w:val="00DE1C7A"/>
    <w:rsid w:val="00DE2ECD"/>
    <w:rsid w:val="00DE2F79"/>
    <w:rsid w:val="00DE3B38"/>
    <w:rsid w:val="00DE3C0C"/>
    <w:rsid w:val="00DE3F2F"/>
    <w:rsid w:val="00DE6207"/>
    <w:rsid w:val="00DE62C8"/>
    <w:rsid w:val="00DE698E"/>
    <w:rsid w:val="00DE6BCD"/>
    <w:rsid w:val="00DE7180"/>
    <w:rsid w:val="00DE7E32"/>
    <w:rsid w:val="00DF02E8"/>
    <w:rsid w:val="00DF0539"/>
    <w:rsid w:val="00DF1200"/>
    <w:rsid w:val="00DF14BA"/>
    <w:rsid w:val="00DF1B04"/>
    <w:rsid w:val="00DF3EDD"/>
    <w:rsid w:val="00DF4893"/>
    <w:rsid w:val="00DF512F"/>
    <w:rsid w:val="00DF554C"/>
    <w:rsid w:val="00DF5A61"/>
    <w:rsid w:val="00DF5C14"/>
    <w:rsid w:val="00DF60D4"/>
    <w:rsid w:val="00DF6D08"/>
    <w:rsid w:val="00DF7769"/>
    <w:rsid w:val="00E00120"/>
    <w:rsid w:val="00E00617"/>
    <w:rsid w:val="00E00829"/>
    <w:rsid w:val="00E00A16"/>
    <w:rsid w:val="00E00D16"/>
    <w:rsid w:val="00E01075"/>
    <w:rsid w:val="00E01257"/>
    <w:rsid w:val="00E01F05"/>
    <w:rsid w:val="00E022D3"/>
    <w:rsid w:val="00E02357"/>
    <w:rsid w:val="00E023C9"/>
    <w:rsid w:val="00E0284D"/>
    <w:rsid w:val="00E028A8"/>
    <w:rsid w:val="00E02FC8"/>
    <w:rsid w:val="00E031A7"/>
    <w:rsid w:val="00E03469"/>
    <w:rsid w:val="00E03EE3"/>
    <w:rsid w:val="00E048E3"/>
    <w:rsid w:val="00E054E5"/>
    <w:rsid w:val="00E0596D"/>
    <w:rsid w:val="00E05A1D"/>
    <w:rsid w:val="00E05FB4"/>
    <w:rsid w:val="00E06A42"/>
    <w:rsid w:val="00E06D42"/>
    <w:rsid w:val="00E06E26"/>
    <w:rsid w:val="00E072A4"/>
    <w:rsid w:val="00E07842"/>
    <w:rsid w:val="00E10314"/>
    <w:rsid w:val="00E10A55"/>
    <w:rsid w:val="00E10DFD"/>
    <w:rsid w:val="00E11226"/>
    <w:rsid w:val="00E11AD8"/>
    <w:rsid w:val="00E12D2F"/>
    <w:rsid w:val="00E131FA"/>
    <w:rsid w:val="00E1447F"/>
    <w:rsid w:val="00E14609"/>
    <w:rsid w:val="00E1534B"/>
    <w:rsid w:val="00E15C29"/>
    <w:rsid w:val="00E17E1A"/>
    <w:rsid w:val="00E200D9"/>
    <w:rsid w:val="00E206E7"/>
    <w:rsid w:val="00E20A3C"/>
    <w:rsid w:val="00E21EBA"/>
    <w:rsid w:val="00E22962"/>
    <w:rsid w:val="00E22D53"/>
    <w:rsid w:val="00E232E8"/>
    <w:rsid w:val="00E234D1"/>
    <w:rsid w:val="00E23FF3"/>
    <w:rsid w:val="00E2451B"/>
    <w:rsid w:val="00E24E45"/>
    <w:rsid w:val="00E255AC"/>
    <w:rsid w:val="00E26422"/>
    <w:rsid w:val="00E269C4"/>
    <w:rsid w:val="00E26F5C"/>
    <w:rsid w:val="00E2720C"/>
    <w:rsid w:val="00E277D0"/>
    <w:rsid w:val="00E27BD8"/>
    <w:rsid w:val="00E30960"/>
    <w:rsid w:val="00E319CE"/>
    <w:rsid w:val="00E3249A"/>
    <w:rsid w:val="00E32DBB"/>
    <w:rsid w:val="00E32EE3"/>
    <w:rsid w:val="00E32FC4"/>
    <w:rsid w:val="00E3399C"/>
    <w:rsid w:val="00E3458A"/>
    <w:rsid w:val="00E34A31"/>
    <w:rsid w:val="00E34D0F"/>
    <w:rsid w:val="00E350DB"/>
    <w:rsid w:val="00E352EA"/>
    <w:rsid w:val="00E359DD"/>
    <w:rsid w:val="00E35E33"/>
    <w:rsid w:val="00E366E6"/>
    <w:rsid w:val="00E36AD7"/>
    <w:rsid w:val="00E37731"/>
    <w:rsid w:val="00E377CE"/>
    <w:rsid w:val="00E37FB8"/>
    <w:rsid w:val="00E37FE6"/>
    <w:rsid w:val="00E40FBF"/>
    <w:rsid w:val="00E4167E"/>
    <w:rsid w:val="00E41965"/>
    <w:rsid w:val="00E425F4"/>
    <w:rsid w:val="00E4288C"/>
    <w:rsid w:val="00E43C32"/>
    <w:rsid w:val="00E44944"/>
    <w:rsid w:val="00E4532D"/>
    <w:rsid w:val="00E45C3B"/>
    <w:rsid w:val="00E45DAB"/>
    <w:rsid w:val="00E465E5"/>
    <w:rsid w:val="00E465EC"/>
    <w:rsid w:val="00E47540"/>
    <w:rsid w:val="00E478A2"/>
    <w:rsid w:val="00E47EB1"/>
    <w:rsid w:val="00E51464"/>
    <w:rsid w:val="00E5174C"/>
    <w:rsid w:val="00E520D0"/>
    <w:rsid w:val="00E52244"/>
    <w:rsid w:val="00E52458"/>
    <w:rsid w:val="00E53026"/>
    <w:rsid w:val="00E53688"/>
    <w:rsid w:val="00E5435A"/>
    <w:rsid w:val="00E54FD8"/>
    <w:rsid w:val="00E558C2"/>
    <w:rsid w:val="00E55FDC"/>
    <w:rsid w:val="00E560AA"/>
    <w:rsid w:val="00E56AF4"/>
    <w:rsid w:val="00E57521"/>
    <w:rsid w:val="00E57804"/>
    <w:rsid w:val="00E607B7"/>
    <w:rsid w:val="00E60A24"/>
    <w:rsid w:val="00E60CF2"/>
    <w:rsid w:val="00E61692"/>
    <w:rsid w:val="00E616A9"/>
    <w:rsid w:val="00E61A81"/>
    <w:rsid w:val="00E61CB6"/>
    <w:rsid w:val="00E61EB3"/>
    <w:rsid w:val="00E6218D"/>
    <w:rsid w:val="00E62A78"/>
    <w:rsid w:val="00E63D6D"/>
    <w:rsid w:val="00E63E8F"/>
    <w:rsid w:val="00E63FC9"/>
    <w:rsid w:val="00E64565"/>
    <w:rsid w:val="00E6462B"/>
    <w:rsid w:val="00E6507A"/>
    <w:rsid w:val="00E65B53"/>
    <w:rsid w:val="00E66479"/>
    <w:rsid w:val="00E6671B"/>
    <w:rsid w:val="00E674DE"/>
    <w:rsid w:val="00E678A1"/>
    <w:rsid w:val="00E70141"/>
    <w:rsid w:val="00E705F7"/>
    <w:rsid w:val="00E707E7"/>
    <w:rsid w:val="00E7080D"/>
    <w:rsid w:val="00E70E79"/>
    <w:rsid w:val="00E70F65"/>
    <w:rsid w:val="00E713F2"/>
    <w:rsid w:val="00E723A7"/>
    <w:rsid w:val="00E7273D"/>
    <w:rsid w:val="00E72AB5"/>
    <w:rsid w:val="00E7306B"/>
    <w:rsid w:val="00E732B5"/>
    <w:rsid w:val="00E735DA"/>
    <w:rsid w:val="00E73FCF"/>
    <w:rsid w:val="00E74109"/>
    <w:rsid w:val="00E75A6F"/>
    <w:rsid w:val="00E760CB"/>
    <w:rsid w:val="00E760F9"/>
    <w:rsid w:val="00E76660"/>
    <w:rsid w:val="00E76D2C"/>
    <w:rsid w:val="00E76E0C"/>
    <w:rsid w:val="00E77505"/>
    <w:rsid w:val="00E77D91"/>
    <w:rsid w:val="00E80140"/>
    <w:rsid w:val="00E809E9"/>
    <w:rsid w:val="00E80AB3"/>
    <w:rsid w:val="00E81297"/>
    <w:rsid w:val="00E82268"/>
    <w:rsid w:val="00E83FE7"/>
    <w:rsid w:val="00E83FF1"/>
    <w:rsid w:val="00E844B0"/>
    <w:rsid w:val="00E8564D"/>
    <w:rsid w:val="00E86425"/>
    <w:rsid w:val="00E86581"/>
    <w:rsid w:val="00E86613"/>
    <w:rsid w:val="00E87551"/>
    <w:rsid w:val="00E87573"/>
    <w:rsid w:val="00E87D49"/>
    <w:rsid w:val="00E90A21"/>
    <w:rsid w:val="00E90C21"/>
    <w:rsid w:val="00E91570"/>
    <w:rsid w:val="00E91D39"/>
    <w:rsid w:val="00E9212F"/>
    <w:rsid w:val="00E92E47"/>
    <w:rsid w:val="00E9395C"/>
    <w:rsid w:val="00E93AD8"/>
    <w:rsid w:val="00E93CEF"/>
    <w:rsid w:val="00E93EF1"/>
    <w:rsid w:val="00E95744"/>
    <w:rsid w:val="00E9594C"/>
    <w:rsid w:val="00E95A8C"/>
    <w:rsid w:val="00E95F09"/>
    <w:rsid w:val="00E96211"/>
    <w:rsid w:val="00E9690D"/>
    <w:rsid w:val="00E972AD"/>
    <w:rsid w:val="00E97469"/>
    <w:rsid w:val="00E974A9"/>
    <w:rsid w:val="00E97781"/>
    <w:rsid w:val="00E97D6E"/>
    <w:rsid w:val="00E97E36"/>
    <w:rsid w:val="00EA0085"/>
    <w:rsid w:val="00EA13CD"/>
    <w:rsid w:val="00EA236E"/>
    <w:rsid w:val="00EA2AA2"/>
    <w:rsid w:val="00EA30F5"/>
    <w:rsid w:val="00EA3DA3"/>
    <w:rsid w:val="00EA41FE"/>
    <w:rsid w:val="00EA4872"/>
    <w:rsid w:val="00EA4921"/>
    <w:rsid w:val="00EA4AFC"/>
    <w:rsid w:val="00EA4CB8"/>
    <w:rsid w:val="00EA4E5E"/>
    <w:rsid w:val="00EA53B3"/>
    <w:rsid w:val="00EA59B7"/>
    <w:rsid w:val="00EA5B0D"/>
    <w:rsid w:val="00EA5D16"/>
    <w:rsid w:val="00EA653B"/>
    <w:rsid w:val="00EA717E"/>
    <w:rsid w:val="00EA7187"/>
    <w:rsid w:val="00EA71BC"/>
    <w:rsid w:val="00EA7C54"/>
    <w:rsid w:val="00EB06E9"/>
    <w:rsid w:val="00EB0B43"/>
    <w:rsid w:val="00EB0B7A"/>
    <w:rsid w:val="00EB1C1F"/>
    <w:rsid w:val="00EB23FD"/>
    <w:rsid w:val="00EB2566"/>
    <w:rsid w:val="00EB2D30"/>
    <w:rsid w:val="00EB2DDC"/>
    <w:rsid w:val="00EB352D"/>
    <w:rsid w:val="00EB3539"/>
    <w:rsid w:val="00EB35F1"/>
    <w:rsid w:val="00EB42FD"/>
    <w:rsid w:val="00EB492B"/>
    <w:rsid w:val="00EB4CB6"/>
    <w:rsid w:val="00EB50D9"/>
    <w:rsid w:val="00EB57F5"/>
    <w:rsid w:val="00EB6A92"/>
    <w:rsid w:val="00EB7077"/>
    <w:rsid w:val="00EB7700"/>
    <w:rsid w:val="00EB7730"/>
    <w:rsid w:val="00EB7950"/>
    <w:rsid w:val="00EC075A"/>
    <w:rsid w:val="00EC1A72"/>
    <w:rsid w:val="00EC275B"/>
    <w:rsid w:val="00EC2F7D"/>
    <w:rsid w:val="00EC3ACB"/>
    <w:rsid w:val="00EC4825"/>
    <w:rsid w:val="00EC50EE"/>
    <w:rsid w:val="00EC547E"/>
    <w:rsid w:val="00EC5AB1"/>
    <w:rsid w:val="00EC5DB1"/>
    <w:rsid w:val="00EC5DD1"/>
    <w:rsid w:val="00EC6386"/>
    <w:rsid w:val="00EC6ADA"/>
    <w:rsid w:val="00EC7673"/>
    <w:rsid w:val="00ED000A"/>
    <w:rsid w:val="00ED05B5"/>
    <w:rsid w:val="00ED0699"/>
    <w:rsid w:val="00ED1057"/>
    <w:rsid w:val="00ED12CF"/>
    <w:rsid w:val="00ED1685"/>
    <w:rsid w:val="00ED252A"/>
    <w:rsid w:val="00ED27F6"/>
    <w:rsid w:val="00ED2A0D"/>
    <w:rsid w:val="00ED31D1"/>
    <w:rsid w:val="00ED325F"/>
    <w:rsid w:val="00ED36B6"/>
    <w:rsid w:val="00ED3A55"/>
    <w:rsid w:val="00ED3B88"/>
    <w:rsid w:val="00ED665D"/>
    <w:rsid w:val="00ED69EF"/>
    <w:rsid w:val="00ED7113"/>
    <w:rsid w:val="00ED720D"/>
    <w:rsid w:val="00ED7E2C"/>
    <w:rsid w:val="00EE0197"/>
    <w:rsid w:val="00EE0655"/>
    <w:rsid w:val="00EE0D7C"/>
    <w:rsid w:val="00EE0FEF"/>
    <w:rsid w:val="00EE215C"/>
    <w:rsid w:val="00EE3AB4"/>
    <w:rsid w:val="00EE3CBB"/>
    <w:rsid w:val="00EE3DE9"/>
    <w:rsid w:val="00EE4CC4"/>
    <w:rsid w:val="00EE4CF1"/>
    <w:rsid w:val="00EE5906"/>
    <w:rsid w:val="00EE6BCE"/>
    <w:rsid w:val="00EE7874"/>
    <w:rsid w:val="00EF035B"/>
    <w:rsid w:val="00EF054D"/>
    <w:rsid w:val="00EF0CB0"/>
    <w:rsid w:val="00EF11FD"/>
    <w:rsid w:val="00EF1279"/>
    <w:rsid w:val="00EF1524"/>
    <w:rsid w:val="00EF27FB"/>
    <w:rsid w:val="00EF2DDC"/>
    <w:rsid w:val="00EF3ED8"/>
    <w:rsid w:val="00EF43DA"/>
    <w:rsid w:val="00EF4ADA"/>
    <w:rsid w:val="00EF4BCF"/>
    <w:rsid w:val="00EF4C1F"/>
    <w:rsid w:val="00EF4EE7"/>
    <w:rsid w:val="00EF5D16"/>
    <w:rsid w:val="00EF5F3D"/>
    <w:rsid w:val="00EF625D"/>
    <w:rsid w:val="00EF6C9D"/>
    <w:rsid w:val="00EF7D63"/>
    <w:rsid w:val="00F01825"/>
    <w:rsid w:val="00F018A7"/>
    <w:rsid w:val="00F01BBC"/>
    <w:rsid w:val="00F0229F"/>
    <w:rsid w:val="00F02A96"/>
    <w:rsid w:val="00F03864"/>
    <w:rsid w:val="00F042C5"/>
    <w:rsid w:val="00F0486F"/>
    <w:rsid w:val="00F04EC3"/>
    <w:rsid w:val="00F05024"/>
    <w:rsid w:val="00F05091"/>
    <w:rsid w:val="00F05407"/>
    <w:rsid w:val="00F05859"/>
    <w:rsid w:val="00F05DAE"/>
    <w:rsid w:val="00F0636C"/>
    <w:rsid w:val="00F06F53"/>
    <w:rsid w:val="00F0756B"/>
    <w:rsid w:val="00F10839"/>
    <w:rsid w:val="00F108A0"/>
    <w:rsid w:val="00F10A17"/>
    <w:rsid w:val="00F1205F"/>
    <w:rsid w:val="00F12877"/>
    <w:rsid w:val="00F1387D"/>
    <w:rsid w:val="00F15306"/>
    <w:rsid w:val="00F153B8"/>
    <w:rsid w:val="00F154E5"/>
    <w:rsid w:val="00F164CF"/>
    <w:rsid w:val="00F168E4"/>
    <w:rsid w:val="00F16BB1"/>
    <w:rsid w:val="00F16D7D"/>
    <w:rsid w:val="00F1716E"/>
    <w:rsid w:val="00F17177"/>
    <w:rsid w:val="00F17B93"/>
    <w:rsid w:val="00F17C63"/>
    <w:rsid w:val="00F17D58"/>
    <w:rsid w:val="00F2046E"/>
    <w:rsid w:val="00F206AD"/>
    <w:rsid w:val="00F20C3D"/>
    <w:rsid w:val="00F20C84"/>
    <w:rsid w:val="00F2135A"/>
    <w:rsid w:val="00F2139F"/>
    <w:rsid w:val="00F21D0D"/>
    <w:rsid w:val="00F21EDA"/>
    <w:rsid w:val="00F21F7E"/>
    <w:rsid w:val="00F22109"/>
    <w:rsid w:val="00F222FF"/>
    <w:rsid w:val="00F22C9B"/>
    <w:rsid w:val="00F22E25"/>
    <w:rsid w:val="00F230D6"/>
    <w:rsid w:val="00F234D1"/>
    <w:rsid w:val="00F23931"/>
    <w:rsid w:val="00F244A1"/>
    <w:rsid w:val="00F247BD"/>
    <w:rsid w:val="00F24A8E"/>
    <w:rsid w:val="00F24D18"/>
    <w:rsid w:val="00F25600"/>
    <w:rsid w:val="00F25713"/>
    <w:rsid w:val="00F25BF1"/>
    <w:rsid w:val="00F26684"/>
    <w:rsid w:val="00F26FE5"/>
    <w:rsid w:val="00F27E5B"/>
    <w:rsid w:val="00F30069"/>
    <w:rsid w:val="00F306C1"/>
    <w:rsid w:val="00F3085A"/>
    <w:rsid w:val="00F309DD"/>
    <w:rsid w:val="00F30AE1"/>
    <w:rsid w:val="00F311CA"/>
    <w:rsid w:val="00F3139A"/>
    <w:rsid w:val="00F31A2F"/>
    <w:rsid w:val="00F31B65"/>
    <w:rsid w:val="00F31CDF"/>
    <w:rsid w:val="00F31D30"/>
    <w:rsid w:val="00F31DCB"/>
    <w:rsid w:val="00F325CA"/>
    <w:rsid w:val="00F3267E"/>
    <w:rsid w:val="00F33FF7"/>
    <w:rsid w:val="00F348CE"/>
    <w:rsid w:val="00F352B8"/>
    <w:rsid w:val="00F356FD"/>
    <w:rsid w:val="00F36993"/>
    <w:rsid w:val="00F36B8E"/>
    <w:rsid w:val="00F37CF6"/>
    <w:rsid w:val="00F402BD"/>
    <w:rsid w:val="00F41CD5"/>
    <w:rsid w:val="00F421A7"/>
    <w:rsid w:val="00F433AC"/>
    <w:rsid w:val="00F43A84"/>
    <w:rsid w:val="00F44F5E"/>
    <w:rsid w:val="00F4502F"/>
    <w:rsid w:val="00F45A0A"/>
    <w:rsid w:val="00F45D04"/>
    <w:rsid w:val="00F4651E"/>
    <w:rsid w:val="00F466D1"/>
    <w:rsid w:val="00F46D99"/>
    <w:rsid w:val="00F4700E"/>
    <w:rsid w:val="00F47723"/>
    <w:rsid w:val="00F47850"/>
    <w:rsid w:val="00F505A8"/>
    <w:rsid w:val="00F510E9"/>
    <w:rsid w:val="00F51294"/>
    <w:rsid w:val="00F51C4D"/>
    <w:rsid w:val="00F52BD2"/>
    <w:rsid w:val="00F537A6"/>
    <w:rsid w:val="00F54060"/>
    <w:rsid w:val="00F54214"/>
    <w:rsid w:val="00F5446A"/>
    <w:rsid w:val="00F557BB"/>
    <w:rsid w:val="00F55C9D"/>
    <w:rsid w:val="00F5629E"/>
    <w:rsid w:val="00F56795"/>
    <w:rsid w:val="00F56AED"/>
    <w:rsid w:val="00F578E5"/>
    <w:rsid w:val="00F60735"/>
    <w:rsid w:val="00F609E4"/>
    <w:rsid w:val="00F615C4"/>
    <w:rsid w:val="00F61BA0"/>
    <w:rsid w:val="00F622C6"/>
    <w:rsid w:val="00F62943"/>
    <w:rsid w:val="00F62A52"/>
    <w:rsid w:val="00F631F4"/>
    <w:rsid w:val="00F632E8"/>
    <w:rsid w:val="00F63989"/>
    <w:rsid w:val="00F63C3A"/>
    <w:rsid w:val="00F64191"/>
    <w:rsid w:val="00F64945"/>
    <w:rsid w:val="00F64CAC"/>
    <w:rsid w:val="00F64E94"/>
    <w:rsid w:val="00F66669"/>
    <w:rsid w:val="00F66B7F"/>
    <w:rsid w:val="00F66D9B"/>
    <w:rsid w:val="00F67918"/>
    <w:rsid w:val="00F67A5B"/>
    <w:rsid w:val="00F707BD"/>
    <w:rsid w:val="00F7101D"/>
    <w:rsid w:val="00F71762"/>
    <w:rsid w:val="00F71A23"/>
    <w:rsid w:val="00F71ADC"/>
    <w:rsid w:val="00F71EE7"/>
    <w:rsid w:val="00F72423"/>
    <w:rsid w:val="00F7242F"/>
    <w:rsid w:val="00F727B4"/>
    <w:rsid w:val="00F72E03"/>
    <w:rsid w:val="00F72F4F"/>
    <w:rsid w:val="00F7307D"/>
    <w:rsid w:val="00F7459B"/>
    <w:rsid w:val="00F745E5"/>
    <w:rsid w:val="00F7536E"/>
    <w:rsid w:val="00F757B5"/>
    <w:rsid w:val="00F75823"/>
    <w:rsid w:val="00F77A0D"/>
    <w:rsid w:val="00F77ED0"/>
    <w:rsid w:val="00F80514"/>
    <w:rsid w:val="00F806DE"/>
    <w:rsid w:val="00F80851"/>
    <w:rsid w:val="00F80C7A"/>
    <w:rsid w:val="00F810A1"/>
    <w:rsid w:val="00F8141E"/>
    <w:rsid w:val="00F81789"/>
    <w:rsid w:val="00F822D0"/>
    <w:rsid w:val="00F825A7"/>
    <w:rsid w:val="00F829C7"/>
    <w:rsid w:val="00F8323D"/>
    <w:rsid w:val="00F83250"/>
    <w:rsid w:val="00F83512"/>
    <w:rsid w:val="00F84221"/>
    <w:rsid w:val="00F85405"/>
    <w:rsid w:val="00F8733E"/>
    <w:rsid w:val="00F9023C"/>
    <w:rsid w:val="00F90BFE"/>
    <w:rsid w:val="00F90F7A"/>
    <w:rsid w:val="00F912DA"/>
    <w:rsid w:val="00F9178B"/>
    <w:rsid w:val="00F91A73"/>
    <w:rsid w:val="00F91B83"/>
    <w:rsid w:val="00F91C50"/>
    <w:rsid w:val="00F91CA4"/>
    <w:rsid w:val="00F93770"/>
    <w:rsid w:val="00F94B64"/>
    <w:rsid w:val="00F97608"/>
    <w:rsid w:val="00FA06AB"/>
    <w:rsid w:val="00FA100E"/>
    <w:rsid w:val="00FA1238"/>
    <w:rsid w:val="00FA15D1"/>
    <w:rsid w:val="00FA1633"/>
    <w:rsid w:val="00FA1AB7"/>
    <w:rsid w:val="00FA1FC3"/>
    <w:rsid w:val="00FA2BB7"/>
    <w:rsid w:val="00FA31EB"/>
    <w:rsid w:val="00FA3843"/>
    <w:rsid w:val="00FA3FBF"/>
    <w:rsid w:val="00FA41AA"/>
    <w:rsid w:val="00FA429B"/>
    <w:rsid w:val="00FA6AA5"/>
    <w:rsid w:val="00FA745A"/>
    <w:rsid w:val="00FA7F6D"/>
    <w:rsid w:val="00FB0467"/>
    <w:rsid w:val="00FB0BC4"/>
    <w:rsid w:val="00FB32FC"/>
    <w:rsid w:val="00FB373A"/>
    <w:rsid w:val="00FB3C59"/>
    <w:rsid w:val="00FB4156"/>
    <w:rsid w:val="00FB431C"/>
    <w:rsid w:val="00FB45B7"/>
    <w:rsid w:val="00FB48CB"/>
    <w:rsid w:val="00FB5E21"/>
    <w:rsid w:val="00FB6123"/>
    <w:rsid w:val="00FB74D1"/>
    <w:rsid w:val="00FB750C"/>
    <w:rsid w:val="00FB7BED"/>
    <w:rsid w:val="00FC04CF"/>
    <w:rsid w:val="00FC0526"/>
    <w:rsid w:val="00FC0597"/>
    <w:rsid w:val="00FC1714"/>
    <w:rsid w:val="00FC2390"/>
    <w:rsid w:val="00FC2881"/>
    <w:rsid w:val="00FC2F9D"/>
    <w:rsid w:val="00FC3271"/>
    <w:rsid w:val="00FC3CB4"/>
    <w:rsid w:val="00FC4CB5"/>
    <w:rsid w:val="00FC513A"/>
    <w:rsid w:val="00FC5B7D"/>
    <w:rsid w:val="00FC607B"/>
    <w:rsid w:val="00FC730F"/>
    <w:rsid w:val="00FC7C0A"/>
    <w:rsid w:val="00FC7F1C"/>
    <w:rsid w:val="00FD0444"/>
    <w:rsid w:val="00FD077B"/>
    <w:rsid w:val="00FD13E2"/>
    <w:rsid w:val="00FD1552"/>
    <w:rsid w:val="00FD1A65"/>
    <w:rsid w:val="00FD2242"/>
    <w:rsid w:val="00FD2255"/>
    <w:rsid w:val="00FD436E"/>
    <w:rsid w:val="00FD43D1"/>
    <w:rsid w:val="00FD4F1B"/>
    <w:rsid w:val="00FD4FC5"/>
    <w:rsid w:val="00FD56C9"/>
    <w:rsid w:val="00FD5746"/>
    <w:rsid w:val="00FD60A5"/>
    <w:rsid w:val="00FD625B"/>
    <w:rsid w:val="00FD6EFF"/>
    <w:rsid w:val="00FD724C"/>
    <w:rsid w:val="00FD7688"/>
    <w:rsid w:val="00FD7FB5"/>
    <w:rsid w:val="00FE0311"/>
    <w:rsid w:val="00FE047B"/>
    <w:rsid w:val="00FE066D"/>
    <w:rsid w:val="00FE0CF0"/>
    <w:rsid w:val="00FE10FF"/>
    <w:rsid w:val="00FE1A3F"/>
    <w:rsid w:val="00FE1E23"/>
    <w:rsid w:val="00FE2425"/>
    <w:rsid w:val="00FE25C8"/>
    <w:rsid w:val="00FE2BB9"/>
    <w:rsid w:val="00FE2FC6"/>
    <w:rsid w:val="00FE353A"/>
    <w:rsid w:val="00FE35A7"/>
    <w:rsid w:val="00FE3C07"/>
    <w:rsid w:val="00FE3C94"/>
    <w:rsid w:val="00FE405F"/>
    <w:rsid w:val="00FE4901"/>
    <w:rsid w:val="00FE4EED"/>
    <w:rsid w:val="00FE636B"/>
    <w:rsid w:val="00FE6E31"/>
    <w:rsid w:val="00FE702C"/>
    <w:rsid w:val="00FE74DF"/>
    <w:rsid w:val="00FF04E5"/>
    <w:rsid w:val="00FF0CD6"/>
    <w:rsid w:val="00FF263E"/>
    <w:rsid w:val="00FF2937"/>
    <w:rsid w:val="00FF2D25"/>
    <w:rsid w:val="00FF2DCC"/>
    <w:rsid w:val="00FF3A02"/>
    <w:rsid w:val="00FF4606"/>
    <w:rsid w:val="00FF4B66"/>
    <w:rsid w:val="00FF4BF4"/>
    <w:rsid w:val="00FF5011"/>
    <w:rsid w:val="00FF505B"/>
    <w:rsid w:val="00FF56FB"/>
    <w:rsid w:val="00FF6E5D"/>
    <w:rsid w:val="00FF71CE"/>
    <w:rsid w:val="00FF7640"/>
    <w:rsid w:val="01285820"/>
    <w:rsid w:val="01424F05"/>
    <w:rsid w:val="0179168E"/>
    <w:rsid w:val="01CE00FC"/>
    <w:rsid w:val="01CF55BA"/>
    <w:rsid w:val="01F606BB"/>
    <w:rsid w:val="02242B41"/>
    <w:rsid w:val="022762DD"/>
    <w:rsid w:val="02320327"/>
    <w:rsid w:val="02763C62"/>
    <w:rsid w:val="02776A0B"/>
    <w:rsid w:val="027B02B7"/>
    <w:rsid w:val="028710B6"/>
    <w:rsid w:val="029E14B7"/>
    <w:rsid w:val="02CF6398"/>
    <w:rsid w:val="02E72747"/>
    <w:rsid w:val="02FF6E99"/>
    <w:rsid w:val="03252BB7"/>
    <w:rsid w:val="03302110"/>
    <w:rsid w:val="03540B8F"/>
    <w:rsid w:val="038D72DF"/>
    <w:rsid w:val="03AA2DB2"/>
    <w:rsid w:val="03AD7527"/>
    <w:rsid w:val="03D70C0B"/>
    <w:rsid w:val="03E75925"/>
    <w:rsid w:val="03F9760D"/>
    <w:rsid w:val="04063033"/>
    <w:rsid w:val="042219D6"/>
    <w:rsid w:val="045652D9"/>
    <w:rsid w:val="047867FF"/>
    <w:rsid w:val="04815189"/>
    <w:rsid w:val="048B30AE"/>
    <w:rsid w:val="04A01FEF"/>
    <w:rsid w:val="04B4038F"/>
    <w:rsid w:val="04B67E3A"/>
    <w:rsid w:val="04BD5452"/>
    <w:rsid w:val="04DC6673"/>
    <w:rsid w:val="04FD1ABF"/>
    <w:rsid w:val="050D6021"/>
    <w:rsid w:val="0512082F"/>
    <w:rsid w:val="05124971"/>
    <w:rsid w:val="05182D47"/>
    <w:rsid w:val="054B7E53"/>
    <w:rsid w:val="05566B2B"/>
    <w:rsid w:val="055E085F"/>
    <w:rsid w:val="058A3961"/>
    <w:rsid w:val="059B648D"/>
    <w:rsid w:val="05AF443F"/>
    <w:rsid w:val="05D16BCC"/>
    <w:rsid w:val="05E41716"/>
    <w:rsid w:val="05E760CE"/>
    <w:rsid w:val="05EC3946"/>
    <w:rsid w:val="060C0AE9"/>
    <w:rsid w:val="060D2B05"/>
    <w:rsid w:val="061866C7"/>
    <w:rsid w:val="061E5754"/>
    <w:rsid w:val="062D7C32"/>
    <w:rsid w:val="06904966"/>
    <w:rsid w:val="06E638DC"/>
    <w:rsid w:val="072D7A72"/>
    <w:rsid w:val="0765615B"/>
    <w:rsid w:val="07667E93"/>
    <w:rsid w:val="077E0859"/>
    <w:rsid w:val="07B37081"/>
    <w:rsid w:val="07B94C3F"/>
    <w:rsid w:val="07BF12C2"/>
    <w:rsid w:val="07DF75F9"/>
    <w:rsid w:val="081D30E5"/>
    <w:rsid w:val="083C408D"/>
    <w:rsid w:val="08986A27"/>
    <w:rsid w:val="08A3063C"/>
    <w:rsid w:val="08C23875"/>
    <w:rsid w:val="08DF3265"/>
    <w:rsid w:val="08EB013F"/>
    <w:rsid w:val="08F74202"/>
    <w:rsid w:val="0906220C"/>
    <w:rsid w:val="090948FF"/>
    <w:rsid w:val="093F1668"/>
    <w:rsid w:val="09757455"/>
    <w:rsid w:val="097650F1"/>
    <w:rsid w:val="09A62A52"/>
    <w:rsid w:val="09C412A2"/>
    <w:rsid w:val="09E92ED1"/>
    <w:rsid w:val="09E9764E"/>
    <w:rsid w:val="0A4038E0"/>
    <w:rsid w:val="0A765FB8"/>
    <w:rsid w:val="0A924919"/>
    <w:rsid w:val="0ABA167B"/>
    <w:rsid w:val="0AC85DFD"/>
    <w:rsid w:val="0AC97B22"/>
    <w:rsid w:val="0ADD5DCC"/>
    <w:rsid w:val="0AE942D0"/>
    <w:rsid w:val="0B230A94"/>
    <w:rsid w:val="0B3005EF"/>
    <w:rsid w:val="0B512D52"/>
    <w:rsid w:val="0B600609"/>
    <w:rsid w:val="0B6D3CF9"/>
    <w:rsid w:val="0BA178D8"/>
    <w:rsid w:val="0BB55551"/>
    <w:rsid w:val="0BBE60BF"/>
    <w:rsid w:val="0BC626E3"/>
    <w:rsid w:val="0C1414DC"/>
    <w:rsid w:val="0C182CFD"/>
    <w:rsid w:val="0C1C0929"/>
    <w:rsid w:val="0C2253FE"/>
    <w:rsid w:val="0C281202"/>
    <w:rsid w:val="0C89471E"/>
    <w:rsid w:val="0CB2765F"/>
    <w:rsid w:val="0CEB6D41"/>
    <w:rsid w:val="0CF470C7"/>
    <w:rsid w:val="0CF9444D"/>
    <w:rsid w:val="0CFA1341"/>
    <w:rsid w:val="0D22141A"/>
    <w:rsid w:val="0D334C8D"/>
    <w:rsid w:val="0D7350BA"/>
    <w:rsid w:val="0DC43590"/>
    <w:rsid w:val="0DC7475A"/>
    <w:rsid w:val="0DC75CB0"/>
    <w:rsid w:val="0DD05F5A"/>
    <w:rsid w:val="0DD16F36"/>
    <w:rsid w:val="0E1E6A12"/>
    <w:rsid w:val="0E286C13"/>
    <w:rsid w:val="0E2F4901"/>
    <w:rsid w:val="0E3015D7"/>
    <w:rsid w:val="0EA13633"/>
    <w:rsid w:val="0EA36B30"/>
    <w:rsid w:val="0EA97346"/>
    <w:rsid w:val="0EDF6C05"/>
    <w:rsid w:val="0EEA773E"/>
    <w:rsid w:val="0EFA2B03"/>
    <w:rsid w:val="0EFE41CB"/>
    <w:rsid w:val="0F075B51"/>
    <w:rsid w:val="0F181465"/>
    <w:rsid w:val="0F190756"/>
    <w:rsid w:val="0F1F345E"/>
    <w:rsid w:val="0F2F636B"/>
    <w:rsid w:val="0F411414"/>
    <w:rsid w:val="0F6667E8"/>
    <w:rsid w:val="0F773AEC"/>
    <w:rsid w:val="0F8D020F"/>
    <w:rsid w:val="0F971E23"/>
    <w:rsid w:val="0F992E2F"/>
    <w:rsid w:val="0F9A1BFB"/>
    <w:rsid w:val="0FC31925"/>
    <w:rsid w:val="0FD70973"/>
    <w:rsid w:val="0FFB0791"/>
    <w:rsid w:val="101A79C5"/>
    <w:rsid w:val="10504F6C"/>
    <w:rsid w:val="105D1666"/>
    <w:rsid w:val="10ED1103"/>
    <w:rsid w:val="110414FC"/>
    <w:rsid w:val="111C0FA9"/>
    <w:rsid w:val="111C411D"/>
    <w:rsid w:val="111E46A2"/>
    <w:rsid w:val="1128371C"/>
    <w:rsid w:val="11373715"/>
    <w:rsid w:val="114D16AB"/>
    <w:rsid w:val="115E178F"/>
    <w:rsid w:val="118C2C94"/>
    <w:rsid w:val="11920950"/>
    <w:rsid w:val="11F64334"/>
    <w:rsid w:val="121402E3"/>
    <w:rsid w:val="124D1779"/>
    <w:rsid w:val="12575C68"/>
    <w:rsid w:val="1279795D"/>
    <w:rsid w:val="129A538D"/>
    <w:rsid w:val="12D171BE"/>
    <w:rsid w:val="12D43DCE"/>
    <w:rsid w:val="12F719D2"/>
    <w:rsid w:val="130A36FC"/>
    <w:rsid w:val="131D2E35"/>
    <w:rsid w:val="13243245"/>
    <w:rsid w:val="1378772D"/>
    <w:rsid w:val="137F33CC"/>
    <w:rsid w:val="13876274"/>
    <w:rsid w:val="13CD6ABC"/>
    <w:rsid w:val="14214815"/>
    <w:rsid w:val="14377B78"/>
    <w:rsid w:val="1452205F"/>
    <w:rsid w:val="1457366A"/>
    <w:rsid w:val="14726BDF"/>
    <w:rsid w:val="14B37518"/>
    <w:rsid w:val="14DD569A"/>
    <w:rsid w:val="14E12EEF"/>
    <w:rsid w:val="15087425"/>
    <w:rsid w:val="15242DBE"/>
    <w:rsid w:val="15344453"/>
    <w:rsid w:val="15504913"/>
    <w:rsid w:val="15556EB7"/>
    <w:rsid w:val="155B689C"/>
    <w:rsid w:val="156E4D2A"/>
    <w:rsid w:val="157D05AB"/>
    <w:rsid w:val="159D1783"/>
    <w:rsid w:val="15B22E4C"/>
    <w:rsid w:val="15B74905"/>
    <w:rsid w:val="15BC2516"/>
    <w:rsid w:val="15C23EC2"/>
    <w:rsid w:val="15C85165"/>
    <w:rsid w:val="15D85B06"/>
    <w:rsid w:val="1637705F"/>
    <w:rsid w:val="164043EF"/>
    <w:rsid w:val="16697B57"/>
    <w:rsid w:val="167E0DCA"/>
    <w:rsid w:val="168069C9"/>
    <w:rsid w:val="16C30E06"/>
    <w:rsid w:val="16C36A37"/>
    <w:rsid w:val="16F201FA"/>
    <w:rsid w:val="1727521A"/>
    <w:rsid w:val="17276037"/>
    <w:rsid w:val="172C3748"/>
    <w:rsid w:val="172F6697"/>
    <w:rsid w:val="172F6A48"/>
    <w:rsid w:val="17440272"/>
    <w:rsid w:val="17553188"/>
    <w:rsid w:val="1788617D"/>
    <w:rsid w:val="178E170B"/>
    <w:rsid w:val="17953531"/>
    <w:rsid w:val="179A37C7"/>
    <w:rsid w:val="17C222BE"/>
    <w:rsid w:val="17C93DE1"/>
    <w:rsid w:val="17D73C44"/>
    <w:rsid w:val="17E83D44"/>
    <w:rsid w:val="17EC614D"/>
    <w:rsid w:val="183D6854"/>
    <w:rsid w:val="188267DF"/>
    <w:rsid w:val="18841416"/>
    <w:rsid w:val="189B1AC7"/>
    <w:rsid w:val="18CD7EC4"/>
    <w:rsid w:val="18D52789"/>
    <w:rsid w:val="18F4440F"/>
    <w:rsid w:val="18F55B5F"/>
    <w:rsid w:val="19273633"/>
    <w:rsid w:val="193D60D2"/>
    <w:rsid w:val="194E2BDD"/>
    <w:rsid w:val="195850E4"/>
    <w:rsid w:val="197E421C"/>
    <w:rsid w:val="19B02EEE"/>
    <w:rsid w:val="19B91565"/>
    <w:rsid w:val="19BE22F7"/>
    <w:rsid w:val="19CC7EDD"/>
    <w:rsid w:val="19DC746D"/>
    <w:rsid w:val="19FA1846"/>
    <w:rsid w:val="1A017BF3"/>
    <w:rsid w:val="1A056E0F"/>
    <w:rsid w:val="1A105D9A"/>
    <w:rsid w:val="1A1475BC"/>
    <w:rsid w:val="1A2268F7"/>
    <w:rsid w:val="1A7A4519"/>
    <w:rsid w:val="1A7D4B85"/>
    <w:rsid w:val="1A82183F"/>
    <w:rsid w:val="1A904574"/>
    <w:rsid w:val="1AA61F40"/>
    <w:rsid w:val="1AC0141A"/>
    <w:rsid w:val="1AC87862"/>
    <w:rsid w:val="1ADE32B9"/>
    <w:rsid w:val="1B21278F"/>
    <w:rsid w:val="1B3043DD"/>
    <w:rsid w:val="1B421417"/>
    <w:rsid w:val="1B4A68D4"/>
    <w:rsid w:val="1B566A66"/>
    <w:rsid w:val="1B570554"/>
    <w:rsid w:val="1B5A06FB"/>
    <w:rsid w:val="1B9764F8"/>
    <w:rsid w:val="1BC25D14"/>
    <w:rsid w:val="1BCB3853"/>
    <w:rsid w:val="1C0A4E49"/>
    <w:rsid w:val="1C0E6E1E"/>
    <w:rsid w:val="1C122D30"/>
    <w:rsid w:val="1C4F77B9"/>
    <w:rsid w:val="1C527780"/>
    <w:rsid w:val="1C762684"/>
    <w:rsid w:val="1C9F2D76"/>
    <w:rsid w:val="1CDA01F8"/>
    <w:rsid w:val="1CE26BD4"/>
    <w:rsid w:val="1CE83450"/>
    <w:rsid w:val="1D294E14"/>
    <w:rsid w:val="1D5E26BE"/>
    <w:rsid w:val="1D5E7009"/>
    <w:rsid w:val="1D5F5E02"/>
    <w:rsid w:val="1D671BFA"/>
    <w:rsid w:val="1D6F512E"/>
    <w:rsid w:val="1D7D513D"/>
    <w:rsid w:val="1DA22FF5"/>
    <w:rsid w:val="1DE3147C"/>
    <w:rsid w:val="1DEB5777"/>
    <w:rsid w:val="1E213371"/>
    <w:rsid w:val="1E3845A0"/>
    <w:rsid w:val="1E5E493A"/>
    <w:rsid w:val="1E7D5D04"/>
    <w:rsid w:val="1E8861B5"/>
    <w:rsid w:val="1EC144C7"/>
    <w:rsid w:val="1EC56B49"/>
    <w:rsid w:val="1EE33D95"/>
    <w:rsid w:val="1EF22BE2"/>
    <w:rsid w:val="1F1D1F5F"/>
    <w:rsid w:val="1F790177"/>
    <w:rsid w:val="1FB45227"/>
    <w:rsid w:val="1FBF3122"/>
    <w:rsid w:val="1FC01770"/>
    <w:rsid w:val="1FD44B07"/>
    <w:rsid w:val="1FDA5648"/>
    <w:rsid w:val="1FDB359B"/>
    <w:rsid w:val="20220413"/>
    <w:rsid w:val="202655AB"/>
    <w:rsid w:val="203717FE"/>
    <w:rsid w:val="203D2561"/>
    <w:rsid w:val="206C4540"/>
    <w:rsid w:val="20820C62"/>
    <w:rsid w:val="20841051"/>
    <w:rsid w:val="20B56631"/>
    <w:rsid w:val="20BB511D"/>
    <w:rsid w:val="214C652A"/>
    <w:rsid w:val="21552C57"/>
    <w:rsid w:val="215D287E"/>
    <w:rsid w:val="218E79A9"/>
    <w:rsid w:val="21A5473D"/>
    <w:rsid w:val="21BD09EA"/>
    <w:rsid w:val="21E42AB1"/>
    <w:rsid w:val="21F3336F"/>
    <w:rsid w:val="21FA3E5B"/>
    <w:rsid w:val="2203306E"/>
    <w:rsid w:val="22131639"/>
    <w:rsid w:val="221E7789"/>
    <w:rsid w:val="222420E0"/>
    <w:rsid w:val="22264C7A"/>
    <w:rsid w:val="223677D3"/>
    <w:rsid w:val="22530C5B"/>
    <w:rsid w:val="225333B2"/>
    <w:rsid w:val="228B690D"/>
    <w:rsid w:val="229B3F2A"/>
    <w:rsid w:val="22AB3B00"/>
    <w:rsid w:val="22BD6BB4"/>
    <w:rsid w:val="22C31F92"/>
    <w:rsid w:val="22CD74AB"/>
    <w:rsid w:val="22FB7172"/>
    <w:rsid w:val="232F27D8"/>
    <w:rsid w:val="23327331"/>
    <w:rsid w:val="23377647"/>
    <w:rsid w:val="23486537"/>
    <w:rsid w:val="234E13CB"/>
    <w:rsid w:val="235153A6"/>
    <w:rsid w:val="235B6F93"/>
    <w:rsid w:val="236C21BB"/>
    <w:rsid w:val="23A83E78"/>
    <w:rsid w:val="23D92DB3"/>
    <w:rsid w:val="23E35A2C"/>
    <w:rsid w:val="23FC3497"/>
    <w:rsid w:val="240B7D01"/>
    <w:rsid w:val="24241EB5"/>
    <w:rsid w:val="242B4267"/>
    <w:rsid w:val="24A678E1"/>
    <w:rsid w:val="24EE0898"/>
    <w:rsid w:val="250052C3"/>
    <w:rsid w:val="25157734"/>
    <w:rsid w:val="2516573E"/>
    <w:rsid w:val="25433ABC"/>
    <w:rsid w:val="257661F4"/>
    <w:rsid w:val="257F2172"/>
    <w:rsid w:val="258A2319"/>
    <w:rsid w:val="25AD0E1B"/>
    <w:rsid w:val="25BD38F0"/>
    <w:rsid w:val="25C16B9E"/>
    <w:rsid w:val="25D57D2A"/>
    <w:rsid w:val="25E35C6E"/>
    <w:rsid w:val="26105100"/>
    <w:rsid w:val="26261822"/>
    <w:rsid w:val="26303437"/>
    <w:rsid w:val="26415A77"/>
    <w:rsid w:val="269C2BBE"/>
    <w:rsid w:val="26D0194F"/>
    <w:rsid w:val="26D82256"/>
    <w:rsid w:val="26FA6205"/>
    <w:rsid w:val="272036EC"/>
    <w:rsid w:val="27394CB6"/>
    <w:rsid w:val="273E78AF"/>
    <w:rsid w:val="274A0315"/>
    <w:rsid w:val="274F1923"/>
    <w:rsid w:val="276B40B8"/>
    <w:rsid w:val="27892D86"/>
    <w:rsid w:val="279D50FD"/>
    <w:rsid w:val="27AC3ECB"/>
    <w:rsid w:val="27E22DFD"/>
    <w:rsid w:val="27E4372C"/>
    <w:rsid w:val="27E441B5"/>
    <w:rsid w:val="27EB7F04"/>
    <w:rsid w:val="27FD188C"/>
    <w:rsid w:val="2801136F"/>
    <w:rsid w:val="282370EA"/>
    <w:rsid w:val="28871A40"/>
    <w:rsid w:val="289E34B3"/>
    <w:rsid w:val="289F561F"/>
    <w:rsid w:val="28A60426"/>
    <w:rsid w:val="28AA1F3D"/>
    <w:rsid w:val="28B525DC"/>
    <w:rsid w:val="28DC136D"/>
    <w:rsid w:val="28F22C3A"/>
    <w:rsid w:val="2922218C"/>
    <w:rsid w:val="29292475"/>
    <w:rsid w:val="292E767C"/>
    <w:rsid w:val="295367E3"/>
    <w:rsid w:val="295E35EE"/>
    <w:rsid w:val="295E7D6B"/>
    <w:rsid w:val="29741F18"/>
    <w:rsid w:val="298E5CB7"/>
    <w:rsid w:val="29AA23E9"/>
    <w:rsid w:val="29AF64BB"/>
    <w:rsid w:val="29CC67BE"/>
    <w:rsid w:val="29F116AA"/>
    <w:rsid w:val="2A1A1A34"/>
    <w:rsid w:val="2A2D713F"/>
    <w:rsid w:val="2A3363D3"/>
    <w:rsid w:val="2A387AD4"/>
    <w:rsid w:val="2A900C6B"/>
    <w:rsid w:val="2AE12E78"/>
    <w:rsid w:val="2B134D1C"/>
    <w:rsid w:val="2B42329F"/>
    <w:rsid w:val="2B5E63E7"/>
    <w:rsid w:val="2B7319D4"/>
    <w:rsid w:val="2BA72E28"/>
    <w:rsid w:val="2BA87CB0"/>
    <w:rsid w:val="2BD2344B"/>
    <w:rsid w:val="2BD52B92"/>
    <w:rsid w:val="2C0A2351"/>
    <w:rsid w:val="2C0D77BA"/>
    <w:rsid w:val="2C172362"/>
    <w:rsid w:val="2C211997"/>
    <w:rsid w:val="2C4F4A8C"/>
    <w:rsid w:val="2C6B7366"/>
    <w:rsid w:val="2C7C4411"/>
    <w:rsid w:val="2C90302C"/>
    <w:rsid w:val="2C9C35FE"/>
    <w:rsid w:val="2CBA4D6C"/>
    <w:rsid w:val="2CC13875"/>
    <w:rsid w:val="2CD7423A"/>
    <w:rsid w:val="2CF808D7"/>
    <w:rsid w:val="2D2D1BDE"/>
    <w:rsid w:val="2D430E13"/>
    <w:rsid w:val="2D703A18"/>
    <w:rsid w:val="2D727BA5"/>
    <w:rsid w:val="2DA458BB"/>
    <w:rsid w:val="2DC5166E"/>
    <w:rsid w:val="2DD27D57"/>
    <w:rsid w:val="2DD875AD"/>
    <w:rsid w:val="2DE236FB"/>
    <w:rsid w:val="2E1E4E36"/>
    <w:rsid w:val="2E373D66"/>
    <w:rsid w:val="2E4A178D"/>
    <w:rsid w:val="2E8C6AF0"/>
    <w:rsid w:val="2E8E19DD"/>
    <w:rsid w:val="2EAE4CD9"/>
    <w:rsid w:val="2EF8259B"/>
    <w:rsid w:val="2F0758B1"/>
    <w:rsid w:val="2F2C0453"/>
    <w:rsid w:val="2F3211F7"/>
    <w:rsid w:val="2F321226"/>
    <w:rsid w:val="2F62295C"/>
    <w:rsid w:val="2F777CFC"/>
    <w:rsid w:val="2FAF511A"/>
    <w:rsid w:val="2FB01D49"/>
    <w:rsid w:val="2FCC6332"/>
    <w:rsid w:val="2FDD2C06"/>
    <w:rsid w:val="30171CB5"/>
    <w:rsid w:val="30336A9F"/>
    <w:rsid w:val="304D251D"/>
    <w:rsid w:val="305651AD"/>
    <w:rsid w:val="30566135"/>
    <w:rsid w:val="30583F1F"/>
    <w:rsid w:val="30814A08"/>
    <w:rsid w:val="30AA5A69"/>
    <w:rsid w:val="30AD09DB"/>
    <w:rsid w:val="30CB28F4"/>
    <w:rsid w:val="3104536B"/>
    <w:rsid w:val="3138417F"/>
    <w:rsid w:val="314C0871"/>
    <w:rsid w:val="31E501C2"/>
    <w:rsid w:val="31FD7870"/>
    <w:rsid w:val="321B0705"/>
    <w:rsid w:val="325A2DBE"/>
    <w:rsid w:val="325A40A3"/>
    <w:rsid w:val="32632762"/>
    <w:rsid w:val="326E1359"/>
    <w:rsid w:val="327C3161"/>
    <w:rsid w:val="327D79A3"/>
    <w:rsid w:val="32846226"/>
    <w:rsid w:val="32923106"/>
    <w:rsid w:val="32982E28"/>
    <w:rsid w:val="32BD134D"/>
    <w:rsid w:val="32C900F4"/>
    <w:rsid w:val="32F93F61"/>
    <w:rsid w:val="333531CD"/>
    <w:rsid w:val="333F4524"/>
    <w:rsid w:val="336903BE"/>
    <w:rsid w:val="336C50C4"/>
    <w:rsid w:val="338F26FD"/>
    <w:rsid w:val="33937128"/>
    <w:rsid w:val="33C851FB"/>
    <w:rsid w:val="33CC3D88"/>
    <w:rsid w:val="33DD3030"/>
    <w:rsid w:val="33F95ACD"/>
    <w:rsid w:val="33FD7871"/>
    <w:rsid w:val="34022063"/>
    <w:rsid w:val="344C498C"/>
    <w:rsid w:val="34500F64"/>
    <w:rsid w:val="348F514A"/>
    <w:rsid w:val="349D6E62"/>
    <w:rsid w:val="34A33B41"/>
    <w:rsid w:val="34A72D66"/>
    <w:rsid w:val="34FE6E2D"/>
    <w:rsid w:val="352510AC"/>
    <w:rsid w:val="358148D2"/>
    <w:rsid w:val="358A249D"/>
    <w:rsid w:val="35BB78A2"/>
    <w:rsid w:val="35C44F83"/>
    <w:rsid w:val="35E05D71"/>
    <w:rsid w:val="35FA4BF6"/>
    <w:rsid w:val="36366780"/>
    <w:rsid w:val="36386400"/>
    <w:rsid w:val="364A61CE"/>
    <w:rsid w:val="3686567A"/>
    <w:rsid w:val="368F6E0E"/>
    <w:rsid w:val="36982E81"/>
    <w:rsid w:val="369E04E7"/>
    <w:rsid w:val="36B01D3A"/>
    <w:rsid w:val="36C41867"/>
    <w:rsid w:val="36DF27BA"/>
    <w:rsid w:val="36FA06FB"/>
    <w:rsid w:val="37026496"/>
    <w:rsid w:val="370E2611"/>
    <w:rsid w:val="37355C18"/>
    <w:rsid w:val="374A56CC"/>
    <w:rsid w:val="3754566B"/>
    <w:rsid w:val="37623D52"/>
    <w:rsid w:val="37784F21"/>
    <w:rsid w:val="377C3CDE"/>
    <w:rsid w:val="377F5121"/>
    <w:rsid w:val="379530C2"/>
    <w:rsid w:val="379F5E33"/>
    <w:rsid w:val="37B36F71"/>
    <w:rsid w:val="37B55DF8"/>
    <w:rsid w:val="37C169A5"/>
    <w:rsid w:val="37F509B8"/>
    <w:rsid w:val="37FC2066"/>
    <w:rsid w:val="380072BE"/>
    <w:rsid w:val="382B20B3"/>
    <w:rsid w:val="3858715B"/>
    <w:rsid w:val="387F34BB"/>
    <w:rsid w:val="388D6872"/>
    <w:rsid w:val="38A73ABE"/>
    <w:rsid w:val="38AA2665"/>
    <w:rsid w:val="38C06CC4"/>
    <w:rsid w:val="38C82C25"/>
    <w:rsid w:val="38E31861"/>
    <w:rsid w:val="38F664AE"/>
    <w:rsid w:val="39067BEE"/>
    <w:rsid w:val="39440601"/>
    <w:rsid w:val="395C741E"/>
    <w:rsid w:val="39FA1716"/>
    <w:rsid w:val="3A2F06F7"/>
    <w:rsid w:val="3A3D7331"/>
    <w:rsid w:val="3A547874"/>
    <w:rsid w:val="3A7318AC"/>
    <w:rsid w:val="3A756685"/>
    <w:rsid w:val="3A8A2E97"/>
    <w:rsid w:val="3AA30A3F"/>
    <w:rsid w:val="3ABD2601"/>
    <w:rsid w:val="3AD9624A"/>
    <w:rsid w:val="3AF32034"/>
    <w:rsid w:val="3B0E5B16"/>
    <w:rsid w:val="3B2F2965"/>
    <w:rsid w:val="3B381960"/>
    <w:rsid w:val="3B387B37"/>
    <w:rsid w:val="3B4C7829"/>
    <w:rsid w:val="3B4D4259"/>
    <w:rsid w:val="3B695AAB"/>
    <w:rsid w:val="3B6A4E8B"/>
    <w:rsid w:val="3B7463A3"/>
    <w:rsid w:val="3B8471E2"/>
    <w:rsid w:val="3B9006D0"/>
    <w:rsid w:val="3B93697E"/>
    <w:rsid w:val="3BC6123F"/>
    <w:rsid w:val="3BCB4EC4"/>
    <w:rsid w:val="3BFD0954"/>
    <w:rsid w:val="3BFF16D2"/>
    <w:rsid w:val="3C213DBA"/>
    <w:rsid w:val="3C415470"/>
    <w:rsid w:val="3C5D4096"/>
    <w:rsid w:val="3C88075E"/>
    <w:rsid w:val="3C9F4B00"/>
    <w:rsid w:val="3CAC7805"/>
    <w:rsid w:val="3CBA2C24"/>
    <w:rsid w:val="3CC23A21"/>
    <w:rsid w:val="3CC3151E"/>
    <w:rsid w:val="3CCC412B"/>
    <w:rsid w:val="3CE654C3"/>
    <w:rsid w:val="3D001307"/>
    <w:rsid w:val="3D0038A0"/>
    <w:rsid w:val="3D253EFC"/>
    <w:rsid w:val="3D4C5F1D"/>
    <w:rsid w:val="3D854CE9"/>
    <w:rsid w:val="3D8C258A"/>
    <w:rsid w:val="3D8E4ABB"/>
    <w:rsid w:val="3D911EB4"/>
    <w:rsid w:val="3DE60759"/>
    <w:rsid w:val="3DEE7E24"/>
    <w:rsid w:val="3DEF7649"/>
    <w:rsid w:val="3E765450"/>
    <w:rsid w:val="3E770FE0"/>
    <w:rsid w:val="3E9C23C7"/>
    <w:rsid w:val="3EA6477F"/>
    <w:rsid w:val="3EA81A53"/>
    <w:rsid w:val="3EAA59A8"/>
    <w:rsid w:val="3EC82C79"/>
    <w:rsid w:val="3ED84B8F"/>
    <w:rsid w:val="3EDF7C03"/>
    <w:rsid w:val="3F5F7F07"/>
    <w:rsid w:val="3F7A67F9"/>
    <w:rsid w:val="3FA8687F"/>
    <w:rsid w:val="3FD170B5"/>
    <w:rsid w:val="3FDA50A1"/>
    <w:rsid w:val="3FE17ED1"/>
    <w:rsid w:val="400C2F71"/>
    <w:rsid w:val="403C49B8"/>
    <w:rsid w:val="404B380B"/>
    <w:rsid w:val="405515AE"/>
    <w:rsid w:val="408B6A03"/>
    <w:rsid w:val="40907609"/>
    <w:rsid w:val="40D73A75"/>
    <w:rsid w:val="40DC0465"/>
    <w:rsid w:val="40E375C0"/>
    <w:rsid w:val="40E42F9A"/>
    <w:rsid w:val="40FD2E2B"/>
    <w:rsid w:val="41010182"/>
    <w:rsid w:val="4109163F"/>
    <w:rsid w:val="411D23C6"/>
    <w:rsid w:val="41325883"/>
    <w:rsid w:val="4153313A"/>
    <w:rsid w:val="415C7877"/>
    <w:rsid w:val="41641955"/>
    <w:rsid w:val="418751B3"/>
    <w:rsid w:val="418D68B8"/>
    <w:rsid w:val="41CA6CFC"/>
    <w:rsid w:val="41EA08B5"/>
    <w:rsid w:val="41F33214"/>
    <w:rsid w:val="42161379"/>
    <w:rsid w:val="423642E0"/>
    <w:rsid w:val="42371055"/>
    <w:rsid w:val="426A121F"/>
    <w:rsid w:val="42780737"/>
    <w:rsid w:val="42822DBC"/>
    <w:rsid w:val="42AE49AD"/>
    <w:rsid w:val="42CC0577"/>
    <w:rsid w:val="42CF43AB"/>
    <w:rsid w:val="43204989"/>
    <w:rsid w:val="43666490"/>
    <w:rsid w:val="437E2AE4"/>
    <w:rsid w:val="439B6CD4"/>
    <w:rsid w:val="43BA0E7B"/>
    <w:rsid w:val="43CF7350"/>
    <w:rsid w:val="43D55410"/>
    <w:rsid w:val="43D954B0"/>
    <w:rsid w:val="44035422"/>
    <w:rsid w:val="443D7FBB"/>
    <w:rsid w:val="44457DEE"/>
    <w:rsid w:val="444B1319"/>
    <w:rsid w:val="444C3AAB"/>
    <w:rsid w:val="445B46C2"/>
    <w:rsid w:val="44803D71"/>
    <w:rsid w:val="44E47296"/>
    <w:rsid w:val="44ED629B"/>
    <w:rsid w:val="450001D4"/>
    <w:rsid w:val="45030AC7"/>
    <w:rsid w:val="45337A35"/>
    <w:rsid w:val="453C226E"/>
    <w:rsid w:val="455F1228"/>
    <w:rsid w:val="45691A39"/>
    <w:rsid w:val="45C50C09"/>
    <w:rsid w:val="45CD4713"/>
    <w:rsid w:val="461040CF"/>
    <w:rsid w:val="46220DA9"/>
    <w:rsid w:val="463333B8"/>
    <w:rsid w:val="463A0C1C"/>
    <w:rsid w:val="463D63BD"/>
    <w:rsid w:val="4649082A"/>
    <w:rsid w:val="46536751"/>
    <w:rsid w:val="46915244"/>
    <w:rsid w:val="46A6473E"/>
    <w:rsid w:val="46B061D3"/>
    <w:rsid w:val="46D66444"/>
    <w:rsid w:val="46D873CE"/>
    <w:rsid w:val="46EC63E9"/>
    <w:rsid w:val="470331E2"/>
    <w:rsid w:val="4718136A"/>
    <w:rsid w:val="472B6444"/>
    <w:rsid w:val="474B4D21"/>
    <w:rsid w:val="475874D1"/>
    <w:rsid w:val="47646A61"/>
    <w:rsid w:val="477D6B2E"/>
    <w:rsid w:val="47A17E46"/>
    <w:rsid w:val="47AB3DFF"/>
    <w:rsid w:val="47C5793B"/>
    <w:rsid w:val="47D36F0E"/>
    <w:rsid w:val="47D7254D"/>
    <w:rsid w:val="47D83A21"/>
    <w:rsid w:val="48255DD8"/>
    <w:rsid w:val="48516FB5"/>
    <w:rsid w:val="485E6A02"/>
    <w:rsid w:val="488D235F"/>
    <w:rsid w:val="489F465F"/>
    <w:rsid w:val="48AB69D1"/>
    <w:rsid w:val="48C920F7"/>
    <w:rsid w:val="48CC1DE8"/>
    <w:rsid w:val="48EF70EF"/>
    <w:rsid w:val="48F5643E"/>
    <w:rsid w:val="490070F8"/>
    <w:rsid w:val="49177720"/>
    <w:rsid w:val="49311548"/>
    <w:rsid w:val="493A6E4A"/>
    <w:rsid w:val="49400E3C"/>
    <w:rsid w:val="495D0A16"/>
    <w:rsid w:val="495D580C"/>
    <w:rsid w:val="496514D4"/>
    <w:rsid w:val="496B718D"/>
    <w:rsid w:val="496C5184"/>
    <w:rsid w:val="49773515"/>
    <w:rsid w:val="497A7A6F"/>
    <w:rsid w:val="499E5011"/>
    <w:rsid w:val="49AC2879"/>
    <w:rsid w:val="49B71610"/>
    <w:rsid w:val="49C3230F"/>
    <w:rsid w:val="49E47B19"/>
    <w:rsid w:val="49ED738F"/>
    <w:rsid w:val="49FA026B"/>
    <w:rsid w:val="4AA4283E"/>
    <w:rsid w:val="4AB27A19"/>
    <w:rsid w:val="4AD20DD2"/>
    <w:rsid w:val="4AE43EE3"/>
    <w:rsid w:val="4AFC1AE6"/>
    <w:rsid w:val="4B044732"/>
    <w:rsid w:val="4B18672F"/>
    <w:rsid w:val="4B3B41A0"/>
    <w:rsid w:val="4B8217B1"/>
    <w:rsid w:val="4B8526CA"/>
    <w:rsid w:val="4B8C4F03"/>
    <w:rsid w:val="4B9B29B0"/>
    <w:rsid w:val="4BAC4CD7"/>
    <w:rsid w:val="4BBC7413"/>
    <w:rsid w:val="4BD24D00"/>
    <w:rsid w:val="4BED3F1E"/>
    <w:rsid w:val="4BF20848"/>
    <w:rsid w:val="4C063479"/>
    <w:rsid w:val="4C1B0BFD"/>
    <w:rsid w:val="4C5948D2"/>
    <w:rsid w:val="4C707F83"/>
    <w:rsid w:val="4C7A7005"/>
    <w:rsid w:val="4C903E83"/>
    <w:rsid w:val="4C984473"/>
    <w:rsid w:val="4CA65FFF"/>
    <w:rsid w:val="4CD65FA1"/>
    <w:rsid w:val="4CD87AC3"/>
    <w:rsid w:val="4CF32E5D"/>
    <w:rsid w:val="4D1D2BD0"/>
    <w:rsid w:val="4D270BD7"/>
    <w:rsid w:val="4D2866CD"/>
    <w:rsid w:val="4D3A2312"/>
    <w:rsid w:val="4D472ED5"/>
    <w:rsid w:val="4D486759"/>
    <w:rsid w:val="4D617CB3"/>
    <w:rsid w:val="4DA54925"/>
    <w:rsid w:val="4DA625BC"/>
    <w:rsid w:val="4DC81A25"/>
    <w:rsid w:val="4DCE47AE"/>
    <w:rsid w:val="4E0F5155"/>
    <w:rsid w:val="4E1E4C40"/>
    <w:rsid w:val="4E7B0A4F"/>
    <w:rsid w:val="4EA76242"/>
    <w:rsid w:val="4ECF325C"/>
    <w:rsid w:val="4EEF7B0D"/>
    <w:rsid w:val="4F2012FA"/>
    <w:rsid w:val="4F60077D"/>
    <w:rsid w:val="4F662598"/>
    <w:rsid w:val="4F9A5AC7"/>
    <w:rsid w:val="4FAD2C99"/>
    <w:rsid w:val="4FBE5210"/>
    <w:rsid w:val="4FCA0092"/>
    <w:rsid w:val="4FDB510E"/>
    <w:rsid w:val="4FF0539A"/>
    <w:rsid w:val="50831CFC"/>
    <w:rsid w:val="508C55E4"/>
    <w:rsid w:val="50B30292"/>
    <w:rsid w:val="50D42FF8"/>
    <w:rsid w:val="50DF60A5"/>
    <w:rsid w:val="512344AA"/>
    <w:rsid w:val="514F07F2"/>
    <w:rsid w:val="515452C6"/>
    <w:rsid w:val="5169752E"/>
    <w:rsid w:val="51846ACD"/>
    <w:rsid w:val="51A1441A"/>
    <w:rsid w:val="51D81655"/>
    <w:rsid w:val="51FB49FA"/>
    <w:rsid w:val="52081D60"/>
    <w:rsid w:val="521E1720"/>
    <w:rsid w:val="522C01F6"/>
    <w:rsid w:val="52350BAD"/>
    <w:rsid w:val="523D01F7"/>
    <w:rsid w:val="52455B41"/>
    <w:rsid w:val="526925C3"/>
    <w:rsid w:val="52F115A4"/>
    <w:rsid w:val="52F55FE1"/>
    <w:rsid w:val="531A7E21"/>
    <w:rsid w:val="53392C59"/>
    <w:rsid w:val="534A5723"/>
    <w:rsid w:val="53780BF7"/>
    <w:rsid w:val="53827C75"/>
    <w:rsid w:val="53977334"/>
    <w:rsid w:val="53A432A8"/>
    <w:rsid w:val="53ED2D7D"/>
    <w:rsid w:val="541D68EA"/>
    <w:rsid w:val="54233F01"/>
    <w:rsid w:val="5426050F"/>
    <w:rsid w:val="54B26C85"/>
    <w:rsid w:val="54D06B78"/>
    <w:rsid w:val="54D23E65"/>
    <w:rsid w:val="550B3A19"/>
    <w:rsid w:val="5520227E"/>
    <w:rsid w:val="55350158"/>
    <w:rsid w:val="5557610E"/>
    <w:rsid w:val="555E6C1B"/>
    <w:rsid w:val="559C7AE4"/>
    <w:rsid w:val="55A71BF6"/>
    <w:rsid w:val="55C85ABC"/>
    <w:rsid w:val="55F12F0B"/>
    <w:rsid w:val="560969F1"/>
    <w:rsid w:val="564F7AED"/>
    <w:rsid w:val="565C6708"/>
    <w:rsid w:val="56694B9A"/>
    <w:rsid w:val="56A44CB8"/>
    <w:rsid w:val="56B25B41"/>
    <w:rsid w:val="56B50188"/>
    <w:rsid w:val="56D76AC8"/>
    <w:rsid w:val="570D040D"/>
    <w:rsid w:val="571E12FD"/>
    <w:rsid w:val="57283E0B"/>
    <w:rsid w:val="572C6683"/>
    <w:rsid w:val="57397350"/>
    <w:rsid w:val="5764022E"/>
    <w:rsid w:val="577F3C6A"/>
    <w:rsid w:val="579032E9"/>
    <w:rsid w:val="579C69D5"/>
    <w:rsid w:val="579D7155"/>
    <w:rsid w:val="57A87F15"/>
    <w:rsid w:val="57AA446E"/>
    <w:rsid w:val="57AF2B99"/>
    <w:rsid w:val="57B20FB2"/>
    <w:rsid w:val="57C66ED9"/>
    <w:rsid w:val="58277820"/>
    <w:rsid w:val="582D44A4"/>
    <w:rsid w:val="58382BFE"/>
    <w:rsid w:val="584560C7"/>
    <w:rsid w:val="585D2373"/>
    <w:rsid w:val="58722FA5"/>
    <w:rsid w:val="58A748FB"/>
    <w:rsid w:val="58BA1A3E"/>
    <w:rsid w:val="58CB7B5B"/>
    <w:rsid w:val="58E83250"/>
    <w:rsid w:val="58F67E12"/>
    <w:rsid w:val="5911172D"/>
    <w:rsid w:val="592616D2"/>
    <w:rsid w:val="592972E8"/>
    <w:rsid w:val="593D676A"/>
    <w:rsid w:val="59756A21"/>
    <w:rsid w:val="598A6297"/>
    <w:rsid w:val="59B54288"/>
    <w:rsid w:val="59BB12DE"/>
    <w:rsid w:val="5A420030"/>
    <w:rsid w:val="5A550882"/>
    <w:rsid w:val="5A924201"/>
    <w:rsid w:val="5AB32B16"/>
    <w:rsid w:val="5AC3617E"/>
    <w:rsid w:val="5AE42A22"/>
    <w:rsid w:val="5AEB50CE"/>
    <w:rsid w:val="5AEE7829"/>
    <w:rsid w:val="5AF10262"/>
    <w:rsid w:val="5AF11A69"/>
    <w:rsid w:val="5B1456EB"/>
    <w:rsid w:val="5B2226A8"/>
    <w:rsid w:val="5B2F4C7A"/>
    <w:rsid w:val="5B4516CD"/>
    <w:rsid w:val="5B715A14"/>
    <w:rsid w:val="5BD650B6"/>
    <w:rsid w:val="5BE057DA"/>
    <w:rsid w:val="5C140A38"/>
    <w:rsid w:val="5C343553"/>
    <w:rsid w:val="5C4242B8"/>
    <w:rsid w:val="5C6269C7"/>
    <w:rsid w:val="5C80234E"/>
    <w:rsid w:val="5C8F47C8"/>
    <w:rsid w:val="5CBE1C79"/>
    <w:rsid w:val="5CD44C5E"/>
    <w:rsid w:val="5CD71238"/>
    <w:rsid w:val="5CDE6D6C"/>
    <w:rsid w:val="5CEB3357"/>
    <w:rsid w:val="5CF759F0"/>
    <w:rsid w:val="5D100B52"/>
    <w:rsid w:val="5D5D074B"/>
    <w:rsid w:val="5D8A1F48"/>
    <w:rsid w:val="5DBB20D6"/>
    <w:rsid w:val="5DBD49DF"/>
    <w:rsid w:val="5E050A88"/>
    <w:rsid w:val="5E362D77"/>
    <w:rsid w:val="5E6055F9"/>
    <w:rsid w:val="5E8010DE"/>
    <w:rsid w:val="5EB0424F"/>
    <w:rsid w:val="5EBB32CA"/>
    <w:rsid w:val="5EE45727"/>
    <w:rsid w:val="5F01496B"/>
    <w:rsid w:val="5F1C44EF"/>
    <w:rsid w:val="5F387044"/>
    <w:rsid w:val="5F3E2BE4"/>
    <w:rsid w:val="5F423390"/>
    <w:rsid w:val="5F5E4313"/>
    <w:rsid w:val="5F8E7A52"/>
    <w:rsid w:val="5FEE65AC"/>
    <w:rsid w:val="60065C1F"/>
    <w:rsid w:val="60515592"/>
    <w:rsid w:val="607D18D9"/>
    <w:rsid w:val="6093532E"/>
    <w:rsid w:val="609653EE"/>
    <w:rsid w:val="60F202F9"/>
    <w:rsid w:val="60F422C8"/>
    <w:rsid w:val="610465FD"/>
    <w:rsid w:val="61226B14"/>
    <w:rsid w:val="613D3B03"/>
    <w:rsid w:val="61464855"/>
    <w:rsid w:val="61541CC2"/>
    <w:rsid w:val="61582C51"/>
    <w:rsid w:val="615F55C8"/>
    <w:rsid w:val="617556F4"/>
    <w:rsid w:val="61775374"/>
    <w:rsid w:val="61BD37CD"/>
    <w:rsid w:val="61D32713"/>
    <w:rsid w:val="61DF18E1"/>
    <w:rsid w:val="620868DC"/>
    <w:rsid w:val="620F0A1A"/>
    <w:rsid w:val="622651E4"/>
    <w:rsid w:val="626671FB"/>
    <w:rsid w:val="62835A36"/>
    <w:rsid w:val="62B071DA"/>
    <w:rsid w:val="62C82722"/>
    <w:rsid w:val="62D65CF9"/>
    <w:rsid w:val="62DB6448"/>
    <w:rsid w:val="63101418"/>
    <w:rsid w:val="631E22CD"/>
    <w:rsid w:val="63290834"/>
    <w:rsid w:val="633D4089"/>
    <w:rsid w:val="634F089E"/>
    <w:rsid w:val="63601E52"/>
    <w:rsid w:val="637C1165"/>
    <w:rsid w:val="638915E4"/>
    <w:rsid w:val="638B501D"/>
    <w:rsid w:val="639456EF"/>
    <w:rsid w:val="63A20805"/>
    <w:rsid w:val="63D833AA"/>
    <w:rsid w:val="63E52406"/>
    <w:rsid w:val="63FD4017"/>
    <w:rsid w:val="6450232A"/>
    <w:rsid w:val="64812BDD"/>
    <w:rsid w:val="64830553"/>
    <w:rsid w:val="64850590"/>
    <w:rsid w:val="649829B7"/>
    <w:rsid w:val="64BB7822"/>
    <w:rsid w:val="64C31671"/>
    <w:rsid w:val="64CF1BF3"/>
    <w:rsid w:val="64DF6F24"/>
    <w:rsid w:val="64EB27FD"/>
    <w:rsid w:val="64ED5E34"/>
    <w:rsid w:val="6508420C"/>
    <w:rsid w:val="65310993"/>
    <w:rsid w:val="65387F11"/>
    <w:rsid w:val="655B5E8D"/>
    <w:rsid w:val="655F190E"/>
    <w:rsid w:val="65A56A57"/>
    <w:rsid w:val="65B1485D"/>
    <w:rsid w:val="65B20919"/>
    <w:rsid w:val="65B43A85"/>
    <w:rsid w:val="65BC75B8"/>
    <w:rsid w:val="65D70BEE"/>
    <w:rsid w:val="65DA5F53"/>
    <w:rsid w:val="65EC68FE"/>
    <w:rsid w:val="660F3A1B"/>
    <w:rsid w:val="66154489"/>
    <w:rsid w:val="667E62BA"/>
    <w:rsid w:val="66895918"/>
    <w:rsid w:val="66F4008F"/>
    <w:rsid w:val="67220224"/>
    <w:rsid w:val="673D200B"/>
    <w:rsid w:val="67846D99"/>
    <w:rsid w:val="67860179"/>
    <w:rsid w:val="67E11F27"/>
    <w:rsid w:val="68112F1B"/>
    <w:rsid w:val="68515DB2"/>
    <w:rsid w:val="686A67FD"/>
    <w:rsid w:val="687A55F1"/>
    <w:rsid w:val="68B5106C"/>
    <w:rsid w:val="68BF45DB"/>
    <w:rsid w:val="68C35F9D"/>
    <w:rsid w:val="68DC5470"/>
    <w:rsid w:val="68E424FF"/>
    <w:rsid w:val="68FE4118"/>
    <w:rsid w:val="6938159A"/>
    <w:rsid w:val="693B1B80"/>
    <w:rsid w:val="693D6AA6"/>
    <w:rsid w:val="694567CB"/>
    <w:rsid w:val="696E0D08"/>
    <w:rsid w:val="697C445F"/>
    <w:rsid w:val="6985092D"/>
    <w:rsid w:val="698A3540"/>
    <w:rsid w:val="698C7A7C"/>
    <w:rsid w:val="699733CE"/>
    <w:rsid w:val="699A504F"/>
    <w:rsid w:val="699F4EB5"/>
    <w:rsid w:val="699F6A39"/>
    <w:rsid w:val="69A33D07"/>
    <w:rsid w:val="69A63060"/>
    <w:rsid w:val="69AF1BC5"/>
    <w:rsid w:val="69C6602C"/>
    <w:rsid w:val="69CD3CFB"/>
    <w:rsid w:val="69D07728"/>
    <w:rsid w:val="69F35C35"/>
    <w:rsid w:val="6A0B1F40"/>
    <w:rsid w:val="6A120191"/>
    <w:rsid w:val="6A725CBC"/>
    <w:rsid w:val="6A761AF1"/>
    <w:rsid w:val="6AA9520C"/>
    <w:rsid w:val="6AE755EA"/>
    <w:rsid w:val="6B092721"/>
    <w:rsid w:val="6B25609C"/>
    <w:rsid w:val="6B3D6F01"/>
    <w:rsid w:val="6B447031"/>
    <w:rsid w:val="6B5507B6"/>
    <w:rsid w:val="6B713467"/>
    <w:rsid w:val="6B796526"/>
    <w:rsid w:val="6B7B1AB7"/>
    <w:rsid w:val="6BAF0188"/>
    <w:rsid w:val="6BC12C95"/>
    <w:rsid w:val="6BC51558"/>
    <w:rsid w:val="6BD957D8"/>
    <w:rsid w:val="6BE2263C"/>
    <w:rsid w:val="6BF63E0D"/>
    <w:rsid w:val="6BFA5AB3"/>
    <w:rsid w:val="6C057D23"/>
    <w:rsid w:val="6C0F21D5"/>
    <w:rsid w:val="6C3404AB"/>
    <w:rsid w:val="6C44266D"/>
    <w:rsid w:val="6C464ACA"/>
    <w:rsid w:val="6C4F4418"/>
    <w:rsid w:val="6C59260E"/>
    <w:rsid w:val="6C8124F1"/>
    <w:rsid w:val="6C873AB9"/>
    <w:rsid w:val="6C9C2665"/>
    <w:rsid w:val="6CA84ECE"/>
    <w:rsid w:val="6CCF12F4"/>
    <w:rsid w:val="6D041E5E"/>
    <w:rsid w:val="6D095C70"/>
    <w:rsid w:val="6D5502EE"/>
    <w:rsid w:val="6D5C5275"/>
    <w:rsid w:val="6D5E5CA7"/>
    <w:rsid w:val="6D663401"/>
    <w:rsid w:val="6D866146"/>
    <w:rsid w:val="6DAD060C"/>
    <w:rsid w:val="6DB83399"/>
    <w:rsid w:val="6DC95540"/>
    <w:rsid w:val="6DFC5B5D"/>
    <w:rsid w:val="6E305991"/>
    <w:rsid w:val="6E333FAF"/>
    <w:rsid w:val="6E4A6467"/>
    <w:rsid w:val="6E4C2426"/>
    <w:rsid w:val="6E6115B6"/>
    <w:rsid w:val="6E642D58"/>
    <w:rsid w:val="6E99289F"/>
    <w:rsid w:val="6EB225F5"/>
    <w:rsid w:val="6EDC35ED"/>
    <w:rsid w:val="6EDD6295"/>
    <w:rsid w:val="6EE61828"/>
    <w:rsid w:val="6F533EDB"/>
    <w:rsid w:val="6F556716"/>
    <w:rsid w:val="6F723F18"/>
    <w:rsid w:val="6F83549A"/>
    <w:rsid w:val="700233CF"/>
    <w:rsid w:val="704576A6"/>
    <w:rsid w:val="704A73A9"/>
    <w:rsid w:val="7072551D"/>
    <w:rsid w:val="707444B8"/>
    <w:rsid w:val="708B325D"/>
    <w:rsid w:val="70C763F9"/>
    <w:rsid w:val="70D90C88"/>
    <w:rsid w:val="70DD22B5"/>
    <w:rsid w:val="70E86A03"/>
    <w:rsid w:val="70FC655A"/>
    <w:rsid w:val="713D5B94"/>
    <w:rsid w:val="71424C8A"/>
    <w:rsid w:val="71A207FB"/>
    <w:rsid w:val="71B618A7"/>
    <w:rsid w:val="71B61B8A"/>
    <w:rsid w:val="71CB134A"/>
    <w:rsid w:val="71D87687"/>
    <w:rsid w:val="71E91071"/>
    <w:rsid w:val="722941B0"/>
    <w:rsid w:val="726C2709"/>
    <w:rsid w:val="72765490"/>
    <w:rsid w:val="7279070B"/>
    <w:rsid w:val="72793D45"/>
    <w:rsid w:val="72801514"/>
    <w:rsid w:val="728F08E0"/>
    <w:rsid w:val="72F8122F"/>
    <w:rsid w:val="730402B7"/>
    <w:rsid w:val="733E7908"/>
    <w:rsid w:val="735018BD"/>
    <w:rsid w:val="7370169D"/>
    <w:rsid w:val="73815E05"/>
    <w:rsid w:val="73C768D1"/>
    <w:rsid w:val="73CB2A53"/>
    <w:rsid w:val="73D969A9"/>
    <w:rsid w:val="73E51E8F"/>
    <w:rsid w:val="73F44DF6"/>
    <w:rsid w:val="740D4C92"/>
    <w:rsid w:val="7410629E"/>
    <w:rsid w:val="74281DD5"/>
    <w:rsid w:val="7444473C"/>
    <w:rsid w:val="745A7481"/>
    <w:rsid w:val="7467381E"/>
    <w:rsid w:val="74AB40F8"/>
    <w:rsid w:val="74FF5178"/>
    <w:rsid w:val="75011284"/>
    <w:rsid w:val="75190EC9"/>
    <w:rsid w:val="751A7AAF"/>
    <w:rsid w:val="753A53E5"/>
    <w:rsid w:val="753E4596"/>
    <w:rsid w:val="754B04A3"/>
    <w:rsid w:val="75645748"/>
    <w:rsid w:val="75690A5B"/>
    <w:rsid w:val="756964B8"/>
    <w:rsid w:val="756A2984"/>
    <w:rsid w:val="75700F59"/>
    <w:rsid w:val="758A6A11"/>
    <w:rsid w:val="759D1284"/>
    <w:rsid w:val="75CE741B"/>
    <w:rsid w:val="75E52275"/>
    <w:rsid w:val="764C5410"/>
    <w:rsid w:val="76897E06"/>
    <w:rsid w:val="76A73052"/>
    <w:rsid w:val="76A9613C"/>
    <w:rsid w:val="76DD1A93"/>
    <w:rsid w:val="76E00BE9"/>
    <w:rsid w:val="7703376B"/>
    <w:rsid w:val="77274E3E"/>
    <w:rsid w:val="774C578E"/>
    <w:rsid w:val="778D1A26"/>
    <w:rsid w:val="78495AD5"/>
    <w:rsid w:val="785406E1"/>
    <w:rsid w:val="78913A5E"/>
    <w:rsid w:val="789C6654"/>
    <w:rsid w:val="78B01D99"/>
    <w:rsid w:val="78B564BC"/>
    <w:rsid w:val="78C5046A"/>
    <w:rsid w:val="78DD7598"/>
    <w:rsid w:val="78DF3237"/>
    <w:rsid w:val="78E42B9F"/>
    <w:rsid w:val="78FA487E"/>
    <w:rsid w:val="79144F31"/>
    <w:rsid w:val="79343267"/>
    <w:rsid w:val="79504D36"/>
    <w:rsid w:val="795B5AEB"/>
    <w:rsid w:val="795E681F"/>
    <w:rsid w:val="797920B6"/>
    <w:rsid w:val="797E3FB5"/>
    <w:rsid w:val="798955D7"/>
    <w:rsid w:val="79986A4E"/>
    <w:rsid w:val="79AA7AB8"/>
    <w:rsid w:val="79B65CA4"/>
    <w:rsid w:val="79E76B16"/>
    <w:rsid w:val="79FB40D6"/>
    <w:rsid w:val="7A30009D"/>
    <w:rsid w:val="7A436BEF"/>
    <w:rsid w:val="7A5376D7"/>
    <w:rsid w:val="7A6511F4"/>
    <w:rsid w:val="7A673C9D"/>
    <w:rsid w:val="7A6A0B69"/>
    <w:rsid w:val="7A6F776C"/>
    <w:rsid w:val="7A7A614C"/>
    <w:rsid w:val="7AA57B03"/>
    <w:rsid w:val="7AE44A61"/>
    <w:rsid w:val="7AF771C8"/>
    <w:rsid w:val="7B01705B"/>
    <w:rsid w:val="7B432699"/>
    <w:rsid w:val="7B7927D7"/>
    <w:rsid w:val="7B7E6CD8"/>
    <w:rsid w:val="7B8A593A"/>
    <w:rsid w:val="7B993E39"/>
    <w:rsid w:val="7BB975CC"/>
    <w:rsid w:val="7C2F0958"/>
    <w:rsid w:val="7C42096C"/>
    <w:rsid w:val="7C863852"/>
    <w:rsid w:val="7C8F6EF4"/>
    <w:rsid w:val="7CBF205E"/>
    <w:rsid w:val="7CEF6398"/>
    <w:rsid w:val="7CF928E3"/>
    <w:rsid w:val="7CFB29CD"/>
    <w:rsid w:val="7D19575F"/>
    <w:rsid w:val="7D1D72FC"/>
    <w:rsid w:val="7D2F6182"/>
    <w:rsid w:val="7D333297"/>
    <w:rsid w:val="7D883202"/>
    <w:rsid w:val="7D9066C7"/>
    <w:rsid w:val="7D930B80"/>
    <w:rsid w:val="7D950926"/>
    <w:rsid w:val="7DA43682"/>
    <w:rsid w:val="7DB11D33"/>
    <w:rsid w:val="7DBA219C"/>
    <w:rsid w:val="7DD01FFA"/>
    <w:rsid w:val="7DDE038D"/>
    <w:rsid w:val="7DDE3C10"/>
    <w:rsid w:val="7DDF1C45"/>
    <w:rsid w:val="7DE7700C"/>
    <w:rsid w:val="7DF34CC9"/>
    <w:rsid w:val="7E155008"/>
    <w:rsid w:val="7E1562E9"/>
    <w:rsid w:val="7E173D98"/>
    <w:rsid w:val="7E3727B8"/>
    <w:rsid w:val="7E397DF0"/>
    <w:rsid w:val="7E4F487C"/>
    <w:rsid w:val="7E687DC4"/>
    <w:rsid w:val="7E7A20EE"/>
    <w:rsid w:val="7E9A7F52"/>
    <w:rsid w:val="7EAB7AE1"/>
    <w:rsid w:val="7EB01306"/>
    <w:rsid w:val="7EB24B02"/>
    <w:rsid w:val="7EB75E8F"/>
    <w:rsid w:val="7EC03C2A"/>
    <w:rsid w:val="7EC23E83"/>
    <w:rsid w:val="7ECC4ED1"/>
    <w:rsid w:val="7EF54A23"/>
    <w:rsid w:val="7EF60D9D"/>
    <w:rsid w:val="7EF75123"/>
    <w:rsid w:val="7F237EAC"/>
    <w:rsid w:val="7F3F1760"/>
    <w:rsid w:val="7FB73496"/>
    <w:rsid w:val="7FD60748"/>
    <w:rsid w:val="7FE07808"/>
    <w:rsid w:val="7FEB4E8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name="Normal Indent"/>
    <w:lsdException w:unhideWhenUsed="0" w:uiPriority="0" w:semiHidden="0" w:name="footnote text"/>
    <w:lsdException w:qFormat="1" w:unhideWhenUsed="0" w:uiPriority="0" w:name="annotation text"/>
    <w:lsdException w:qFormat="1" w:unhideWhenUsed="0" w:uiPriority="0" w:name="header"/>
    <w:lsdException w:qFormat="1" w:unhideWhenUsed="0" w:uiPriority="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name="Date"/>
    <w:lsdException w:qFormat="1" w:unhideWhenUsed="0" w:uiPriority="0" w:name="Body Text First Indent"/>
    <w:lsdException w:qFormat="1" w:unhideWhenUsed="0" w:uiPriority="0" w:semiHidden="0" w:name="Body Text First Indent 2"/>
    <w:lsdException w:unhideWhenUsed="0" w:uiPriority="0" w:semiHidden="0" w:name="Note Heading"/>
    <w:lsdException w:qFormat="1" w:unhideWhenUsed="0" w:uiPriority="0" w:name="Body Text 2"/>
    <w:lsdException w:qFormat="1" w:unhideWhenUsed="0" w:uiPriority="0" w:name="Body Text 3"/>
    <w:lsdException w:qFormat="1" w:unhideWhenUsed="0" w:uiPriority="0" w:name="Body Text Indent 2"/>
    <w:lsdException w:qFormat="1" w:unhideWhenUsed="0" w:uiPriority="0" w:name="Body Text Indent 3"/>
    <w:lsdException w:unhideWhenUsed="0" w:uiPriority="0" w:semiHidden="0" w:name="Block Text"/>
    <w:lsdException w:qFormat="1" w:unhideWhenUsed="0" w:uiPriority="0" w:name="Hyperlink"/>
    <w:lsdException w:qFormat="1" w:unhideWhenUsed="0" w:uiPriority="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name="Plain Text"/>
    <w:lsdException w:unhideWhenUsed="0" w:uiPriority="0" w:semiHidden="0" w:name="E-mail Signature"/>
    <w:lsdException w:qFormat="1" w:unhideWhenUsed="0" w:uiPriority="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32"/>
      <w:szCs w:val="24"/>
      <w:lang w:val="en-US" w:eastAsia="zh-CN" w:bidi="ar-SA"/>
    </w:rPr>
  </w:style>
  <w:style w:type="paragraph" w:styleId="3">
    <w:name w:val="heading 1"/>
    <w:basedOn w:val="1"/>
    <w:next w:val="1"/>
    <w:qFormat/>
    <w:uiPriority w:val="0"/>
    <w:pPr>
      <w:keepNext/>
      <w:jc w:val="left"/>
      <w:outlineLvl w:val="0"/>
    </w:pPr>
    <w:rPr>
      <w:rFonts w:ascii="宋体"/>
      <w:sz w:val="28"/>
      <w:szCs w:val="20"/>
    </w:rPr>
  </w:style>
  <w:style w:type="paragraph" w:styleId="4">
    <w:name w:val="heading 2"/>
    <w:basedOn w:val="1"/>
    <w:next w:val="1"/>
    <w:link w:val="43"/>
    <w:qFormat/>
    <w:uiPriority w:val="0"/>
    <w:pPr>
      <w:keepNext/>
      <w:keepLines/>
      <w:tabs>
        <w:tab w:val="left" w:pos="567"/>
      </w:tabs>
      <w:spacing w:before="120" w:after="120" w:line="480" w:lineRule="exact"/>
      <w:ind w:left="567" w:hanging="567"/>
      <w:outlineLvl w:val="1"/>
    </w:pPr>
    <w:rPr>
      <w:bCs/>
      <w:sz w:val="28"/>
      <w:szCs w:val="32"/>
    </w:rPr>
  </w:style>
  <w:style w:type="paragraph" w:styleId="5">
    <w:name w:val="heading 3"/>
    <w:basedOn w:val="1"/>
    <w:next w:val="1"/>
    <w:qFormat/>
    <w:uiPriority w:val="0"/>
    <w:pPr>
      <w:keepNext/>
      <w:keepLines/>
      <w:tabs>
        <w:tab w:val="left" w:pos="709"/>
      </w:tabs>
      <w:spacing w:before="120" w:after="120" w:line="480" w:lineRule="exact"/>
      <w:ind w:left="709" w:hanging="709"/>
      <w:outlineLvl w:val="2"/>
    </w:pPr>
    <w:rPr>
      <w:sz w:val="28"/>
      <w:szCs w:val="32"/>
    </w:rPr>
  </w:style>
  <w:style w:type="paragraph" w:styleId="6">
    <w:name w:val="heading 4"/>
    <w:basedOn w:val="1"/>
    <w:next w:val="7"/>
    <w:qFormat/>
    <w:uiPriority w:val="0"/>
    <w:pPr>
      <w:keepNext/>
      <w:keepLines/>
      <w:tabs>
        <w:tab w:val="left" w:pos="851"/>
      </w:tabs>
      <w:spacing w:before="120" w:after="120" w:line="480" w:lineRule="exact"/>
      <w:ind w:left="851" w:hanging="851"/>
      <w:outlineLvl w:val="3"/>
    </w:pPr>
    <w:rPr>
      <w:sz w:val="28"/>
      <w:szCs w:val="28"/>
    </w:rPr>
  </w:style>
  <w:style w:type="paragraph" w:styleId="8">
    <w:name w:val="heading 5"/>
    <w:basedOn w:val="1"/>
    <w:next w:val="1"/>
    <w:qFormat/>
    <w:uiPriority w:val="0"/>
    <w:pPr>
      <w:keepNext/>
      <w:keepLines/>
      <w:tabs>
        <w:tab w:val="left" w:pos="1080"/>
      </w:tabs>
      <w:adjustRightInd w:val="0"/>
      <w:spacing w:before="120" w:after="120" w:line="480" w:lineRule="exact"/>
      <w:ind w:left="992" w:hanging="992"/>
      <w:textAlignment w:val="baseline"/>
      <w:outlineLvl w:val="4"/>
    </w:pPr>
    <w:rPr>
      <w:bCs/>
      <w:kern w:val="0"/>
      <w:sz w:val="28"/>
      <w:szCs w:val="20"/>
    </w:rPr>
  </w:style>
  <w:style w:type="paragraph" w:styleId="9">
    <w:name w:val="heading 6"/>
    <w:basedOn w:val="1"/>
    <w:next w:val="1"/>
    <w:qFormat/>
    <w:uiPriority w:val="0"/>
    <w:pPr>
      <w:keepNext/>
      <w:keepLines/>
      <w:tabs>
        <w:tab w:val="left" w:pos="1440"/>
      </w:tabs>
      <w:adjustRightInd w:val="0"/>
      <w:spacing w:before="120" w:after="120" w:line="480" w:lineRule="exact"/>
      <w:ind w:left="1134" w:hanging="1134"/>
      <w:textAlignment w:val="baseline"/>
      <w:outlineLvl w:val="5"/>
    </w:pPr>
    <w:rPr>
      <w:kern w:val="0"/>
      <w:sz w:val="28"/>
      <w:szCs w:val="20"/>
    </w:rPr>
  </w:style>
  <w:style w:type="paragraph" w:styleId="10">
    <w:name w:val="heading 7"/>
    <w:basedOn w:val="1"/>
    <w:next w:val="1"/>
    <w:qFormat/>
    <w:uiPriority w:val="0"/>
    <w:pPr>
      <w:keepNext/>
      <w:keepLines/>
      <w:adjustRightInd w:val="0"/>
      <w:spacing w:before="240" w:after="64" w:line="320" w:lineRule="atLeast"/>
      <w:textAlignment w:val="baseline"/>
      <w:outlineLvl w:val="6"/>
    </w:pPr>
    <w:rPr>
      <w:b/>
      <w:bCs/>
      <w:kern w:val="0"/>
      <w:sz w:val="20"/>
    </w:rPr>
  </w:style>
  <w:style w:type="paragraph" w:styleId="11">
    <w:name w:val="heading 8"/>
    <w:basedOn w:val="1"/>
    <w:next w:val="1"/>
    <w:qFormat/>
    <w:uiPriority w:val="0"/>
    <w:pPr>
      <w:keepNext/>
      <w:keepLines/>
      <w:spacing w:before="240" w:after="64" w:line="320" w:lineRule="auto"/>
      <w:outlineLvl w:val="7"/>
    </w:pPr>
    <w:rPr>
      <w:rFonts w:ascii="Arial" w:hAnsi="Arial" w:eastAsia="黑体"/>
      <w:sz w:val="24"/>
    </w:rPr>
  </w:style>
  <w:style w:type="paragraph" w:styleId="12">
    <w:name w:val="heading 9"/>
    <w:basedOn w:val="1"/>
    <w:next w:val="1"/>
    <w:qFormat/>
    <w:uiPriority w:val="0"/>
    <w:pPr>
      <w:keepNext/>
      <w:keepLines/>
      <w:spacing w:before="240" w:after="64" w:line="320" w:lineRule="auto"/>
      <w:outlineLvl w:val="8"/>
    </w:pPr>
    <w:rPr>
      <w:rFonts w:ascii="Arial" w:hAnsi="Arial" w:eastAsia="黑体"/>
      <w:sz w:val="21"/>
      <w:szCs w:val="21"/>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56"/>
    <w:qFormat/>
    <w:uiPriority w:val="0"/>
    <w:pPr>
      <w:spacing w:line="560" w:lineRule="exact"/>
      <w:ind w:firstLine="200" w:firstLineChars="200"/>
    </w:pPr>
    <w:rPr>
      <w:sz w:val="24"/>
      <w:szCs w:val="20"/>
    </w:rPr>
  </w:style>
  <w:style w:type="paragraph" w:styleId="7">
    <w:name w:val="Body Text First Indent"/>
    <w:basedOn w:val="1"/>
    <w:semiHidden/>
    <w:qFormat/>
    <w:uiPriority w:val="0"/>
    <w:pPr>
      <w:spacing w:after="120"/>
      <w:ind w:firstLine="420" w:firstLineChars="100"/>
    </w:pPr>
    <w:rPr>
      <w:szCs w:val="24"/>
    </w:rPr>
  </w:style>
  <w:style w:type="paragraph" w:styleId="13">
    <w:name w:val="Normal Indent"/>
    <w:basedOn w:val="1"/>
    <w:semiHidden/>
    <w:qFormat/>
    <w:uiPriority w:val="0"/>
    <w:pPr>
      <w:ind w:firstLine="420" w:firstLineChars="200"/>
    </w:pPr>
  </w:style>
  <w:style w:type="paragraph" w:styleId="14">
    <w:name w:val="caption"/>
    <w:basedOn w:val="1"/>
    <w:next w:val="1"/>
    <w:qFormat/>
    <w:uiPriority w:val="0"/>
    <w:rPr>
      <w:rFonts w:ascii="Arial" w:hAnsi="Arial" w:eastAsia="黑体" w:cs="Arial"/>
      <w:sz w:val="20"/>
      <w:szCs w:val="20"/>
    </w:rPr>
  </w:style>
  <w:style w:type="paragraph" w:styleId="15">
    <w:name w:val="Document Map"/>
    <w:basedOn w:val="1"/>
    <w:semiHidden/>
    <w:qFormat/>
    <w:uiPriority w:val="0"/>
    <w:pPr>
      <w:shd w:val="clear" w:color="auto" w:fill="000080"/>
    </w:pPr>
  </w:style>
  <w:style w:type="paragraph" w:styleId="16">
    <w:name w:val="annotation text"/>
    <w:basedOn w:val="1"/>
    <w:semiHidden/>
    <w:qFormat/>
    <w:uiPriority w:val="0"/>
    <w:pPr>
      <w:jc w:val="left"/>
    </w:pPr>
  </w:style>
  <w:style w:type="paragraph" w:styleId="17">
    <w:name w:val="Body Text 3"/>
    <w:basedOn w:val="1"/>
    <w:semiHidden/>
    <w:qFormat/>
    <w:uiPriority w:val="0"/>
    <w:pPr>
      <w:spacing w:line="600" w:lineRule="exact"/>
      <w:jc w:val="left"/>
    </w:pPr>
    <w:rPr>
      <w:b/>
      <w:bCs/>
      <w:sz w:val="28"/>
      <w:szCs w:val="20"/>
    </w:rPr>
  </w:style>
  <w:style w:type="paragraph" w:styleId="18">
    <w:name w:val="Body Text Indent"/>
    <w:basedOn w:val="1"/>
    <w:semiHidden/>
    <w:qFormat/>
    <w:uiPriority w:val="0"/>
    <w:pPr>
      <w:spacing w:line="460" w:lineRule="exact"/>
      <w:ind w:firstLine="561"/>
      <w:jc w:val="left"/>
    </w:pPr>
    <w:rPr>
      <w:sz w:val="28"/>
    </w:rPr>
  </w:style>
  <w:style w:type="paragraph" w:styleId="19">
    <w:name w:val="Plain Text"/>
    <w:basedOn w:val="1"/>
    <w:semiHidden/>
    <w:qFormat/>
    <w:uiPriority w:val="0"/>
    <w:rPr>
      <w:rFonts w:ascii="宋体" w:hAnsi="Courier New"/>
      <w:sz w:val="21"/>
      <w:szCs w:val="20"/>
    </w:rPr>
  </w:style>
  <w:style w:type="paragraph" w:styleId="20">
    <w:name w:val="Date"/>
    <w:basedOn w:val="1"/>
    <w:next w:val="1"/>
    <w:link w:val="62"/>
    <w:semiHidden/>
    <w:qFormat/>
    <w:uiPriority w:val="0"/>
    <w:pPr>
      <w:spacing w:line="520" w:lineRule="exact"/>
    </w:pPr>
    <w:rPr>
      <w:sz w:val="28"/>
      <w:szCs w:val="20"/>
    </w:rPr>
  </w:style>
  <w:style w:type="paragraph" w:styleId="21">
    <w:name w:val="Body Text Indent 2"/>
    <w:basedOn w:val="1"/>
    <w:semiHidden/>
    <w:qFormat/>
    <w:uiPriority w:val="0"/>
    <w:pPr>
      <w:spacing w:after="120" w:line="480" w:lineRule="auto"/>
      <w:ind w:left="420" w:leftChars="200"/>
    </w:pPr>
  </w:style>
  <w:style w:type="paragraph" w:styleId="22">
    <w:name w:val="Balloon Text"/>
    <w:basedOn w:val="1"/>
    <w:semiHidden/>
    <w:qFormat/>
    <w:uiPriority w:val="0"/>
    <w:rPr>
      <w:sz w:val="18"/>
      <w:szCs w:val="18"/>
    </w:rPr>
  </w:style>
  <w:style w:type="paragraph" w:styleId="23">
    <w:name w:val="footer"/>
    <w:basedOn w:val="1"/>
    <w:semiHidden/>
    <w:qFormat/>
    <w:uiPriority w:val="0"/>
    <w:pPr>
      <w:tabs>
        <w:tab w:val="center" w:pos="4153"/>
        <w:tab w:val="right" w:pos="8306"/>
      </w:tabs>
      <w:snapToGrid w:val="0"/>
      <w:jc w:val="left"/>
    </w:pPr>
    <w:rPr>
      <w:sz w:val="18"/>
      <w:szCs w:val="20"/>
    </w:rPr>
  </w:style>
  <w:style w:type="paragraph" w:styleId="24">
    <w:name w:val="header"/>
    <w:basedOn w:val="1"/>
    <w:link w:val="57"/>
    <w:semiHidden/>
    <w:qFormat/>
    <w:uiPriority w:val="0"/>
    <w:pPr>
      <w:pBdr>
        <w:bottom w:val="single" w:color="auto" w:sz="6" w:space="1"/>
      </w:pBdr>
      <w:tabs>
        <w:tab w:val="center" w:pos="4153"/>
        <w:tab w:val="right" w:pos="8306"/>
      </w:tabs>
      <w:snapToGrid w:val="0"/>
      <w:jc w:val="center"/>
    </w:pPr>
    <w:rPr>
      <w:sz w:val="18"/>
      <w:szCs w:val="20"/>
    </w:rPr>
  </w:style>
  <w:style w:type="paragraph" w:styleId="25">
    <w:name w:val="toc 1"/>
    <w:basedOn w:val="1"/>
    <w:next w:val="1"/>
    <w:semiHidden/>
    <w:qFormat/>
    <w:uiPriority w:val="0"/>
    <w:rPr>
      <w:sz w:val="28"/>
    </w:rPr>
  </w:style>
  <w:style w:type="paragraph" w:styleId="26">
    <w:name w:val="Body Text Indent 3"/>
    <w:basedOn w:val="1"/>
    <w:semiHidden/>
    <w:qFormat/>
    <w:uiPriority w:val="0"/>
    <w:pPr>
      <w:spacing w:before="240" w:line="540" w:lineRule="exact"/>
      <w:ind w:firstLine="561"/>
    </w:pPr>
    <w:rPr>
      <w:rFonts w:ascii="宋体" w:hAnsi="宋体" w:eastAsia="仿宋_GB2312"/>
      <w:snapToGrid w:val="0"/>
      <w:kern w:val="0"/>
      <w:sz w:val="28"/>
    </w:rPr>
  </w:style>
  <w:style w:type="paragraph" w:styleId="27">
    <w:name w:val="toc 2"/>
    <w:basedOn w:val="1"/>
    <w:next w:val="1"/>
    <w:qFormat/>
    <w:uiPriority w:val="0"/>
    <w:pPr>
      <w:ind w:left="420" w:leftChars="200"/>
    </w:pPr>
    <w:rPr>
      <w:sz w:val="28"/>
      <w:szCs w:val="20"/>
    </w:rPr>
  </w:style>
  <w:style w:type="paragraph" w:styleId="28">
    <w:name w:val="Body Text 2"/>
    <w:basedOn w:val="1"/>
    <w:semiHidden/>
    <w:qFormat/>
    <w:uiPriority w:val="0"/>
    <w:pPr>
      <w:spacing w:line="360" w:lineRule="auto"/>
    </w:pPr>
    <w:rPr>
      <w:rFonts w:ascii="宋体" w:hAnsi="宋体"/>
      <w:sz w:val="28"/>
      <w:szCs w:val="20"/>
    </w:rPr>
  </w:style>
  <w:style w:type="paragraph" w:styleId="29">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30">
    <w:name w:val="Normal (Web)"/>
    <w:basedOn w:val="1"/>
    <w:semiHidden/>
    <w:qFormat/>
    <w:uiPriority w:val="0"/>
    <w:pPr>
      <w:widowControl/>
      <w:spacing w:before="100" w:beforeAutospacing="1" w:after="100" w:afterAutospacing="1"/>
      <w:jc w:val="left"/>
    </w:pPr>
    <w:rPr>
      <w:rFonts w:ascii="宋体" w:hAnsi="宋体" w:cs="宋体"/>
      <w:kern w:val="0"/>
      <w:sz w:val="24"/>
    </w:rPr>
  </w:style>
  <w:style w:type="paragraph" w:styleId="31">
    <w:name w:val="Title"/>
    <w:basedOn w:val="1"/>
    <w:qFormat/>
    <w:uiPriority w:val="0"/>
    <w:pPr>
      <w:spacing w:before="360" w:after="120"/>
      <w:jc w:val="center"/>
      <w:outlineLvl w:val="0"/>
    </w:pPr>
    <w:rPr>
      <w:rFonts w:ascii="Arial" w:hAnsi="Arial" w:eastAsia="黑体"/>
      <w:bCs/>
      <w:sz w:val="36"/>
      <w:szCs w:val="32"/>
    </w:rPr>
  </w:style>
  <w:style w:type="paragraph" w:styleId="32">
    <w:name w:val="annotation subject"/>
    <w:basedOn w:val="16"/>
    <w:next w:val="16"/>
    <w:semiHidden/>
    <w:qFormat/>
    <w:uiPriority w:val="0"/>
    <w:rPr>
      <w:b/>
      <w:bCs/>
    </w:rPr>
  </w:style>
  <w:style w:type="paragraph" w:styleId="33">
    <w:name w:val="Body Text First Indent 2"/>
    <w:basedOn w:val="18"/>
    <w:qFormat/>
    <w:uiPriority w:val="0"/>
    <w:pPr>
      <w:adjustRightInd/>
      <w:snapToGrid/>
      <w:spacing w:line="240" w:lineRule="auto"/>
      <w:ind w:firstLine="420" w:firstLineChars="200"/>
    </w:pPr>
    <w:rPr>
      <w:rFonts w:ascii="Times New Roman" w:eastAsia="宋体"/>
      <w:sz w:val="21"/>
      <w:szCs w:val="20"/>
    </w:rPr>
  </w:style>
  <w:style w:type="table" w:styleId="35">
    <w:name w:val="Table Grid"/>
    <w:basedOn w:val="34"/>
    <w:semiHidden/>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7">
    <w:name w:val="Strong"/>
    <w:basedOn w:val="36"/>
    <w:qFormat/>
    <w:uiPriority w:val="0"/>
    <w:rPr>
      <w:b/>
      <w:bCs/>
    </w:rPr>
  </w:style>
  <w:style w:type="character" w:styleId="38">
    <w:name w:val="page number"/>
    <w:basedOn w:val="36"/>
    <w:semiHidden/>
    <w:qFormat/>
    <w:uiPriority w:val="0"/>
  </w:style>
  <w:style w:type="character" w:styleId="39">
    <w:name w:val="FollowedHyperlink"/>
    <w:basedOn w:val="36"/>
    <w:semiHidden/>
    <w:qFormat/>
    <w:uiPriority w:val="0"/>
    <w:rPr>
      <w:color w:val="800080"/>
      <w:u w:val="single"/>
    </w:rPr>
  </w:style>
  <w:style w:type="character" w:styleId="40">
    <w:name w:val="Hyperlink"/>
    <w:basedOn w:val="36"/>
    <w:semiHidden/>
    <w:qFormat/>
    <w:uiPriority w:val="0"/>
    <w:rPr>
      <w:color w:val="333333"/>
      <w:sz w:val="21"/>
      <w:szCs w:val="21"/>
      <w:u w:val="none"/>
    </w:rPr>
  </w:style>
  <w:style w:type="character" w:styleId="41">
    <w:name w:val="annotation reference"/>
    <w:basedOn w:val="36"/>
    <w:semiHidden/>
    <w:qFormat/>
    <w:uiPriority w:val="0"/>
    <w:rPr>
      <w:sz w:val="21"/>
      <w:szCs w:val="21"/>
    </w:rPr>
  </w:style>
  <w:style w:type="paragraph" w:customStyle="1" w:styleId="42">
    <w:name w:val="Char Char Char Char Char Char"/>
    <w:basedOn w:val="1"/>
    <w:qFormat/>
    <w:uiPriority w:val="0"/>
    <w:rPr>
      <w:sz w:val="24"/>
    </w:rPr>
  </w:style>
  <w:style w:type="character" w:customStyle="1" w:styleId="43">
    <w:name w:val="标题 2 Char"/>
    <w:basedOn w:val="36"/>
    <w:link w:val="4"/>
    <w:qFormat/>
    <w:uiPriority w:val="0"/>
    <w:rPr>
      <w:rFonts w:eastAsia="宋体"/>
      <w:bCs/>
      <w:kern w:val="2"/>
      <w:sz w:val="28"/>
      <w:szCs w:val="32"/>
      <w:lang w:val="en-US" w:eastAsia="zh-CN" w:bidi="ar-SA"/>
    </w:rPr>
  </w:style>
  <w:style w:type="character" w:customStyle="1" w:styleId="44">
    <w:name w:val="apple-style-span"/>
    <w:basedOn w:val="36"/>
    <w:qFormat/>
    <w:uiPriority w:val="0"/>
  </w:style>
  <w:style w:type="character" w:customStyle="1" w:styleId="45">
    <w:name w:val="正文文字 Char Char"/>
    <w:basedOn w:val="36"/>
    <w:link w:val="46"/>
    <w:qFormat/>
    <w:uiPriority w:val="0"/>
    <w:rPr>
      <w:rFonts w:eastAsia="宋体"/>
      <w:kern w:val="2"/>
      <w:sz w:val="24"/>
      <w:lang w:val="en-US" w:eastAsia="zh-CN" w:bidi="ar-SA"/>
    </w:rPr>
  </w:style>
  <w:style w:type="paragraph" w:customStyle="1" w:styleId="46">
    <w:name w:val="正文文字"/>
    <w:basedOn w:val="1"/>
    <w:link w:val="45"/>
    <w:qFormat/>
    <w:uiPriority w:val="0"/>
    <w:pPr>
      <w:spacing w:line="560" w:lineRule="exact"/>
      <w:ind w:firstLine="200" w:firstLineChars="200"/>
    </w:pPr>
    <w:rPr>
      <w:sz w:val="24"/>
      <w:szCs w:val="20"/>
    </w:rPr>
  </w:style>
  <w:style w:type="character" w:customStyle="1" w:styleId="47">
    <w:name w:val="样式 小四"/>
    <w:basedOn w:val="36"/>
    <w:qFormat/>
    <w:uiPriority w:val="0"/>
    <w:rPr>
      <w:rFonts w:ascii="Times New Roman" w:hAnsi="Times New Roman" w:eastAsia="宋体"/>
      <w:sz w:val="24"/>
    </w:rPr>
  </w:style>
  <w:style w:type="character" w:customStyle="1" w:styleId="48">
    <w:name w:val="表头 Char"/>
    <w:link w:val="49"/>
    <w:qFormat/>
    <w:uiPriority w:val="0"/>
    <w:rPr>
      <w:rFonts w:hAnsi="宋体" w:eastAsia="宋体"/>
      <w:b/>
      <w:color w:val="000000"/>
      <w:kern w:val="24"/>
      <w:sz w:val="21"/>
      <w:szCs w:val="21"/>
      <w:lang w:val="en-US" w:eastAsia="zh-CN" w:bidi="ar-SA"/>
    </w:rPr>
  </w:style>
  <w:style w:type="paragraph" w:customStyle="1" w:styleId="49">
    <w:name w:val="表头"/>
    <w:basedOn w:val="1"/>
    <w:link w:val="48"/>
    <w:qFormat/>
    <w:uiPriority w:val="0"/>
    <w:pPr>
      <w:tabs>
        <w:tab w:val="left" w:pos="1021"/>
      </w:tabs>
      <w:spacing w:line="380" w:lineRule="exact"/>
      <w:jc w:val="center"/>
    </w:pPr>
    <w:rPr>
      <w:rFonts w:hAnsi="宋体"/>
      <w:b/>
      <w:color w:val="000000"/>
      <w:kern w:val="24"/>
      <w:sz w:val="21"/>
      <w:szCs w:val="21"/>
    </w:rPr>
  </w:style>
  <w:style w:type="character" w:customStyle="1" w:styleId="50">
    <w:name w:val="备注"/>
    <w:basedOn w:val="41"/>
    <w:qFormat/>
    <w:uiPriority w:val="0"/>
    <w:rPr>
      <w:rFonts w:eastAsia="宋体"/>
      <w:spacing w:val="0"/>
      <w:w w:val="90"/>
      <w:kern w:val="18"/>
      <w:position w:val="0"/>
    </w:rPr>
  </w:style>
  <w:style w:type="character" w:customStyle="1" w:styleId="51">
    <w:name w:val="unnamed11"/>
    <w:basedOn w:val="36"/>
    <w:semiHidden/>
    <w:qFormat/>
    <w:uiPriority w:val="0"/>
    <w:rPr>
      <w:rFonts w:hint="eastAsia" w:ascii="新宋体" w:hAnsi="新宋体" w:eastAsia="新宋体"/>
      <w:color w:val="000000"/>
      <w:sz w:val="18"/>
      <w:szCs w:val="18"/>
      <w:u w:val="none"/>
    </w:rPr>
  </w:style>
  <w:style w:type="character" w:customStyle="1" w:styleId="52">
    <w:name w:val="表字居中 Char"/>
    <w:basedOn w:val="36"/>
    <w:link w:val="53"/>
    <w:qFormat/>
    <w:uiPriority w:val="0"/>
    <w:rPr>
      <w:rFonts w:eastAsia="宋体"/>
      <w:kern w:val="2"/>
      <w:sz w:val="21"/>
      <w:szCs w:val="24"/>
      <w:lang w:val="en-US" w:eastAsia="zh-CN" w:bidi="ar-SA"/>
    </w:rPr>
  </w:style>
  <w:style w:type="paragraph" w:customStyle="1" w:styleId="53">
    <w:name w:val="表字居中"/>
    <w:basedOn w:val="1"/>
    <w:link w:val="52"/>
    <w:qFormat/>
    <w:uiPriority w:val="0"/>
    <w:pPr>
      <w:jc w:val="center"/>
    </w:pPr>
    <w:rPr>
      <w:sz w:val="21"/>
    </w:rPr>
  </w:style>
  <w:style w:type="character" w:customStyle="1" w:styleId="54">
    <w:name w:val="段落 Char"/>
    <w:basedOn w:val="36"/>
    <w:link w:val="55"/>
    <w:qFormat/>
    <w:uiPriority w:val="0"/>
    <w:rPr>
      <w:rFonts w:eastAsia="宋体"/>
      <w:spacing w:val="-4"/>
      <w:kern w:val="24"/>
      <w:sz w:val="24"/>
      <w:szCs w:val="24"/>
      <w:lang w:val="en-US" w:eastAsia="zh-CN" w:bidi="ar-SA"/>
    </w:rPr>
  </w:style>
  <w:style w:type="paragraph" w:customStyle="1" w:styleId="55">
    <w:name w:val="段落"/>
    <w:basedOn w:val="1"/>
    <w:link w:val="54"/>
    <w:semiHidden/>
    <w:qFormat/>
    <w:uiPriority w:val="0"/>
    <w:pPr>
      <w:spacing w:line="360" w:lineRule="auto"/>
      <w:ind w:firstLine="464" w:firstLineChars="200"/>
    </w:pPr>
    <w:rPr>
      <w:spacing w:val="-4"/>
      <w:kern w:val="24"/>
      <w:sz w:val="24"/>
    </w:rPr>
  </w:style>
  <w:style w:type="character" w:customStyle="1" w:styleId="56">
    <w:name w:val="正文文本 Char1"/>
    <w:basedOn w:val="36"/>
    <w:link w:val="2"/>
    <w:qFormat/>
    <w:uiPriority w:val="0"/>
    <w:rPr>
      <w:rFonts w:eastAsia="宋体"/>
      <w:kern w:val="2"/>
      <w:sz w:val="24"/>
      <w:lang w:val="en-US" w:eastAsia="zh-CN" w:bidi="ar-SA"/>
    </w:rPr>
  </w:style>
  <w:style w:type="character" w:customStyle="1" w:styleId="57">
    <w:name w:val="页眉 Char"/>
    <w:basedOn w:val="36"/>
    <w:link w:val="24"/>
    <w:semiHidden/>
    <w:qFormat/>
    <w:uiPriority w:val="0"/>
    <w:rPr>
      <w:rFonts w:eastAsia="宋体"/>
      <w:kern w:val="2"/>
      <w:sz w:val="18"/>
      <w:lang w:val="en-US" w:eastAsia="zh-CN" w:bidi="ar-SA"/>
    </w:rPr>
  </w:style>
  <w:style w:type="character" w:customStyle="1" w:styleId="58">
    <w:name w:val="表头1 Char"/>
    <w:basedOn w:val="36"/>
    <w:link w:val="59"/>
    <w:qFormat/>
    <w:uiPriority w:val="0"/>
    <w:rPr>
      <w:rFonts w:eastAsia="黑体"/>
      <w:sz w:val="24"/>
      <w:szCs w:val="24"/>
      <w:lang w:val="en-US" w:eastAsia="zh-CN" w:bidi="ar-SA"/>
    </w:rPr>
  </w:style>
  <w:style w:type="paragraph" w:customStyle="1" w:styleId="59">
    <w:name w:val="表头1"/>
    <w:basedOn w:val="1"/>
    <w:link w:val="58"/>
    <w:qFormat/>
    <w:uiPriority w:val="0"/>
    <w:pPr>
      <w:overflowPunct w:val="0"/>
      <w:autoSpaceDE w:val="0"/>
      <w:autoSpaceDN w:val="0"/>
      <w:adjustRightInd w:val="0"/>
      <w:jc w:val="center"/>
      <w:textAlignment w:val="baseline"/>
    </w:pPr>
    <w:rPr>
      <w:rFonts w:eastAsia="黑体"/>
      <w:kern w:val="0"/>
      <w:sz w:val="24"/>
    </w:rPr>
  </w:style>
  <w:style w:type="character" w:customStyle="1" w:styleId="60">
    <w:name w:val="表题注 Char"/>
    <w:basedOn w:val="36"/>
    <w:link w:val="61"/>
    <w:qFormat/>
    <w:uiPriority w:val="0"/>
    <w:rPr>
      <w:rFonts w:eastAsia="宋体"/>
      <w:kern w:val="2"/>
      <w:sz w:val="21"/>
      <w:lang w:val="en-US" w:eastAsia="zh-CN" w:bidi="ar-SA"/>
    </w:rPr>
  </w:style>
  <w:style w:type="paragraph" w:customStyle="1" w:styleId="61">
    <w:name w:val="表题注"/>
    <w:basedOn w:val="14"/>
    <w:link w:val="60"/>
    <w:qFormat/>
    <w:uiPriority w:val="0"/>
    <w:pPr>
      <w:adjustRightInd w:val="0"/>
      <w:snapToGrid w:val="0"/>
      <w:spacing w:line="400" w:lineRule="exact"/>
      <w:jc w:val="center"/>
    </w:pPr>
    <w:rPr>
      <w:rFonts w:ascii="Times New Roman" w:hAnsi="Times New Roman" w:eastAsia="宋体" w:cs="Times New Roman"/>
      <w:sz w:val="21"/>
    </w:rPr>
  </w:style>
  <w:style w:type="character" w:customStyle="1" w:styleId="62">
    <w:name w:val="日期 Char"/>
    <w:link w:val="20"/>
    <w:qFormat/>
    <w:uiPriority w:val="0"/>
    <w:rPr>
      <w:rFonts w:eastAsia="宋体"/>
      <w:kern w:val="2"/>
      <w:sz w:val="28"/>
      <w:lang w:val="en-US" w:eastAsia="zh-CN" w:bidi="ar-SA"/>
    </w:rPr>
  </w:style>
  <w:style w:type="character" w:customStyle="1" w:styleId="63">
    <w:name w:val="正文文本 Char"/>
    <w:basedOn w:val="36"/>
    <w:qFormat/>
    <w:uiPriority w:val="0"/>
    <w:rPr>
      <w:rFonts w:eastAsia="宋体"/>
      <w:kern w:val="2"/>
      <w:sz w:val="24"/>
      <w:lang w:val="en-US" w:eastAsia="zh-CN" w:bidi="ar-SA"/>
    </w:rPr>
  </w:style>
  <w:style w:type="paragraph" w:customStyle="1" w:styleId="64">
    <w:name w:val="a3"/>
    <w:basedOn w:val="1"/>
    <w:semiHidden/>
    <w:qFormat/>
    <w:uiPriority w:val="0"/>
    <w:pPr>
      <w:widowControl/>
      <w:spacing w:before="100" w:beforeAutospacing="1" w:after="100" w:afterAutospacing="1"/>
      <w:jc w:val="left"/>
    </w:pPr>
    <w:rPr>
      <w:rFonts w:ascii="Arial Unicode MS" w:hAnsi="Arial Unicode MS" w:eastAsia="Arial Unicode MS"/>
      <w:color w:val="000000"/>
      <w:kern w:val="0"/>
      <w:sz w:val="24"/>
    </w:rPr>
  </w:style>
  <w:style w:type="paragraph" w:customStyle="1" w:styleId="65">
    <w:name w:val="表格正文"/>
    <w:basedOn w:val="1"/>
    <w:next w:val="1"/>
    <w:qFormat/>
    <w:uiPriority w:val="0"/>
    <w:pPr>
      <w:adjustRightInd w:val="0"/>
      <w:snapToGrid w:val="0"/>
      <w:jc w:val="center"/>
      <w:textAlignment w:val="baseline"/>
    </w:pPr>
    <w:rPr>
      <w:rFonts w:ascii="宋体"/>
      <w:snapToGrid w:val="0"/>
      <w:spacing w:val="4"/>
      <w:kern w:val="0"/>
      <w:szCs w:val="21"/>
    </w:rPr>
  </w:style>
  <w:style w:type="paragraph" w:customStyle="1" w:styleId="66">
    <w:name w:val="表题"/>
    <w:basedOn w:val="13"/>
    <w:qFormat/>
    <w:uiPriority w:val="0"/>
    <w:pPr>
      <w:spacing w:line="100" w:lineRule="atLeast"/>
      <w:ind w:firstLine="0" w:firstLineChars="0"/>
      <w:jc w:val="center"/>
    </w:pPr>
    <w:rPr>
      <w:sz w:val="24"/>
    </w:rPr>
  </w:style>
  <w:style w:type="paragraph" w:customStyle="1" w:styleId="67">
    <w:name w:val="xl26"/>
    <w:basedOn w:val="1"/>
    <w:semiHidden/>
    <w:qFormat/>
    <w:uiPriority w:val="0"/>
    <w:pPr>
      <w:widowControl/>
      <w:pBdr>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68">
    <w:name w:val="xl31"/>
    <w:basedOn w:val="1"/>
    <w:semiHidden/>
    <w:qFormat/>
    <w:uiPriority w:val="0"/>
    <w:pPr>
      <w:widowControl/>
      <w:spacing w:before="100" w:beforeAutospacing="1" w:after="100" w:afterAutospacing="1"/>
      <w:jc w:val="center"/>
    </w:pPr>
    <w:rPr>
      <w:kern w:val="0"/>
      <w:sz w:val="24"/>
    </w:rPr>
  </w:style>
  <w:style w:type="paragraph" w:customStyle="1" w:styleId="69">
    <w:name w:val="xl35"/>
    <w:basedOn w:val="1"/>
    <w:semiHidden/>
    <w:qFormat/>
    <w:uiPriority w:val="0"/>
    <w:pPr>
      <w:widowControl/>
      <w:pBdr>
        <w:bottom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70">
    <w:name w:val="表后正文"/>
    <w:basedOn w:val="1"/>
    <w:qFormat/>
    <w:uiPriority w:val="0"/>
    <w:pPr>
      <w:adjustRightInd w:val="0"/>
      <w:spacing w:beforeLines="100" w:line="360" w:lineRule="auto"/>
      <w:ind w:firstLine="493"/>
      <w:textAlignment w:val="baseline"/>
    </w:pPr>
    <w:rPr>
      <w:rFonts w:ascii="宋体"/>
      <w:spacing w:val="4"/>
      <w:kern w:val="18"/>
      <w:sz w:val="24"/>
    </w:rPr>
  </w:style>
  <w:style w:type="paragraph" w:customStyle="1" w:styleId="71">
    <w:name w:val="正文1"/>
    <w:basedOn w:val="1"/>
    <w:qFormat/>
    <w:uiPriority w:val="0"/>
    <w:pPr>
      <w:adjustRightInd w:val="0"/>
      <w:snapToGrid w:val="0"/>
      <w:spacing w:line="360" w:lineRule="auto"/>
      <w:ind w:firstLine="482"/>
    </w:pPr>
    <w:rPr>
      <w:rFonts w:ascii="宋体" w:hAnsi="宋体"/>
      <w:snapToGrid w:val="0"/>
      <w:kern w:val="0"/>
      <w:sz w:val="24"/>
    </w:rPr>
  </w:style>
  <w:style w:type="paragraph" w:customStyle="1" w:styleId="72">
    <w:name w:val="Char1"/>
    <w:basedOn w:val="1"/>
    <w:qFormat/>
    <w:uiPriority w:val="0"/>
    <w:pPr>
      <w:keepNext/>
      <w:keepLines/>
      <w:tabs>
        <w:tab w:val="left" w:pos="2160"/>
      </w:tabs>
      <w:adjustRightInd w:val="0"/>
      <w:snapToGrid w:val="0"/>
      <w:spacing w:before="120" w:after="120" w:line="360" w:lineRule="auto"/>
      <w:ind w:left="2160" w:hanging="420"/>
      <w:outlineLvl w:val="3"/>
    </w:pPr>
    <w:rPr>
      <w:rFonts w:ascii="Arial" w:hAnsi="Arial"/>
      <w:bCs/>
      <w:kern w:val="0"/>
      <w:sz w:val="28"/>
      <w:szCs w:val="21"/>
    </w:rPr>
  </w:style>
  <w:style w:type="paragraph" w:customStyle="1" w:styleId="73">
    <w:name w:val="Char Char Char Char Char Char Char Char Char Char"/>
    <w:basedOn w:val="1"/>
    <w:qFormat/>
    <w:uiPriority w:val="0"/>
    <w:pPr>
      <w:widowControl/>
      <w:spacing w:after="160" w:line="240" w:lineRule="exact"/>
      <w:jc w:val="left"/>
    </w:pPr>
    <w:rPr>
      <w:sz w:val="28"/>
      <w:szCs w:val="20"/>
    </w:rPr>
  </w:style>
  <w:style w:type="paragraph" w:customStyle="1" w:styleId="74">
    <w:name w:val="Char Char Char1 Char Char Char Char"/>
    <w:basedOn w:val="1"/>
    <w:qFormat/>
    <w:uiPriority w:val="0"/>
    <w:pPr>
      <w:widowControl/>
      <w:spacing w:after="160" w:line="240" w:lineRule="exact"/>
      <w:jc w:val="left"/>
    </w:pPr>
    <w:rPr>
      <w:rFonts w:ascii="Verdana" w:hAnsi="Verdana"/>
      <w:kern w:val="0"/>
      <w:sz w:val="24"/>
      <w:szCs w:val="20"/>
      <w:lang w:eastAsia="en-US"/>
    </w:rPr>
  </w:style>
  <w:style w:type="paragraph" w:customStyle="1" w:styleId="75">
    <w:name w:val="普通(网站)1"/>
    <w:basedOn w:val="1"/>
    <w:qFormat/>
    <w:uiPriority w:val="0"/>
    <w:pPr>
      <w:widowControl/>
      <w:spacing w:before="100" w:beforeAutospacing="1" w:after="100" w:afterAutospacing="1"/>
      <w:jc w:val="left"/>
    </w:pPr>
    <w:rPr>
      <w:rFonts w:ascii="宋体" w:hAnsi="宋体" w:cs="宋体"/>
      <w:kern w:val="0"/>
      <w:sz w:val="24"/>
    </w:rPr>
  </w:style>
  <w:style w:type="paragraph" w:customStyle="1" w:styleId="76">
    <w:name w:val="文本正文"/>
    <w:basedOn w:val="1"/>
    <w:qFormat/>
    <w:uiPriority w:val="0"/>
    <w:pPr>
      <w:snapToGrid w:val="0"/>
      <w:spacing w:line="360" w:lineRule="auto"/>
      <w:ind w:firstLine="493"/>
      <w:jc w:val="left"/>
    </w:pPr>
    <w:rPr>
      <w:rFonts w:ascii="宋体"/>
      <w:spacing w:val="4"/>
      <w:kern w:val="24"/>
      <w:sz w:val="24"/>
      <w:lang w:val="zh-CN"/>
    </w:rPr>
  </w:style>
  <w:style w:type="paragraph" w:customStyle="1" w:styleId="77">
    <w:name w:val="1"/>
    <w:basedOn w:val="1"/>
    <w:next w:val="21"/>
    <w:semiHidden/>
    <w:qFormat/>
    <w:uiPriority w:val="0"/>
    <w:pPr>
      <w:spacing w:line="480" w:lineRule="exact"/>
      <w:ind w:firstLine="480" w:firstLineChars="200"/>
    </w:pPr>
    <w:rPr>
      <w:sz w:val="24"/>
    </w:rPr>
  </w:style>
  <w:style w:type="paragraph" w:customStyle="1" w:styleId="78">
    <w:name w:val="ctrl+~  正文"/>
    <w:basedOn w:val="1"/>
    <w:qFormat/>
    <w:uiPriority w:val="0"/>
    <w:pPr>
      <w:spacing w:line="480" w:lineRule="exact"/>
      <w:ind w:firstLine="480" w:firstLineChars="200"/>
    </w:pPr>
    <w:rPr>
      <w:rFonts w:eastAsia="Times New Roman"/>
      <w:sz w:val="24"/>
    </w:rPr>
  </w:style>
  <w:style w:type="paragraph" w:customStyle="1" w:styleId="79">
    <w:name w:val="3"/>
    <w:basedOn w:val="1"/>
    <w:next w:val="18"/>
    <w:semiHidden/>
    <w:qFormat/>
    <w:uiPriority w:val="0"/>
    <w:pPr>
      <w:spacing w:line="500" w:lineRule="exact"/>
      <w:ind w:firstLine="560"/>
    </w:pPr>
    <w:rPr>
      <w:sz w:val="24"/>
      <w:szCs w:val="20"/>
    </w:rPr>
  </w:style>
  <w:style w:type="paragraph" w:customStyle="1" w:styleId="80">
    <w:name w:val="2"/>
    <w:basedOn w:val="1"/>
    <w:next w:val="18"/>
    <w:semiHidden/>
    <w:qFormat/>
    <w:uiPriority w:val="0"/>
    <w:pPr>
      <w:spacing w:line="500" w:lineRule="exact"/>
      <w:ind w:firstLine="560"/>
    </w:pPr>
    <w:rPr>
      <w:sz w:val="24"/>
      <w:szCs w:val="20"/>
    </w:rPr>
  </w:style>
  <w:style w:type="paragraph" w:customStyle="1" w:styleId="81">
    <w:name w:val="样式2"/>
    <w:basedOn w:val="1"/>
    <w:qFormat/>
    <w:uiPriority w:val="0"/>
    <w:pPr>
      <w:spacing w:line="360" w:lineRule="auto"/>
      <w:ind w:firstLine="200" w:firstLineChars="200"/>
    </w:pPr>
    <w:rPr>
      <w:sz w:val="24"/>
      <w:szCs w:val="20"/>
    </w:rPr>
  </w:style>
  <w:style w:type="paragraph" w:customStyle="1" w:styleId="82">
    <w:name w:val="默认段落字体 Para Char Char Char Char"/>
    <w:basedOn w:val="1"/>
    <w:semiHidden/>
    <w:qFormat/>
    <w:uiPriority w:val="0"/>
    <w:pPr>
      <w:spacing w:line="360" w:lineRule="auto"/>
      <w:ind w:firstLine="200" w:firstLineChars="200"/>
    </w:pPr>
    <w:rPr>
      <w:rFonts w:ascii="宋体" w:hAnsi="宋体" w:cs="宋体"/>
      <w:sz w:val="24"/>
    </w:rPr>
  </w:style>
  <w:style w:type="paragraph" w:customStyle="1" w:styleId="83">
    <w:name w:val="表格标题"/>
    <w:basedOn w:val="7"/>
    <w:qFormat/>
    <w:uiPriority w:val="0"/>
    <w:pPr>
      <w:ind w:firstLine="0" w:firstLineChars="0"/>
      <w:jc w:val="center"/>
    </w:pPr>
    <w:rPr>
      <w:rFonts w:eastAsia="黑体"/>
    </w:rPr>
  </w:style>
  <w:style w:type="paragraph" w:customStyle="1" w:styleId="84">
    <w:name w:val="表格居中"/>
    <w:basedOn w:val="1"/>
    <w:qFormat/>
    <w:uiPriority w:val="0"/>
    <w:pPr>
      <w:jc w:val="center"/>
    </w:pPr>
    <w:rPr>
      <w:rFonts w:ascii="宋体" w:hAnsi="宋体" w:cs="宋体"/>
      <w:snapToGrid w:val="0"/>
      <w:spacing w:val="-4"/>
      <w:w w:val="90"/>
      <w:kern w:val="0"/>
      <w:sz w:val="24"/>
    </w:rPr>
  </w:style>
  <w:style w:type="paragraph" w:customStyle="1" w:styleId="85">
    <w:name w:val="Char"/>
    <w:basedOn w:val="1"/>
    <w:semiHidden/>
    <w:qFormat/>
    <w:uiPriority w:val="0"/>
    <w:pPr>
      <w:spacing w:line="360" w:lineRule="auto"/>
      <w:ind w:firstLine="200" w:firstLineChars="200"/>
    </w:pPr>
    <w:rPr>
      <w:rFonts w:ascii="宋体" w:hAnsi="宋体" w:cs="宋体"/>
      <w:sz w:val="24"/>
    </w:rPr>
  </w:style>
  <w:style w:type="paragraph" w:customStyle="1" w:styleId="86">
    <w:name w:val="表格02"/>
    <w:basedOn w:val="1"/>
    <w:semiHidden/>
    <w:qFormat/>
    <w:uiPriority w:val="0"/>
    <w:pPr>
      <w:adjustRightInd w:val="0"/>
      <w:spacing w:line="400" w:lineRule="exact"/>
      <w:jc w:val="center"/>
      <w:textAlignment w:val="baseline"/>
    </w:pPr>
    <w:rPr>
      <w:snapToGrid w:val="0"/>
      <w:kern w:val="0"/>
      <w:sz w:val="24"/>
      <w:lang w:val="en-GB"/>
    </w:rPr>
  </w:style>
  <w:style w:type="paragraph" w:customStyle="1" w:styleId="87">
    <w:name w:val="1 表注"/>
    <w:basedOn w:val="1"/>
    <w:qFormat/>
    <w:uiPriority w:val="0"/>
    <w:pPr>
      <w:spacing w:line="360" w:lineRule="auto"/>
      <w:jc w:val="center"/>
      <w:outlineLvl w:val="3"/>
    </w:pPr>
    <w:rPr>
      <w:b/>
    </w:rPr>
  </w:style>
  <w:style w:type="paragraph" w:customStyle="1" w:styleId="88">
    <w:name w:val="Default"/>
    <w:unhideWhenUsed/>
    <w:qFormat/>
    <w:uiPriority w:val="99"/>
    <w:pPr>
      <w:widowControl w:val="0"/>
      <w:autoSpaceDE w:val="0"/>
      <w:autoSpaceDN w:val="0"/>
      <w:adjustRightInd w:val="0"/>
    </w:pPr>
    <w:rPr>
      <w:rFonts w:hint="eastAsia" w:ascii="Calibri" w:hAnsi="Calibri" w:eastAsia="Times New Roman" w:cs="Times New Roman"/>
      <w:color w:val="000000"/>
      <w:sz w:val="24"/>
      <w:szCs w:val="22"/>
      <w:lang w:val="en-US" w:eastAsia="zh-CN" w:bidi="ar-SA"/>
    </w:rPr>
  </w:style>
  <w:style w:type="paragraph" w:customStyle="1" w:styleId="89">
    <w:name w:val="正文文本 (2)"/>
    <w:basedOn w:val="1"/>
    <w:qFormat/>
    <w:uiPriority w:val="0"/>
    <w:pPr>
      <w:shd w:val="clear" w:color="auto" w:fill="FFFFFF"/>
      <w:spacing w:line="220" w:lineRule="exact"/>
      <w:ind w:hanging="560"/>
      <w:jc w:val="left"/>
    </w:pPr>
    <w:rPr>
      <w:rFonts w:ascii="MingLiU" w:hAnsi="MingLiU" w:eastAsia="MingLiU" w:cs="MingLiU"/>
      <w:kern w:val="0"/>
      <w:sz w:val="22"/>
      <w:szCs w:val="22"/>
    </w:rPr>
  </w:style>
  <w:style w:type="paragraph" w:customStyle="1" w:styleId="90">
    <w:name w:val="p0"/>
    <w:basedOn w:val="1"/>
    <w:qFormat/>
    <w:uiPriority w:val="0"/>
    <w:pPr>
      <w:widowControl/>
    </w:pPr>
    <w:rPr>
      <w:kern w:val="0"/>
      <w:szCs w:val="21"/>
    </w:rPr>
  </w:style>
  <w:style w:type="paragraph" w:customStyle="1" w:styleId="91">
    <w:name w:val="表格题注"/>
    <w:qFormat/>
    <w:uiPriority w:val="0"/>
    <w:pPr>
      <w:jc w:val="center"/>
    </w:pPr>
    <w:rPr>
      <w:rFonts w:ascii="Times New Roman" w:hAnsi="Times New Roman" w:eastAsia="宋体" w:cs="Times New Roman"/>
      <w:b/>
      <w:sz w:val="21"/>
      <w:szCs w:val="22"/>
      <w:lang w:val="en-US" w:eastAsia="zh-CN" w:bidi="ar-SA"/>
    </w:rPr>
  </w:style>
  <w:style w:type="paragraph" w:customStyle="1" w:styleId="92">
    <w:name w:val="正文2"/>
    <w:semiHidden/>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93">
    <w:name w:val="ly表头"/>
    <w:basedOn w:val="1"/>
    <w:qFormat/>
    <w:uiPriority w:val="0"/>
    <w:pPr>
      <w:spacing w:beforeLines="50" w:line="360" w:lineRule="auto"/>
      <w:jc w:val="center"/>
    </w:pPr>
    <w:rPr>
      <w:b/>
    </w:rPr>
  </w:style>
  <w:style w:type="paragraph" w:customStyle="1" w:styleId="94">
    <w:name w:val="Table Paragraph"/>
    <w:basedOn w:val="1"/>
    <w:qFormat/>
    <w:uiPriority w:val="1"/>
    <w:pPr>
      <w:jc w:val="center"/>
    </w:pPr>
    <w:rPr>
      <w:rFonts w:ascii="宋体" w:hAnsi="宋体" w:cs="宋体"/>
      <w:lang w:val="zh-CN" w:bidi="zh-CN"/>
    </w:rPr>
  </w:style>
  <w:style w:type="paragraph" w:customStyle="1" w:styleId="95">
    <w:name w:val="样式 首行缩进:  2 字符"/>
    <w:basedOn w:val="1"/>
    <w:qFormat/>
    <w:uiPriority w:val="0"/>
    <w:pPr>
      <w:spacing w:line="500" w:lineRule="exact"/>
      <w:ind w:firstLine="480" w:firstLineChars="200"/>
    </w:pPr>
    <w:rPr>
      <w:sz w:val="24"/>
    </w:rPr>
  </w:style>
  <w:style w:type="paragraph" w:customStyle="1" w:styleId="96">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 w:type="paragraph" w:customStyle="1" w:styleId="97">
    <w:name w:val="WPSOffice手动目录 1"/>
    <w:qFormat/>
    <w:uiPriority w:val="0"/>
    <w:rPr>
      <w:rFonts w:ascii="Times New Roman" w:hAnsi="Times New Roman" w:eastAsia="宋体" w:cs="Times New Roman"/>
      <w:lang w:val="en-US" w:eastAsia="zh-CN" w:bidi="ar-SA"/>
    </w:rPr>
  </w:style>
  <w:style w:type="paragraph" w:customStyle="1" w:styleId="98">
    <w:name w:val="正文缩进2"/>
    <w:basedOn w:val="1"/>
    <w:qFormat/>
    <w:uiPriority w:val="0"/>
    <w:pPr>
      <w:ind w:firstLine="420"/>
    </w:pPr>
    <w:rPr>
      <w:kern w:val="0"/>
      <w:sz w:val="20"/>
      <w:szCs w:val="20"/>
    </w:rPr>
  </w:style>
  <w:style w:type="paragraph" w:customStyle="1" w:styleId="99">
    <w:name w:val="样式1"/>
    <w:basedOn w:val="1"/>
    <w:qFormat/>
    <w:uiPriority w:val="0"/>
    <w:pPr>
      <w:adjustRightInd w:val="0"/>
      <w:jc w:val="center"/>
      <w:textAlignment w:val="baseline"/>
    </w:pPr>
    <w:rPr>
      <w:bCs/>
      <w:kern w:val="0"/>
      <w:sz w:val="24"/>
      <w:szCs w:val="20"/>
    </w:rPr>
  </w:style>
  <w:style w:type="paragraph" w:styleId="100">
    <w:name w:val="No Spacing"/>
    <w:qFormat/>
    <w:uiPriority w:val="1"/>
    <w:pPr>
      <w:jc w:val="both"/>
    </w:pPr>
    <w:rPr>
      <w:rFonts w:ascii="Times New Roman" w:hAnsi="Times New Roman" w:eastAsia="宋体" w:cs="Times New Roman"/>
      <w:kern w:val="2"/>
      <w:sz w:val="21"/>
      <w:lang w:val="en-US" w:eastAsia="zh-CN" w:bidi="ar-SA"/>
    </w:rPr>
  </w:style>
  <w:style w:type="paragraph" w:customStyle="1" w:styleId="101">
    <w:name w:val="正文文本缩进1"/>
    <w:basedOn w:val="1"/>
    <w:qFormat/>
    <w:uiPriority w:val="0"/>
    <w:pPr>
      <w:spacing w:line="560" w:lineRule="exact"/>
      <w:ind w:firstLine="560" w:firstLineChars="200"/>
    </w:pPr>
    <w:rPr>
      <w:rFonts w:ascii="宋体" w:hAnsi="宋体"/>
      <w:sz w:val="28"/>
    </w:rPr>
  </w:style>
  <w:style w:type="paragraph" w:customStyle="1" w:styleId="102">
    <w:name w:val="表尾"/>
    <w:basedOn w:val="1"/>
    <w:qFormat/>
    <w:uiPriority w:val="0"/>
    <w:pPr>
      <w:tabs>
        <w:tab w:val="left" w:pos="1021"/>
      </w:tabs>
      <w:adjustRightInd w:val="0"/>
      <w:snapToGrid w:val="0"/>
    </w:pPr>
    <w:rPr>
      <w:sz w:val="10"/>
    </w:rPr>
  </w:style>
  <w:style w:type="paragraph" w:customStyle="1" w:styleId="103">
    <w:name w:val="样式 小四 黑色 行距: 固定值 26 磅"/>
    <w:basedOn w:val="1"/>
    <w:qFormat/>
    <w:uiPriority w:val="0"/>
    <w:pPr>
      <w:spacing w:line="520" w:lineRule="exact"/>
      <w:ind w:firstLine="504" w:firstLineChars="200"/>
    </w:pPr>
    <w:rPr>
      <w:color w:val="000000"/>
      <w:spacing w:val="6"/>
      <w:szCs w:val="20"/>
    </w:rPr>
  </w:style>
  <w:style w:type="paragraph" w:customStyle="1" w:styleId="104">
    <w:name w:val="Char11"/>
    <w:basedOn w:val="1"/>
    <w:qFormat/>
    <w:uiPriority w:val="0"/>
    <w:pPr>
      <w:keepNext/>
      <w:keepLines/>
      <w:tabs>
        <w:tab w:val="left" w:pos="2160"/>
      </w:tabs>
      <w:adjustRightInd w:val="0"/>
      <w:snapToGrid w:val="0"/>
      <w:spacing w:before="120" w:after="120" w:line="360" w:lineRule="auto"/>
      <w:ind w:left="2160" w:hanging="420"/>
      <w:outlineLvl w:val="3"/>
    </w:pPr>
    <w:rPr>
      <w:rFonts w:ascii="Arial" w:hAnsi="Arial"/>
      <w:bCs/>
      <w:kern w:val="0"/>
      <w:sz w:val="28"/>
      <w:szCs w:val="21"/>
    </w:rPr>
  </w:style>
  <w:style w:type="paragraph" w:customStyle="1" w:styleId="105">
    <w:name w:val="表格文字"/>
    <w:basedOn w:val="7"/>
    <w:qFormat/>
    <w:uiPriority w:val="0"/>
    <w:pPr>
      <w:spacing w:line="240" w:lineRule="auto"/>
      <w:ind w:firstLine="0" w:firstLineChars="0"/>
      <w:jc w:val="center"/>
    </w:pPr>
    <w:rPr>
      <w:sz w:val="21"/>
    </w:rPr>
  </w:style>
  <w:style w:type="paragraph" w:customStyle="1" w:styleId="106">
    <w:name w:val="xl24"/>
    <w:basedOn w:val="1"/>
    <w:semiHidden/>
    <w:qFormat/>
    <w:uiPriority w:val="0"/>
    <w:pPr>
      <w:widowControl/>
      <w:spacing w:before="100" w:beforeAutospacing="1" w:after="100" w:afterAutospacing="1"/>
      <w:jc w:val="center"/>
      <w:textAlignment w:val="center"/>
    </w:pPr>
    <w:rPr>
      <w:rFonts w:ascii="宋体" w:hAnsi="宋体"/>
      <w:kern w:val="0"/>
      <w:sz w:val="24"/>
    </w:rPr>
  </w:style>
  <w:style w:type="paragraph" w:customStyle="1" w:styleId="107">
    <w:name w:val="表格标题01"/>
    <w:basedOn w:val="1"/>
    <w:semiHidden/>
    <w:qFormat/>
    <w:uiPriority w:val="0"/>
    <w:pPr>
      <w:adjustRightInd w:val="0"/>
      <w:spacing w:line="480" w:lineRule="exact"/>
      <w:jc w:val="center"/>
      <w:textAlignment w:val="baseline"/>
    </w:pPr>
    <w:rPr>
      <w:snapToGrid w:val="0"/>
      <w:kern w:val="0"/>
      <w:sz w:val="28"/>
      <w:szCs w:val="28"/>
    </w:rPr>
  </w:style>
  <w:style w:type="paragraph" w:customStyle="1" w:styleId="108">
    <w:name w:val="节标题"/>
    <w:basedOn w:val="1"/>
    <w:semiHidden/>
    <w:qFormat/>
    <w:uiPriority w:val="0"/>
    <w:pPr>
      <w:widowControl/>
      <w:spacing w:line="289" w:lineRule="atLeast"/>
      <w:jc w:val="center"/>
      <w:textAlignment w:val="baseline"/>
    </w:pPr>
    <w:rPr>
      <w:color w:val="000000"/>
      <w:kern w:val="0"/>
      <w:sz w:val="28"/>
      <w:szCs w:val="20"/>
    </w:rPr>
  </w:style>
  <w:style w:type="paragraph" w:customStyle="1" w:styleId="109">
    <w:name w:val="表格03"/>
    <w:basedOn w:val="1"/>
    <w:semiHidden/>
    <w:qFormat/>
    <w:uiPriority w:val="0"/>
    <w:pPr>
      <w:spacing w:line="400" w:lineRule="exact"/>
      <w:jc w:val="center"/>
    </w:pPr>
    <w:rPr>
      <w:sz w:val="21"/>
      <w:szCs w:val="21"/>
    </w:rPr>
  </w:style>
  <w:style w:type="paragraph" w:customStyle="1" w:styleId="110">
    <w:name w:val="xl29"/>
    <w:basedOn w:val="1"/>
    <w:semiHidden/>
    <w:qFormat/>
    <w:uiPriority w:val="0"/>
    <w:pPr>
      <w:widowControl/>
      <w:spacing w:before="100" w:after="100"/>
      <w:jc w:val="center"/>
    </w:pPr>
    <w:rPr>
      <w:kern w:val="0"/>
      <w:sz w:val="24"/>
      <w:szCs w:val="20"/>
    </w:rPr>
  </w:style>
  <w:style w:type="paragraph" w:customStyle="1" w:styleId="111">
    <w:name w:val="xl22"/>
    <w:basedOn w:val="1"/>
    <w:semiHidden/>
    <w:qFormat/>
    <w:uiPriority w:val="0"/>
    <w:pPr>
      <w:widowControl/>
      <w:pBdr>
        <w:bottom w:val="single" w:color="auto" w:sz="4" w:space="0"/>
        <w:right w:val="single" w:color="auto" w:sz="4" w:space="0"/>
      </w:pBdr>
      <w:spacing w:before="100" w:beforeAutospacing="1" w:after="100" w:afterAutospacing="1"/>
      <w:jc w:val="center"/>
    </w:pPr>
    <w:rPr>
      <w:kern w:val="0"/>
      <w:sz w:val="21"/>
      <w:szCs w:val="21"/>
    </w:rPr>
  </w:style>
  <w:style w:type="paragraph" w:customStyle="1" w:styleId="112">
    <w:name w:val="Char2"/>
    <w:basedOn w:val="1"/>
    <w:semiHidden/>
    <w:qFormat/>
    <w:uiPriority w:val="0"/>
    <w:rPr>
      <w:sz w:val="21"/>
    </w:rPr>
  </w:style>
  <w:style w:type="paragraph" w:customStyle="1" w:styleId="113">
    <w:name w:val="报告表正文"/>
    <w:basedOn w:val="1"/>
    <w:qFormat/>
    <w:uiPriority w:val="0"/>
    <w:pPr>
      <w:adjustRightInd w:val="0"/>
      <w:spacing w:line="312" w:lineRule="auto"/>
      <w:ind w:left="113" w:right="113" w:firstLine="482"/>
      <w:jc w:val="left"/>
    </w:pPr>
    <w:rPr>
      <w:kern w:val="0"/>
      <w:sz w:val="24"/>
    </w:rPr>
  </w:style>
  <w:style w:type="paragraph" w:customStyle="1" w:styleId="114">
    <w:name w:val="三级标题"/>
    <w:basedOn w:val="1"/>
    <w:qFormat/>
    <w:uiPriority w:val="0"/>
    <w:pPr>
      <w:spacing w:before="300" w:line="460" w:lineRule="exact"/>
      <w:outlineLvl w:val="2"/>
    </w:pPr>
    <w:rPr>
      <w:b/>
      <w:bCs/>
      <w:kern w:val="0"/>
      <w:sz w:val="24"/>
    </w:rPr>
  </w:style>
  <w:style w:type="paragraph" w:customStyle="1" w:styleId="115">
    <w:name w:val="正文01"/>
    <w:basedOn w:val="1"/>
    <w:semiHidden/>
    <w:qFormat/>
    <w:uiPriority w:val="0"/>
    <w:pPr>
      <w:spacing w:before="60" w:line="460" w:lineRule="exact"/>
      <w:ind w:firstLine="539"/>
    </w:pPr>
    <w:rPr>
      <w:sz w:val="27"/>
      <w:szCs w:val="20"/>
    </w:rPr>
  </w:style>
  <w:style w:type="paragraph" w:customStyle="1" w:styleId="116">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117">
    <w:name w:val="居中正文"/>
    <w:basedOn w:val="7"/>
    <w:qFormat/>
    <w:uiPriority w:val="0"/>
    <w:pPr>
      <w:adjustRightInd w:val="0"/>
      <w:spacing w:before="120" w:line="360" w:lineRule="auto"/>
      <w:ind w:firstLine="0" w:firstLineChars="0"/>
      <w:jc w:val="center"/>
      <w:textAlignment w:val="baseline"/>
    </w:pPr>
    <w:rPr>
      <w:rFonts w:ascii="宋体"/>
      <w:kern w:val="28"/>
    </w:rPr>
  </w:style>
  <w:style w:type="paragraph" w:customStyle="1" w:styleId="118">
    <w:name w:val="表文"/>
    <w:basedOn w:val="1"/>
    <w:qFormat/>
    <w:uiPriority w:val="0"/>
    <w:pPr>
      <w:tabs>
        <w:tab w:val="left" w:pos="1021"/>
      </w:tabs>
    </w:pPr>
    <w:rPr>
      <w:rFonts w:hAnsi="宋体"/>
      <w:color w:val="FF0000"/>
      <w:kern w:val="0"/>
      <w:position w:val="-24"/>
      <w:sz w:val="21"/>
      <w:szCs w:val="21"/>
    </w:rPr>
  </w:style>
  <w:style w:type="paragraph" w:customStyle="1" w:styleId="119">
    <w:name w:val="正文首行缩进1"/>
    <w:basedOn w:val="2"/>
    <w:qFormat/>
    <w:uiPriority w:val="0"/>
    <w:pPr>
      <w:adjustRightInd w:val="0"/>
      <w:snapToGrid w:val="0"/>
      <w:spacing w:line="360" w:lineRule="auto"/>
    </w:pPr>
  </w:style>
  <w:style w:type="paragraph" w:customStyle="1" w:styleId="120">
    <w:name w:val="表格"/>
    <w:basedOn w:val="1"/>
    <w:qFormat/>
    <w:uiPriority w:val="0"/>
    <w:pPr>
      <w:jc w:val="center"/>
    </w:pPr>
    <w:rPr>
      <w:sz w:val="24"/>
    </w:rPr>
  </w:style>
  <w:style w:type="paragraph" w:customStyle="1" w:styleId="121">
    <w:name w:val="正文首行缩进2个字"/>
    <w:basedOn w:val="1"/>
    <w:qFormat/>
    <w:uiPriority w:val="0"/>
    <w:pPr>
      <w:ind w:firstLine="200" w:firstLineChars="200"/>
    </w:pPr>
    <w:rPr>
      <w:spacing w:val="3"/>
    </w:rPr>
  </w:style>
  <w:style w:type="paragraph" w:customStyle="1" w:styleId="12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123">
    <w:name w:val="九晟表格"/>
    <w:basedOn w:val="1"/>
    <w:qFormat/>
    <w:uiPriority w:val="0"/>
    <w:pPr>
      <w:jc w:val="left"/>
    </w:pPr>
    <w:rPr>
      <w:rFonts w:hAnsi="宋体"/>
      <w:szCs w:val="21"/>
    </w:rPr>
  </w:style>
  <w:style w:type="character" w:customStyle="1" w:styleId="124">
    <w:name w:val="font51"/>
    <w:basedOn w:val="36"/>
    <w:qFormat/>
    <w:uiPriority w:val="0"/>
    <w:rPr>
      <w:rFonts w:hint="default" w:ascii="Times New Roman" w:hAnsi="Times New Roman" w:cs="Times New Roman"/>
      <w:color w:val="000000"/>
      <w:sz w:val="21"/>
      <w:szCs w:val="21"/>
      <w:u w:val="none"/>
    </w:rPr>
  </w:style>
  <w:style w:type="paragraph" w:customStyle="1" w:styleId="125">
    <w:name w:val="标准正文"/>
    <w:basedOn w:val="1"/>
    <w:qFormat/>
    <w:uiPriority w:val="0"/>
    <w:pPr>
      <w:spacing w:line="540" w:lineRule="exact"/>
      <w:ind w:firstLine="480" w:firstLineChars="200"/>
    </w:pPr>
    <w:rPr>
      <w:sz w:val="24"/>
    </w:rPr>
  </w:style>
  <w:style w:type="paragraph" w:customStyle="1" w:styleId="126">
    <w:name w:val="表字体"/>
    <w:basedOn w:val="1"/>
    <w:next w:val="1"/>
    <w:qFormat/>
    <w:uiPriority w:val="0"/>
    <w:pPr>
      <w:spacing w:line="240" w:lineRule="auto"/>
      <w:jc w:val="center"/>
    </w:pPr>
    <w:rPr>
      <w:rFonts w:ascii="Times New Roman" w:hAnsi="Times New Roman"/>
      <w:sz w:val="21"/>
    </w:rPr>
  </w:style>
  <w:style w:type="paragraph" w:customStyle="1" w:styleId="127">
    <w:name w:val="正文001"/>
    <w:basedOn w:val="1"/>
    <w:qFormat/>
    <w:uiPriority w:val="0"/>
    <w:pPr>
      <w:spacing w:before="60" w:line="420" w:lineRule="exact"/>
      <w:ind w:firstLine="482"/>
    </w:pPr>
    <w:rPr>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header" Target="head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jpe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jpe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textRotate="1"/>
    <customShpInfo spid="_x0000_s2050" textRotate="1"/>
    <customShpInfo spid="_x0000_s1109"/>
    <customShpInfo spid="_x0000_s1108"/>
    <customShpInfo spid="_x0000_s1107"/>
    <customShpInfo spid="_x0000_s1106"/>
    <customShpInfo spid="_x0000_s1105"/>
    <customShpInfo spid="_x0000_s1104"/>
    <customShpInfo spid="_x0000_s1103"/>
    <customShpInfo spid="_x0000_s1102"/>
    <customShpInfo spid="_x0000_s1101"/>
    <customShpInfo spid="_x0000_s1100"/>
    <customShpInfo spid="_x0000_s1099"/>
    <customShpInfo spid="_x0000_s1098"/>
    <customShpInfo spid="_x0000_s1097"/>
    <customShpInfo spid="_x0000_s1096"/>
    <customShpInfo spid="_x0000_s1095"/>
    <customShpInfo spid="_x0000_s1094"/>
    <customShpInfo spid="_x0000_s1093"/>
    <customShpInfo spid="_x0000_s1092"/>
    <customShpInfo spid="_x0000_s1091"/>
    <customShpInfo spid="_x0000_s1090"/>
    <customShpInfo spid="_x0000_s1089"/>
    <customShpInfo spid="_x0000_s1088"/>
    <customShpInfo spid="_x0000_s1087"/>
    <customShpInfo spid="_x0000_s1086"/>
    <customShpInfo spid="_x0000_s1085"/>
    <customShpInfo spid="_x0000_s1084"/>
    <customShpInfo spid="_x0000_s1083"/>
    <customShpInfo spid="_x0000_s1082"/>
    <customShpInfo spid="_x0000_s1081"/>
    <customShpInfo spid="_x0000_s1080"/>
    <customShpInfo spid="_x0000_s1079"/>
    <customShpInfo spid="_x0000_s1078"/>
    <customShpInfo spid="_x0000_s1077"/>
    <customShpInfo spid="_x0000_s1076"/>
    <customShpInfo spid="_x0000_s1075"/>
    <customShpInfo spid="_x0000_s1074"/>
    <customShpInfo spid="_x0000_s1073"/>
    <customShpInfo spid="_x0000_s1072"/>
    <customShpInfo spid="_x0000_s1071"/>
    <customShpInfo spid="_x0000_s1070"/>
    <customShpInfo spid="_x0000_s1069"/>
    <customShpInfo spid="_x0000_s1068"/>
    <customShpInfo spid="_x0000_s1067"/>
    <customShpInfo spid="_x0000_s1066"/>
    <customShpInfo spid="_x0000_s1065"/>
    <customShpInfo spid="_x0000_s1064"/>
    <customShpInfo spid="_x0000_s1063"/>
    <customShpInfo spid="_x0000_s1062"/>
    <customShpInfo spid="_x0000_s1061"/>
    <customShpInfo spid="_x0000_s1060"/>
    <customShpInfo spid="_x0000_s1059"/>
    <customShpInfo spid="_x0000_s1058"/>
    <customShpInfo spid="_x0000_s1057"/>
    <customShpInfo spid="_x0000_s1056"/>
    <customShpInfo spid="_x0000_s1053"/>
    <customShpInfo spid="_x0000_s1122"/>
    <customShpInfo spid="_x0000_s1044"/>
    <customShpInfo spid="_x0000_s1047"/>
    <customShpInfo spid="_x0000_s1052"/>
    <customShpInfo spid="_x0000_s1046"/>
    <customShpInfo spid="_x0000_s1051"/>
    <customShpInfo spid="_x0000_s1037"/>
    <customShpInfo spid="_x0000_s1124"/>
    <customShpInfo spid="_x0000_s1123"/>
    <customShpInfo spid="_x0000_s1038"/>
    <customShpInfo spid="_x0000_s1034"/>
    <customShpInfo spid="_x0000_s1126"/>
    <customShpInfo spid="_x0000_s1125"/>
    <customShpInfo spid="_x0000_s1035"/>
    <customShpInfo spid="_x0000_s103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8010</Words>
  <Characters>45659</Characters>
  <Lines>380</Lines>
  <Paragraphs>107</Paragraphs>
  <TotalTime>1</TotalTime>
  <ScaleCrop>false</ScaleCrop>
  <LinksUpToDate>false</LinksUpToDate>
  <CharactersWithSpaces>53562</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2019-07-05T07:36:00Z</dcterms:created>
  <dc:creator>User</dc:creator>
  <cp:lastModifiedBy>arker</cp:lastModifiedBy>
  <cp:lastPrinted>2019-07-24T01:56:00Z</cp:lastPrinted>
  <dcterms:modified xsi:type="dcterms:W3CDTF">2023-03-31T01:11:55Z</dcterms:modified>
  <dc:title>建设项目基本情况</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